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oter2.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2.xml" ContentType="application/vnd.openxmlformats-officedocument.wordprocessingml.header+xml"/>
  <Override PartName="/word/footer3.xml" ContentType="application/vnd.openxmlformats-officedocument.wordprocessingml.footer+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11.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12.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3.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4.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5.xml" ContentType="application/vnd.openxmlformats-officedocument.drawingml.chart+xml"/>
  <Override PartName="/word/charts/chart1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1.xml" ContentType="application/vnd.openxmlformats-officedocument.themeOverride+xml"/>
  <Override PartName="/word/charts/chart1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9.xml" ContentType="application/vnd.openxmlformats-officedocument.drawingml.chart+xml"/>
  <Override PartName="/word/charts/chart20.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21.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22.xml" ContentType="application/vnd.openxmlformats-officedocument.drawingml.chart+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charts/chart23.xml" ContentType="application/vnd.openxmlformats-officedocument.drawingml.chart+xml"/>
  <Override PartName="/word/theme/themeOverride2.xml" ContentType="application/vnd.openxmlformats-officedocument.themeOverride+xml"/>
  <Override PartName="/word/header7.xml" ContentType="application/vnd.openxmlformats-officedocument.wordprocessingml.header+xml"/>
  <Override PartName="/word/footer8.xml" ContentType="application/vnd.openxmlformats-officedocument.wordprocessingml.footer+xml"/>
  <Override PartName="/word/charts/chart24.xml" ContentType="application/vnd.openxmlformats-officedocument.drawingml.chart+xml"/>
  <Override PartName="/word/theme/themeOverride3.xml" ContentType="application/vnd.openxmlformats-officedocument.themeOverride+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header11.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FC5FD5" w14:textId="77777777" w:rsidR="00284822" w:rsidRDefault="00F77BF8">
      <w:pPr>
        <w:spacing w:before="120" w:after="120"/>
        <w:ind w:leftChars="2450" w:left="6500" w:hangingChars="50" w:hanging="130"/>
        <w:rPr>
          <w:rFonts w:ascii="Rockwell" w:hAnsi="Rockwell"/>
          <w:bCs/>
          <w:szCs w:val="26"/>
        </w:rPr>
      </w:pPr>
      <w:bookmarkStart w:id="0" w:name="_Hlk71206634"/>
      <w:bookmarkStart w:id="1" w:name="_Hlk71206712"/>
      <w:bookmarkStart w:id="2" w:name="_Toc43238615"/>
      <w:bookmarkStart w:id="3" w:name="_Toc19126990"/>
      <w:bookmarkStart w:id="4" w:name="_Toc25166713"/>
      <w:bookmarkStart w:id="5" w:name="_Toc42536527"/>
      <w:bookmarkStart w:id="6" w:name="_Toc19126799"/>
      <w:bookmarkStart w:id="7" w:name="_Toc42536301"/>
      <w:bookmarkStart w:id="8" w:name="_Toc25165984"/>
      <w:bookmarkStart w:id="9" w:name="_Toc42529872"/>
      <w:bookmarkStart w:id="10" w:name="_Toc42535740"/>
      <w:bookmarkStart w:id="11" w:name="_Toc43239379"/>
      <w:bookmarkStart w:id="12" w:name="_Toc73184112"/>
      <w:bookmarkStart w:id="13" w:name="_Toc73183951"/>
      <w:r>
        <w:rPr>
          <w:rFonts w:ascii="Rockwell" w:hAnsi="Rockwell"/>
          <w:bCs/>
          <w:szCs w:val="26"/>
        </w:rPr>
        <w:t>Burkina Faso</w:t>
      </w:r>
    </w:p>
    <w:p w14:paraId="6A803DA1" w14:textId="77777777" w:rsidR="00284822" w:rsidRDefault="00284822">
      <w:pPr>
        <w:spacing w:before="120" w:after="120"/>
        <w:ind w:left="4956" w:firstLine="708"/>
        <w:rPr>
          <w:rFonts w:ascii="Rockwell" w:hAnsi="Rockwell"/>
          <w:i/>
          <w:szCs w:val="26"/>
        </w:rPr>
      </w:pPr>
    </w:p>
    <w:p w14:paraId="62BD5526" w14:textId="77777777" w:rsidR="00284822" w:rsidRDefault="00F77BF8">
      <w:pPr>
        <w:spacing w:before="120" w:after="120"/>
        <w:ind w:left="4956" w:firstLine="708"/>
        <w:rPr>
          <w:rFonts w:ascii="Rockwell" w:hAnsi="Rockwell"/>
          <w:i/>
          <w:szCs w:val="26"/>
        </w:rPr>
      </w:pPr>
      <w:r>
        <w:rPr>
          <w:rFonts w:ascii="Rockwell" w:hAnsi="Rockwell"/>
          <w:noProof/>
          <w:szCs w:val="26"/>
        </w:rPr>
        <mc:AlternateContent>
          <mc:Choice Requires="wps">
            <w:drawing>
              <wp:anchor distT="0" distB="0" distL="114300" distR="114300" simplePos="0" relativeHeight="251661312" behindDoc="0" locked="0" layoutInCell="1" allowOverlap="1" wp14:anchorId="648F7A17" wp14:editId="6F4BAA7B">
                <wp:simplePos x="0" y="0"/>
                <wp:positionH relativeFrom="column">
                  <wp:posOffset>-154305</wp:posOffset>
                </wp:positionH>
                <wp:positionV relativeFrom="paragraph">
                  <wp:posOffset>592455</wp:posOffset>
                </wp:positionV>
                <wp:extent cx="6305550" cy="7953375"/>
                <wp:effectExtent l="0" t="0" r="0" b="9525"/>
                <wp:wrapNone/>
                <wp:docPr id="15" name="Rectangle 16"/>
                <wp:cNvGraphicFramePr/>
                <a:graphic xmlns:a="http://schemas.openxmlformats.org/drawingml/2006/main">
                  <a:graphicData uri="http://schemas.microsoft.com/office/word/2010/wordprocessingShape">
                    <wps:wsp>
                      <wps:cNvSpPr/>
                      <wps:spPr>
                        <a:xfrm>
                          <a:off x="0" y="0"/>
                          <a:ext cx="6305550" cy="7953375"/>
                        </a:xfrm>
                        <a:prstGeom prst="rect">
                          <a:avLst/>
                        </a:prstGeom>
                        <a:noFill/>
                        <a:ln cap="flat">
                          <a:noFill/>
                          <a:prstDash val="solid"/>
                        </a:ln>
                      </wps:spPr>
                      <wps:txbx>
                        <w:txbxContent>
                          <w:p w14:paraId="2344287C" w14:textId="77777777" w:rsidR="003148F1" w:rsidRDefault="003148F1">
                            <w:pPr>
                              <w:jc w:val="center"/>
                              <w:rPr>
                                <w:rFonts w:ascii="Gautami" w:hAnsi="Gautami" w:cs="Gautami"/>
                                <w:b/>
                                <w:bCs/>
                                <w:color w:val="4F81BD"/>
                                <w:sz w:val="56"/>
                                <w:szCs w:val="56"/>
                              </w:rPr>
                            </w:pPr>
                            <w:r>
                              <w:rPr>
                                <w:rFonts w:ascii="Gautami" w:hAnsi="Gautami" w:cs="Gautami"/>
                                <w:b/>
                                <w:bCs/>
                                <w:color w:val="4F81BD"/>
                                <w:sz w:val="56"/>
                                <w:szCs w:val="56"/>
                              </w:rPr>
                              <w:t>RAPPORT PUBLIC 2022</w:t>
                            </w:r>
                            <w:r>
                              <w:rPr>
                                <w:rFonts w:ascii="Gautami" w:hAnsi="Gautami" w:cs="Gautami"/>
                                <w:b/>
                                <w:bCs/>
                                <w:color w:val="4F81BD"/>
                                <w:sz w:val="56"/>
                                <w:szCs w:val="56"/>
                              </w:rPr>
                              <w:br/>
                            </w:r>
                          </w:p>
                          <w:p w14:paraId="5237CFFC" w14:textId="77777777" w:rsidR="003148F1" w:rsidRDefault="003148F1">
                            <w:pPr>
                              <w:jc w:val="center"/>
                              <w:rPr>
                                <w:rFonts w:ascii="Gautami" w:hAnsi="Gautami" w:cs="Gautami"/>
                                <w:b/>
                                <w:bCs/>
                                <w:color w:val="4F81BD"/>
                                <w:sz w:val="56"/>
                                <w:szCs w:val="56"/>
                              </w:rPr>
                            </w:pPr>
                          </w:p>
                          <w:p w14:paraId="08D1DFA9" w14:textId="77777777" w:rsidR="003148F1" w:rsidRDefault="003148F1">
                            <w:pPr>
                              <w:ind w:left="567"/>
                              <w:jc w:val="center"/>
                            </w:pPr>
                            <w:r>
                              <w:rPr>
                                <w:noProof/>
                              </w:rPr>
                              <w:drawing>
                                <wp:inline distT="0" distB="0" distL="0" distR="0" wp14:anchorId="007C805D" wp14:editId="43552CC7">
                                  <wp:extent cx="5846445" cy="3897630"/>
                                  <wp:effectExtent l="0" t="0" r="1905" b="762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46445" cy="3897630"/>
                                          </a:xfrm>
                                          <a:prstGeom prst="rect">
                                            <a:avLst/>
                                          </a:prstGeom>
                                        </pic:spPr>
                                      </pic:pic>
                                    </a:graphicData>
                                  </a:graphic>
                                </wp:inline>
                              </w:drawing>
                            </w:r>
                          </w:p>
                          <w:p w14:paraId="767E1C3A" w14:textId="77777777" w:rsidR="003148F1" w:rsidRDefault="003148F1">
                            <w:pPr>
                              <w:rPr>
                                <w:b/>
                                <w:bCs/>
                                <w:color w:val="808080"/>
                                <w:sz w:val="32"/>
                                <w:szCs w:val="32"/>
                              </w:rPr>
                            </w:pPr>
                          </w:p>
                          <w:p w14:paraId="5F0DC1FF" w14:textId="77777777" w:rsidR="003148F1" w:rsidRDefault="003148F1">
                            <w:pPr>
                              <w:rPr>
                                <w:b/>
                                <w:bCs/>
                                <w:color w:val="808080"/>
                                <w:sz w:val="32"/>
                                <w:szCs w:val="32"/>
                              </w:rPr>
                            </w:pPr>
                          </w:p>
                          <w:p w14:paraId="3C398EC4" w14:textId="77777777" w:rsidR="003148F1" w:rsidRDefault="003148F1">
                            <w:pPr>
                              <w:rPr>
                                <w:b/>
                                <w:bCs/>
                                <w:color w:val="808080"/>
                                <w:sz w:val="32"/>
                                <w:szCs w:val="32"/>
                              </w:rPr>
                            </w:pPr>
                          </w:p>
                          <w:p w14:paraId="5B1B00BD" w14:textId="77777777" w:rsidR="003148F1" w:rsidRDefault="003148F1">
                            <w:pPr>
                              <w:rPr>
                                <w:b/>
                                <w:bCs/>
                                <w:color w:val="808080"/>
                                <w:sz w:val="32"/>
                                <w:szCs w:val="32"/>
                              </w:rPr>
                            </w:pPr>
                          </w:p>
                          <w:p w14:paraId="109E7055" w14:textId="77777777" w:rsidR="003148F1" w:rsidRDefault="003148F1">
                            <w:pPr>
                              <w:rPr>
                                <w:b/>
                                <w:bCs/>
                                <w:color w:val="808080"/>
                                <w:sz w:val="32"/>
                                <w:szCs w:val="32"/>
                              </w:rPr>
                            </w:pPr>
                          </w:p>
                          <w:p w14:paraId="6E18EDD8" w14:textId="77777777" w:rsidR="003148F1" w:rsidRDefault="003148F1">
                            <w:pPr>
                              <w:rPr>
                                <w:b/>
                                <w:bCs/>
                                <w:color w:val="808080"/>
                                <w:sz w:val="32"/>
                                <w:szCs w:val="32"/>
                              </w:rPr>
                            </w:pPr>
                          </w:p>
                          <w:p w14:paraId="0B22E08F" w14:textId="77777777" w:rsidR="003148F1" w:rsidRDefault="003148F1">
                            <w:pPr>
                              <w:rPr>
                                <w:b/>
                                <w:bCs/>
                                <w:color w:val="808080"/>
                                <w:sz w:val="32"/>
                                <w:szCs w:val="32"/>
                              </w:rPr>
                            </w:pPr>
                          </w:p>
                          <w:p w14:paraId="0EE3A5EC" w14:textId="77777777" w:rsidR="003148F1" w:rsidRDefault="003148F1">
                            <w:pPr>
                              <w:rPr>
                                <w:b/>
                                <w:bCs/>
                                <w:color w:val="808080"/>
                                <w:sz w:val="32"/>
                                <w:szCs w:val="32"/>
                              </w:rPr>
                            </w:pPr>
                          </w:p>
                          <w:p w14:paraId="7B147DFC" w14:textId="77777777" w:rsidR="003148F1" w:rsidRDefault="003148F1">
                            <w:pPr>
                              <w:rPr>
                                <w:b/>
                                <w:bCs/>
                                <w:color w:val="808080"/>
                                <w:sz w:val="32"/>
                                <w:szCs w:val="32"/>
                              </w:rPr>
                            </w:pPr>
                          </w:p>
                          <w:p w14:paraId="09874F1F" w14:textId="77777777" w:rsidR="003148F1" w:rsidRDefault="003148F1">
                            <w:pPr>
                              <w:rPr>
                                <w:b/>
                                <w:bCs/>
                                <w:color w:val="808080"/>
                                <w:sz w:val="32"/>
                                <w:szCs w:val="32"/>
                              </w:rPr>
                            </w:pPr>
                          </w:p>
                          <w:p w14:paraId="0726CE4C" w14:textId="77777777" w:rsidR="003148F1" w:rsidRDefault="003148F1"/>
                          <w:p w14:paraId="76C4EBF5" w14:textId="77777777" w:rsidR="003148F1" w:rsidRDefault="003148F1"/>
                        </w:txbxContent>
                      </wps:txbx>
                      <wps:bodyPr vert="horz" wrap="square" lIns="91440" tIns="45720" rIns="91440" bIns="45720" anchor="b" anchorCtr="0" compatLnSpc="0">
                        <a:noAutofit/>
                      </wps:bodyPr>
                    </wps:wsp>
                  </a:graphicData>
                </a:graphic>
              </wp:anchor>
            </w:drawing>
          </mc:Choice>
          <mc:Fallback>
            <w:pict>
              <v:rect w14:anchorId="648F7A17" id="Rectangle 16" o:spid="_x0000_s1026" style="position:absolute;left:0;text-align:left;margin-left:-12.15pt;margin-top:46.65pt;width:496.5pt;height:626.25pt;z-index:251661312;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" filled="f" stroked="f">
                <v:textbox>
                  <w:txbxContent>
                    <w:p w14:paraId="2344287C" w14:textId="77777777" w:rsidR="003148F1" w:rsidRDefault="003148F1">
                      <w:pPr>
                        <w:jc w:val="center"/>
                        <w:rPr>
                          <w:rFonts w:ascii="Gautami" w:hAnsi="Gautami" w:cs="Gautami"/>
                          <w:b/>
                          <w:bCs/>
                          <w:color w:val="4F81BD"/>
                          <w:sz w:val="56"/>
                          <w:szCs w:val="56"/>
                        </w:rPr>
                      </w:pPr>
                      <w:r>
                        <w:rPr>
                          <w:rFonts w:ascii="Gautami" w:hAnsi="Gautami" w:cs="Gautami"/>
                          <w:b/>
                          <w:bCs/>
                          <w:color w:val="4F81BD"/>
                          <w:sz w:val="56"/>
                          <w:szCs w:val="56"/>
                        </w:rPr>
                        <w:t>RAPPORT PUBLIC 2022</w:t>
                      </w:r>
                      <w:r>
                        <w:rPr>
                          <w:rFonts w:ascii="Gautami" w:hAnsi="Gautami" w:cs="Gautami"/>
                          <w:b/>
                          <w:bCs/>
                          <w:color w:val="4F81BD"/>
                          <w:sz w:val="56"/>
                          <w:szCs w:val="56"/>
                        </w:rPr>
                        <w:br/>
                      </w:r>
                    </w:p>
                    <w:p w14:paraId="5237CFFC" w14:textId="77777777" w:rsidR="003148F1" w:rsidRDefault="003148F1">
                      <w:pPr>
                        <w:jc w:val="center"/>
                        <w:rPr>
                          <w:rFonts w:ascii="Gautami" w:hAnsi="Gautami" w:cs="Gautami"/>
                          <w:b/>
                          <w:bCs/>
                          <w:color w:val="4F81BD"/>
                          <w:sz w:val="56"/>
                          <w:szCs w:val="56"/>
                        </w:rPr>
                      </w:pPr>
                    </w:p>
                    <w:p w14:paraId="08D1DFA9" w14:textId="77777777" w:rsidR="003148F1" w:rsidRDefault="003148F1">
                      <w:pPr>
                        <w:ind w:left="567"/>
                        <w:jc w:val="center"/>
                      </w:pPr>
                      <w:r>
                        <w:rPr>
                          <w:noProof/>
                        </w:rPr>
                        <w:drawing>
                          <wp:inline distT="0" distB="0" distL="0" distR="0" wp14:anchorId="007C805D" wp14:editId="43552CC7">
                            <wp:extent cx="5846445" cy="3897630"/>
                            <wp:effectExtent l="0" t="0" r="1905" b="762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46445" cy="3897630"/>
                                    </a:xfrm>
                                    <a:prstGeom prst="rect">
                                      <a:avLst/>
                                    </a:prstGeom>
                                  </pic:spPr>
                                </pic:pic>
                              </a:graphicData>
                            </a:graphic>
                          </wp:inline>
                        </w:drawing>
                      </w:r>
                    </w:p>
                    <w:p w14:paraId="767E1C3A" w14:textId="77777777" w:rsidR="003148F1" w:rsidRDefault="003148F1">
                      <w:pPr>
                        <w:rPr>
                          <w:b/>
                          <w:bCs/>
                          <w:color w:val="808080"/>
                          <w:sz w:val="32"/>
                          <w:szCs w:val="32"/>
                        </w:rPr>
                      </w:pPr>
                    </w:p>
                    <w:p w14:paraId="5F0DC1FF" w14:textId="77777777" w:rsidR="003148F1" w:rsidRDefault="003148F1">
                      <w:pPr>
                        <w:rPr>
                          <w:b/>
                          <w:bCs/>
                          <w:color w:val="808080"/>
                          <w:sz w:val="32"/>
                          <w:szCs w:val="32"/>
                        </w:rPr>
                      </w:pPr>
                    </w:p>
                    <w:p w14:paraId="3C398EC4" w14:textId="77777777" w:rsidR="003148F1" w:rsidRDefault="003148F1">
                      <w:pPr>
                        <w:rPr>
                          <w:b/>
                          <w:bCs/>
                          <w:color w:val="808080"/>
                          <w:sz w:val="32"/>
                          <w:szCs w:val="32"/>
                        </w:rPr>
                      </w:pPr>
                    </w:p>
                    <w:p w14:paraId="5B1B00BD" w14:textId="77777777" w:rsidR="003148F1" w:rsidRDefault="003148F1">
                      <w:pPr>
                        <w:rPr>
                          <w:b/>
                          <w:bCs/>
                          <w:color w:val="808080"/>
                          <w:sz w:val="32"/>
                          <w:szCs w:val="32"/>
                        </w:rPr>
                      </w:pPr>
                    </w:p>
                    <w:p w14:paraId="109E7055" w14:textId="77777777" w:rsidR="003148F1" w:rsidRDefault="003148F1">
                      <w:pPr>
                        <w:rPr>
                          <w:b/>
                          <w:bCs/>
                          <w:color w:val="808080"/>
                          <w:sz w:val="32"/>
                          <w:szCs w:val="32"/>
                        </w:rPr>
                      </w:pPr>
                    </w:p>
                    <w:p w14:paraId="6E18EDD8" w14:textId="77777777" w:rsidR="003148F1" w:rsidRDefault="003148F1">
                      <w:pPr>
                        <w:rPr>
                          <w:b/>
                          <w:bCs/>
                          <w:color w:val="808080"/>
                          <w:sz w:val="32"/>
                          <w:szCs w:val="32"/>
                        </w:rPr>
                      </w:pPr>
                    </w:p>
                    <w:p w14:paraId="0B22E08F" w14:textId="77777777" w:rsidR="003148F1" w:rsidRDefault="003148F1">
                      <w:pPr>
                        <w:rPr>
                          <w:b/>
                          <w:bCs/>
                          <w:color w:val="808080"/>
                          <w:sz w:val="32"/>
                          <w:szCs w:val="32"/>
                        </w:rPr>
                      </w:pPr>
                    </w:p>
                    <w:p w14:paraId="0EE3A5EC" w14:textId="77777777" w:rsidR="003148F1" w:rsidRDefault="003148F1">
                      <w:pPr>
                        <w:rPr>
                          <w:b/>
                          <w:bCs/>
                          <w:color w:val="808080"/>
                          <w:sz w:val="32"/>
                          <w:szCs w:val="32"/>
                        </w:rPr>
                      </w:pPr>
                    </w:p>
                    <w:p w14:paraId="7B147DFC" w14:textId="77777777" w:rsidR="003148F1" w:rsidRDefault="003148F1">
                      <w:pPr>
                        <w:rPr>
                          <w:b/>
                          <w:bCs/>
                          <w:color w:val="808080"/>
                          <w:sz w:val="32"/>
                          <w:szCs w:val="32"/>
                        </w:rPr>
                      </w:pPr>
                    </w:p>
                    <w:p w14:paraId="09874F1F" w14:textId="77777777" w:rsidR="003148F1" w:rsidRDefault="003148F1">
                      <w:pPr>
                        <w:rPr>
                          <w:b/>
                          <w:bCs/>
                          <w:color w:val="808080"/>
                          <w:sz w:val="32"/>
                          <w:szCs w:val="32"/>
                        </w:rPr>
                      </w:pPr>
                    </w:p>
                    <w:p w14:paraId="0726CE4C" w14:textId="77777777" w:rsidR="003148F1" w:rsidRDefault="003148F1"/>
                    <w:p w14:paraId="76C4EBF5" w14:textId="77777777" w:rsidR="003148F1" w:rsidRDefault="003148F1"/>
                  </w:txbxContent>
                </v:textbox>
              </v:rect>
            </w:pict>
          </mc:Fallback>
        </mc:AlternateContent>
      </w:r>
      <w:r>
        <w:rPr>
          <w:rFonts w:ascii="Rockwell" w:hAnsi="Rockwell"/>
          <w:i/>
          <w:szCs w:val="26"/>
        </w:rPr>
        <w:t>Unité – Progrès - Justice</w:t>
      </w:r>
    </w:p>
    <w:p w14:paraId="14786D65" w14:textId="77777777" w:rsidR="00284822" w:rsidRDefault="00284822">
      <w:pPr>
        <w:spacing w:before="120" w:after="120"/>
        <w:rPr>
          <w:rFonts w:ascii="Rockwell" w:hAnsi="Rockwell"/>
          <w:szCs w:val="26"/>
        </w:rPr>
      </w:pPr>
    </w:p>
    <w:p w14:paraId="6B098651" w14:textId="77777777" w:rsidR="00284822" w:rsidRDefault="00F77BF8">
      <w:pPr>
        <w:spacing w:before="120" w:after="120"/>
        <w:rPr>
          <w:rFonts w:ascii="Rockwell" w:hAnsi="Rockwell"/>
          <w:szCs w:val="26"/>
        </w:rPr>
      </w:pPr>
      <w:r>
        <w:rPr>
          <w:rFonts w:ascii="Rockwell" w:hAnsi="Rockwell"/>
          <w:noProof/>
          <w:szCs w:val="26"/>
        </w:rPr>
        <mc:AlternateContent>
          <mc:Choice Requires="wpg">
            <w:drawing>
              <wp:anchor distT="0" distB="0" distL="114300" distR="114300" simplePos="0" relativeHeight="251660288" behindDoc="0" locked="0" layoutInCell="1" allowOverlap="1" wp14:anchorId="44D820A0" wp14:editId="3268825A">
                <wp:simplePos x="0" y="0"/>
                <wp:positionH relativeFrom="page">
                  <wp:posOffset>276225</wp:posOffset>
                </wp:positionH>
                <wp:positionV relativeFrom="margin">
                  <wp:posOffset>1452245</wp:posOffset>
                </wp:positionV>
                <wp:extent cx="6853555" cy="8214995"/>
                <wp:effectExtent l="0" t="0" r="4445" b="0"/>
                <wp:wrapNone/>
                <wp:docPr id="5" name="Groupe 2"/>
                <wp:cNvGraphicFramePr/>
                <a:graphic xmlns:a="http://schemas.openxmlformats.org/drawingml/2006/main">
                  <a:graphicData uri="http://schemas.microsoft.com/office/word/2010/wordprocessingGroup">
                    <wpg:wgp>
                      <wpg:cNvGrpSpPr/>
                      <wpg:grpSpPr>
                        <a:xfrm>
                          <a:off x="0" y="0"/>
                          <a:ext cx="6853555" cy="8214995"/>
                          <a:chOff x="13460" y="383462"/>
                          <a:chExt cx="6854068" cy="8215711"/>
                        </a:xfrm>
                      </wpg:grpSpPr>
                      <wpg:grpSp>
                        <wpg:cNvPr id="6" name="Group 3"/>
                        <wpg:cNvGrpSpPr/>
                        <wpg:grpSpPr>
                          <a:xfrm>
                            <a:off x="13460" y="5043246"/>
                            <a:ext cx="6854068" cy="3555927"/>
                            <a:chOff x="13460" y="0"/>
                            <a:chExt cx="6854068" cy="3555927"/>
                          </a:xfrm>
                        </wpg:grpSpPr>
                        <wpg:grpSp>
                          <wpg:cNvPr id="7" name="Group 4"/>
                          <wpg:cNvGrpSpPr/>
                          <wpg:grpSpPr>
                            <a:xfrm>
                              <a:off x="1606705" y="265852"/>
                              <a:ext cx="5256279" cy="2968133"/>
                              <a:chOff x="1606705" y="0"/>
                              <a:chExt cx="5256279" cy="2968133"/>
                            </a:xfrm>
                          </wpg:grpSpPr>
                          <wps:wsp>
                            <wps:cNvPr id="8" name="Freeform 5"/>
                            <wps:cNvSpPr/>
                            <wps:spPr>
                              <a:xfrm>
                                <a:off x="1606705" y="421841"/>
                                <a:ext cx="4015660" cy="2393807"/>
                              </a:xfrm>
                              <a:custGeom>
                                <a:avLst/>
                                <a:gdLst>
                                  <a:gd name="f0" fmla="val 10800000"/>
                                  <a:gd name="f1" fmla="val 5400000"/>
                                  <a:gd name="f2" fmla="val 180"/>
                                  <a:gd name="f3" fmla="val w"/>
                                  <a:gd name="f4" fmla="val h"/>
                                  <a:gd name="f5" fmla="val 0"/>
                                  <a:gd name="f6" fmla="val 7132"/>
                                  <a:gd name="f7" fmla="val 2863"/>
                                  <a:gd name="f8" fmla="val 17"/>
                                  <a:gd name="f9" fmla="val 2578"/>
                                  <a:gd name="f10" fmla="val 200"/>
                                  <a:gd name="f11" fmla="+- 0 0 -360"/>
                                  <a:gd name="f12" fmla="+- 0 0 -90"/>
                                  <a:gd name="f13" fmla="+- 0 0 -180"/>
                                  <a:gd name="f14" fmla="+- 0 0 -270"/>
                                  <a:gd name="f15" fmla="*/ f3 1 7132"/>
                                  <a:gd name="f16" fmla="*/ f4 1 2863"/>
                                  <a:gd name="f17" fmla="+- f7 0 f5"/>
                                  <a:gd name="f18" fmla="+- f6 0 f5"/>
                                  <a:gd name="f19" fmla="*/ f11 f0 1"/>
                                  <a:gd name="f20" fmla="*/ f12 f0 1"/>
                                  <a:gd name="f21" fmla="*/ f13 f0 1"/>
                                  <a:gd name="f22" fmla="*/ f14 f0 1"/>
                                  <a:gd name="f23" fmla="*/ f18 1 7132"/>
                                  <a:gd name="f24" fmla="*/ f17 1 2863"/>
                                  <a:gd name="f25" fmla="*/ 2207974 f18 1"/>
                                  <a:gd name="f26" fmla="*/ 0 f17 1"/>
                                  <a:gd name="f27" fmla="*/ 4415948 f18 1"/>
                                  <a:gd name="f28" fmla="*/ 1182237 f17 1"/>
                                  <a:gd name="f29" fmla="*/ 2364473 f17 1"/>
                                  <a:gd name="f30" fmla="*/ 0 f18 1"/>
                                  <a:gd name="f31" fmla="*/ 1367117317 f18 1"/>
                                  <a:gd name="f32" fmla="*/ 2147483646 f18 1"/>
                                  <a:gd name="f33" fmla="*/ 976377040 f17 1"/>
                                  <a:gd name="f34" fmla="*/ 1952753255 f17 1"/>
                                  <a:gd name="f35" fmla="*/ 6517424 f18 1"/>
                                  <a:gd name="f36" fmla="*/ 1758364338 f17 1"/>
                                  <a:gd name="f37" fmla="*/ 136413492 f17 1"/>
                                  <a:gd name="f38" fmla="*/ 7132 f18 1"/>
                                  <a:gd name="f39" fmla="*/ 2863 f17 1"/>
                                  <a:gd name="f40" fmla="*/ f19 1 f2"/>
                                  <a:gd name="f41" fmla="*/ f20 1 f2"/>
                                  <a:gd name="f42" fmla="*/ f21 1 f2"/>
                                  <a:gd name="f43" fmla="*/ f22 1 f2"/>
                                  <a:gd name="f44" fmla="*/ f25 1 7132"/>
                                  <a:gd name="f45" fmla="*/ f26 1 2863"/>
                                  <a:gd name="f46" fmla="*/ f27 1 7132"/>
                                  <a:gd name="f47" fmla="*/ f28 1 2863"/>
                                  <a:gd name="f48" fmla="*/ f29 1 2863"/>
                                  <a:gd name="f49" fmla="*/ f30 1 7132"/>
                                  <a:gd name="f50" fmla="*/ f31 1 7132"/>
                                  <a:gd name="f51" fmla="*/ f32 1 7132"/>
                                  <a:gd name="f52" fmla="*/ f33 1 2863"/>
                                  <a:gd name="f53" fmla="*/ f34 1 2863"/>
                                  <a:gd name="f54" fmla="*/ f35 1 7132"/>
                                  <a:gd name="f55" fmla="*/ f36 1 2863"/>
                                  <a:gd name="f56" fmla="*/ f37 1 2863"/>
                                  <a:gd name="f57" fmla="*/ f38 1 7132"/>
                                  <a:gd name="f58" fmla="*/ f39 1 2863"/>
                                  <a:gd name="f59" fmla="+- f40 0 f1"/>
                                  <a:gd name="f60" fmla="+- f41 0 f1"/>
                                  <a:gd name="f61" fmla="+- f42 0 f1"/>
                                  <a:gd name="f62" fmla="+- f43 0 f1"/>
                                  <a:gd name="f63" fmla="*/ f44 1 f23"/>
                                  <a:gd name="f64" fmla="*/ f45 1 f24"/>
                                  <a:gd name="f65" fmla="*/ f46 1 f23"/>
                                  <a:gd name="f66" fmla="*/ f47 1 f24"/>
                                  <a:gd name="f67" fmla="*/ f48 1 f24"/>
                                  <a:gd name="f68" fmla="*/ f49 1 f23"/>
                                  <a:gd name="f69" fmla="*/ f50 1 f23"/>
                                  <a:gd name="f70" fmla="*/ f51 1 f23"/>
                                  <a:gd name="f71" fmla="*/ f52 1 f24"/>
                                  <a:gd name="f72" fmla="*/ f53 1 f24"/>
                                  <a:gd name="f73" fmla="*/ f54 1 f23"/>
                                  <a:gd name="f74" fmla="*/ f55 1 f24"/>
                                  <a:gd name="f75" fmla="*/ f56 1 f24"/>
                                  <a:gd name="f76" fmla="*/ f57 1 f23"/>
                                  <a:gd name="f77" fmla="*/ f58 1 f24"/>
                                  <a:gd name="f78" fmla="*/ f68 f15 1"/>
                                  <a:gd name="f79" fmla="*/ f76 f15 1"/>
                                  <a:gd name="f80" fmla="*/ f77 f16 1"/>
                                  <a:gd name="f81" fmla="*/ f64 f16 1"/>
                                  <a:gd name="f82" fmla="*/ f63 f15 1"/>
                                  <a:gd name="f83" fmla="*/ f65 f15 1"/>
                                  <a:gd name="f84" fmla="*/ f66 f16 1"/>
                                  <a:gd name="f85" fmla="*/ f67 f16 1"/>
                                  <a:gd name="f86" fmla="*/ f69 f15 1"/>
                                  <a:gd name="f87" fmla="*/ f70 f15 1"/>
                                  <a:gd name="f88" fmla="*/ f71 f16 1"/>
                                  <a:gd name="f89" fmla="*/ f72 f16 1"/>
                                  <a:gd name="f90" fmla="*/ f73 f15 1"/>
                                  <a:gd name="f91" fmla="*/ f74 f16 1"/>
                                  <a:gd name="f92" fmla="*/ f75 f16 1"/>
                                </a:gdLst>
                                <a:ahLst/>
                                <a:cxnLst>
                                  <a:cxn ang="3cd4">
                                    <a:pos x="hc" y="t"/>
                                  </a:cxn>
                                  <a:cxn ang="0">
                                    <a:pos x="r" y="vc"/>
                                  </a:cxn>
                                  <a:cxn ang="cd4">
                                    <a:pos x="hc" y="b"/>
                                  </a:cxn>
                                  <a:cxn ang="cd2">
                                    <a:pos x="l" y="vc"/>
                                  </a:cxn>
                                  <a:cxn ang="f59">
                                    <a:pos x="f82" y="f81"/>
                                  </a:cxn>
                                  <a:cxn ang="f60">
                                    <a:pos x="f83" y="f84"/>
                                  </a:cxn>
                                  <a:cxn ang="f61">
                                    <a:pos x="f82" y="f85"/>
                                  </a:cxn>
                                  <a:cxn ang="f62">
                                    <a:pos x="f78" y="f84"/>
                                  </a:cxn>
                                  <a:cxn ang="f59">
                                    <a:pos x="f86" y="f81"/>
                                  </a:cxn>
                                  <a:cxn ang="f60">
                                    <a:pos x="f87" y="f88"/>
                                  </a:cxn>
                                  <a:cxn ang="f61">
                                    <a:pos x="f86" y="f89"/>
                                  </a:cxn>
                                  <a:cxn ang="f62">
                                    <a:pos x="f78" y="f88"/>
                                  </a:cxn>
                                  <a:cxn ang="f60">
                                    <a:pos x="f78" y="f81"/>
                                  </a:cxn>
                                  <a:cxn ang="f60">
                                    <a:pos x="f90" y="f89"/>
                                  </a:cxn>
                                  <a:cxn ang="f60">
                                    <a:pos x="f87" y="f91"/>
                                  </a:cxn>
                                  <a:cxn ang="f60">
                                    <a:pos x="f87" y="f92"/>
                                  </a:cxn>
                                  <a:cxn ang="f60">
                                    <a:pos x="f78" y="f81"/>
                                  </a:cxn>
                                </a:cxnLst>
                                <a:rect l="f78" t="f81" r="f79" b="f80"/>
                                <a:pathLst>
                                  <a:path w="7132" h="2863">
                                    <a:moveTo>
                                      <a:pt x="f5" y="f5"/>
                                    </a:moveTo>
                                    <a:lnTo>
                                      <a:pt x="f8" y="f7"/>
                                    </a:lnTo>
                                    <a:lnTo>
                                      <a:pt x="f6" y="f9"/>
                                    </a:lnTo>
                                    <a:lnTo>
                                      <a:pt x="f6" y="f10"/>
                                    </a:lnTo>
                                    <a:lnTo>
                                      <a:pt x="f5" y="f5"/>
                                    </a:lnTo>
                                    <a:close/>
                                  </a:path>
                                </a:pathLst>
                              </a:custGeom>
                              <a:solidFill>
                                <a:srgbClr val="A7BFDE">
                                  <a:alpha val="50195"/>
                                </a:srgbClr>
                              </a:solidFill>
                              <a:ln cap="flat">
                                <a:noFill/>
                                <a:prstDash val="solid"/>
                              </a:ln>
                            </wps:spPr>
                            <wps:bodyPr lIns="0" tIns="0" rIns="0" bIns="0"/>
                          </wps:wsp>
                          <wps:wsp>
                            <wps:cNvPr id="9" name="Freeform 6"/>
                            <wps:cNvSpPr/>
                            <wps:spPr>
                              <a:xfrm>
                                <a:off x="4015670" y="0"/>
                                <a:ext cx="1951494" cy="2968133"/>
                              </a:xfrm>
                              <a:custGeom>
                                <a:avLst/>
                                <a:gdLst>
                                  <a:gd name="f0" fmla="val 10800000"/>
                                  <a:gd name="f1" fmla="val 5400000"/>
                                  <a:gd name="f2" fmla="val 180"/>
                                  <a:gd name="f3" fmla="val w"/>
                                  <a:gd name="f4" fmla="val h"/>
                                  <a:gd name="f5" fmla="val 0"/>
                                  <a:gd name="f6" fmla="val 3466"/>
                                  <a:gd name="f7" fmla="val 3550"/>
                                  <a:gd name="f8" fmla="val 569"/>
                                  <a:gd name="f9" fmla="val 2930"/>
                                  <a:gd name="f10" fmla="+- 0 0 -360"/>
                                  <a:gd name="f11" fmla="+- 0 0 -90"/>
                                  <a:gd name="f12" fmla="+- 0 0 -180"/>
                                  <a:gd name="f13" fmla="+- 0 0 -270"/>
                                  <a:gd name="f14" fmla="*/ f3 1 3466"/>
                                  <a:gd name="f15" fmla="*/ f4 1 3550"/>
                                  <a:gd name="f16" fmla="+- f7 0 f5"/>
                                  <a:gd name="f17" fmla="+- f6 0 f5"/>
                                  <a:gd name="f18" fmla="*/ f10 f0 1"/>
                                  <a:gd name="f19" fmla="*/ f11 f0 1"/>
                                  <a:gd name="f20" fmla="*/ f12 f0 1"/>
                                  <a:gd name="f21" fmla="*/ f13 f0 1"/>
                                  <a:gd name="f22" fmla="*/ f17 1 3466"/>
                                  <a:gd name="f23" fmla="*/ f16 1 3550"/>
                                  <a:gd name="f24" fmla="*/ 1073026 f17 1"/>
                                  <a:gd name="f25" fmla="*/ 0 f16 1"/>
                                  <a:gd name="f26" fmla="*/ 2146051 f17 1"/>
                                  <a:gd name="f27" fmla="*/ 1465925 f16 1"/>
                                  <a:gd name="f28" fmla="*/ 2931849 f16 1"/>
                                  <a:gd name="f29" fmla="*/ 0 f17 1"/>
                                  <a:gd name="f30" fmla="*/ 664387917 f17 1"/>
                                  <a:gd name="f31" fmla="*/ 1328775215 f17 1"/>
                                  <a:gd name="f32" fmla="*/ 1210667816 f16 1"/>
                                  <a:gd name="f33" fmla="*/ 2147483646 f16 1"/>
                                  <a:gd name="f34" fmla="*/ 388095872 f16 1"/>
                                  <a:gd name="f35" fmla="*/ 1998453990 f16 1"/>
                                  <a:gd name="f36" fmla="*/ 3466 f17 1"/>
                                  <a:gd name="f37" fmla="*/ 3550 f16 1"/>
                                  <a:gd name="f38" fmla="*/ f18 1 f2"/>
                                  <a:gd name="f39" fmla="*/ f19 1 f2"/>
                                  <a:gd name="f40" fmla="*/ f20 1 f2"/>
                                  <a:gd name="f41" fmla="*/ f21 1 f2"/>
                                  <a:gd name="f42" fmla="*/ f24 1 3466"/>
                                  <a:gd name="f43" fmla="*/ f25 1 3550"/>
                                  <a:gd name="f44" fmla="*/ f26 1 3466"/>
                                  <a:gd name="f45" fmla="*/ f27 1 3550"/>
                                  <a:gd name="f46" fmla="*/ f28 1 3550"/>
                                  <a:gd name="f47" fmla="*/ f29 1 3466"/>
                                  <a:gd name="f48" fmla="*/ f30 1 3466"/>
                                  <a:gd name="f49" fmla="*/ f31 1 3466"/>
                                  <a:gd name="f50" fmla="*/ f32 1 3550"/>
                                  <a:gd name="f51" fmla="*/ f33 1 3550"/>
                                  <a:gd name="f52" fmla="*/ f34 1 3550"/>
                                  <a:gd name="f53" fmla="*/ f35 1 3550"/>
                                  <a:gd name="f54" fmla="*/ f36 1 3466"/>
                                  <a:gd name="f55" fmla="*/ f37 1 3550"/>
                                  <a:gd name="f56" fmla="+- f38 0 f1"/>
                                  <a:gd name="f57" fmla="+- f39 0 f1"/>
                                  <a:gd name="f58" fmla="+- f40 0 f1"/>
                                  <a:gd name="f59" fmla="+- f41 0 f1"/>
                                  <a:gd name="f60" fmla="*/ f42 1 f22"/>
                                  <a:gd name="f61" fmla="*/ f43 1 f23"/>
                                  <a:gd name="f62" fmla="*/ f44 1 f22"/>
                                  <a:gd name="f63" fmla="*/ f45 1 f23"/>
                                  <a:gd name="f64" fmla="*/ f46 1 f23"/>
                                  <a:gd name="f65" fmla="*/ f47 1 f22"/>
                                  <a:gd name="f66" fmla="*/ f48 1 f22"/>
                                  <a:gd name="f67" fmla="*/ f49 1 f22"/>
                                  <a:gd name="f68" fmla="*/ f50 1 f23"/>
                                  <a:gd name="f69" fmla="*/ f51 1 f23"/>
                                  <a:gd name="f70" fmla="*/ f52 1 f23"/>
                                  <a:gd name="f71" fmla="*/ f53 1 f23"/>
                                  <a:gd name="f72" fmla="*/ f54 1 f22"/>
                                  <a:gd name="f73" fmla="*/ f55 1 f23"/>
                                  <a:gd name="f74" fmla="*/ f65 f14 1"/>
                                  <a:gd name="f75" fmla="*/ f72 f14 1"/>
                                  <a:gd name="f76" fmla="*/ f73 f15 1"/>
                                  <a:gd name="f77" fmla="*/ f61 f15 1"/>
                                  <a:gd name="f78" fmla="*/ f60 f14 1"/>
                                  <a:gd name="f79" fmla="*/ f62 f14 1"/>
                                  <a:gd name="f80" fmla="*/ f63 f15 1"/>
                                  <a:gd name="f81" fmla="*/ f64 f15 1"/>
                                  <a:gd name="f82" fmla="*/ f66 f14 1"/>
                                  <a:gd name="f83" fmla="*/ f67 f14 1"/>
                                  <a:gd name="f84" fmla="*/ f68 f15 1"/>
                                  <a:gd name="f85" fmla="*/ f69 f15 1"/>
                                  <a:gd name="f86" fmla="*/ f70 f15 1"/>
                                  <a:gd name="f87" fmla="*/ f71 f15 1"/>
                                </a:gdLst>
                                <a:ahLst/>
                                <a:cxnLst>
                                  <a:cxn ang="3cd4">
                                    <a:pos x="hc" y="t"/>
                                  </a:cxn>
                                  <a:cxn ang="0">
                                    <a:pos x="r" y="vc"/>
                                  </a:cxn>
                                  <a:cxn ang="cd4">
                                    <a:pos x="hc" y="b"/>
                                  </a:cxn>
                                  <a:cxn ang="cd2">
                                    <a:pos x="l" y="vc"/>
                                  </a:cxn>
                                  <a:cxn ang="f56">
                                    <a:pos x="f78" y="f77"/>
                                  </a:cxn>
                                  <a:cxn ang="f57">
                                    <a:pos x="f79" y="f80"/>
                                  </a:cxn>
                                  <a:cxn ang="f58">
                                    <a:pos x="f78" y="f81"/>
                                  </a:cxn>
                                  <a:cxn ang="f59">
                                    <a:pos x="f74" y="f80"/>
                                  </a:cxn>
                                  <a:cxn ang="f56">
                                    <a:pos x="f82" y="f77"/>
                                  </a:cxn>
                                  <a:cxn ang="f57">
                                    <a:pos x="f83" y="f84"/>
                                  </a:cxn>
                                  <a:cxn ang="f58">
                                    <a:pos x="f82" y="f85"/>
                                  </a:cxn>
                                  <a:cxn ang="f59">
                                    <a:pos x="f74" y="f84"/>
                                  </a:cxn>
                                  <a:cxn ang="f57">
                                    <a:pos x="f74" y="f86"/>
                                  </a:cxn>
                                  <a:cxn ang="f57">
                                    <a:pos x="f74" y="f87"/>
                                  </a:cxn>
                                  <a:cxn ang="f57">
                                    <a:pos x="f83" y="f85"/>
                                  </a:cxn>
                                  <a:cxn ang="f57">
                                    <a:pos x="f83" y="f77"/>
                                  </a:cxn>
                                  <a:cxn ang="f57">
                                    <a:pos x="f74" y="f86"/>
                                  </a:cxn>
                                </a:cxnLst>
                                <a:rect l="f74" t="f77" r="f75" b="f76"/>
                                <a:pathLst>
                                  <a:path w="3466" h="3550">
                                    <a:moveTo>
                                      <a:pt x="f5" y="f8"/>
                                    </a:moveTo>
                                    <a:lnTo>
                                      <a:pt x="f5" y="f9"/>
                                    </a:lnTo>
                                    <a:lnTo>
                                      <a:pt x="f6" y="f7"/>
                                    </a:lnTo>
                                    <a:lnTo>
                                      <a:pt x="f6" y="f5"/>
                                    </a:lnTo>
                                    <a:lnTo>
                                      <a:pt x="f5" y="f8"/>
                                    </a:lnTo>
                                    <a:close/>
                                  </a:path>
                                </a:pathLst>
                              </a:custGeom>
                              <a:solidFill>
                                <a:srgbClr val="D3DFEE">
                                  <a:alpha val="50195"/>
                                </a:srgbClr>
                              </a:solidFill>
                              <a:ln cap="flat">
                                <a:noFill/>
                                <a:prstDash val="solid"/>
                              </a:ln>
                            </wps:spPr>
                            <wps:bodyPr lIns="0" tIns="0" rIns="0" bIns="0"/>
                          </wps:wsp>
                          <wps:wsp>
                            <wps:cNvPr id="10" name="Freeform 7"/>
                            <wps:cNvSpPr/>
                            <wps:spPr>
                              <a:xfrm>
                                <a:off x="5967165" y="0"/>
                                <a:ext cx="895819" cy="2968133"/>
                              </a:xfrm>
                              <a:custGeom>
                                <a:avLst/>
                                <a:gdLst>
                                  <a:gd name="f0" fmla="val 10800000"/>
                                  <a:gd name="f1" fmla="val 5400000"/>
                                  <a:gd name="f2" fmla="val 180"/>
                                  <a:gd name="f3" fmla="val w"/>
                                  <a:gd name="f4" fmla="val h"/>
                                  <a:gd name="f5" fmla="val 0"/>
                                  <a:gd name="f6" fmla="val 1591"/>
                                  <a:gd name="f7" fmla="val 3550"/>
                                  <a:gd name="f8" fmla="val 2746"/>
                                  <a:gd name="f9" fmla="val 737"/>
                                  <a:gd name="f10" fmla="+- 0 0 -360"/>
                                  <a:gd name="f11" fmla="+- 0 0 -90"/>
                                  <a:gd name="f12" fmla="+- 0 0 -180"/>
                                  <a:gd name="f13" fmla="+- 0 0 -270"/>
                                  <a:gd name="f14" fmla="*/ f3 1 1591"/>
                                  <a:gd name="f15" fmla="*/ f4 1 3550"/>
                                  <a:gd name="f16" fmla="+- f7 0 f5"/>
                                  <a:gd name="f17" fmla="+- f6 0 f5"/>
                                  <a:gd name="f18" fmla="*/ f10 f0 1"/>
                                  <a:gd name="f19" fmla="*/ f11 f0 1"/>
                                  <a:gd name="f20" fmla="*/ f12 f0 1"/>
                                  <a:gd name="f21" fmla="*/ f13 f0 1"/>
                                  <a:gd name="f22" fmla="*/ f17 1 1591"/>
                                  <a:gd name="f23" fmla="*/ f16 1 3550"/>
                                  <a:gd name="f24" fmla="*/ 492551 f17 1"/>
                                  <a:gd name="f25" fmla="*/ 0 f16 1"/>
                                  <a:gd name="f26" fmla="*/ 985101 f17 1"/>
                                  <a:gd name="f27" fmla="*/ 1465925 f16 1"/>
                                  <a:gd name="f28" fmla="*/ 2931849 f16 1"/>
                                  <a:gd name="f29" fmla="*/ 0 f17 1"/>
                                  <a:gd name="f30" fmla="*/ 304973276 f17 1"/>
                                  <a:gd name="f31" fmla="*/ 609945934 f17 1"/>
                                  <a:gd name="f32" fmla="*/ 1210667816 f16 1"/>
                                  <a:gd name="f33" fmla="*/ 2147483646 f16 1"/>
                                  <a:gd name="f34" fmla="*/ 1872953510 f16 1"/>
                                  <a:gd name="f35" fmla="*/ 502682441 f16 1"/>
                                  <a:gd name="f36" fmla="*/ 1591 f17 1"/>
                                  <a:gd name="f37" fmla="*/ 3550 f16 1"/>
                                  <a:gd name="f38" fmla="*/ f18 1 f2"/>
                                  <a:gd name="f39" fmla="*/ f19 1 f2"/>
                                  <a:gd name="f40" fmla="*/ f20 1 f2"/>
                                  <a:gd name="f41" fmla="*/ f21 1 f2"/>
                                  <a:gd name="f42" fmla="*/ f24 1 1591"/>
                                  <a:gd name="f43" fmla="*/ f25 1 3550"/>
                                  <a:gd name="f44" fmla="*/ f26 1 1591"/>
                                  <a:gd name="f45" fmla="*/ f27 1 3550"/>
                                  <a:gd name="f46" fmla="*/ f28 1 3550"/>
                                  <a:gd name="f47" fmla="*/ f29 1 1591"/>
                                  <a:gd name="f48" fmla="*/ f30 1 1591"/>
                                  <a:gd name="f49" fmla="*/ f31 1 1591"/>
                                  <a:gd name="f50" fmla="*/ f32 1 3550"/>
                                  <a:gd name="f51" fmla="*/ f33 1 3550"/>
                                  <a:gd name="f52" fmla="*/ f34 1 3550"/>
                                  <a:gd name="f53" fmla="*/ f35 1 3550"/>
                                  <a:gd name="f54" fmla="*/ f36 1 1591"/>
                                  <a:gd name="f55" fmla="*/ f37 1 3550"/>
                                  <a:gd name="f56" fmla="+- f38 0 f1"/>
                                  <a:gd name="f57" fmla="+- f39 0 f1"/>
                                  <a:gd name="f58" fmla="+- f40 0 f1"/>
                                  <a:gd name="f59" fmla="+- f41 0 f1"/>
                                  <a:gd name="f60" fmla="*/ f42 1 f22"/>
                                  <a:gd name="f61" fmla="*/ f43 1 f23"/>
                                  <a:gd name="f62" fmla="*/ f44 1 f22"/>
                                  <a:gd name="f63" fmla="*/ f45 1 f23"/>
                                  <a:gd name="f64" fmla="*/ f46 1 f23"/>
                                  <a:gd name="f65" fmla="*/ f47 1 f22"/>
                                  <a:gd name="f66" fmla="*/ f48 1 f22"/>
                                  <a:gd name="f67" fmla="*/ f49 1 f22"/>
                                  <a:gd name="f68" fmla="*/ f50 1 f23"/>
                                  <a:gd name="f69" fmla="*/ f51 1 f23"/>
                                  <a:gd name="f70" fmla="*/ f52 1 f23"/>
                                  <a:gd name="f71" fmla="*/ f53 1 f23"/>
                                  <a:gd name="f72" fmla="*/ f54 1 f22"/>
                                  <a:gd name="f73" fmla="*/ f55 1 f23"/>
                                  <a:gd name="f74" fmla="*/ f65 f14 1"/>
                                  <a:gd name="f75" fmla="*/ f72 f14 1"/>
                                  <a:gd name="f76" fmla="*/ f73 f15 1"/>
                                  <a:gd name="f77" fmla="*/ f61 f15 1"/>
                                  <a:gd name="f78" fmla="*/ f60 f14 1"/>
                                  <a:gd name="f79" fmla="*/ f62 f14 1"/>
                                  <a:gd name="f80" fmla="*/ f63 f15 1"/>
                                  <a:gd name="f81" fmla="*/ f64 f15 1"/>
                                  <a:gd name="f82" fmla="*/ f66 f14 1"/>
                                  <a:gd name="f83" fmla="*/ f67 f14 1"/>
                                  <a:gd name="f84" fmla="*/ f68 f15 1"/>
                                  <a:gd name="f85" fmla="*/ f69 f15 1"/>
                                  <a:gd name="f86" fmla="*/ f70 f15 1"/>
                                  <a:gd name="f87" fmla="*/ f71 f15 1"/>
                                </a:gdLst>
                                <a:ahLst/>
                                <a:cxnLst>
                                  <a:cxn ang="3cd4">
                                    <a:pos x="hc" y="t"/>
                                  </a:cxn>
                                  <a:cxn ang="0">
                                    <a:pos x="r" y="vc"/>
                                  </a:cxn>
                                  <a:cxn ang="cd4">
                                    <a:pos x="hc" y="b"/>
                                  </a:cxn>
                                  <a:cxn ang="cd2">
                                    <a:pos x="l" y="vc"/>
                                  </a:cxn>
                                  <a:cxn ang="f56">
                                    <a:pos x="f78" y="f77"/>
                                  </a:cxn>
                                  <a:cxn ang="f57">
                                    <a:pos x="f79" y="f80"/>
                                  </a:cxn>
                                  <a:cxn ang="f58">
                                    <a:pos x="f78" y="f81"/>
                                  </a:cxn>
                                  <a:cxn ang="f59">
                                    <a:pos x="f74" y="f80"/>
                                  </a:cxn>
                                  <a:cxn ang="f56">
                                    <a:pos x="f82" y="f77"/>
                                  </a:cxn>
                                  <a:cxn ang="f57">
                                    <a:pos x="f83" y="f84"/>
                                  </a:cxn>
                                  <a:cxn ang="f58">
                                    <a:pos x="f82" y="f85"/>
                                  </a:cxn>
                                  <a:cxn ang="f59">
                                    <a:pos x="f74" y="f84"/>
                                  </a:cxn>
                                  <a:cxn ang="f57">
                                    <a:pos x="f74" y="f77"/>
                                  </a:cxn>
                                  <a:cxn ang="f57">
                                    <a:pos x="f74" y="f85"/>
                                  </a:cxn>
                                  <a:cxn ang="f57">
                                    <a:pos x="f83" y="f86"/>
                                  </a:cxn>
                                  <a:cxn ang="f57">
                                    <a:pos x="f83" y="f87"/>
                                  </a:cxn>
                                  <a:cxn ang="f57">
                                    <a:pos x="f74" y="f77"/>
                                  </a:cxn>
                                </a:cxnLst>
                                <a:rect l="f74" t="f77" r="f75" b="f76"/>
                                <a:pathLst>
                                  <a:path w="1591" h="3550">
                                    <a:moveTo>
                                      <a:pt x="f5" y="f5"/>
                                    </a:moveTo>
                                    <a:lnTo>
                                      <a:pt x="f5" y="f7"/>
                                    </a:lnTo>
                                    <a:lnTo>
                                      <a:pt x="f6" y="f8"/>
                                    </a:lnTo>
                                    <a:lnTo>
                                      <a:pt x="f6" y="f9"/>
                                    </a:lnTo>
                                    <a:lnTo>
                                      <a:pt x="f5" y="f5"/>
                                    </a:lnTo>
                                    <a:close/>
                                  </a:path>
                                </a:pathLst>
                              </a:custGeom>
                              <a:solidFill>
                                <a:srgbClr val="A7BFDE">
                                  <a:alpha val="50195"/>
                                </a:srgbClr>
                              </a:solidFill>
                              <a:ln cap="flat">
                                <a:noFill/>
                                <a:prstDash val="solid"/>
                              </a:ln>
                            </wps:spPr>
                            <wps:bodyPr lIns="0" tIns="0" rIns="0" bIns="0"/>
                          </wps:wsp>
                        </wpg:grpSp>
                        <wps:wsp>
                          <wps:cNvPr id="11" name="Freeform 8"/>
                          <wps:cNvSpPr/>
                          <wps:spPr>
                            <a:xfrm>
                              <a:off x="4547741" y="560152"/>
                              <a:ext cx="2319787" cy="2435614"/>
                            </a:xfrm>
                            <a:custGeom>
                              <a:avLst/>
                              <a:gdLst>
                                <a:gd name="f0" fmla="val 10800000"/>
                                <a:gd name="f1" fmla="val 5400000"/>
                                <a:gd name="f2" fmla="val 180"/>
                                <a:gd name="f3" fmla="val w"/>
                                <a:gd name="f4" fmla="val h"/>
                                <a:gd name="f5" fmla="val 0"/>
                                <a:gd name="f6" fmla="val 4120"/>
                                <a:gd name="f7" fmla="val 2913"/>
                                <a:gd name="f8" fmla="val 1"/>
                                <a:gd name="f9" fmla="val 251"/>
                                <a:gd name="f10" fmla="val 2662"/>
                                <a:gd name="f11" fmla="+- 0 0 -360"/>
                                <a:gd name="f12" fmla="+- 0 0 -90"/>
                                <a:gd name="f13" fmla="+- 0 0 -180"/>
                                <a:gd name="f14" fmla="+- 0 0 -270"/>
                                <a:gd name="f15" fmla="*/ f3 1 4120"/>
                                <a:gd name="f16" fmla="*/ f4 1 2913"/>
                                <a:gd name="f17" fmla="+- f7 0 f5"/>
                                <a:gd name="f18" fmla="+- f6 0 f5"/>
                                <a:gd name="f19" fmla="*/ f11 f0 1"/>
                                <a:gd name="f20" fmla="*/ f12 f0 1"/>
                                <a:gd name="f21" fmla="*/ f13 f0 1"/>
                                <a:gd name="f22" fmla="*/ f14 f0 1"/>
                                <a:gd name="f23" fmla="*/ f18 1 4120"/>
                                <a:gd name="f24" fmla="*/ f17 1 2913"/>
                                <a:gd name="f25" fmla="*/ 1275497 f18 1"/>
                                <a:gd name="f26" fmla="*/ 0 f17 1"/>
                                <a:gd name="f27" fmla="*/ 2550993 f18 1"/>
                                <a:gd name="f28" fmla="*/ 1202884 f17 1"/>
                                <a:gd name="f29" fmla="*/ 2405768 f17 1"/>
                                <a:gd name="f30" fmla="*/ 0 f18 1"/>
                                <a:gd name="f31" fmla="*/ 789753378 f18 1"/>
                                <a:gd name="f32" fmla="*/ 1579506137 f18 1"/>
                                <a:gd name="f33" fmla="*/ 993429397 f17 1"/>
                                <a:gd name="f34" fmla="*/ 1986858795 f17 1"/>
                                <a:gd name="f35" fmla="*/ 383268 f18 1"/>
                                <a:gd name="f36" fmla="*/ 171198514 f17 1"/>
                                <a:gd name="f37" fmla="*/ 1815660281 f17 1"/>
                                <a:gd name="f38" fmla="*/ 4120 f18 1"/>
                                <a:gd name="f39" fmla="*/ 2913 f17 1"/>
                                <a:gd name="f40" fmla="*/ f19 1 f2"/>
                                <a:gd name="f41" fmla="*/ f20 1 f2"/>
                                <a:gd name="f42" fmla="*/ f21 1 f2"/>
                                <a:gd name="f43" fmla="*/ f22 1 f2"/>
                                <a:gd name="f44" fmla="*/ f25 1 4120"/>
                                <a:gd name="f45" fmla="*/ f26 1 2913"/>
                                <a:gd name="f46" fmla="*/ f27 1 4120"/>
                                <a:gd name="f47" fmla="*/ f28 1 2913"/>
                                <a:gd name="f48" fmla="*/ f29 1 2913"/>
                                <a:gd name="f49" fmla="*/ f30 1 4120"/>
                                <a:gd name="f50" fmla="*/ f31 1 4120"/>
                                <a:gd name="f51" fmla="*/ f32 1 4120"/>
                                <a:gd name="f52" fmla="*/ f33 1 2913"/>
                                <a:gd name="f53" fmla="*/ f34 1 2913"/>
                                <a:gd name="f54" fmla="*/ f35 1 4120"/>
                                <a:gd name="f55" fmla="*/ f36 1 2913"/>
                                <a:gd name="f56" fmla="*/ f37 1 2913"/>
                                <a:gd name="f57" fmla="*/ f38 1 4120"/>
                                <a:gd name="f58" fmla="*/ f39 1 2913"/>
                                <a:gd name="f59" fmla="+- f40 0 f1"/>
                                <a:gd name="f60" fmla="+- f41 0 f1"/>
                                <a:gd name="f61" fmla="+- f42 0 f1"/>
                                <a:gd name="f62" fmla="+- f43 0 f1"/>
                                <a:gd name="f63" fmla="*/ f44 1 f23"/>
                                <a:gd name="f64" fmla="*/ f45 1 f24"/>
                                <a:gd name="f65" fmla="*/ f46 1 f23"/>
                                <a:gd name="f66" fmla="*/ f47 1 f24"/>
                                <a:gd name="f67" fmla="*/ f48 1 f24"/>
                                <a:gd name="f68" fmla="*/ f49 1 f23"/>
                                <a:gd name="f69" fmla="*/ f50 1 f23"/>
                                <a:gd name="f70" fmla="*/ f51 1 f23"/>
                                <a:gd name="f71" fmla="*/ f52 1 f24"/>
                                <a:gd name="f72" fmla="*/ f53 1 f24"/>
                                <a:gd name="f73" fmla="*/ f54 1 f23"/>
                                <a:gd name="f74" fmla="*/ f55 1 f24"/>
                                <a:gd name="f75" fmla="*/ f56 1 f24"/>
                                <a:gd name="f76" fmla="*/ f57 1 f23"/>
                                <a:gd name="f77" fmla="*/ f58 1 f24"/>
                                <a:gd name="f78" fmla="*/ f68 f15 1"/>
                                <a:gd name="f79" fmla="*/ f76 f15 1"/>
                                <a:gd name="f80" fmla="*/ f77 f16 1"/>
                                <a:gd name="f81" fmla="*/ f64 f16 1"/>
                                <a:gd name="f82" fmla="*/ f63 f15 1"/>
                                <a:gd name="f83" fmla="*/ f65 f15 1"/>
                                <a:gd name="f84" fmla="*/ f66 f16 1"/>
                                <a:gd name="f85" fmla="*/ f67 f16 1"/>
                                <a:gd name="f86" fmla="*/ f69 f15 1"/>
                                <a:gd name="f87" fmla="*/ f70 f15 1"/>
                                <a:gd name="f88" fmla="*/ f71 f16 1"/>
                                <a:gd name="f89" fmla="*/ f72 f16 1"/>
                                <a:gd name="f90" fmla="*/ f73 f15 1"/>
                                <a:gd name="f91" fmla="*/ f74 f16 1"/>
                                <a:gd name="f92" fmla="*/ f75 f16 1"/>
                              </a:gdLst>
                              <a:ahLst/>
                              <a:cxnLst>
                                <a:cxn ang="3cd4">
                                  <a:pos x="hc" y="t"/>
                                </a:cxn>
                                <a:cxn ang="0">
                                  <a:pos x="r" y="vc"/>
                                </a:cxn>
                                <a:cxn ang="cd4">
                                  <a:pos x="hc" y="b"/>
                                </a:cxn>
                                <a:cxn ang="cd2">
                                  <a:pos x="l" y="vc"/>
                                </a:cxn>
                                <a:cxn ang="f59">
                                  <a:pos x="f82" y="f81"/>
                                </a:cxn>
                                <a:cxn ang="f60">
                                  <a:pos x="f83" y="f84"/>
                                </a:cxn>
                                <a:cxn ang="f61">
                                  <a:pos x="f82" y="f85"/>
                                </a:cxn>
                                <a:cxn ang="f62">
                                  <a:pos x="f78" y="f84"/>
                                </a:cxn>
                                <a:cxn ang="f59">
                                  <a:pos x="f86" y="f81"/>
                                </a:cxn>
                                <a:cxn ang="f60">
                                  <a:pos x="f87" y="f88"/>
                                </a:cxn>
                                <a:cxn ang="f61">
                                  <a:pos x="f86" y="f89"/>
                                </a:cxn>
                                <a:cxn ang="f62">
                                  <a:pos x="f78" y="f88"/>
                                </a:cxn>
                                <a:cxn ang="f60">
                                  <a:pos x="f90" y="f91"/>
                                </a:cxn>
                                <a:cxn ang="f60">
                                  <a:pos x="f78" y="f92"/>
                                </a:cxn>
                                <a:cxn ang="f60">
                                  <a:pos x="f87" y="f89"/>
                                </a:cxn>
                                <a:cxn ang="f60">
                                  <a:pos x="f87" y="f81"/>
                                </a:cxn>
                                <a:cxn ang="f60">
                                  <a:pos x="f90" y="f91"/>
                                </a:cxn>
                              </a:cxnLst>
                              <a:rect l="f78" t="f81" r="f79" b="f80"/>
                              <a:pathLst>
                                <a:path w="4120" h="2913">
                                  <a:moveTo>
                                    <a:pt x="f8" y="f9"/>
                                  </a:moveTo>
                                  <a:lnTo>
                                    <a:pt x="f5" y="f10"/>
                                  </a:lnTo>
                                  <a:lnTo>
                                    <a:pt x="f6" y="f7"/>
                                  </a:lnTo>
                                  <a:lnTo>
                                    <a:pt x="f6" y="f5"/>
                                  </a:lnTo>
                                  <a:lnTo>
                                    <a:pt x="f8" y="f9"/>
                                  </a:lnTo>
                                  <a:close/>
                                </a:path>
                              </a:pathLst>
                            </a:custGeom>
                            <a:solidFill>
                              <a:srgbClr val="D8D8D8"/>
                            </a:solidFill>
                            <a:ln cap="flat">
                              <a:noFill/>
                              <a:prstDash val="solid"/>
                            </a:ln>
                          </wps:spPr>
                          <wps:bodyPr lIns="0" tIns="0" rIns="0" bIns="0"/>
                        </wps:wsp>
                        <wps:wsp>
                          <wps:cNvPr id="12" name="Freeform 10"/>
                          <wps:cNvSpPr/>
                          <wps:spPr>
                            <a:xfrm>
                              <a:off x="13460" y="0"/>
                              <a:ext cx="2300694" cy="3555927"/>
                            </a:xfrm>
                            <a:custGeom>
                              <a:avLst/>
                              <a:gdLst>
                                <a:gd name="f0" fmla="val 10800000"/>
                                <a:gd name="f1" fmla="val 5400000"/>
                                <a:gd name="f2" fmla="val 180"/>
                                <a:gd name="f3" fmla="val w"/>
                                <a:gd name="f4" fmla="val h"/>
                                <a:gd name="f5" fmla="val 0"/>
                                <a:gd name="f6" fmla="val 4086"/>
                                <a:gd name="f7" fmla="val 4253"/>
                                <a:gd name="f8" fmla="val 4084"/>
                                <a:gd name="f9" fmla="val 3198"/>
                                <a:gd name="f10" fmla="val 1072"/>
                                <a:gd name="f11" fmla="+- 0 0 -360"/>
                                <a:gd name="f12" fmla="+- 0 0 -90"/>
                                <a:gd name="f13" fmla="+- 0 0 -180"/>
                                <a:gd name="f14" fmla="+- 0 0 -270"/>
                                <a:gd name="f15" fmla="*/ f3 1 4086"/>
                                <a:gd name="f16" fmla="*/ f4 1 4253"/>
                                <a:gd name="f17" fmla="+- f7 0 f5"/>
                                <a:gd name="f18" fmla="+- f6 0 f5"/>
                                <a:gd name="f19" fmla="*/ f11 f0 1"/>
                                <a:gd name="f20" fmla="*/ f12 f0 1"/>
                                <a:gd name="f21" fmla="*/ f13 f0 1"/>
                                <a:gd name="f22" fmla="*/ f14 f0 1"/>
                                <a:gd name="f23" fmla="*/ f18 1 4086"/>
                                <a:gd name="f24" fmla="*/ f17 1 4253"/>
                                <a:gd name="f25" fmla="*/ 1264972 f18 1"/>
                                <a:gd name="f26" fmla="*/ 0 f17 1"/>
                                <a:gd name="f27" fmla="*/ 2529943 f18 1"/>
                                <a:gd name="f28" fmla="*/ 1756219 f17 1"/>
                                <a:gd name="f29" fmla="*/ 3512438 f17 1"/>
                                <a:gd name="f30" fmla="*/ 0 f18 1"/>
                                <a:gd name="f31" fmla="*/ 783237165 f18 1"/>
                                <a:gd name="f32" fmla="*/ 1566473711 f18 1"/>
                                <a:gd name="f33" fmla="*/ 1450413908 f17 1"/>
                                <a:gd name="f34" fmla="*/ 2147483646 f17 1"/>
                                <a:gd name="f35" fmla="*/ 1565707174 f18 1"/>
                                <a:gd name="f36" fmla="*/ 731175126 f17 1"/>
                                <a:gd name="f37" fmla="*/ 4086 f18 1"/>
                                <a:gd name="f38" fmla="*/ 4253 f17 1"/>
                                <a:gd name="f39" fmla="*/ f19 1 f2"/>
                                <a:gd name="f40" fmla="*/ f20 1 f2"/>
                                <a:gd name="f41" fmla="*/ f21 1 f2"/>
                                <a:gd name="f42" fmla="*/ f22 1 f2"/>
                                <a:gd name="f43" fmla="*/ f25 1 4086"/>
                                <a:gd name="f44" fmla="*/ f26 1 4253"/>
                                <a:gd name="f45" fmla="*/ f27 1 4086"/>
                                <a:gd name="f46" fmla="*/ f28 1 4253"/>
                                <a:gd name="f47" fmla="*/ f29 1 4253"/>
                                <a:gd name="f48" fmla="*/ f30 1 4086"/>
                                <a:gd name="f49" fmla="*/ f31 1 4086"/>
                                <a:gd name="f50" fmla="*/ f32 1 4086"/>
                                <a:gd name="f51" fmla="*/ f33 1 4253"/>
                                <a:gd name="f52" fmla="*/ f34 1 4253"/>
                                <a:gd name="f53" fmla="*/ f35 1 4086"/>
                                <a:gd name="f54" fmla="*/ f36 1 4253"/>
                                <a:gd name="f55" fmla="*/ f37 1 4086"/>
                                <a:gd name="f56" fmla="*/ f38 1 4253"/>
                                <a:gd name="f57" fmla="+- f39 0 f1"/>
                                <a:gd name="f58" fmla="+- f40 0 f1"/>
                                <a:gd name="f59" fmla="+- f41 0 f1"/>
                                <a:gd name="f60" fmla="+- f42 0 f1"/>
                                <a:gd name="f61" fmla="*/ f43 1 f23"/>
                                <a:gd name="f62" fmla="*/ f44 1 f24"/>
                                <a:gd name="f63" fmla="*/ f45 1 f23"/>
                                <a:gd name="f64" fmla="*/ f46 1 f24"/>
                                <a:gd name="f65" fmla="*/ f47 1 f24"/>
                                <a:gd name="f66" fmla="*/ f48 1 f23"/>
                                <a:gd name="f67" fmla="*/ f49 1 f23"/>
                                <a:gd name="f68" fmla="*/ f50 1 f23"/>
                                <a:gd name="f69" fmla="*/ f51 1 f24"/>
                                <a:gd name="f70" fmla="*/ f52 1 f24"/>
                                <a:gd name="f71" fmla="*/ f53 1 f23"/>
                                <a:gd name="f72" fmla="*/ f54 1 f24"/>
                                <a:gd name="f73" fmla="*/ f55 1 f23"/>
                                <a:gd name="f74" fmla="*/ f56 1 f24"/>
                                <a:gd name="f75" fmla="*/ f66 f15 1"/>
                                <a:gd name="f76" fmla="*/ f73 f15 1"/>
                                <a:gd name="f77" fmla="*/ f74 f16 1"/>
                                <a:gd name="f78" fmla="*/ f62 f16 1"/>
                                <a:gd name="f79" fmla="*/ f61 f15 1"/>
                                <a:gd name="f80" fmla="*/ f63 f15 1"/>
                                <a:gd name="f81" fmla="*/ f64 f16 1"/>
                                <a:gd name="f82" fmla="*/ f65 f16 1"/>
                                <a:gd name="f83" fmla="*/ f67 f15 1"/>
                                <a:gd name="f84" fmla="*/ f68 f15 1"/>
                                <a:gd name="f85" fmla="*/ f69 f16 1"/>
                                <a:gd name="f86" fmla="*/ f70 f16 1"/>
                                <a:gd name="f87" fmla="*/ f71 f15 1"/>
                                <a:gd name="f88" fmla="*/ f72 f16 1"/>
                              </a:gdLst>
                              <a:ahLst/>
                              <a:cxnLst>
                                <a:cxn ang="3cd4">
                                  <a:pos x="hc" y="t"/>
                                </a:cxn>
                                <a:cxn ang="0">
                                  <a:pos x="r" y="vc"/>
                                </a:cxn>
                                <a:cxn ang="cd4">
                                  <a:pos x="hc" y="b"/>
                                </a:cxn>
                                <a:cxn ang="cd2">
                                  <a:pos x="l" y="vc"/>
                                </a:cxn>
                                <a:cxn ang="f57">
                                  <a:pos x="f79" y="f78"/>
                                </a:cxn>
                                <a:cxn ang="f58">
                                  <a:pos x="f80" y="f81"/>
                                </a:cxn>
                                <a:cxn ang="f59">
                                  <a:pos x="f79" y="f82"/>
                                </a:cxn>
                                <a:cxn ang="f60">
                                  <a:pos x="f75" y="f81"/>
                                </a:cxn>
                                <a:cxn ang="f57">
                                  <a:pos x="f83" y="f78"/>
                                </a:cxn>
                                <a:cxn ang="f58">
                                  <a:pos x="f84" y="f85"/>
                                </a:cxn>
                                <a:cxn ang="f59">
                                  <a:pos x="f83" y="f86"/>
                                </a:cxn>
                                <a:cxn ang="f60">
                                  <a:pos x="f75" y="f85"/>
                                </a:cxn>
                                <a:cxn ang="f58">
                                  <a:pos x="f84" y="f78"/>
                                </a:cxn>
                                <a:cxn ang="f58">
                                  <a:pos x="f87" y="f86"/>
                                </a:cxn>
                                <a:cxn ang="f58">
                                  <a:pos x="f75" y="f86"/>
                                </a:cxn>
                                <a:cxn ang="f58">
                                  <a:pos x="f75" y="f88"/>
                                </a:cxn>
                                <a:cxn ang="f58">
                                  <a:pos x="f84" y="f78"/>
                                </a:cxn>
                              </a:cxnLst>
                              <a:rect l="f75" t="f78" r="f76" b="f77"/>
                              <a:pathLst>
                                <a:path w="4086" h="4253">
                                  <a:moveTo>
                                    <a:pt x="f6" y="f5"/>
                                  </a:moveTo>
                                  <a:lnTo>
                                    <a:pt x="f8" y="f7"/>
                                  </a:lnTo>
                                  <a:lnTo>
                                    <a:pt x="f5" y="f9"/>
                                  </a:lnTo>
                                  <a:lnTo>
                                    <a:pt x="f5" y="f10"/>
                                  </a:lnTo>
                                  <a:lnTo>
                                    <a:pt x="f6" y="f5"/>
                                  </a:lnTo>
                                  <a:close/>
                                </a:path>
                              </a:pathLst>
                            </a:custGeom>
                            <a:solidFill>
                              <a:srgbClr val="D8D8D8"/>
                            </a:solidFill>
                            <a:ln cap="flat">
                              <a:noFill/>
                              <a:prstDash val="solid"/>
                            </a:ln>
                          </wps:spPr>
                          <wps:bodyPr lIns="0" tIns="0" rIns="0" bIns="0"/>
                        </wps:wsp>
                        <wps:wsp>
                          <wps:cNvPr id="13" name="Freeform 13"/>
                          <wps:cNvSpPr/>
                          <wps:spPr>
                            <a:xfrm>
                              <a:off x="4557288" y="364461"/>
                              <a:ext cx="2309692" cy="2869524"/>
                            </a:xfrm>
                            <a:custGeom>
                              <a:avLst/>
                              <a:gdLst>
                                <a:gd name="f0" fmla="val 10800000"/>
                                <a:gd name="f1" fmla="val 5400000"/>
                                <a:gd name="f2" fmla="val 180"/>
                                <a:gd name="f3" fmla="val w"/>
                                <a:gd name="f4" fmla="val h"/>
                                <a:gd name="f5" fmla="val 0"/>
                                <a:gd name="f6" fmla="val 4102"/>
                                <a:gd name="f7" fmla="val 3432"/>
                                <a:gd name="f8" fmla="val 1038"/>
                                <a:gd name="f9" fmla="val 2411"/>
                                <a:gd name="f10" fmla="+- 0 0 -360"/>
                                <a:gd name="f11" fmla="+- 0 0 -90"/>
                                <a:gd name="f12" fmla="+- 0 0 -180"/>
                                <a:gd name="f13" fmla="+- 0 0 -270"/>
                                <a:gd name="f14" fmla="*/ f3 1 4102"/>
                                <a:gd name="f15" fmla="*/ f4 1 3432"/>
                                <a:gd name="f16" fmla="+- f7 0 f5"/>
                                <a:gd name="f17" fmla="+- f6 0 f5"/>
                                <a:gd name="f18" fmla="*/ f10 f0 1"/>
                                <a:gd name="f19" fmla="*/ f11 f0 1"/>
                                <a:gd name="f20" fmla="*/ f12 f0 1"/>
                                <a:gd name="f21" fmla="*/ f13 f0 1"/>
                                <a:gd name="f22" fmla="*/ f17 1 4102"/>
                                <a:gd name="f23" fmla="*/ f16 1 3432"/>
                                <a:gd name="f24" fmla="*/ 1269923 f17 1"/>
                                <a:gd name="f25" fmla="*/ 0 f16 1"/>
                                <a:gd name="f26" fmla="*/ 2539846 f17 1"/>
                                <a:gd name="f27" fmla="*/ 1417197 f16 1"/>
                                <a:gd name="f28" fmla="*/ 2834393 f16 1"/>
                                <a:gd name="f29" fmla="*/ 0 f17 1"/>
                                <a:gd name="f30" fmla="*/ 786301524 f17 1"/>
                                <a:gd name="f31" fmla="*/ 1572603048 f17 1"/>
                                <a:gd name="f32" fmla="*/ 1170423443 f16 1"/>
                                <a:gd name="f33" fmla="*/ 2147483646 f16 1"/>
                                <a:gd name="f34" fmla="*/ 707982975 f16 1"/>
                                <a:gd name="f35" fmla="*/ 1644458329 f16 1"/>
                                <a:gd name="f36" fmla="*/ 4102 f17 1"/>
                                <a:gd name="f37" fmla="*/ 3432 f16 1"/>
                                <a:gd name="f38" fmla="*/ f18 1 f2"/>
                                <a:gd name="f39" fmla="*/ f19 1 f2"/>
                                <a:gd name="f40" fmla="*/ f20 1 f2"/>
                                <a:gd name="f41" fmla="*/ f21 1 f2"/>
                                <a:gd name="f42" fmla="*/ f24 1 4102"/>
                                <a:gd name="f43" fmla="*/ f25 1 3432"/>
                                <a:gd name="f44" fmla="*/ f26 1 4102"/>
                                <a:gd name="f45" fmla="*/ f27 1 3432"/>
                                <a:gd name="f46" fmla="*/ f28 1 3432"/>
                                <a:gd name="f47" fmla="*/ f29 1 4102"/>
                                <a:gd name="f48" fmla="*/ f30 1 4102"/>
                                <a:gd name="f49" fmla="*/ f31 1 4102"/>
                                <a:gd name="f50" fmla="*/ f32 1 3432"/>
                                <a:gd name="f51" fmla="*/ f33 1 3432"/>
                                <a:gd name="f52" fmla="*/ f34 1 3432"/>
                                <a:gd name="f53" fmla="*/ f35 1 3432"/>
                                <a:gd name="f54" fmla="*/ f36 1 4102"/>
                                <a:gd name="f55" fmla="*/ f37 1 3432"/>
                                <a:gd name="f56" fmla="+- f38 0 f1"/>
                                <a:gd name="f57" fmla="+- f39 0 f1"/>
                                <a:gd name="f58" fmla="+- f40 0 f1"/>
                                <a:gd name="f59" fmla="+- f41 0 f1"/>
                                <a:gd name="f60" fmla="*/ f42 1 f22"/>
                                <a:gd name="f61" fmla="*/ f43 1 f23"/>
                                <a:gd name="f62" fmla="*/ f44 1 f22"/>
                                <a:gd name="f63" fmla="*/ f45 1 f23"/>
                                <a:gd name="f64" fmla="*/ f46 1 f23"/>
                                <a:gd name="f65" fmla="*/ f47 1 f22"/>
                                <a:gd name="f66" fmla="*/ f48 1 f22"/>
                                <a:gd name="f67" fmla="*/ f49 1 f22"/>
                                <a:gd name="f68" fmla="*/ f50 1 f23"/>
                                <a:gd name="f69" fmla="*/ f51 1 f23"/>
                                <a:gd name="f70" fmla="*/ f52 1 f23"/>
                                <a:gd name="f71" fmla="*/ f53 1 f23"/>
                                <a:gd name="f72" fmla="*/ f54 1 f22"/>
                                <a:gd name="f73" fmla="*/ f55 1 f23"/>
                                <a:gd name="f74" fmla="*/ f65 f14 1"/>
                                <a:gd name="f75" fmla="*/ f72 f14 1"/>
                                <a:gd name="f76" fmla="*/ f73 f15 1"/>
                                <a:gd name="f77" fmla="*/ f61 f15 1"/>
                                <a:gd name="f78" fmla="*/ f60 f14 1"/>
                                <a:gd name="f79" fmla="*/ f62 f14 1"/>
                                <a:gd name="f80" fmla="*/ f63 f15 1"/>
                                <a:gd name="f81" fmla="*/ f64 f15 1"/>
                                <a:gd name="f82" fmla="*/ f66 f14 1"/>
                                <a:gd name="f83" fmla="*/ f67 f14 1"/>
                                <a:gd name="f84" fmla="*/ f68 f15 1"/>
                                <a:gd name="f85" fmla="*/ f69 f15 1"/>
                                <a:gd name="f86" fmla="*/ f70 f15 1"/>
                                <a:gd name="f87" fmla="*/ f71 f15 1"/>
                              </a:gdLst>
                              <a:ahLst/>
                              <a:cxnLst>
                                <a:cxn ang="3cd4">
                                  <a:pos x="hc" y="t"/>
                                </a:cxn>
                                <a:cxn ang="0">
                                  <a:pos x="r" y="vc"/>
                                </a:cxn>
                                <a:cxn ang="cd4">
                                  <a:pos x="hc" y="b"/>
                                </a:cxn>
                                <a:cxn ang="cd2">
                                  <a:pos x="l" y="vc"/>
                                </a:cxn>
                                <a:cxn ang="f56">
                                  <a:pos x="f78" y="f77"/>
                                </a:cxn>
                                <a:cxn ang="f57">
                                  <a:pos x="f79" y="f80"/>
                                </a:cxn>
                                <a:cxn ang="f58">
                                  <a:pos x="f78" y="f81"/>
                                </a:cxn>
                                <a:cxn ang="f59">
                                  <a:pos x="f74" y="f80"/>
                                </a:cxn>
                                <a:cxn ang="f56">
                                  <a:pos x="f82" y="f77"/>
                                </a:cxn>
                                <a:cxn ang="f57">
                                  <a:pos x="f83" y="f84"/>
                                </a:cxn>
                                <a:cxn ang="f58">
                                  <a:pos x="f82" y="f85"/>
                                </a:cxn>
                                <a:cxn ang="f59">
                                  <a:pos x="f74" y="f84"/>
                                </a:cxn>
                                <a:cxn ang="f57">
                                  <a:pos x="f74" y="f86"/>
                                </a:cxn>
                                <a:cxn ang="f57">
                                  <a:pos x="f74" y="f87"/>
                                </a:cxn>
                                <a:cxn ang="f57">
                                  <a:pos x="f83" y="f85"/>
                                </a:cxn>
                                <a:cxn ang="f57">
                                  <a:pos x="f83" y="f77"/>
                                </a:cxn>
                                <a:cxn ang="f57">
                                  <a:pos x="f74" y="f86"/>
                                </a:cxn>
                              </a:cxnLst>
                              <a:rect l="f74" t="f77" r="f75" b="f76"/>
                              <a:pathLst>
                                <a:path w="4102" h="3432">
                                  <a:moveTo>
                                    <a:pt x="f5" y="f8"/>
                                  </a:moveTo>
                                  <a:lnTo>
                                    <a:pt x="f5" y="f9"/>
                                  </a:lnTo>
                                  <a:lnTo>
                                    <a:pt x="f6" y="f7"/>
                                  </a:lnTo>
                                  <a:lnTo>
                                    <a:pt x="f6" y="f5"/>
                                  </a:lnTo>
                                  <a:lnTo>
                                    <a:pt x="f5" y="f8"/>
                                  </a:lnTo>
                                  <a:close/>
                                </a:path>
                              </a:pathLst>
                            </a:custGeom>
                            <a:solidFill>
                              <a:srgbClr val="D3DFEE">
                                <a:alpha val="70195"/>
                              </a:srgbClr>
                            </a:solidFill>
                            <a:ln cap="flat">
                              <a:noFill/>
                              <a:prstDash val="solid"/>
                            </a:ln>
                          </wps:spPr>
                          <wps:bodyPr lIns="0" tIns="0" rIns="0" bIns="0"/>
                        </wps:wsp>
                      </wpg:grpSp>
                      <wps:wsp>
                        <wps:cNvPr id="14" name="Rectangle 14"/>
                        <wps:cNvSpPr/>
                        <wps:spPr>
                          <a:xfrm>
                            <a:off x="1606705" y="383462"/>
                            <a:ext cx="4973494" cy="642265"/>
                          </a:xfrm>
                          <a:prstGeom prst="rect">
                            <a:avLst/>
                          </a:prstGeom>
                          <a:noFill/>
                          <a:ln cap="flat">
                            <a:noFill/>
                            <a:prstDash val="solid"/>
                          </a:ln>
                        </wps:spPr>
                        <wps:txbx>
                          <w:txbxContent>
                            <w:p w14:paraId="326228AF" w14:textId="77777777" w:rsidR="003148F1" w:rsidRDefault="003148F1">
                              <w:pPr>
                                <w:jc w:val="center"/>
                              </w:pPr>
                              <w:r>
                                <w:rPr>
                                  <w:rFonts w:ascii="Bernard MT Condensed" w:hAnsi="Bernard MT Condensed"/>
                                  <w:bCs/>
                                  <w:sz w:val="48"/>
                                  <w:szCs w:val="48"/>
                                </w:rPr>
                                <w:t>CONSEIL SUPERIEUR DE LA COMMUNICATION</w:t>
                              </w:r>
                            </w:p>
                          </w:txbxContent>
                        </wps:txbx>
                        <wps:bodyPr vert="horz" wrap="square" lIns="91440" tIns="45720" rIns="91440" bIns="45720" anchor="t" anchorCtr="0" compatLnSpc="0">
                          <a:noAutofit/>
                        </wps:bodyPr>
                      </wps:wsp>
                    </wpg:wgp>
                  </a:graphicData>
                </a:graphic>
              </wp:anchor>
            </w:drawing>
          </mc:Choice>
          <mc:Fallback>
            <w:pict>
              <v:group w14:anchorId="44D820A0" id="Groupe 2" o:spid="_x0000_s1027" style="position:absolute;left:0;text-align:left;margin-left:21.75pt;margin-top:114.35pt;width:539.65pt;height:646.85pt;z-index:251660288;mso-position-horizontal-relative:page;mso-position-vertical-relative:margin" coordorigin="134,3834" coordsize="68540,82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">
                <v:group id="Group 3" o:spid="_x0000_s1028" style="position:absolute;left:134;top:50432;width:68541;height:35559" coordorigin="134" coordsize="68540,35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4" o:spid="_x0000_s1029" style="position:absolute;left:16067;top:2658;width:52562;height:29681" coordorigin="16067" coordsize="52562,29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5" o:spid="_x0000_s1030" style="position:absolute;left:16067;top:4218;width:40156;height:23938;visibility:visible;mso-wrap-style:square;v-text-anchor:top" coordsize="7132,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" path="m,l17,2863,7132,2578r,-2378l,xe" fillcolor="#a7bfde" stroked="f">
                      <v:fill opacity="32896f"/>
                      <v:path arrowok="t" o:connecttype="custom" o:connectlocs="2007830,0;4015660,1196904;2007830,2393807;0,1196904;1243195860,0;2147483646,988490117;1243195860,1976979399;0,988490117;2147483646,0;2147483646,2147483646;2147483646,2147483646;0,2147483646;0,0;2147483646,2147483646;2147483646,2147483646;2147483646,2147483646;0,0" o:connectangles="270,0,90,180,270,0,90,180,270,0,90,180,0,0,0,0,0" textboxrect="0,0,7132,2863"/>
                    </v:shape>
                    <v:shape id="Freeform 6" o:spid="_x0000_s1031" style="position:absolute;left:40156;width:19515;height:29681;visibility:visible;mso-wrap-style:square;v-text-anchor:top" coordsize="346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" path="m,569l,2930r3466,620l3466,,,569xe" fillcolor="#d3dfee" stroked="f">
                      <v:fill opacity="32896f"/>
                      <v:path arrowok="t" o:connecttype="custom" o:connectlocs="975747,0;1951494,1484067;975747,2968133;0,1484067;604155742,0;1208310920,1225650808;604155742,2147483646;0,1225650808;2147483646,0;2147483646,2147483646;2147483646,2147483646;0,2147483646;0,2147483646;0,2147483646;2147483646,2147483646;2147483646,0;0,2147483646" o:connectangles="270,0,90,180,270,0,90,180,270,0,90,180,0,0,0,0,0" textboxrect="0,0,3466,3550"/>
                    </v:shape>
                    <v:shape id="Freeform 7" o:spid="_x0000_s1032" style="position:absolute;left:59671;width:8958;height:29681;visibility:visible;mso-wrap-style:square;v-text-anchor:top" coordsize="1591,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" path="m,l,3550,1591,2746r,-2009l,xe" fillcolor="#a7bfde" stroked="f">
                      <v:fill opacity="32896f"/>
                      <v:path arrowok="t" o:connecttype="custom" o:connectlocs="447910,0;895819,1484067;447910,2968133;0,1484067;277332837,0;554665112,1225650808;277332837,2147483646;0,1225650808;2147483646,0;2147483646,2147483646;2147483646,2147483646;0,2147483646;0,0;0,2147483646;2147483646,2147483646;2147483646,2147483646;0,0" o:connectangles="270,0,90,180,270,0,90,180,270,0,90,180,0,0,0,0,0" textboxrect="0,0,1591,3550"/>
                    </v:shape>
                  </v:group>
                  <v:shape id="Freeform 8" o:spid="_x0000_s1033" style="position:absolute;left:45477;top:5601;width:23198;height:24356;visibility:visible;mso-wrap-style:square;v-text-anchor:top" coordsize="4120,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" path="m1,251l,2662r4120,251l4120,,1,251xe" fillcolor="#d8d8d8" stroked="f">
                    <v:path arrowok="t" o:connecttype="custom" o:connectlocs="1159894,0;2319787,1217807;1159894,2435614;0,1217807;718175087,0;1436349611,1005753900;718175087,2011507800;0,1005753900;2147483646,0;2147483646,2147483646;2147483646,2147483646;0,2147483646;215801001,2147483646;0,2147483646;2147483646,2147483646;2147483646,0;215801001,2147483646" o:connectangles="270,0,90,180,270,0,90,180,270,0,90,180,0,0,0,0,0" textboxrect="0,0,4120,2913"/>
                  </v:shape>
                  <v:shape id="Freeform 10" o:spid="_x0000_s1034" style="position:absolute;left:134;width:23007;height:35559;visibility:visible;mso-wrap-style:square;v-text-anchor:top" coordsize="4086,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" path="m4086,r-2,4253l,3198,,1072,4086,xe" fillcolor="#d8d8d8" stroked="f">
                    <v:path arrowok="t" o:connecttype="custom" o:connectlocs="1150347,0;2300694,1777964;1150347,3555927;0,1777964;712264682,0;1424528801,1468372104;712264682,2147483646;0,1468372104;2147483646,0;2147483646,2147483646;2147483646,2147483646;0,2147483646;2147483646,0;2147483646,2147483646;0,2147483646;0,2147483646;2147483646,0" o:connectangles="270,0,90,180,270,0,90,180,270,0,90,180,0,0,0,0,0" textboxrect="0,0,4086,4253"/>
                  </v:shape>
                  <v:shape id="Freeform 13" o:spid="_x0000_s1035" style="position:absolute;left:45572;top:3644;width:23097;height:28695;visibility:visible;mso-wrap-style:square;v-text-anchor:top" coordsize="41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" path="m,1038l,2411,4102,3432,4102,,,1038xe" fillcolor="#d3dfee" stroked="f">
                    <v:fill opacity="46003f"/>
                    <v:path arrowok="t" o:connecttype="custom" o:connectlocs="1154846,0;2309692,1434762;1154846,2869524;0,1434762;715048999,0;1430097998,1184930304;715048999,2147483646;0,1184930304;2147483646,0;2147483646,2147483646;2147483646,2147483646;0,2147483646;0,2147483646;0,2147483646;2147483646,2147483646;2147483646,0;0,2147483646" o:connectangles="270,0,90,180,270,0,90,180,270,0,90,180,0,0,0,0,0" textboxrect="0,0,4102,3432"/>
                  </v:shape>
                </v:group>
                <v:rect id="Rectangle 14" o:spid="_x0000_s1036" style="position:absolute;left:16067;top:3834;width:49734;height:6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" filled="f" stroked="f">
                  <v:textbox>
                    <w:txbxContent>
                      <w:p w14:paraId="326228AF" w14:textId="77777777" w:rsidR="003148F1" w:rsidRDefault="003148F1">
                        <w:pPr>
                          <w:jc w:val="center"/>
                        </w:pPr>
                        <w:r>
                          <w:rPr>
                            <w:rFonts w:ascii="Bernard MT Condensed" w:hAnsi="Bernard MT Condensed"/>
                            <w:bCs/>
                            <w:sz w:val="48"/>
                            <w:szCs w:val="48"/>
                          </w:rPr>
                          <w:t>CONSEIL SUPERIEUR DE LA COMMUNICATION</w:t>
                        </w:r>
                      </w:p>
                    </w:txbxContent>
                  </v:textbox>
                </v:rect>
                <w10:wrap anchorx="page" anchory="margin"/>
              </v:group>
            </w:pict>
          </mc:Fallback>
        </mc:AlternateContent>
      </w:r>
    </w:p>
    <w:p w14:paraId="6772CE54" w14:textId="77777777" w:rsidR="00284822" w:rsidRDefault="00284822">
      <w:pPr>
        <w:spacing w:before="120" w:after="120"/>
        <w:rPr>
          <w:rFonts w:ascii="Rockwell" w:hAnsi="Rockwell"/>
          <w:szCs w:val="26"/>
        </w:rPr>
      </w:pPr>
    </w:p>
    <w:p w14:paraId="3A6264ED" w14:textId="77777777" w:rsidR="00284822" w:rsidRDefault="00284822">
      <w:pPr>
        <w:spacing w:before="120" w:after="120"/>
        <w:rPr>
          <w:rFonts w:ascii="Rockwell" w:hAnsi="Rockwell"/>
          <w:szCs w:val="26"/>
        </w:rPr>
      </w:pPr>
    </w:p>
    <w:p w14:paraId="6BC6ADF7" w14:textId="77777777" w:rsidR="00284822" w:rsidRDefault="00284822">
      <w:pPr>
        <w:autoSpaceDE w:val="0"/>
        <w:spacing w:before="120" w:after="120"/>
        <w:rPr>
          <w:rFonts w:ascii="Rockwell" w:hAnsi="Rockwell"/>
          <w:szCs w:val="26"/>
        </w:rPr>
      </w:pPr>
    </w:p>
    <w:p w14:paraId="400CBCB7" w14:textId="77777777" w:rsidR="00284822" w:rsidRDefault="00284822">
      <w:pPr>
        <w:autoSpaceDE w:val="0"/>
        <w:spacing w:before="120" w:after="120"/>
        <w:rPr>
          <w:rFonts w:ascii="Rockwell" w:hAnsi="Rockwell"/>
          <w:szCs w:val="26"/>
        </w:rPr>
      </w:pPr>
    </w:p>
    <w:bookmarkEnd w:id="0"/>
    <w:p w14:paraId="43B0862E" w14:textId="77777777" w:rsidR="00284822" w:rsidRDefault="00284822">
      <w:pPr>
        <w:autoSpaceDE w:val="0"/>
        <w:spacing w:before="120" w:after="120"/>
        <w:rPr>
          <w:rFonts w:ascii="Rockwell" w:hAnsi="Rockwell"/>
          <w:szCs w:val="26"/>
        </w:rPr>
      </w:pPr>
    </w:p>
    <w:p w14:paraId="66187A69" w14:textId="77777777" w:rsidR="00284822" w:rsidRDefault="00284822">
      <w:pPr>
        <w:autoSpaceDE w:val="0"/>
        <w:spacing w:before="120" w:after="120"/>
        <w:rPr>
          <w:rFonts w:ascii="Rockwell" w:hAnsi="Rockwell"/>
          <w:szCs w:val="26"/>
        </w:rPr>
      </w:pPr>
    </w:p>
    <w:p w14:paraId="541CF6F8" w14:textId="77777777" w:rsidR="00284822" w:rsidRDefault="00284822">
      <w:pPr>
        <w:autoSpaceDE w:val="0"/>
        <w:spacing w:before="120" w:after="120"/>
        <w:rPr>
          <w:rFonts w:ascii="Rockwell" w:hAnsi="Rockwell"/>
          <w:szCs w:val="26"/>
        </w:rPr>
      </w:pPr>
    </w:p>
    <w:p w14:paraId="763B665A" w14:textId="77777777" w:rsidR="00284822" w:rsidRDefault="00284822">
      <w:pPr>
        <w:autoSpaceDE w:val="0"/>
        <w:spacing w:before="120" w:after="120"/>
        <w:rPr>
          <w:rFonts w:ascii="Rockwell" w:hAnsi="Rockwell"/>
          <w:szCs w:val="26"/>
        </w:rPr>
      </w:pPr>
    </w:p>
    <w:p w14:paraId="5FD277DD" w14:textId="77777777" w:rsidR="00284822" w:rsidRDefault="00284822">
      <w:pPr>
        <w:autoSpaceDE w:val="0"/>
        <w:spacing w:before="120" w:after="120"/>
        <w:rPr>
          <w:rFonts w:ascii="Rockwell" w:hAnsi="Rockwell"/>
          <w:szCs w:val="26"/>
        </w:rPr>
      </w:pPr>
    </w:p>
    <w:p w14:paraId="284D4C27" w14:textId="77777777" w:rsidR="00284822" w:rsidRDefault="00284822">
      <w:pPr>
        <w:autoSpaceDE w:val="0"/>
        <w:spacing w:before="120" w:after="120"/>
        <w:rPr>
          <w:rFonts w:ascii="Rockwell" w:hAnsi="Rockwell"/>
          <w:szCs w:val="26"/>
        </w:rPr>
      </w:pPr>
    </w:p>
    <w:bookmarkEnd w:id="1"/>
    <w:p w14:paraId="386F391A" w14:textId="77777777" w:rsidR="00284822" w:rsidRDefault="00284822">
      <w:pPr>
        <w:autoSpaceDE w:val="0"/>
        <w:spacing w:before="120" w:after="120"/>
        <w:rPr>
          <w:rFonts w:ascii="Rockwell" w:hAnsi="Rockwell"/>
          <w:szCs w:val="26"/>
        </w:rPr>
      </w:pPr>
    </w:p>
    <w:p w14:paraId="1DEE787C" w14:textId="77777777" w:rsidR="00284822" w:rsidRDefault="00284822">
      <w:pPr>
        <w:autoSpaceDE w:val="0"/>
        <w:spacing w:before="120" w:after="120"/>
        <w:rPr>
          <w:rFonts w:ascii="Rockwell" w:hAnsi="Rockwell"/>
          <w:szCs w:val="26"/>
        </w:rPr>
      </w:pPr>
    </w:p>
    <w:p w14:paraId="6090DEF3" w14:textId="77777777" w:rsidR="00284822" w:rsidRDefault="00284822">
      <w:pPr>
        <w:autoSpaceDE w:val="0"/>
        <w:spacing w:before="120" w:after="120"/>
        <w:rPr>
          <w:rFonts w:ascii="Rockwell" w:hAnsi="Rockwell"/>
          <w:szCs w:val="26"/>
        </w:rPr>
      </w:pPr>
    </w:p>
    <w:p w14:paraId="30C5E912" w14:textId="77777777" w:rsidR="00284822" w:rsidRDefault="00284822">
      <w:pPr>
        <w:autoSpaceDE w:val="0"/>
        <w:spacing w:before="120" w:after="120"/>
        <w:rPr>
          <w:rFonts w:ascii="Rockwell" w:hAnsi="Rockwell"/>
          <w:szCs w:val="26"/>
        </w:rPr>
      </w:pPr>
    </w:p>
    <w:p w14:paraId="338B1462" w14:textId="77777777" w:rsidR="00284822" w:rsidRDefault="00284822">
      <w:pPr>
        <w:autoSpaceDE w:val="0"/>
        <w:spacing w:before="120" w:after="120"/>
        <w:rPr>
          <w:rFonts w:ascii="Rockwell" w:hAnsi="Rockwell"/>
          <w:szCs w:val="26"/>
        </w:rPr>
      </w:pPr>
    </w:p>
    <w:p w14:paraId="55C73280" w14:textId="77777777" w:rsidR="00284822" w:rsidRDefault="00284822">
      <w:pPr>
        <w:pStyle w:val="Paragraphedeliste"/>
        <w:jc w:val="center"/>
        <w:rPr>
          <w:rFonts w:ascii="Rockwell" w:hAnsi="Rockwell"/>
          <w:b/>
          <w:sz w:val="30"/>
          <w:szCs w:val="30"/>
        </w:rPr>
      </w:pPr>
      <w:bookmarkStart w:id="14" w:name="_Toc71299858"/>
      <w:bookmarkStart w:id="15" w:name="_Toc169036855"/>
      <w:bookmarkStart w:id="16" w:name="_Toc42535727"/>
      <w:bookmarkStart w:id="17" w:name="_Toc42536288"/>
      <w:bookmarkStart w:id="18" w:name="_Toc42536518"/>
      <w:bookmarkStart w:id="19" w:name="_Toc25166602"/>
      <w:bookmarkStart w:id="20" w:name="_Toc25165973"/>
      <w:bookmarkStart w:id="21" w:name="_Toc43238602"/>
      <w:bookmarkStart w:id="22" w:name="_Hlk71206861"/>
      <w:bookmarkStart w:id="23" w:name="_Toc43239310"/>
      <w:bookmarkStart w:id="24" w:name="_Toc42529859"/>
      <w:bookmarkEnd w:id="14"/>
    </w:p>
    <w:p w14:paraId="3C49DD99" w14:textId="77777777" w:rsidR="00284822" w:rsidRDefault="00284822">
      <w:pPr>
        <w:pStyle w:val="Paragraphedeliste"/>
        <w:jc w:val="center"/>
        <w:rPr>
          <w:rFonts w:ascii="Rockwell" w:hAnsi="Rockwell"/>
          <w:b/>
          <w:sz w:val="30"/>
          <w:szCs w:val="30"/>
        </w:rPr>
      </w:pPr>
    </w:p>
    <w:p w14:paraId="170C748F" w14:textId="77777777" w:rsidR="00284822" w:rsidRDefault="00284822">
      <w:pPr>
        <w:pStyle w:val="Paragraphedeliste"/>
        <w:jc w:val="center"/>
        <w:rPr>
          <w:rFonts w:ascii="Rockwell" w:hAnsi="Rockwell"/>
          <w:b/>
          <w:sz w:val="30"/>
          <w:szCs w:val="30"/>
        </w:rPr>
      </w:pPr>
    </w:p>
    <w:p w14:paraId="484745F5" w14:textId="77777777" w:rsidR="00284822" w:rsidRDefault="00284822">
      <w:pPr>
        <w:pStyle w:val="Paragraphedeliste"/>
        <w:jc w:val="center"/>
        <w:rPr>
          <w:rFonts w:ascii="Rockwell" w:hAnsi="Rockwell"/>
          <w:b/>
          <w:sz w:val="30"/>
          <w:szCs w:val="30"/>
        </w:rPr>
      </w:pPr>
    </w:p>
    <w:p w14:paraId="7999B9F5" w14:textId="77777777" w:rsidR="00284822" w:rsidRDefault="00F77BF8">
      <w:pPr>
        <w:pStyle w:val="Paragraphedeliste"/>
        <w:jc w:val="center"/>
        <w:rPr>
          <w:rFonts w:ascii="Rockwell" w:hAnsi="Rockwell"/>
          <w:b/>
          <w:sz w:val="30"/>
          <w:szCs w:val="30"/>
        </w:rPr>
      </w:pPr>
      <w:commentRangeStart w:id="25"/>
      <w:r>
        <w:rPr>
          <w:rFonts w:ascii="Rockwell" w:hAnsi="Rockwell"/>
          <w:b/>
          <w:sz w:val="30"/>
          <w:szCs w:val="30"/>
        </w:rPr>
        <w:lastRenderedPageBreak/>
        <w:t>SOMMAIRE</w:t>
      </w:r>
      <w:commentRangeEnd w:id="25"/>
      <w:r>
        <w:rPr>
          <w:rStyle w:val="Marquedecommentaire"/>
        </w:rPr>
        <w:commentReference w:id="25"/>
      </w:r>
      <w:bookmarkEnd w:id="15"/>
    </w:p>
    <w:p w14:paraId="197FDB5A" w14:textId="77777777" w:rsidR="00284822" w:rsidRDefault="00F77BF8">
      <w:pPr>
        <w:pStyle w:val="TM1"/>
        <w:spacing w:line="360" w:lineRule="auto"/>
        <w:rPr>
          <w:rFonts w:eastAsiaTheme="minorEastAsia" w:cstheme="minorBidi"/>
        </w:rPr>
      </w:pPr>
      <w:r>
        <w:fldChar w:fldCharType="begin"/>
      </w:r>
      <w:r>
        <w:instrText xml:space="preserve"> TOC \o "1-3" \h \z \u </w:instrText>
      </w:r>
      <w:r>
        <w:fldChar w:fldCharType="separate"/>
      </w:r>
      <w:hyperlink w:anchor="_Toc170304741" w:history="1">
        <w:r>
          <w:rPr>
            <w:rStyle w:val="Lienhypertexte"/>
          </w:rPr>
          <w:t>SIGLES ET ABREVIATIONS</w:t>
        </w:r>
        <w:r>
          <w:tab/>
        </w:r>
        <w:r>
          <w:fldChar w:fldCharType="begin"/>
        </w:r>
        <w:r>
          <w:instrText xml:space="preserve"> PAGEREF _Toc170304741 \h </w:instrText>
        </w:r>
        <w:r>
          <w:fldChar w:fldCharType="separate"/>
        </w:r>
        <w:r>
          <w:t>4</w:t>
        </w:r>
        <w:r>
          <w:fldChar w:fldCharType="end"/>
        </w:r>
      </w:hyperlink>
    </w:p>
    <w:p w14:paraId="590EBC2C" w14:textId="77777777" w:rsidR="00284822" w:rsidRDefault="003148F1">
      <w:pPr>
        <w:pStyle w:val="TM1"/>
        <w:spacing w:line="360" w:lineRule="auto"/>
        <w:rPr>
          <w:rFonts w:eastAsiaTheme="minorEastAsia" w:cstheme="minorBidi"/>
        </w:rPr>
      </w:pPr>
      <w:hyperlink w:anchor="_Toc170304742" w:history="1">
        <w:r w:rsidR="00F77BF8">
          <w:rPr>
            <w:rStyle w:val="Lienhypertexte"/>
          </w:rPr>
          <w:t>AVANT-PROPOS</w:t>
        </w:r>
        <w:r w:rsidR="00F77BF8">
          <w:tab/>
        </w:r>
        <w:r w:rsidR="00F77BF8">
          <w:fldChar w:fldCharType="begin"/>
        </w:r>
        <w:r w:rsidR="00F77BF8">
          <w:instrText xml:space="preserve"> PAGEREF _Toc170304742 \h </w:instrText>
        </w:r>
        <w:r w:rsidR="00F77BF8">
          <w:fldChar w:fldCharType="separate"/>
        </w:r>
        <w:r w:rsidR="00F77BF8">
          <w:t>9</w:t>
        </w:r>
        <w:r w:rsidR="00F77BF8">
          <w:fldChar w:fldCharType="end"/>
        </w:r>
      </w:hyperlink>
    </w:p>
    <w:p w14:paraId="2555D1D5" w14:textId="77777777" w:rsidR="00284822" w:rsidRDefault="003148F1">
      <w:pPr>
        <w:pStyle w:val="TM1"/>
        <w:spacing w:line="360" w:lineRule="auto"/>
        <w:rPr>
          <w:rFonts w:eastAsiaTheme="minorEastAsia" w:cstheme="minorBidi"/>
        </w:rPr>
      </w:pPr>
      <w:hyperlink w:anchor="_Toc170304743" w:history="1">
        <w:r w:rsidR="00F77BF8">
          <w:rPr>
            <w:rStyle w:val="Lienhypertexte"/>
          </w:rPr>
          <w:t>INTRODUCTION</w:t>
        </w:r>
        <w:r w:rsidR="00F77BF8">
          <w:tab/>
        </w:r>
        <w:r w:rsidR="00F77BF8">
          <w:fldChar w:fldCharType="begin"/>
        </w:r>
        <w:r w:rsidR="00F77BF8">
          <w:instrText xml:space="preserve"> PAGEREF _Toc170304743 \h </w:instrText>
        </w:r>
        <w:r w:rsidR="00F77BF8">
          <w:fldChar w:fldCharType="separate"/>
        </w:r>
        <w:r w:rsidR="00F77BF8">
          <w:t>15</w:t>
        </w:r>
        <w:r w:rsidR="00F77BF8">
          <w:fldChar w:fldCharType="end"/>
        </w:r>
      </w:hyperlink>
    </w:p>
    <w:p w14:paraId="685F96CB" w14:textId="77777777" w:rsidR="00284822" w:rsidRDefault="003148F1">
      <w:pPr>
        <w:pStyle w:val="TM1"/>
        <w:spacing w:line="360" w:lineRule="auto"/>
        <w:rPr>
          <w:rFonts w:eastAsiaTheme="minorEastAsia" w:cstheme="minorBidi"/>
        </w:rPr>
      </w:pPr>
      <w:hyperlink r:id="rId13" w:anchor="_Toc170304744" w:history="1">
        <w:r w:rsidR="00F77BF8">
          <w:rPr>
            <w:rStyle w:val="Lienhypertexte"/>
          </w:rPr>
          <w:t>PREMIERE PARTIE :</w:t>
        </w:r>
        <w:r w:rsidR="00F77BF8">
          <w:tab/>
        </w:r>
        <w:r w:rsidR="00F77BF8">
          <w:fldChar w:fldCharType="begin"/>
        </w:r>
        <w:r w:rsidR="00F77BF8">
          <w:instrText xml:space="preserve"> PAGEREF _Toc170304744 \h </w:instrText>
        </w:r>
        <w:r w:rsidR="00F77BF8">
          <w:fldChar w:fldCharType="separate"/>
        </w:r>
        <w:r w:rsidR="00F77BF8">
          <w:t>17</w:t>
        </w:r>
        <w:r w:rsidR="00F77BF8">
          <w:fldChar w:fldCharType="end"/>
        </w:r>
      </w:hyperlink>
    </w:p>
    <w:p w14:paraId="3628CF5A" w14:textId="77777777" w:rsidR="00284822" w:rsidRDefault="003148F1">
      <w:pPr>
        <w:pStyle w:val="TM1"/>
        <w:spacing w:line="360" w:lineRule="auto"/>
        <w:rPr>
          <w:rFonts w:eastAsiaTheme="minorEastAsia" w:cstheme="minorBidi"/>
        </w:rPr>
      </w:pPr>
      <w:hyperlink r:id="rId14" w:anchor="_Toc170304745" w:history="1">
        <w:r w:rsidR="00F77BF8">
          <w:rPr>
            <w:rStyle w:val="Lienhypertexte"/>
          </w:rPr>
          <w:t>ACTIVITES DE REGULATION DES MEDIAS ET CONTENTIEUX</w:t>
        </w:r>
        <w:r w:rsidR="00F77BF8">
          <w:tab/>
        </w:r>
        <w:r w:rsidR="00F77BF8">
          <w:fldChar w:fldCharType="begin"/>
        </w:r>
        <w:r w:rsidR="00F77BF8">
          <w:instrText xml:space="preserve"> PAGEREF _Toc170304745 \h </w:instrText>
        </w:r>
        <w:r w:rsidR="00F77BF8">
          <w:fldChar w:fldCharType="separate"/>
        </w:r>
        <w:r w:rsidR="00F77BF8">
          <w:t>17</w:t>
        </w:r>
        <w:r w:rsidR="00F77BF8">
          <w:fldChar w:fldCharType="end"/>
        </w:r>
      </w:hyperlink>
    </w:p>
    <w:p w14:paraId="56A76EDC" w14:textId="77777777" w:rsidR="00284822" w:rsidRDefault="003148F1">
      <w:pPr>
        <w:pStyle w:val="TM2"/>
        <w:spacing w:before="120" w:after="120" w:line="360" w:lineRule="auto"/>
        <w:rPr>
          <w:rFonts w:ascii="Rockwell" w:eastAsiaTheme="minorEastAsia" w:hAnsi="Rockwell" w:cstheme="minorBidi"/>
          <w:i w:val="0"/>
          <w:iCs w:val="0"/>
          <w:sz w:val="22"/>
          <w:szCs w:val="22"/>
        </w:rPr>
      </w:pPr>
      <w:hyperlink w:anchor="_Toc170304746" w:history="1">
        <w:r w:rsidR="00F77BF8">
          <w:rPr>
            <w:rStyle w:val="Lienhypertexte"/>
            <w:rFonts w:ascii="Rockwell" w:hAnsi="Rockwell"/>
            <w:sz w:val="22"/>
            <w:szCs w:val="22"/>
          </w:rPr>
          <w:t>CHAPITRE I : REGULATION DE L’OFFRE MEDIATIQUE ET SUIVI DU FONCTIONNEMENT DES MEDIAS</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_Toc170304746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18</w:t>
        </w:r>
        <w:r w:rsidR="00F77BF8">
          <w:rPr>
            <w:rFonts w:ascii="Rockwell" w:hAnsi="Rockwell"/>
            <w:sz w:val="22"/>
            <w:szCs w:val="22"/>
          </w:rPr>
          <w:fldChar w:fldCharType="end"/>
        </w:r>
      </w:hyperlink>
    </w:p>
    <w:p w14:paraId="7054CC7B" w14:textId="77777777" w:rsidR="00284822" w:rsidRDefault="003148F1">
      <w:pPr>
        <w:pStyle w:val="TM3"/>
        <w:tabs>
          <w:tab w:val="right" w:leader="dot" w:pos="9060"/>
        </w:tabs>
        <w:spacing w:before="120" w:after="120"/>
        <w:rPr>
          <w:rFonts w:ascii="Rockwell" w:eastAsiaTheme="minorEastAsia" w:hAnsi="Rockwell" w:cstheme="minorBidi"/>
          <w:sz w:val="22"/>
          <w:szCs w:val="22"/>
        </w:rPr>
      </w:pPr>
      <w:hyperlink w:anchor="_Toc170304747" w:history="1">
        <w:r w:rsidR="00F77BF8">
          <w:rPr>
            <w:rStyle w:val="Lienhypertexte"/>
            <w:rFonts w:ascii="Rockwell" w:hAnsi="Rockwell"/>
            <w:sz w:val="22"/>
            <w:szCs w:val="22"/>
          </w:rPr>
          <w:t>SECTION 1 : REGULATION DE L’OFFRE MEDIATIQUE</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_Toc170304747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18</w:t>
        </w:r>
        <w:r w:rsidR="00F77BF8">
          <w:rPr>
            <w:rFonts w:ascii="Rockwell" w:hAnsi="Rockwell"/>
            <w:sz w:val="22"/>
            <w:szCs w:val="22"/>
          </w:rPr>
          <w:fldChar w:fldCharType="end"/>
        </w:r>
      </w:hyperlink>
    </w:p>
    <w:p w14:paraId="00356D5E" w14:textId="77777777" w:rsidR="00284822" w:rsidRDefault="003148F1">
      <w:pPr>
        <w:pStyle w:val="TM3"/>
        <w:tabs>
          <w:tab w:val="right" w:leader="dot" w:pos="9060"/>
        </w:tabs>
        <w:spacing w:before="120" w:after="120"/>
        <w:rPr>
          <w:rFonts w:ascii="Rockwell" w:eastAsiaTheme="minorEastAsia" w:hAnsi="Rockwell" w:cstheme="minorBidi"/>
          <w:sz w:val="22"/>
          <w:szCs w:val="22"/>
        </w:rPr>
      </w:pPr>
      <w:hyperlink w:anchor="_Toc170304748" w:history="1">
        <w:r w:rsidR="00F77BF8">
          <w:rPr>
            <w:rStyle w:val="Lienhypertexte"/>
            <w:rFonts w:ascii="Rockwell" w:hAnsi="Rockwell"/>
            <w:sz w:val="22"/>
            <w:szCs w:val="22"/>
          </w:rPr>
          <w:t>Paragraphe 1 : Autorisation d’exploitation et signature de conventions</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_Toc170304748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18</w:t>
        </w:r>
        <w:r w:rsidR="00F77BF8">
          <w:rPr>
            <w:rFonts w:ascii="Rockwell" w:hAnsi="Rockwell"/>
            <w:sz w:val="22"/>
            <w:szCs w:val="22"/>
          </w:rPr>
          <w:fldChar w:fldCharType="end"/>
        </w:r>
      </w:hyperlink>
    </w:p>
    <w:p w14:paraId="1CB16B2B" w14:textId="77777777" w:rsidR="00284822" w:rsidRDefault="003148F1">
      <w:pPr>
        <w:pStyle w:val="TM3"/>
        <w:tabs>
          <w:tab w:val="right" w:leader="dot" w:pos="9060"/>
        </w:tabs>
        <w:spacing w:before="120" w:after="120"/>
        <w:rPr>
          <w:rFonts w:ascii="Rockwell" w:eastAsiaTheme="minorEastAsia" w:hAnsi="Rockwell" w:cstheme="minorBidi"/>
          <w:sz w:val="22"/>
          <w:szCs w:val="22"/>
        </w:rPr>
      </w:pPr>
      <w:hyperlink w:anchor="_Toc170304749" w:history="1">
        <w:r w:rsidR="00F77BF8">
          <w:rPr>
            <w:rStyle w:val="Lienhypertexte"/>
            <w:rFonts w:ascii="Rockwell" w:hAnsi="Rockwell"/>
            <w:sz w:val="22"/>
            <w:szCs w:val="22"/>
          </w:rPr>
          <w:t>Paragraphe 2 :  Déclarations d’existence</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_Toc170304749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20</w:t>
        </w:r>
        <w:r w:rsidR="00F77BF8">
          <w:rPr>
            <w:rFonts w:ascii="Rockwell" w:hAnsi="Rockwell"/>
            <w:sz w:val="22"/>
            <w:szCs w:val="22"/>
          </w:rPr>
          <w:fldChar w:fldCharType="end"/>
        </w:r>
      </w:hyperlink>
    </w:p>
    <w:p w14:paraId="5D69170E" w14:textId="77777777" w:rsidR="00284822" w:rsidRDefault="003148F1">
      <w:pPr>
        <w:pStyle w:val="TM3"/>
        <w:tabs>
          <w:tab w:val="right" w:leader="dot" w:pos="9060"/>
        </w:tabs>
        <w:spacing w:before="120" w:after="120"/>
        <w:rPr>
          <w:rFonts w:ascii="Rockwell" w:eastAsiaTheme="minorEastAsia" w:hAnsi="Rockwell" w:cstheme="minorBidi"/>
          <w:sz w:val="22"/>
          <w:szCs w:val="22"/>
        </w:rPr>
      </w:pPr>
      <w:hyperlink w:anchor="_Toc170304750" w:history="1">
        <w:r w:rsidR="00F77BF8">
          <w:rPr>
            <w:rStyle w:val="Lienhypertexte"/>
            <w:rFonts w:ascii="Rockwell" w:hAnsi="Rockwell"/>
            <w:sz w:val="22"/>
            <w:szCs w:val="22"/>
          </w:rPr>
          <w:t>SECTION 2 : SUIVI DU FONCTIONNEMENT DES MEDIAS</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_Toc170304750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21</w:t>
        </w:r>
        <w:r w:rsidR="00F77BF8">
          <w:rPr>
            <w:rFonts w:ascii="Rockwell" w:hAnsi="Rockwell"/>
            <w:sz w:val="22"/>
            <w:szCs w:val="22"/>
          </w:rPr>
          <w:fldChar w:fldCharType="end"/>
        </w:r>
      </w:hyperlink>
    </w:p>
    <w:p w14:paraId="23A6526C" w14:textId="77777777" w:rsidR="00284822" w:rsidRDefault="003148F1">
      <w:pPr>
        <w:pStyle w:val="TM2"/>
        <w:spacing w:before="120" w:after="120" w:line="360" w:lineRule="auto"/>
        <w:rPr>
          <w:rFonts w:ascii="Rockwell" w:eastAsiaTheme="minorEastAsia" w:hAnsi="Rockwell" w:cstheme="minorBidi"/>
          <w:i w:val="0"/>
          <w:iCs w:val="0"/>
          <w:sz w:val="22"/>
          <w:szCs w:val="22"/>
        </w:rPr>
      </w:pPr>
      <w:hyperlink w:anchor="_Toc170304751" w:history="1">
        <w:r w:rsidR="00F77BF8">
          <w:rPr>
            <w:rStyle w:val="Lienhypertexte"/>
            <w:rFonts w:ascii="Rockwell" w:hAnsi="Rockwell"/>
            <w:sz w:val="22"/>
            <w:szCs w:val="22"/>
          </w:rPr>
          <w:t>CHAPITRE II : MONITORING DE LA PRESSE ECRITE, DE LA PRESSE EN LIGNE ET DES MEDIAS AUDIOVISUELS</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_Toc170304751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29</w:t>
        </w:r>
        <w:r w:rsidR="00F77BF8">
          <w:rPr>
            <w:rFonts w:ascii="Rockwell" w:hAnsi="Rockwell"/>
            <w:sz w:val="22"/>
            <w:szCs w:val="22"/>
          </w:rPr>
          <w:fldChar w:fldCharType="end"/>
        </w:r>
      </w:hyperlink>
    </w:p>
    <w:p w14:paraId="3EB4C703" w14:textId="77777777" w:rsidR="00284822" w:rsidRDefault="003148F1">
      <w:pPr>
        <w:pStyle w:val="TM3"/>
        <w:tabs>
          <w:tab w:val="right" w:leader="dot" w:pos="9060"/>
        </w:tabs>
        <w:spacing w:before="120" w:after="120"/>
        <w:rPr>
          <w:rFonts w:ascii="Rockwell" w:eastAsiaTheme="minorEastAsia" w:hAnsi="Rockwell" w:cstheme="minorBidi"/>
          <w:sz w:val="22"/>
          <w:szCs w:val="22"/>
        </w:rPr>
      </w:pPr>
      <w:hyperlink w:anchor="_Toc170304752" w:history="1">
        <w:r w:rsidR="00F77BF8">
          <w:rPr>
            <w:rStyle w:val="Lienhypertexte"/>
            <w:rFonts w:ascii="Rockwell" w:hAnsi="Rockwell"/>
            <w:sz w:val="22"/>
            <w:szCs w:val="22"/>
          </w:rPr>
          <w:t>SECTION 1 : PRESSE ECRITE DE LA REGION DU CENTRE</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_Toc170304752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29</w:t>
        </w:r>
        <w:r w:rsidR="00F77BF8">
          <w:rPr>
            <w:rFonts w:ascii="Rockwell" w:hAnsi="Rockwell"/>
            <w:sz w:val="22"/>
            <w:szCs w:val="22"/>
          </w:rPr>
          <w:fldChar w:fldCharType="end"/>
        </w:r>
      </w:hyperlink>
    </w:p>
    <w:p w14:paraId="38438665" w14:textId="77777777" w:rsidR="00284822" w:rsidRDefault="003148F1">
      <w:pPr>
        <w:pStyle w:val="TM3"/>
        <w:tabs>
          <w:tab w:val="right" w:leader="dot" w:pos="9060"/>
        </w:tabs>
        <w:spacing w:before="120" w:after="120"/>
        <w:rPr>
          <w:rFonts w:ascii="Rockwell" w:eastAsiaTheme="minorEastAsia" w:hAnsi="Rockwell" w:cstheme="minorBidi"/>
          <w:sz w:val="22"/>
          <w:szCs w:val="22"/>
        </w:rPr>
      </w:pPr>
      <w:hyperlink w:anchor="_Toc170304753" w:history="1">
        <w:r w:rsidR="00F77BF8">
          <w:rPr>
            <w:rStyle w:val="Lienhypertexte"/>
            <w:rFonts w:ascii="Rockwell" w:hAnsi="Rockwell"/>
            <w:sz w:val="22"/>
            <w:szCs w:val="22"/>
          </w:rPr>
          <w:t>SECTION 2 : PRESSE ECRITE DE LA REGION DE L’OUEST</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_Toc170304753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44</w:t>
        </w:r>
        <w:r w:rsidR="00F77BF8">
          <w:rPr>
            <w:rFonts w:ascii="Rockwell" w:hAnsi="Rockwell"/>
            <w:sz w:val="22"/>
            <w:szCs w:val="22"/>
          </w:rPr>
          <w:fldChar w:fldCharType="end"/>
        </w:r>
      </w:hyperlink>
    </w:p>
    <w:p w14:paraId="1187B566" w14:textId="77777777" w:rsidR="00284822" w:rsidRDefault="003148F1">
      <w:pPr>
        <w:pStyle w:val="TM3"/>
        <w:tabs>
          <w:tab w:val="right" w:leader="dot" w:pos="9060"/>
        </w:tabs>
        <w:spacing w:before="120" w:after="120"/>
        <w:rPr>
          <w:rFonts w:ascii="Rockwell" w:eastAsiaTheme="minorEastAsia" w:hAnsi="Rockwell" w:cstheme="minorBidi"/>
          <w:sz w:val="22"/>
          <w:szCs w:val="22"/>
        </w:rPr>
      </w:pPr>
      <w:hyperlink w:anchor="_Toc170304754" w:history="1">
        <w:r w:rsidR="00F77BF8">
          <w:rPr>
            <w:rStyle w:val="Lienhypertexte"/>
            <w:rFonts w:ascii="Rockwell" w:hAnsi="Rockwell"/>
            <w:sz w:val="22"/>
            <w:szCs w:val="22"/>
          </w:rPr>
          <w:t>SECTION 3 : PRESSE EN LIGNE</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_Toc170304754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44</w:t>
        </w:r>
        <w:r w:rsidR="00F77BF8">
          <w:rPr>
            <w:rFonts w:ascii="Rockwell" w:hAnsi="Rockwell"/>
            <w:sz w:val="22"/>
            <w:szCs w:val="22"/>
          </w:rPr>
          <w:fldChar w:fldCharType="end"/>
        </w:r>
      </w:hyperlink>
    </w:p>
    <w:p w14:paraId="1E46C254" w14:textId="77777777" w:rsidR="00284822" w:rsidRDefault="003148F1">
      <w:pPr>
        <w:pStyle w:val="TM3"/>
        <w:tabs>
          <w:tab w:val="right" w:leader="dot" w:pos="9060"/>
        </w:tabs>
        <w:spacing w:before="120" w:after="120"/>
        <w:rPr>
          <w:rFonts w:ascii="Rockwell" w:eastAsiaTheme="minorEastAsia" w:hAnsi="Rockwell" w:cstheme="minorBidi"/>
          <w:sz w:val="22"/>
          <w:szCs w:val="22"/>
        </w:rPr>
      </w:pPr>
      <w:hyperlink w:anchor="_Toc170304755" w:history="1">
        <w:r w:rsidR="00F77BF8">
          <w:rPr>
            <w:rStyle w:val="Lienhypertexte"/>
            <w:rFonts w:ascii="Rockwell" w:hAnsi="Rockwell"/>
            <w:sz w:val="22"/>
            <w:szCs w:val="22"/>
          </w:rPr>
          <w:t>SECTION 4 : MONITORING DES MEDIAS AUDIOVISUELS</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_Toc170304755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66</w:t>
        </w:r>
        <w:r w:rsidR="00F77BF8">
          <w:rPr>
            <w:rFonts w:ascii="Rockwell" w:hAnsi="Rockwell"/>
            <w:sz w:val="22"/>
            <w:szCs w:val="22"/>
          </w:rPr>
          <w:fldChar w:fldCharType="end"/>
        </w:r>
      </w:hyperlink>
    </w:p>
    <w:p w14:paraId="1B99D3CE" w14:textId="77777777" w:rsidR="00284822" w:rsidRDefault="003148F1">
      <w:pPr>
        <w:pStyle w:val="TM2"/>
        <w:spacing w:before="120" w:after="120" w:line="360" w:lineRule="auto"/>
        <w:rPr>
          <w:rFonts w:ascii="Rockwell" w:eastAsiaTheme="minorEastAsia" w:hAnsi="Rockwell" w:cstheme="minorBidi"/>
          <w:i w:val="0"/>
          <w:iCs w:val="0"/>
          <w:sz w:val="22"/>
          <w:szCs w:val="22"/>
        </w:rPr>
      </w:pPr>
      <w:hyperlink w:anchor="_Toc170304756" w:history="1">
        <w:r w:rsidR="00F77BF8">
          <w:rPr>
            <w:rStyle w:val="Lienhypertexte"/>
            <w:rFonts w:ascii="Rockwell" w:hAnsi="Rockwell"/>
            <w:sz w:val="22"/>
            <w:szCs w:val="22"/>
          </w:rPr>
          <w:t>CHAPITRE III : MANQUEMENTS A LA LOI, A L’ETHIQUE ET A LA DEONTOLOGIE</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_Toc170304756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84</w:t>
        </w:r>
        <w:r w:rsidR="00F77BF8">
          <w:rPr>
            <w:rFonts w:ascii="Rockwell" w:hAnsi="Rockwell"/>
            <w:sz w:val="22"/>
            <w:szCs w:val="22"/>
          </w:rPr>
          <w:fldChar w:fldCharType="end"/>
        </w:r>
      </w:hyperlink>
    </w:p>
    <w:p w14:paraId="775F3DA8" w14:textId="77777777" w:rsidR="00284822" w:rsidRDefault="003148F1">
      <w:pPr>
        <w:pStyle w:val="TM3"/>
        <w:tabs>
          <w:tab w:val="right" w:leader="dot" w:pos="9060"/>
        </w:tabs>
        <w:spacing w:before="120" w:after="120"/>
        <w:rPr>
          <w:rFonts w:ascii="Rockwell" w:eastAsiaTheme="minorEastAsia" w:hAnsi="Rockwell" w:cstheme="minorBidi"/>
          <w:sz w:val="22"/>
          <w:szCs w:val="22"/>
        </w:rPr>
      </w:pPr>
      <w:hyperlink w:anchor="_Toc170304757" w:history="1">
        <w:r w:rsidR="00F77BF8">
          <w:rPr>
            <w:rStyle w:val="Lienhypertexte"/>
            <w:rFonts w:ascii="Rockwell" w:hAnsi="Rockwell"/>
            <w:sz w:val="22"/>
            <w:szCs w:val="22"/>
          </w:rPr>
          <w:t>SECTION 1 : LES AUTO-SAISINES</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_Toc170304757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84</w:t>
        </w:r>
        <w:r w:rsidR="00F77BF8">
          <w:rPr>
            <w:rFonts w:ascii="Rockwell" w:hAnsi="Rockwell"/>
            <w:sz w:val="22"/>
            <w:szCs w:val="22"/>
          </w:rPr>
          <w:fldChar w:fldCharType="end"/>
        </w:r>
      </w:hyperlink>
    </w:p>
    <w:p w14:paraId="1BCD3C3C" w14:textId="77777777" w:rsidR="00284822" w:rsidRDefault="003148F1">
      <w:pPr>
        <w:pStyle w:val="TM3"/>
        <w:tabs>
          <w:tab w:val="right" w:leader="dot" w:pos="9060"/>
        </w:tabs>
        <w:spacing w:before="120" w:after="120"/>
        <w:rPr>
          <w:rFonts w:ascii="Rockwell" w:eastAsiaTheme="minorEastAsia" w:hAnsi="Rockwell" w:cstheme="minorBidi"/>
          <w:sz w:val="22"/>
          <w:szCs w:val="22"/>
        </w:rPr>
      </w:pPr>
      <w:hyperlink w:anchor="_Toc170304758" w:history="1">
        <w:r w:rsidR="00F77BF8">
          <w:rPr>
            <w:rStyle w:val="Lienhypertexte"/>
            <w:rFonts w:ascii="Rockwell" w:hAnsi="Rockwell"/>
            <w:sz w:val="22"/>
            <w:szCs w:val="22"/>
          </w:rPr>
          <w:t>SECTION 2 : LES SAISINES</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_Toc170304758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93</w:t>
        </w:r>
        <w:r w:rsidR="00F77BF8">
          <w:rPr>
            <w:rFonts w:ascii="Rockwell" w:hAnsi="Rockwell"/>
            <w:sz w:val="22"/>
            <w:szCs w:val="22"/>
          </w:rPr>
          <w:fldChar w:fldCharType="end"/>
        </w:r>
      </w:hyperlink>
    </w:p>
    <w:p w14:paraId="2B8C9A59" w14:textId="77777777" w:rsidR="00284822" w:rsidRDefault="003148F1">
      <w:pPr>
        <w:pStyle w:val="TM2"/>
        <w:spacing w:before="120" w:after="120" w:line="360" w:lineRule="auto"/>
        <w:rPr>
          <w:rFonts w:ascii="Rockwell" w:eastAsiaTheme="minorEastAsia" w:hAnsi="Rockwell" w:cstheme="minorBidi"/>
          <w:i w:val="0"/>
          <w:iCs w:val="0"/>
          <w:sz w:val="22"/>
          <w:szCs w:val="22"/>
        </w:rPr>
      </w:pPr>
      <w:hyperlink w:anchor="_Toc170304759" w:history="1">
        <w:r w:rsidR="00F77BF8">
          <w:rPr>
            <w:rStyle w:val="Lienhypertexte"/>
            <w:rFonts w:ascii="Rockwell" w:hAnsi="Rockwell"/>
            <w:sz w:val="22"/>
            <w:szCs w:val="22"/>
          </w:rPr>
          <w:t>CHAPITRE IV : CONTENTIEUX ET MEDIATION</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_Toc170304759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97</w:t>
        </w:r>
        <w:r w:rsidR="00F77BF8">
          <w:rPr>
            <w:rFonts w:ascii="Rockwell" w:hAnsi="Rockwell"/>
            <w:sz w:val="22"/>
            <w:szCs w:val="22"/>
          </w:rPr>
          <w:fldChar w:fldCharType="end"/>
        </w:r>
      </w:hyperlink>
    </w:p>
    <w:p w14:paraId="4C0A05EC" w14:textId="77777777" w:rsidR="00284822" w:rsidRDefault="003148F1">
      <w:pPr>
        <w:pStyle w:val="TM3"/>
        <w:tabs>
          <w:tab w:val="right" w:leader="dot" w:pos="9060"/>
        </w:tabs>
        <w:spacing w:before="120" w:after="120"/>
        <w:rPr>
          <w:rFonts w:ascii="Rockwell" w:eastAsiaTheme="minorEastAsia" w:hAnsi="Rockwell" w:cstheme="minorBidi"/>
          <w:sz w:val="22"/>
          <w:szCs w:val="22"/>
        </w:rPr>
      </w:pPr>
      <w:hyperlink w:anchor="_Toc170304760" w:history="1">
        <w:r w:rsidR="00F77BF8">
          <w:rPr>
            <w:rStyle w:val="Lienhypertexte"/>
            <w:rFonts w:ascii="Rockwell" w:hAnsi="Rockwell"/>
            <w:sz w:val="22"/>
            <w:szCs w:val="22"/>
          </w:rPr>
          <w:t>SECTION 1 : SUIVI ET GESTION DU CONTENTIEUX</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_Toc170304760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97</w:t>
        </w:r>
        <w:r w:rsidR="00F77BF8">
          <w:rPr>
            <w:rFonts w:ascii="Rockwell" w:hAnsi="Rockwell"/>
            <w:sz w:val="22"/>
            <w:szCs w:val="22"/>
          </w:rPr>
          <w:fldChar w:fldCharType="end"/>
        </w:r>
      </w:hyperlink>
    </w:p>
    <w:p w14:paraId="3792146A" w14:textId="77777777" w:rsidR="00284822" w:rsidRDefault="003148F1">
      <w:pPr>
        <w:pStyle w:val="TM3"/>
        <w:tabs>
          <w:tab w:val="right" w:leader="dot" w:pos="9060"/>
        </w:tabs>
        <w:spacing w:before="120" w:after="120"/>
        <w:rPr>
          <w:rFonts w:ascii="Rockwell" w:eastAsiaTheme="minorEastAsia" w:hAnsi="Rockwell" w:cstheme="minorBidi"/>
          <w:sz w:val="22"/>
          <w:szCs w:val="22"/>
        </w:rPr>
      </w:pPr>
      <w:hyperlink w:anchor="_Toc170304761" w:history="1">
        <w:r w:rsidR="00F77BF8">
          <w:rPr>
            <w:rStyle w:val="Lienhypertexte"/>
            <w:rFonts w:ascii="Rockwell" w:hAnsi="Rockwell"/>
            <w:sz w:val="22"/>
            <w:szCs w:val="22"/>
          </w:rPr>
          <w:t>SECTION 2 : ACTIVITES DE MEDIATION</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_Toc170304761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101</w:t>
        </w:r>
        <w:r w:rsidR="00F77BF8">
          <w:rPr>
            <w:rFonts w:ascii="Rockwell" w:hAnsi="Rockwell"/>
            <w:sz w:val="22"/>
            <w:szCs w:val="22"/>
          </w:rPr>
          <w:fldChar w:fldCharType="end"/>
        </w:r>
      </w:hyperlink>
    </w:p>
    <w:p w14:paraId="7A25ECA3" w14:textId="77777777" w:rsidR="00284822" w:rsidRDefault="003148F1">
      <w:pPr>
        <w:pStyle w:val="TM1"/>
        <w:spacing w:line="360" w:lineRule="auto"/>
        <w:rPr>
          <w:rFonts w:eastAsiaTheme="minorEastAsia" w:cstheme="minorBidi"/>
        </w:rPr>
      </w:pPr>
      <w:hyperlink r:id="rId15" w:anchor="_Toc170304762" w:history="1">
        <w:r w:rsidR="00F77BF8">
          <w:rPr>
            <w:rStyle w:val="Lienhypertexte"/>
          </w:rPr>
          <w:t>DEUXIEME PARTIE : RENCONTRES DE TRAVAIL</w:t>
        </w:r>
        <w:r w:rsidR="00F77BF8">
          <w:tab/>
        </w:r>
        <w:r w:rsidR="00F77BF8">
          <w:fldChar w:fldCharType="begin"/>
        </w:r>
        <w:r w:rsidR="00F77BF8">
          <w:instrText xml:space="preserve"> PAGEREF _Toc170304762 \h </w:instrText>
        </w:r>
        <w:r w:rsidR="00F77BF8">
          <w:fldChar w:fldCharType="separate"/>
        </w:r>
        <w:r w:rsidR="00F77BF8">
          <w:t>102</w:t>
        </w:r>
        <w:r w:rsidR="00F77BF8">
          <w:fldChar w:fldCharType="end"/>
        </w:r>
      </w:hyperlink>
    </w:p>
    <w:p w14:paraId="1BF42A05" w14:textId="77777777" w:rsidR="00284822" w:rsidRDefault="003148F1">
      <w:pPr>
        <w:pStyle w:val="TM1"/>
        <w:spacing w:line="360" w:lineRule="auto"/>
        <w:rPr>
          <w:rFonts w:eastAsiaTheme="minorEastAsia" w:cstheme="minorBidi"/>
        </w:rPr>
      </w:pPr>
      <w:hyperlink r:id="rId16" w:anchor="_Toc170304763" w:history="1">
        <w:r w:rsidR="00F77BF8">
          <w:rPr>
            <w:rStyle w:val="Lienhypertexte"/>
          </w:rPr>
          <w:t>ET COOPERATION</w:t>
        </w:r>
        <w:r w:rsidR="00F77BF8">
          <w:tab/>
        </w:r>
        <w:r w:rsidR="00F77BF8">
          <w:fldChar w:fldCharType="begin"/>
        </w:r>
        <w:r w:rsidR="00F77BF8">
          <w:instrText xml:space="preserve"> PAGEREF _Toc170304763 \h </w:instrText>
        </w:r>
        <w:r w:rsidR="00F77BF8">
          <w:fldChar w:fldCharType="separate"/>
        </w:r>
        <w:r w:rsidR="00F77BF8">
          <w:t>102</w:t>
        </w:r>
        <w:r w:rsidR="00F77BF8">
          <w:fldChar w:fldCharType="end"/>
        </w:r>
      </w:hyperlink>
    </w:p>
    <w:p w14:paraId="00FCBE96" w14:textId="77777777" w:rsidR="00284822" w:rsidRDefault="003148F1">
      <w:pPr>
        <w:pStyle w:val="TM2"/>
        <w:spacing w:before="120" w:after="120" w:line="360" w:lineRule="auto"/>
        <w:rPr>
          <w:rFonts w:ascii="Rockwell" w:eastAsiaTheme="minorEastAsia" w:hAnsi="Rockwell" w:cstheme="minorBidi"/>
          <w:i w:val="0"/>
          <w:iCs w:val="0"/>
          <w:sz w:val="22"/>
          <w:szCs w:val="22"/>
        </w:rPr>
      </w:pPr>
      <w:hyperlink w:anchor="_Toc170304764" w:history="1">
        <w:r w:rsidR="00F77BF8">
          <w:rPr>
            <w:rStyle w:val="Lienhypertexte"/>
            <w:rFonts w:ascii="Rockwell" w:hAnsi="Rockwell"/>
            <w:sz w:val="22"/>
            <w:szCs w:val="22"/>
          </w:rPr>
          <w:t>CHAPITRE I : RENCONTRES DE TRAVAIL</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_Toc170304764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103</w:t>
        </w:r>
        <w:r w:rsidR="00F77BF8">
          <w:rPr>
            <w:rFonts w:ascii="Rockwell" w:hAnsi="Rockwell"/>
            <w:sz w:val="22"/>
            <w:szCs w:val="22"/>
          </w:rPr>
          <w:fldChar w:fldCharType="end"/>
        </w:r>
      </w:hyperlink>
    </w:p>
    <w:p w14:paraId="7B283FE1" w14:textId="77777777" w:rsidR="00284822" w:rsidRDefault="003148F1">
      <w:pPr>
        <w:pStyle w:val="TM3"/>
        <w:tabs>
          <w:tab w:val="right" w:leader="dot" w:pos="9060"/>
        </w:tabs>
        <w:spacing w:before="120" w:after="120"/>
        <w:rPr>
          <w:rFonts w:ascii="Rockwell" w:eastAsiaTheme="minorEastAsia" w:hAnsi="Rockwell" w:cstheme="minorBidi"/>
          <w:sz w:val="22"/>
          <w:szCs w:val="22"/>
        </w:rPr>
      </w:pPr>
      <w:hyperlink w:anchor="_Toc170304765" w:history="1">
        <w:r w:rsidR="00F77BF8">
          <w:rPr>
            <w:rStyle w:val="Lienhypertexte"/>
            <w:rFonts w:ascii="Rockwell" w:hAnsi="Rockwell"/>
            <w:sz w:val="22"/>
            <w:szCs w:val="22"/>
          </w:rPr>
          <w:t>SECTION 1 : ATELIERS THEMATIQUES</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_Toc170304765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103</w:t>
        </w:r>
        <w:r w:rsidR="00F77BF8">
          <w:rPr>
            <w:rFonts w:ascii="Rockwell" w:hAnsi="Rockwell"/>
            <w:sz w:val="22"/>
            <w:szCs w:val="22"/>
          </w:rPr>
          <w:fldChar w:fldCharType="end"/>
        </w:r>
      </w:hyperlink>
    </w:p>
    <w:p w14:paraId="52278E34" w14:textId="77777777" w:rsidR="00284822" w:rsidRDefault="003148F1">
      <w:pPr>
        <w:pStyle w:val="TM3"/>
        <w:tabs>
          <w:tab w:val="right" w:leader="dot" w:pos="9060"/>
        </w:tabs>
        <w:spacing w:before="120" w:after="120"/>
        <w:rPr>
          <w:rFonts w:ascii="Rockwell" w:eastAsiaTheme="minorEastAsia" w:hAnsi="Rockwell" w:cstheme="minorBidi"/>
          <w:sz w:val="22"/>
          <w:szCs w:val="22"/>
        </w:rPr>
      </w:pPr>
      <w:hyperlink w:anchor="_Toc170304766" w:history="1">
        <w:r w:rsidR="00F77BF8">
          <w:rPr>
            <w:rStyle w:val="Lienhypertexte"/>
            <w:rFonts w:ascii="Rockwell" w:hAnsi="Rockwell"/>
            <w:sz w:val="22"/>
            <w:szCs w:val="22"/>
          </w:rPr>
          <w:t>SECTION 2 : TRAVAUX EN COMMISSIONS</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_Toc170304766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104</w:t>
        </w:r>
        <w:r w:rsidR="00F77BF8">
          <w:rPr>
            <w:rFonts w:ascii="Rockwell" w:hAnsi="Rockwell"/>
            <w:sz w:val="22"/>
            <w:szCs w:val="22"/>
          </w:rPr>
          <w:fldChar w:fldCharType="end"/>
        </w:r>
      </w:hyperlink>
    </w:p>
    <w:p w14:paraId="528742D2" w14:textId="77777777" w:rsidR="00284822" w:rsidRDefault="003148F1">
      <w:pPr>
        <w:pStyle w:val="TM2"/>
        <w:spacing w:before="120" w:after="120" w:line="360" w:lineRule="auto"/>
        <w:rPr>
          <w:rFonts w:ascii="Rockwell" w:eastAsiaTheme="minorEastAsia" w:hAnsi="Rockwell" w:cstheme="minorBidi"/>
          <w:i w:val="0"/>
          <w:iCs w:val="0"/>
          <w:sz w:val="22"/>
          <w:szCs w:val="22"/>
        </w:rPr>
      </w:pPr>
      <w:hyperlink w:anchor="_Toc170304767" w:history="1">
        <w:r w:rsidR="00F77BF8">
          <w:rPr>
            <w:rStyle w:val="Lienhypertexte"/>
            <w:rFonts w:ascii="Rockwell" w:hAnsi="Rockwell"/>
            <w:sz w:val="22"/>
            <w:szCs w:val="22"/>
          </w:rPr>
          <w:t>CHAPITRE II : COOPERATION</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_Toc170304767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107</w:t>
        </w:r>
        <w:r w:rsidR="00F77BF8">
          <w:rPr>
            <w:rFonts w:ascii="Rockwell" w:hAnsi="Rockwell"/>
            <w:sz w:val="22"/>
            <w:szCs w:val="22"/>
          </w:rPr>
          <w:fldChar w:fldCharType="end"/>
        </w:r>
      </w:hyperlink>
    </w:p>
    <w:p w14:paraId="2A1B5BA4" w14:textId="77777777" w:rsidR="00284822" w:rsidRDefault="003148F1">
      <w:pPr>
        <w:pStyle w:val="TM3"/>
        <w:tabs>
          <w:tab w:val="right" w:leader="dot" w:pos="9060"/>
        </w:tabs>
        <w:spacing w:before="120" w:after="120"/>
        <w:rPr>
          <w:rFonts w:ascii="Rockwell" w:eastAsiaTheme="minorEastAsia" w:hAnsi="Rockwell" w:cstheme="minorBidi"/>
          <w:sz w:val="22"/>
          <w:szCs w:val="22"/>
        </w:rPr>
      </w:pPr>
      <w:hyperlink w:anchor="_Toc170304768" w:history="1">
        <w:r w:rsidR="00F77BF8">
          <w:rPr>
            <w:rStyle w:val="Lienhypertexte"/>
            <w:rFonts w:ascii="Rockwell" w:hAnsi="Rockwell"/>
            <w:sz w:val="22"/>
            <w:szCs w:val="22"/>
          </w:rPr>
          <w:t>SECTION 1 : ACTIVITES DES RESEAUX DE REGULATEURS</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_Toc170304768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107</w:t>
        </w:r>
        <w:r w:rsidR="00F77BF8">
          <w:rPr>
            <w:rFonts w:ascii="Rockwell" w:hAnsi="Rockwell"/>
            <w:sz w:val="22"/>
            <w:szCs w:val="22"/>
          </w:rPr>
          <w:fldChar w:fldCharType="end"/>
        </w:r>
      </w:hyperlink>
    </w:p>
    <w:p w14:paraId="769764E3" w14:textId="77777777" w:rsidR="00284822" w:rsidRDefault="003148F1">
      <w:pPr>
        <w:pStyle w:val="TM3"/>
        <w:tabs>
          <w:tab w:val="right" w:leader="dot" w:pos="9060"/>
        </w:tabs>
        <w:spacing w:before="120" w:after="120"/>
        <w:rPr>
          <w:rFonts w:ascii="Rockwell" w:eastAsiaTheme="minorEastAsia" w:hAnsi="Rockwell" w:cstheme="minorBidi"/>
          <w:sz w:val="22"/>
          <w:szCs w:val="22"/>
        </w:rPr>
      </w:pPr>
      <w:hyperlink w:anchor="_Toc170304769" w:history="1">
        <w:r w:rsidR="00F77BF8">
          <w:rPr>
            <w:rStyle w:val="Lienhypertexte"/>
            <w:rFonts w:ascii="Rockwell" w:hAnsi="Rockwell"/>
            <w:sz w:val="22"/>
            <w:szCs w:val="22"/>
          </w:rPr>
          <w:t>SECTION 2 : AUTRES ACTIVITES</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_Toc170304769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109</w:t>
        </w:r>
        <w:r w:rsidR="00F77BF8">
          <w:rPr>
            <w:rFonts w:ascii="Rockwell" w:hAnsi="Rockwell"/>
            <w:sz w:val="22"/>
            <w:szCs w:val="22"/>
          </w:rPr>
          <w:fldChar w:fldCharType="end"/>
        </w:r>
      </w:hyperlink>
    </w:p>
    <w:p w14:paraId="29064F27" w14:textId="77777777" w:rsidR="00284822" w:rsidRDefault="003148F1">
      <w:pPr>
        <w:pStyle w:val="TM1"/>
        <w:spacing w:line="360" w:lineRule="auto"/>
        <w:rPr>
          <w:rFonts w:eastAsiaTheme="minorEastAsia" w:cstheme="minorBidi"/>
        </w:rPr>
      </w:pPr>
      <w:hyperlink r:id="rId17" w:anchor="_Toc170304770" w:history="1">
        <w:r w:rsidR="00F77BF8">
          <w:rPr>
            <w:rStyle w:val="Lienhypertexte"/>
          </w:rPr>
          <w:t>TROISIEME PARTIE : GESTION DES RESSOURCES HUMAINES, DES FINANCES ET DES MATIERES</w:t>
        </w:r>
        <w:r w:rsidR="00F77BF8">
          <w:tab/>
        </w:r>
        <w:r w:rsidR="00F77BF8">
          <w:fldChar w:fldCharType="begin"/>
        </w:r>
        <w:r w:rsidR="00F77BF8">
          <w:instrText xml:space="preserve"> PAGEREF _Toc170304770 \h </w:instrText>
        </w:r>
        <w:r w:rsidR="00F77BF8">
          <w:fldChar w:fldCharType="separate"/>
        </w:r>
        <w:r w:rsidR="00F77BF8">
          <w:t>110</w:t>
        </w:r>
        <w:r w:rsidR="00F77BF8">
          <w:fldChar w:fldCharType="end"/>
        </w:r>
      </w:hyperlink>
    </w:p>
    <w:p w14:paraId="72175A37" w14:textId="77777777" w:rsidR="00284822" w:rsidRDefault="003148F1">
      <w:pPr>
        <w:pStyle w:val="TM2"/>
        <w:spacing w:before="120" w:after="120" w:line="360" w:lineRule="auto"/>
        <w:rPr>
          <w:rFonts w:ascii="Rockwell" w:eastAsiaTheme="minorEastAsia" w:hAnsi="Rockwell" w:cstheme="minorBidi"/>
          <w:i w:val="0"/>
          <w:iCs w:val="0"/>
          <w:sz w:val="22"/>
          <w:szCs w:val="22"/>
        </w:rPr>
      </w:pPr>
      <w:hyperlink w:anchor="_Toc170304771" w:history="1">
        <w:r w:rsidR="00F77BF8">
          <w:rPr>
            <w:rStyle w:val="Lienhypertexte"/>
            <w:rFonts w:ascii="Rockwell" w:hAnsi="Rockwell"/>
            <w:sz w:val="22"/>
            <w:szCs w:val="22"/>
          </w:rPr>
          <w:t>CHAPITRE I : GESTION DES RESSOURCES HUMAINES</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_Toc170304771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111</w:t>
        </w:r>
        <w:r w:rsidR="00F77BF8">
          <w:rPr>
            <w:rFonts w:ascii="Rockwell" w:hAnsi="Rockwell"/>
            <w:sz w:val="22"/>
            <w:szCs w:val="22"/>
          </w:rPr>
          <w:fldChar w:fldCharType="end"/>
        </w:r>
      </w:hyperlink>
    </w:p>
    <w:p w14:paraId="04ECE206" w14:textId="77777777" w:rsidR="00284822" w:rsidRDefault="003148F1">
      <w:pPr>
        <w:pStyle w:val="TM3"/>
        <w:tabs>
          <w:tab w:val="right" w:leader="dot" w:pos="9060"/>
        </w:tabs>
        <w:spacing w:before="120" w:after="120"/>
        <w:rPr>
          <w:rFonts w:ascii="Rockwell" w:eastAsiaTheme="minorEastAsia" w:hAnsi="Rockwell" w:cstheme="minorBidi"/>
          <w:sz w:val="22"/>
          <w:szCs w:val="22"/>
        </w:rPr>
      </w:pPr>
      <w:hyperlink w:anchor="_Toc170304772" w:history="1">
        <w:r w:rsidR="00F77BF8">
          <w:rPr>
            <w:rStyle w:val="Lienhypertexte"/>
            <w:rFonts w:ascii="Rockwell" w:hAnsi="Rockwell"/>
            <w:sz w:val="22"/>
            <w:szCs w:val="22"/>
          </w:rPr>
          <w:t>SECTION 1 : GESTION ADMINISTRATIVE DES RESSOURCES HUMAINES</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_Toc170304772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111</w:t>
        </w:r>
        <w:r w:rsidR="00F77BF8">
          <w:rPr>
            <w:rFonts w:ascii="Rockwell" w:hAnsi="Rockwell"/>
            <w:sz w:val="22"/>
            <w:szCs w:val="22"/>
          </w:rPr>
          <w:fldChar w:fldCharType="end"/>
        </w:r>
      </w:hyperlink>
    </w:p>
    <w:p w14:paraId="0EA7C558" w14:textId="77777777" w:rsidR="00284822" w:rsidRDefault="003148F1">
      <w:pPr>
        <w:pStyle w:val="TM3"/>
        <w:tabs>
          <w:tab w:val="right" w:leader="dot" w:pos="9060"/>
        </w:tabs>
        <w:spacing w:before="120" w:after="120"/>
        <w:rPr>
          <w:rFonts w:ascii="Rockwell" w:eastAsiaTheme="minorEastAsia" w:hAnsi="Rockwell" w:cstheme="minorBidi"/>
          <w:sz w:val="22"/>
          <w:szCs w:val="22"/>
        </w:rPr>
      </w:pPr>
      <w:hyperlink w:anchor="_Toc170304773" w:history="1">
        <w:r w:rsidR="00F77BF8">
          <w:rPr>
            <w:rStyle w:val="Lienhypertexte"/>
            <w:rFonts w:ascii="Rockwell" w:hAnsi="Rockwell"/>
            <w:sz w:val="22"/>
            <w:szCs w:val="22"/>
          </w:rPr>
          <w:t>SECTION 2 : DISTINCTIONS HONORIFIQUES, RENFORCEMENT DES CAPACITES ET ACTIVITES SOCIALES</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_Toc170304773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119</w:t>
        </w:r>
        <w:r w:rsidR="00F77BF8">
          <w:rPr>
            <w:rFonts w:ascii="Rockwell" w:hAnsi="Rockwell"/>
            <w:sz w:val="22"/>
            <w:szCs w:val="22"/>
          </w:rPr>
          <w:fldChar w:fldCharType="end"/>
        </w:r>
      </w:hyperlink>
    </w:p>
    <w:p w14:paraId="554A672E" w14:textId="77777777" w:rsidR="00284822" w:rsidRDefault="003148F1">
      <w:pPr>
        <w:pStyle w:val="TM2"/>
        <w:spacing w:before="120" w:after="120" w:line="360" w:lineRule="auto"/>
        <w:rPr>
          <w:rFonts w:ascii="Rockwell" w:eastAsiaTheme="minorEastAsia" w:hAnsi="Rockwell" w:cstheme="minorBidi"/>
          <w:i w:val="0"/>
          <w:iCs w:val="0"/>
          <w:sz w:val="22"/>
          <w:szCs w:val="22"/>
        </w:rPr>
      </w:pPr>
      <w:hyperlink w:anchor="_Toc170304774" w:history="1">
        <w:r w:rsidR="00F77BF8">
          <w:rPr>
            <w:rStyle w:val="Lienhypertexte"/>
            <w:rFonts w:ascii="Rockwell" w:hAnsi="Rockwell"/>
            <w:sz w:val="22"/>
            <w:szCs w:val="22"/>
          </w:rPr>
          <w:t>CHAPITRE II : GESTION DES FINANCES ET DES MATIERES</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_Toc170304774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126</w:t>
        </w:r>
        <w:r w:rsidR="00F77BF8">
          <w:rPr>
            <w:rFonts w:ascii="Rockwell" w:hAnsi="Rockwell"/>
            <w:sz w:val="22"/>
            <w:szCs w:val="22"/>
          </w:rPr>
          <w:fldChar w:fldCharType="end"/>
        </w:r>
      </w:hyperlink>
    </w:p>
    <w:p w14:paraId="226541FB" w14:textId="77777777" w:rsidR="00284822" w:rsidRDefault="003148F1">
      <w:pPr>
        <w:pStyle w:val="TM3"/>
        <w:tabs>
          <w:tab w:val="right" w:leader="dot" w:pos="9060"/>
        </w:tabs>
        <w:spacing w:before="120" w:after="120"/>
        <w:rPr>
          <w:rFonts w:ascii="Rockwell" w:eastAsiaTheme="minorEastAsia" w:hAnsi="Rockwell" w:cstheme="minorBidi"/>
          <w:sz w:val="22"/>
          <w:szCs w:val="22"/>
        </w:rPr>
      </w:pPr>
      <w:hyperlink w:anchor="_Toc170304775" w:history="1">
        <w:r w:rsidR="00F77BF8">
          <w:rPr>
            <w:rStyle w:val="Lienhypertexte"/>
            <w:rFonts w:ascii="Rockwell" w:hAnsi="Rockwell"/>
            <w:b/>
            <w:i/>
            <w:sz w:val="22"/>
            <w:szCs w:val="22"/>
          </w:rPr>
          <w:t>SECTION 1 : GESTION FINANCIERE</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_Toc170304775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126</w:t>
        </w:r>
        <w:r w:rsidR="00F77BF8">
          <w:rPr>
            <w:rFonts w:ascii="Rockwell" w:hAnsi="Rockwell"/>
            <w:sz w:val="22"/>
            <w:szCs w:val="22"/>
          </w:rPr>
          <w:fldChar w:fldCharType="end"/>
        </w:r>
      </w:hyperlink>
    </w:p>
    <w:p w14:paraId="21A0EDBD" w14:textId="77777777" w:rsidR="00284822" w:rsidRDefault="003148F1">
      <w:pPr>
        <w:pStyle w:val="TM3"/>
        <w:tabs>
          <w:tab w:val="right" w:leader="dot" w:pos="9060"/>
        </w:tabs>
        <w:spacing w:before="120" w:after="120"/>
        <w:rPr>
          <w:rFonts w:ascii="Rockwell" w:eastAsiaTheme="minorEastAsia" w:hAnsi="Rockwell" w:cstheme="minorBidi"/>
          <w:sz w:val="22"/>
          <w:szCs w:val="22"/>
        </w:rPr>
      </w:pPr>
      <w:hyperlink w:anchor="_Toc170304776" w:history="1">
        <w:r w:rsidR="00F77BF8">
          <w:rPr>
            <w:rStyle w:val="Lienhypertexte"/>
            <w:rFonts w:ascii="Rockwell" w:hAnsi="Rockwell"/>
            <w:sz w:val="22"/>
            <w:szCs w:val="22"/>
          </w:rPr>
          <w:t>SECTION 2 : GESTION DES MATIERES</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_Toc170304776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129</w:t>
        </w:r>
        <w:r w:rsidR="00F77BF8">
          <w:rPr>
            <w:rFonts w:ascii="Rockwell" w:hAnsi="Rockwell"/>
            <w:sz w:val="22"/>
            <w:szCs w:val="22"/>
          </w:rPr>
          <w:fldChar w:fldCharType="end"/>
        </w:r>
      </w:hyperlink>
    </w:p>
    <w:p w14:paraId="35CD1DF0" w14:textId="77777777" w:rsidR="00284822" w:rsidRDefault="003148F1">
      <w:pPr>
        <w:pStyle w:val="TM1"/>
        <w:spacing w:line="360" w:lineRule="auto"/>
        <w:rPr>
          <w:rFonts w:eastAsiaTheme="minorEastAsia" w:cstheme="minorBidi"/>
        </w:rPr>
      </w:pPr>
      <w:hyperlink r:id="rId18" w:anchor="_Toc170304777" w:history="1">
        <w:r w:rsidR="00F77BF8">
          <w:rPr>
            <w:rStyle w:val="Lienhypertexte"/>
          </w:rPr>
          <w:t>QUATRIEME PARTIE : ACQUIS, PERSPECTIVES ET RECOMMANDATIONS</w:t>
        </w:r>
        <w:r w:rsidR="00F77BF8">
          <w:tab/>
        </w:r>
        <w:r w:rsidR="00F77BF8">
          <w:fldChar w:fldCharType="begin"/>
        </w:r>
        <w:r w:rsidR="00F77BF8">
          <w:instrText xml:space="preserve"> PAGEREF _Toc170304777 \h </w:instrText>
        </w:r>
        <w:r w:rsidR="00F77BF8">
          <w:fldChar w:fldCharType="separate"/>
        </w:r>
        <w:r w:rsidR="00F77BF8">
          <w:t>131</w:t>
        </w:r>
        <w:r w:rsidR="00F77BF8">
          <w:fldChar w:fldCharType="end"/>
        </w:r>
      </w:hyperlink>
    </w:p>
    <w:p w14:paraId="19025575" w14:textId="77777777" w:rsidR="00284822" w:rsidRDefault="003148F1">
      <w:pPr>
        <w:pStyle w:val="TM2"/>
        <w:spacing w:before="120" w:after="120" w:line="360" w:lineRule="auto"/>
        <w:rPr>
          <w:rFonts w:ascii="Rockwell" w:eastAsiaTheme="minorEastAsia" w:hAnsi="Rockwell" w:cstheme="minorBidi"/>
          <w:i w:val="0"/>
          <w:iCs w:val="0"/>
          <w:sz w:val="22"/>
          <w:szCs w:val="22"/>
        </w:rPr>
      </w:pPr>
      <w:hyperlink w:anchor="_Toc170304778" w:history="1">
        <w:r w:rsidR="00F77BF8">
          <w:rPr>
            <w:rStyle w:val="Lienhypertexte"/>
            <w:rFonts w:ascii="Rockwell" w:hAnsi="Rockwell"/>
            <w:sz w:val="22"/>
            <w:szCs w:val="22"/>
          </w:rPr>
          <w:t>CHAPITRE I : ACQUIS</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_Toc170304778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132</w:t>
        </w:r>
        <w:r w:rsidR="00F77BF8">
          <w:rPr>
            <w:rFonts w:ascii="Rockwell" w:hAnsi="Rockwell"/>
            <w:sz w:val="22"/>
            <w:szCs w:val="22"/>
          </w:rPr>
          <w:fldChar w:fldCharType="end"/>
        </w:r>
      </w:hyperlink>
    </w:p>
    <w:p w14:paraId="0995381B" w14:textId="77777777" w:rsidR="00284822" w:rsidRDefault="003148F1">
      <w:pPr>
        <w:pStyle w:val="TM3"/>
        <w:tabs>
          <w:tab w:val="right" w:leader="dot" w:pos="9060"/>
        </w:tabs>
        <w:spacing w:before="120" w:after="120"/>
        <w:rPr>
          <w:rFonts w:ascii="Rockwell" w:eastAsiaTheme="minorEastAsia" w:hAnsi="Rockwell" w:cstheme="minorBidi"/>
          <w:sz w:val="22"/>
          <w:szCs w:val="22"/>
        </w:rPr>
      </w:pPr>
      <w:hyperlink w:anchor="_Toc170304779" w:history="1">
        <w:r w:rsidR="00F77BF8">
          <w:rPr>
            <w:rStyle w:val="Lienhypertexte"/>
            <w:rFonts w:ascii="Rockwell" w:hAnsi="Rockwell"/>
            <w:sz w:val="22"/>
            <w:szCs w:val="22"/>
          </w:rPr>
          <w:t>SECTION 1 : ACQUIS D’ORDRE ADMINISTRATIF ET ORGANISATIONNEL</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_Toc170304779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132</w:t>
        </w:r>
        <w:r w:rsidR="00F77BF8">
          <w:rPr>
            <w:rFonts w:ascii="Rockwell" w:hAnsi="Rockwell"/>
            <w:sz w:val="22"/>
            <w:szCs w:val="22"/>
          </w:rPr>
          <w:fldChar w:fldCharType="end"/>
        </w:r>
      </w:hyperlink>
    </w:p>
    <w:p w14:paraId="3C962C0A" w14:textId="77777777" w:rsidR="00284822" w:rsidRDefault="003148F1">
      <w:pPr>
        <w:pStyle w:val="TM3"/>
        <w:tabs>
          <w:tab w:val="right" w:leader="dot" w:pos="9060"/>
        </w:tabs>
        <w:spacing w:before="120" w:after="120"/>
        <w:rPr>
          <w:rFonts w:ascii="Rockwell" w:eastAsiaTheme="minorEastAsia" w:hAnsi="Rockwell" w:cstheme="minorBidi"/>
          <w:sz w:val="22"/>
          <w:szCs w:val="22"/>
        </w:rPr>
      </w:pPr>
      <w:hyperlink w:anchor="_Toc170304780" w:history="1">
        <w:r w:rsidR="00F77BF8">
          <w:rPr>
            <w:rStyle w:val="Lienhypertexte"/>
            <w:rFonts w:ascii="Rockwell" w:hAnsi="Rockwell"/>
            <w:sz w:val="22"/>
            <w:szCs w:val="22"/>
          </w:rPr>
          <w:t>SECTION 2 : ACQUIS D’ORDRE MATERIEL ET TECHNOLOGIQUE</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_Toc170304780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132</w:t>
        </w:r>
        <w:r w:rsidR="00F77BF8">
          <w:rPr>
            <w:rFonts w:ascii="Rockwell" w:hAnsi="Rockwell"/>
            <w:sz w:val="22"/>
            <w:szCs w:val="22"/>
          </w:rPr>
          <w:fldChar w:fldCharType="end"/>
        </w:r>
      </w:hyperlink>
    </w:p>
    <w:p w14:paraId="6824595E" w14:textId="77777777" w:rsidR="00284822" w:rsidRDefault="003148F1">
      <w:pPr>
        <w:pStyle w:val="TM2"/>
        <w:spacing w:before="120" w:after="120" w:line="360" w:lineRule="auto"/>
        <w:rPr>
          <w:rFonts w:ascii="Rockwell" w:eastAsiaTheme="minorEastAsia" w:hAnsi="Rockwell" w:cstheme="minorBidi"/>
          <w:i w:val="0"/>
          <w:iCs w:val="0"/>
          <w:sz w:val="22"/>
          <w:szCs w:val="22"/>
        </w:rPr>
      </w:pPr>
      <w:hyperlink w:anchor="_Toc170304781" w:history="1">
        <w:r w:rsidR="00F77BF8">
          <w:rPr>
            <w:rStyle w:val="Lienhypertexte"/>
            <w:rFonts w:ascii="Rockwell" w:hAnsi="Rockwell"/>
            <w:sz w:val="22"/>
            <w:szCs w:val="22"/>
          </w:rPr>
          <w:t>CHAPITRE II : PERSPECTIVES ET RECOMMANDATIONS</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_Toc170304781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133</w:t>
        </w:r>
        <w:r w:rsidR="00F77BF8">
          <w:rPr>
            <w:rFonts w:ascii="Rockwell" w:hAnsi="Rockwell"/>
            <w:sz w:val="22"/>
            <w:szCs w:val="22"/>
          </w:rPr>
          <w:fldChar w:fldCharType="end"/>
        </w:r>
      </w:hyperlink>
    </w:p>
    <w:p w14:paraId="55854DE7" w14:textId="77777777" w:rsidR="00284822" w:rsidRDefault="003148F1">
      <w:pPr>
        <w:pStyle w:val="TM3"/>
        <w:tabs>
          <w:tab w:val="right" w:leader="dot" w:pos="9060"/>
        </w:tabs>
        <w:spacing w:before="120" w:after="120"/>
        <w:rPr>
          <w:rFonts w:ascii="Rockwell" w:eastAsiaTheme="minorEastAsia" w:hAnsi="Rockwell" w:cstheme="minorBidi"/>
          <w:sz w:val="22"/>
          <w:szCs w:val="22"/>
        </w:rPr>
      </w:pPr>
      <w:hyperlink w:anchor="_Toc170304782" w:history="1">
        <w:r w:rsidR="00F77BF8">
          <w:rPr>
            <w:rStyle w:val="Lienhypertexte"/>
            <w:rFonts w:ascii="Rockwell" w:hAnsi="Rockwell"/>
            <w:sz w:val="22"/>
            <w:szCs w:val="22"/>
          </w:rPr>
          <w:t>SECTION 1 : PERSPECTIVES</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_Toc170304782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133</w:t>
        </w:r>
        <w:r w:rsidR="00F77BF8">
          <w:rPr>
            <w:rFonts w:ascii="Rockwell" w:hAnsi="Rockwell"/>
            <w:sz w:val="22"/>
            <w:szCs w:val="22"/>
          </w:rPr>
          <w:fldChar w:fldCharType="end"/>
        </w:r>
      </w:hyperlink>
    </w:p>
    <w:p w14:paraId="760A8030" w14:textId="77777777" w:rsidR="00284822" w:rsidRDefault="003148F1">
      <w:pPr>
        <w:pStyle w:val="TM3"/>
        <w:tabs>
          <w:tab w:val="right" w:leader="dot" w:pos="9060"/>
        </w:tabs>
        <w:spacing w:before="120" w:after="120"/>
        <w:rPr>
          <w:rFonts w:ascii="Rockwell" w:eastAsiaTheme="minorEastAsia" w:hAnsi="Rockwell" w:cstheme="minorBidi"/>
          <w:sz w:val="22"/>
          <w:szCs w:val="22"/>
        </w:rPr>
      </w:pPr>
      <w:hyperlink w:anchor="_Toc170304783" w:history="1">
        <w:r w:rsidR="00F77BF8">
          <w:rPr>
            <w:rStyle w:val="Lienhypertexte"/>
            <w:rFonts w:ascii="Rockwell" w:hAnsi="Rockwell"/>
            <w:sz w:val="22"/>
            <w:szCs w:val="22"/>
          </w:rPr>
          <w:t>SECTION 2 : RECOMMANDATIONS</w:t>
        </w:r>
        <w:r w:rsidR="00F77BF8">
          <w:rPr>
            <w:rFonts w:ascii="Rockwell" w:hAnsi="Rockwell"/>
            <w:sz w:val="22"/>
            <w:szCs w:val="22"/>
          </w:rPr>
          <w:tab/>
        </w:r>
        <w:r w:rsidR="00F77BF8">
          <w:rPr>
            <w:rFonts w:ascii="Rockwell" w:hAnsi="Rockwell"/>
            <w:sz w:val="22"/>
            <w:szCs w:val="22"/>
          </w:rPr>
          <w:fldChar w:fldCharType="begin"/>
        </w:r>
        <w:r w:rsidR="00F77BF8">
          <w:rPr>
            <w:rFonts w:ascii="Rockwell" w:hAnsi="Rockwell"/>
            <w:sz w:val="22"/>
            <w:szCs w:val="22"/>
          </w:rPr>
          <w:instrText xml:space="preserve"> PAGEREF _Toc170304783 \h </w:instrText>
        </w:r>
        <w:r w:rsidR="00F77BF8">
          <w:rPr>
            <w:rFonts w:ascii="Rockwell" w:hAnsi="Rockwell"/>
            <w:sz w:val="22"/>
            <w:szCs w:val="22"/>
          </w:rPr>
        </w:r>
        <w:r w:rsidR="00F77BF8">
          <w:rPr>
            <w:rFonts w:ascii="Rockwell" w:hAnsi="Rockwell"/>
            <w:sz w:val="22"/>
            <w:szCs w:val="22"/>
          </w:rPr>
          <w:fldChar w:fldCharType="separate"/>
        </w:r>
        <w:r w:rsidR="00F77BF8">
          <w:rPr>
            <w:rFonts w:ascii="Rockwell" w:hAnsi="Rockwell"/>
            <w:sz w:val="22"/>
            <w:szCs w:val="22"/>
          </w:rPr>
          <w:t>134</w:t>
        </w:r>
        <w:r w:rsidR="00F77BF8">
          <w:rPr>
            <w:rFonts w:ascii="Rockwell" w:hAnsi="Rockwell"/>
            <w:sz w:val="22"/>
            <w:szCs w:val="22"/>
          </w:rPr>
          <w:fldChar w:fldCharType="end"/>
        </w:r>
      </w:hyperlink>
    </w:p>
    <w:p w14:paraId="0BE4B983" w14:textId="77777777" w:rsidR="00284822" w:rsidRDefault="003148F1">
      <w:pPr>
        <w:pStyle w:val="TM1"/>
        <w:spacing w:line="360" w:lineRule="auto"/>
        <w:rPr>
          <w:rFonts w:eastAsiaTheme="minorEastAsia" w:cstheme="minorBidi"/>
        </w:rPr>
      </w:pPr>
      <w:hyperlink w:anchor="_Toc170304784" w:history="1">
        <w:r w:rsidR="00F77BF8">
          <w:rPr>
            <w:rStyle w:val="Lienhypertexte"/>
          </w:rPr>
          <w:t>CONCLUSION</w:t>
        </w:r>
        <w:r w:rsidR="00F77BF8">
          <w:tab/>
        </w:r>
        <w:r w:rsidR="00F77BF8">
          <w:fldChar w:fldCharType="begin"/>
        </w:r>
        <w:r w:rsidR="00F77BF8">
          <w:instrText xml:space="preserve"> PAGEREF _Toc170304784 \h </w:instrText>
        </w:r>
        <w:r w:rsidR="00F77BF8">
          <w:fldChar w:fldCharType="separate"/>
        </w:r>
        <w:r w:rsidR="00F77BF8">
          <w:t>135</w:t>
        </w:r>
        <w:r w:rsidR="00F77BF8">
          <w:fldChar w:fldCharType="end"/>
        </w:r>
      </w:hyperlink>
    </w:p>
    <w:p w14:paraId="60AD84AB" w14:textId="77777777" w:rsidR="00284822" w:rsidRDefault="003148F1">
      <w:pPr>
        <w:pStyle w:val="TM1"/>
        <w:spacing w:line="360" w:lineRule="auto"/>
        <w:rPr>
          <w:rFonts w:eastAsiaTheme="minorEastAsia" w:cstheme="minorBidi"/>
        </w:rPr>
      </w:pPr>
      <w:hyperlink r:id="rId19" w:anchor="_Toc170304785" w:history="1">
        <w:r w:rsidR="00F77BF8">
          <w:rPr>
            <w:rStyle w:val="Lienhypertexte"/>
          </w:rPr>
          <w:t>ANNEXES</w:t>
        </w:r>
        <w:r w:rsidR="00F77BF8">
          <w:tab/>
        </w:r>
        <w:r w:rsidR="00F77BF8">
          <w:fldChar w:fldCharType="begin"/>
        </w:r>
        <w:r w:rsidR="00F77BF8">
          <w:instrText xml:space="preserve"> PAGEREF _Toc170304785 \h </w:instrText>
        </w:r>
        <w:r w:rsidR="00F77BF8">
          <w:fldChar w:fldCharType="separate"/>
        </w:r>
        <w:r w:rsidR="00F77BF8">
          <w:t>141</w:t>
        </w:r>
        <w:r w:rsidR="00F77BF8">
          <w:fldChar w:fldCharType="end"/>
        </w:r>
      </w:hyperlink>
    </w:p>
    <w:p w14:paraId="3A1A15CF" w14:textId="77777777" w:rsidR="00284822" w:rsidRDefault="00F77BF8">
      <w:pPr>
        <w:tabs>
          <w:tab w:val="right" w:pos="9070"/>
        </w:tabs>
        <w:spacing w:before="120" w:after="120"/>
        <w:rPr>
          <w:rFonts w:ascii="Rockwell" w:hAnsi="Rockwell"/>
          <w:sz w:val="22"/>
          <w:szCs w:val="22"/>
        </w:rPr>
        <w:sectPr w:rsidR="00284822">
          <w:footerReference w:type="default" r:id="rId20"/>
          <w:pgSz w:w="11906" w:h="16838"/>
          <w:pgMar w:top="1418" w:right="1418" w:bottom="1418" w:left="1418" w:header="709" w:footer="709" w:gutter="0"/>
          <w:pgNumType w:start="1"/>
          <w:cols w:space="720"/>
          <w:titlePg/>
        </w:sectPr>
      </w:pPr>
      <w:r>
        <w:rPr>
          <w:rFonts w:ascii="Rockwell" w:hAnsi="Rockwell" w:cstheme="minorHAnsi"/>
          <w:sz w:val="22"/>
          <w:szCs w:val="22"/>
        </w:rPr>
        <w:fldChar w:fldCharType="end"/>
      </w:r>
    </w:p>
    <w:p w14:paraId="30E5B918" w14:textId="77777777" w:rsidR="00284822" w:rsidRDefault="00F77BF8">
      <w:pPr>
        <w:pStyle w:val="Titre1"/>
        <w:spacing w:before="120" w:after="120"/>
        <w:rPr>
          <w:rFonts w:ascii="Rockwell" w:hAnsi="Rockwell"/>
        </w:rPr>
      </w:pPr>
      <w:bookmarkStart w:id="26" w:name="_Toc175048634"/>
      <w:bookmarkStart w:id="27" w:name="_Toc119511769"/>
      <w:bookmarkStart w:id="28" w:name="_Toc122608626"/>
      <w:bookmarkStart w:id="29" w:name="_Toc170304741"/>
      <w:r>
        <w:rPr>
          <w:rFonts w:ascii="Rockwell" w:hAnsi="Rockwell"/>
        </w:rPr>
        <w:lastRenderedPageBreak/>
        <w:t>SIGLES ET ABREVIATIONS</w:t>
      </w:r>
      <w:bookmarkEnd w:id="26"/>
      <w:bookmarkEnd w:id="27"/>
      <w:bookmarkEnd w:id="28"/>
      <w:bookmarkEnd w:id="29"/>
    </w:p>
    <w:tbl>
      <w:tblPr>
        <w:tblW w:w="10485" w:type="dxa"/>
        <w:jc w:val="center"/>
        <w:tblLayout w:type="fixed"/>
        <w:tblCellMar>
          <w:left w:w="10" w:type="dxa"/>
          <w:right w:w="10" w:type="dxa"/>
        </w:tblCellMar>
        <w:tblLook w:val="04A0" w:firstRow="1" w:lastRow="0" w:firstColumn="1" w:lastColumn="0" w:noHBand="0" w:noVBand="1"/>
      </w:tblPr>
      <w:tblGrid>
        <w:gridCol w:w="2405"/>
        <w:gridCol w:w="8080"/>
      </w:tblGrid>
      <w:tr w:rsidR="00284822" w14:paraId="24DB9295"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97ADB60" w14:textId="77777777" w:rsidR="00284822" w:rsidRDefault="00F77BF8">
            <w:pPr>
              <w:spacing w:before="120" w:after="120"/>
              <w:rPr>
                <w:rFonts w:ascii="Rockwell" w:hAnsi="Rockwell"/>
                <w:b/>
                <w:bCs/>
                <w:szCs w:val="26"/>
              </w:rPr>
            </w:pPr>
            <w:r>
              <w:rPr>
                <w:rFonts w:ascii="Rockwell" w:hAnsi="Rockwell"/>
                <w:b/>
                <w:bCs/>
                <w:szCs w:val="26"/>
              </w:rPr>
              <w:t>ADF/RDA </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93E98FD" w14:textId="77777777" w:rsidR="00284822" w:rsidRDefault="00F77BF8">
            <w:pPr>
              <w:spacing w:before="120" w:after="120"/>
              <w:ind w:hanging="178"/>
              <w:rPr>
                <w:rFonts w:ascii="Rockwell" w:hAnsi="Rockwell"/>
                <w:szCs w:val="26"/>
              </w:rPr>
            </w:pPr>
            <w:r>
              <w:rPr>
                <w:rFonts w:ascii="Rockwell" w:hAnsi="Rockwell"/>
                <w:szCs w:val="26"/>
              </w:rPr>
              <w:t xml:space="preserve"> Alliance pour la Démocratie et </w:t>
            </w:r>
            <w:proofErr w:type="gramStart"/>
            <w:r>
              <w:rPr>
                <w:rFonts w:ascii="Rockwell" w:hAnsi="Rockwell"/>
                <w:szCs w:val="26"/>
              </w:rPr>
              <w:t>la</w:t>
            </w:r>
            <w:proofErr w:type="gramEnd"/>
            <w:r>
              <w:rPr>
                <w:rFonts w:ascii="Rockwell" w:hAnsi="Rockwell"/>
                <w:szCs w:val="26"/>
              </w:rPr>
              <w:t xml:space="preserve"> Fédération/Rassemblement</w:t>
            </w:r>
          </w:p>
          <w:p w14:paraId="017FF4B6" w14:textId="77777777" w:rsidR="00284822" w:rsidRDefault="00F77BF8">
            <w:pPr>
              <w:spacing w:before="120" w:after="120"/>
              <w:rPr>
                <w:rFonts w:ascii="Rockwell" w:hAnsi="Rockwell"/>
                <w:szCs w:val="26"/>
              </w:rPr>
            </w:pPr>
            <w:r>
              <w:rPr>
                <w:rFonts w:ascii="Rockwell" w:hAnsi="Rockwell"/>
                <w:szCs w:val="26"/>
              </w:rPr>
              <w:t>Démocratique Africain</w:t>
            </w:r>
          </w:p>
        </w:tc>
      </w:tr>
      <w:tr w:rsidR="00284822" w14:paraId="42C53DE9"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69314E8" w14:textId="77777777" w:rsidR="00284822" w:rsidRDefault="00F77BF8">
            <w:pPr>
              <w:spacing w:before="120" w:after="120"/>
              <w:rPr>
                <w:rFonts w:ascii="Rockwell" w:hAnsi="Rockwell"/>
                <w:b/>
                <w:bCs/>
                <w:szCs w:val="26"/>
              </w:rPr>
            </w:pPr>
            <w:r>
              <w:rPr>
                <w:rFonts w:ascii="Rockwell" w:hAnsi="Rockwell"/>
                <w:b/>
                <w:bCs/>
                <w:szCs w:val="26"/>
              </w:rPr>
              <w:t>ADB </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395BECB" w14:textId="77777777" w:rsidR="00284822" w:rsidRDefault="00F77BF8">
            <w:pPr>
              <w:spacing w:before="120" w:after="120"/>
              <w:ind w:left="178" w:hanging="178"/>
              <w:rPr>
                <w:rFonts w:ascii="Rockwell" w:hAnsi="Rockwell"/>
                <w:szCs w:val="26"/>
              </w:rPr>
            </w:pPr>
            <w:r>
              <w:rPr>
                <w:rFonts w:ascii="Rockwell" w:hAnsi="Rockwell"/>
                <w:szCs w:val="26"/>
              </w:rPr>
              <w:t>Alliance des Démocrates du Burkina</w:t>
            </w:r>
          </w:p>
        </w:tc>
      </w:tr>
      <w:tr w:rsidR="00284822" w14:paraId="01CE4898"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3E4F2C5" w14:textId="77777777" w:rsidR="00284822" w:rsidRDefault="00F77BF8">
            <w:pPr>
              <w:spacing w:before="120" w:after="120"/>
              <w:rPr>
                <w:rFonts w:ascii="Rockwell" w:hAnsi="Rockwell"/>
                <w:b/>
                <w:bCs/>
                <w:szCs w:val="26"/>
              </w:rPr>
            </w:pPr>
            <w:r>
              <w:rPr>
                <w:rFonts w:ascii="Rockwell" w:hAnsi="Rockwell"/>
                <w:b/>
                <w:bCs/>
                <w:szCs w:val="26"/>
              </w:rPr>
              <w:t>ADD</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1422691" w14:textId="77777777" w:rsidR="00284822" w:rsidRDefault="00F77BF8">
            <w:pPr>
              <w:spacing w:before="120" w:after="120"/>
              <w:ind w:left="178" w:hanging="178"/>
              <w:rPr>
                <w:rFonts w:ascii="Rockwell" w:hAnsi="Rockwell"/>
                <w:szCs w:val="26"/>
              </w:rPr>
            </w:pPr>
            <w:r>
              <w:rPr>
                <w:rFonts w:ascii="Rockwell" w:hAnsi="Rockwell"/>
                <w:szCs w:val="26"/>
              </w:rPr>
              <w:t>Alliance des Démocrates pour le Développement</w:t>
            </w:r>
          </w:p>
        </w:tc>
      </w:tr>
      <w:tr w:rsidR="00284822" w14:paraId="09D3F907"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1C3A05F" w14:textId="77777777" w:rsidR="00284822" w:rsidRDefault="00F77BF8">
            <w:pPr>
              <w:spacing w:before="120" w:after="120"/>
              <w:rPr>
                <w:rFonts w:ascii="Rockwell" w:hAnsi="Rockwell"/>
                <w:b/>
                <w:bCs/>
                <w:szCs w:val="26"/>
              </w:rPr>
            </w:pPr>
            <w:r>
              <w:rPr>
                <w:rFonts w:ascii="Rockwell" w:hAnsi="Rockwell"/>
                <w:b/>
                <w:bCs/>
                <w:szCs w:val="26"/>
              </w:rPr>
              <w:t>ADP</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8EC3C59" w14:textId="77777777" w:rsidR="00284822" w:rsidRDefault="00F77BF8">
            <w:pPr>
              <w:spacing w:before="120" w:after="120"/>
              <w:ind w:left="178" w:hanging="178"/>
              <w:rPr>
                <w:rFonts w:ascii="Rockwell" w:hAnsi="Rockwell"/>
                <w:szCs w:val="26"/>
              </w:rPr>
            </w:pPr>
            <w:r>
              <w:rPr>
                <w:rFonts w:ascii="Rockwell" w:hAnsi="Rockwell"/>
                <w:szCs w:val="26"/>
              </w:rPr>
              <w:t>Alliance pour la Défense de la Patrie</w:t>
            </w:r>
          </w:p>
        </w:tc>
      </w:tr>
      <w:tr w:rsidR="00284822" w14:paraId="02125FF3"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4053B17" w14:textId="77777777" w:rsidR="00284822" w:rsidRDefault="00F77BF8">
            <w:pPr>
              <w:spacing w:before="120" w:after="120"/>
              <w:rPr>
                <w:rFonts w:ascii="Rockwell" w:hAnsi="Rockwell"/>
                <w:b/>
                <w:bCs/>
                <w:szCs w:val="26"/>
              </w:rPr>
            </w:pPr>
            <w:r>
              <w:rPr>
                <w:rFonts w:ascii="Rockwell" w:hAnsi="Rockwell"/>
                <w:b/>
                <w:bCs/>
                <w:szCs w:val="26"/>
              </w:rPr>
              <w:t>ANC</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7B8A803" w14:textId="77777777" w:rsidR="00284822" w:rsidRDefault="00F77BF8">
            <w:pPr>
              <w:spacing w:before="120" w:after="120"/>
              <w:ind w:left="178" w:hanging="178"/>
              <w:rPr>
                <w:rFonts w:ascii="Rockwell" w:hAnsi="Rockwell"/>
                <w:szCs w:val="26"/>
              </w:rPr>
            </w:pPr>
            <w:r>
              <w:rPr>
                <w:rFonts w:ascii="Rockwell" w:hAnsi="Rockwell"/>
                <w:szCs w:val="26"/>
              </w:rPr>
              <w:t>Alliance des Nouvelles Consciences</w:t>
            </w:r>
          </w:p>
        </w:tc>
      </w:tr>
      <w:tr w:rsidR="00284822" w14:paraId="1C6BCCD8"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5F78D46" w14:textId="77777777" w:rsidR="00284822" w:rsidRDefault="00F77BF8">
            <w:pPr>
              <w:spacing w:before="120" w:after="120"/>
              <w:rPr>
                <w:rFonts w:ascii="Rockwell" w:hAnsi="Rockwell"/>
                <w:b/>
                <w:bCs/>
                <w:szCs w:val="26"/>
              </w:rPr>
            </w:pPr>
            <w:r>
              <w:rPr>
                <w:rFonts w:ascii="Rockwell" w:hAnsi="Rockwell"/>
                <w:b/>
                <w:bCs/>
                <w:szCs w:val="26"/>
              </w:rPr>
              <w:t>APP/B</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4F37F69" w14:textId="77777777" w:rsidR="00284822" w:rsidRDefault="00F77BF8">
            <w:pPr>
              <w:spacing w:before="120" w:after="120"/>
              <w:ind w:left="178" w:hanging="178"/>
              <w:rPr>
                <w:rFonts w:ascii="Rockwell" w:hAnsi="Rockwell"/>
                <w:szCs w:val="26"/>
              </w:rPr>
            </w:pPr>
            <w:r>
              <w:rPr>
                <w:rFonts w:ascii="Rockwell" w:hAnsi="Rockwell"/>
                <w:color w:val="000000"/>
                <w:szCs w:val="26"/>
              </w:rPr>
              <w:t>Alliance Patriotique Panafricaine/</w:t>
            </w:r>
            <w:proofErr w:type="spellStart"/>
            <w:r>
              <w:rPr>
                <w:rFonts w:ascii="Rockwell" w:hAnsi="Rockwell"/>
                <w:color w:val="000000"/>
                <w:szCs w:val="26"/>
              </w:rPr>
              <w:t>Burkindi</w:t>
            </w:r>
            <w:proofErr w:type="spellEnd"/>
          </w:p>
        </w:tc>
      </w:tr>
      <w:tr w:rsidR="00284822" w14:paraId="3E7FBE68"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E9E2AF2" w14:textId="77777777" w:rsidR="00284822" w:rsidRDefault="00F77BF8">
            <w:pPr>
              <w:spacing w:before="120" w:after="120"/>
              <w:rPr>
                <w:rFonts w:ascii="Rockwell" w:hAnsi="Rockwell"/>
                <w:b/>
                <w:bCs/>
                <w:szCs w:val="26"/>
              </w:rPr>
            </w:pPr>
            <w:r>
              <w:rPr>
                <w:rFonts w:ascii="Rockwell" w:hAnsi="Rockwell"/>
                <w:b/>
                <w:bCs/>
                <w:szCs w:val="26"/>
              </w:rPr>
              <w:t>ARDI</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4E273C2" w14:textId="77777777" w:rsidR="00284822" w:rsidRDefault="00F77BF8">
            <w:pPr>
              <w:spacing w:before="120" w:after="120"/>
              <w:rPr>
                <w:rFonts w:ascii="Rockwell" w:hAnsi="Rockwell"/>
                <w:szCs w:val="26"/>
              </w:rPr>
            </w:pPr>
            <w:r>
              <w:rPr>
                <w:rFonts w:ascii="Rockwell" w:hAnsi="Rockwell"/>
                <w:szCs w:val="26"/>
              </w:rPr>
              <w:t>Alliance pour la Renaissance, la Démocratie et l'Intégration</w:t>
            </w:r>
          </w:p>
        </w:tc>
      </w:tr>
      <w:tr w:rsidR="00284822" w14:paraId="52A46231"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5B868F5" w14:textId="77777777" w:rsidR="00284822" w:rsidRDefault="00F77BF8">
            <w:pPr>
              <w:spacing w:before="120" w:after="120"/>
              <w:rPr>
                <w:rFonts w:ascii="Rockwell" w:hAnsi="Rockwell"/>
                <w:b/>
                <w:bCs/>
                <w:szCs w:val="26"/>
              </w:rPr>
            </w:pPr>
            <w:r>
              <w:rPr>
                <w:rFonts w:ascii="Rockwell" w:hAnsi="Rockwell"/>
                <w:b/>
                <w:bCs/>
                <w:szCs w:val="26"/>
              </w:rPr>
              <w:t>ATD</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E9F5C4A" w14:textId="77777777" w:rsidR="00284822" w:rsidRDefault="00F77BF8">
            <w:pPr>
              <w:spacing w:before="120" w:after="120"/>
              <w:rPr>
                <w:rFonts w:ascii="Rockwell" w:hAnsi="Rockwell"/>
                <w:szCs w:val="26"/>
              </w:rPr>
            </w:pPr>
            <w:r>
              <w:rPr>
                <w:rFonts w:ascii="Rockwell" w:hAnsi="Rockwell"/>
                <w:szCs w:val="26"/>
              </w:rPr>
              <w:t xml:space="preserve">Alliance Travailliste pour le Développement </w:t>
            </w:r>
          </w:p>
        </w:tc>
      </w:tr>
      <w:tr w:rsidR="00284822" w14:paraId="65117203"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757CD71" w14:textId="77777777" w:rsidR="00284822" w:rsidRDefault="00F77BF8">
            <w:pPr>
              <w:spacing w:before="120" w:after="120"/>
              <w:rPr>
                <w:rFonts w:ascii="Rockwell" w:hAnsi="Rockwell"/>
                <w:b/>
                <w:bCs/>
                <w:szCs w:val="26"/>
              </w:rPr>
            </w:pPr>
            <w:r>
              <w:rPr>
                <w:rFonts w:ascii="Rockwell" w:hAnsi="Rockwell"/>
                <w:b/>
                <w:bCs/>
                <w:szCs w:val="26"/>
              </w:rPr>
              <w:t>CDP</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E712125" w14:textId="77777777" w:rsidR="00284822" w:rsidRDefault="00F77BF8">
            <w:pPr>
              <w:spacing w:before="120" w:after="120"/>
              <w:rPr>
                <w:rFonts w:ascii="Rockwell" w:hAnsi="Rockwell"/>
                <w:szCs w:val="26"/>
              </w:rPr>
            </w:pPr>
            <w:r>
              <w:rPr>
                <w:rFonts w:ascii="Rockwell" w:hAnsi="Rockwell"/>
                <w:szCs w:val="26"/>
              </w:rPr>
              <w:t>Congrès pour la Démocratie et le Progrès</w:t>
            </w:r>
          </w:p>
        </w:tc>
      </w:tr>
      <w:tr w:rsidR="00284822" w14:paraId="7A3E3196"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94FDAAB" w14:textId="77777777" w:rsidR="00284822" w:rsidRDefault="00F77BF8">
            <w:pPr>
              <w:spacing w:before="120" w:after="120"/>
              <w:rPr>
                <w:rFonts w:ascii="Rockwell" w:hAnsi="Rockwell"/>
                <w:b/>
                <w:bCs/>
                <w:szCs w:val="26"/>
              </w:rPr>
            </w:pPr>
            <w:r>
              <w:rPr>
                <w:rFonts w:ascii="Rockwell" w:hAnsi="Rockwell"/>
                <w:b/>
                <w:bCs/>
                <w:szCs w:val="26"/>
              </w:rPr>
              <w:t>CRP</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784BC72" w14:textId="77777777" w:rsidR="00284822" w:rsidRDefault="00F77BF8">
            <w:pPr>
              <w:spacing w:before="120" w:after="120"/>
              <w:rPr>
                <w:rFonts w:ascii="Rockwell" w:hAnsi="Rockwell"/>
                <w:szCs w:val="26"/>
              </w:rPr>
            </w:pPr>
            <w:r>
              <w:rPr>
                <w:rFonts w:ascii="Rockwell" w:hAnsi="Rockwell"/>
                <w:szCs w:val="26"/>
              </w:rPr>
              <w:t>Congrès pour la Renaissance et le Progrès</w:t>
            </w:r>
          </w:p>
        </w:tc>
      </w:tr>
      <w:tr w:rsidR="00284822" w14:paraId="10D0A196"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F012EF8" w14:textId="77777777" w:rsidR="00284822" w:rsidRDefault="00F77BF8">
            <w:pPr>
              <w:spacing w:before="120" w:after="120"/>
              <w:rPr>
                <w:rFonts w:ascii="Rockwell" w:hAnsi="Rockwell"/>
                <w:b/>
                <w:bCs/>
                <w:szCs w:val="26"/>
              </w:rPr>
            </w:pPr>
            <w:r>
              <w:rPr>
                <w:rFonts w:ascii="Rockwell" w:hAnsi="Rockwell"/>
                <w:b/>
                <w:bCs/>
                <w:szCs w:val="26"/>
              </w:rPr>
              <w:t>CSC</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B73B417" w14:textId="77777777" w:rsidR="00284822" w:rsidRDefault="00F77BF8">
            <w:pPr>
              <w:spacing w:before="120" w:after="120"/>
              <w:rPr>
                <w:rFonts w:ascii="Rockwell" w:hAnsi="Rockwell"/>
                <w:szCs w:val="26"/>
              </w:rPr>
            </w:pPr>
            <w:r>
              <w:rPr>
                <w:rFonts w:ascii="Rockwell" w:hAnsi="Rockwell"/>
                <w:bCs/>
                <w:szCs w:val="26"/>
              </w:rPr>
              <w:t>Conseil Supérieur de la Communication</w:t>
            </w:r>
          </w:p>
        </w:tc>
      </w:tr>
      <w:tr w:rsidR="00284822" w14:paraId="41FCA50A"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ED3B90E" w14:textId="77777777" w:rsidR="00284822" w:rsidRDefault="00F77BF8">
            <w:pPr>
              <w:spacing w:before="120" w:after="120"/>
              <w:rPr>
                <w:rFonts w:ascii="Rockwell" w:hAnsi="Rockwell"/>
                <w:b/>
                <w:bCs/>
                <w:szCs w:val="26"/>
              </w:rPr>
            </w:pPr>
            <w:r>
              <w:rPr>
                <w:rFonts w:ascii="Rockwell" w:hAnsi="Rockwell"/>
                <w:b/>
                <w:bCs/>
                <w:szCs w:val="26"/>
              </w:rPr>
              <w:t>FA</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B6F2575" w14:textId="77777777" w:rsidR="00284822" w:rsidRDefault="00F77BF8">
            <w:pPr>
              <w:spacing w:before="120" w:after="120"/>
              <w:rPr>
                <w:rFonts w:ascii="Rockwell" w:hAnsi="Rockwell"/>
                <w:szCs w:val="26"/>
              </w:rPr>
            </w:pPr>
            <w:r>
              <w:rPr>
                <w:rFonts w:ascii="Rockwell" w:hAnsi="Rockwell"/>
                <w:szCs w:val="26"/>
              </w:rPr>
              <w:t>Le Faso Autrement</w:t>
            </w:r>
          </w:p>
        </w:tc>
      </w:tr>
      <w:tr w:rsidR="00284822" w14:paraId="00887F03"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4543891" w14:textId="77777777" w:rsidR="00284822" w:rsidRDefault="00F77BF8">
            <w:pPr>
              <w:spacing w:before="120" w:after="120"/>
              <w:rPr>
                <w:rFonts w:ascii="Rockwell" w:hAnsi="Rockwell"/>
                <w:b/>
                <w:bCs/>
                <w:szCs w:val="26"/>
              </w:rPr>
            </w:pPr>
            <w:r>
              <w:rPr>
                <w:rFonts w:ascii="Rockwell" w:hAnsi="Rockwell"/>
                <w:b/>
                <w:bCs/>
                <w:szCs w:val="26"/>
              </w:rPr>
              <w:t>FCD</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E0AD489" w14:textId="77777777" w:rsidR="00284822" w:rsidRDefault="00F77BF8">
            <w:pPr>
              <w:spacing w:before="120" w:after="120"/>
              <w:rPr>
                <w:rFonts w:ascii="Rockwell" w:hAnsi="Rockwell"/>
                <w:szCs w:val="26"/>
              </w:rPr>
            </w:pPr>
            <w:r>
              <w:rPr>
                <w:rFonts w:ascii="Rockwell" w:hAnsi="Rockwell"/>
                <w:szCs w:val="26"/>
              </w:rPr>
              <w:t>Front Commun pour le Développement</w:t>
            </w:r>
          </w:p>
        </w:tc>
      </w:tr>
      <w:tr w:rsidR="00284822" w14:paraId="32682BAB"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F7D57A8" w14:textId="77777777" w:rsidR="00284822" w:rsidRDefault="00F77BF8">
            <w:pPr>
              <w:spacing w:before="120" w:after="120"/>
              <w:rPr>
                <w:rFonts w:ascii="Rockwell" w:hAnsi="Rockwell"/>
                <w:b/>
                <w:bCs/>
                <w:szCs w:val="26"/>
              </w:rPr>
            </w:pPr>
            <w:r>
              <w:rPr>
                <w:rFonts w:ascii="Rockwell" w:hAnsi="Rockwell"/>
                <w:b/>
                <w:bCs/>
                <w:szCs w:val="26"/>
              </w:rPr>
              <w:t>FP</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6987909" w14:textId="77777777" w:rsidR="00284822" w:rsidRDefault="00F77BF8">
            <w:pPr>
              <w:spacing w:before="120" w:after="120"/>
              <w:rPr>
                <w:rFonts w:ascii="Rockwell" w:hAnsi="Rockwell"/>
                <w:szCs w:val="26"/>
              </w:rPr>
            </w:pPr>
            <w:r>
              <w:rPr>
                <w:rFonts w:ascii="Rockwell" w:hAnsi="Rockwell"/>
                <w:szCs w:val="26"/>
              </w:rPr>
              <w:t>Front Progressiste</w:t>
            </w:r>
          </w:p>
        </w:tc>
      </w:tr>
      <w:tr w:rsidR="00284822" w14:paraId="246BFABA"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16015BD" w14:textId="77777777" w:rsidR="00284822" w:rsidRDefault="00F77BF8">
            <w:pPr>
              <w:spacing w:before="120" w:after="120"/>
              <w:rPr>
                <w:rFonts w:ascii="Rockwell" w:hAnsi="Rockwell"/>
                <w:b/>
                <w:bCs/>
                <w:szCs w:val="26"/>
              </w:rPr>
            </w:pPr>
            <w:r>
              <w:rPr>
                <w:rFonts w:ascii="Rockwell" w:hAnsi="Rockwell"/>
                <w:b/>
                <w:bCs/>
                <w:szCs w:val="26"/>
              </w:rPr>
              <w:t>FPC/Y</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2ECC9A" w14:textId="77777777" w:rsidR="00284822" w:rsidRDefault="00F77BF8">
            <w:pPr>
              <w:spacing w:before="120" w:after="120"/>
              <w:rPr>
                <w:rFonts w:ascii="Rockwell" w:hAnsi="Rockwell"/>
                <w:szCs w:val="26"/>
              </w:rPr>
            </w:pPr>
            <w:r>
              <w:rPr>
                <w:rFonts w:ascii="Rockwell" w:hAnsi="Rockwell"/>
                <w:szCs w:val="26"/>
              </w:rPr>
              <w:t>Front Patriotique pour le Changement/</w:t>
            </w:r>
            <w:proofErr w:type="spellStart"/>
            <w:r>
              <w:rPr>
                <w:rFonts w:ascii="Rockwell" w:hAnsi="Rockwell"/>
                <w:szCs w:val="26"/>
              </w:rPr>
              <w:t>Yelemani</w:t>
            </w:r>
            <w:proofErr w:type="spellEnd"/>
          </w:p>
        </w:tc>
      </w:tr>
      <w:tr w:rsidR="00284822" w14:paraId="59AE7BC5"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D7E6FAF" w14:textId="77777777" w:rsidR="00284822" w:rsidRDefault="00F77BF8">
            <w:pPr>
              <w:spacing w:before="120" w:after="120"/>
              <w:rPr>
                <w:rFonts w:ascii="Rockwell" w:hAnsi="Rockwell"/>
                <w:b/>
                <w:bCs/>
                <w:szCs w:val="26"/>
              </w:rPr>
            </w:pPr>
            <w:r>
              <w:rPr>
                <w:rFonts w:ascii="Rockwell" w:hAnsi="Rockwell"/>
                <w:b/>
                <w:bCs/>
                <w:szCs w:val="26"/>
              </w:rPr>
              <w:t>FPR</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68F7CAA" w14:textId="77777777" w:rsidR="00284822" w:rsidRDefault="00F77BF8">
            <w:pPr>
              <w:spacing w:before="120" w:after="120"/>
              <w:rPr>
                <w:rFonts w:ascii="Rockwell" w:hAnsi="Rockwell"/>
                <w:szCs w:val="26"/>
              </w:rPr>
            </w:pPr>
            <w:r>
              <w:rPr>
                <w:rFonts w:ascii="Rockwell" w:hAnsi="Rockwell"/>
                <w:szCs w:val="26"/>
              </w:rPr>
              <w:t>Front Patriotique pour le Renouveau</w:t>
            </w:r>
          </w:p>
        </w:tc>
      </w:tr>
      <w:tr w:rsidR="00284822" w14:paraId="20756DD5"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5CF11A1" w14:textId="77777777" w:rsidR="00284822" w:rsidRDefault="00F77BF8">
            <w:pPr>
              <w:spacing w:before="120" w:after="120"/>
              <w:rPr>
                <w:rFonts w:ascii="Rockwell" w:hAnsi="Rockwell"/>
                <w:b/>
                <w:bCs/>
                <w:szCs w:val="26"/>
              </w:rPr>
            </w:pPr>
            <w:r>
              <w:rPr>
                <w:rFonts w:ascii="Rockwell" w:hAnsi="Rockwell"/>
                <w:b/>
                <w:bCs/>
                <w:szCs w:val="26"/>
              </w:rPr>
              <w:t>HMS</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3E417E4" w14:textId="77777777" w:rsidR="00284822" w:rsidRDefault="00F77BF8">
            <w:pPr>
              <w:spacing w:before="120" w:after="120"/>
              <w:rPr>
                <w:rFonts w:ascii="Rockwell" w:hAnsi="Rockwell"/>
                <w:szCs w:val="26"/>
              </w:rPr>
            </w:pPr>
            <w:r>
              <w:rPr>
                <w:rFonts w:ascii="Rockwell" w:hAnsi="Rockwell"/>
                <w:bCs/>
                <w:szCs w:val="26"/>
              </w:rPr>
              <w:t>HACA Media Solutions</w:t>
            </w:r>
          </w:p>
        </w:tc>
      </w:tr>
      <w:tr w:rsidR="00284822" w14:paraId="787DE842"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4033C59" w14:textId="77777777" w:rsidR="00284822" w:rsidRDefault="00F77BF8">
            <w:pPr>
              <w:spacing w:before="120" w:after="120"/>
              <w:rPr>
                <w:rFonts w:ascii="Rockwell" w:hAnsi="Rockwell"/>
                <w:b/>
                <w:bCs/>
                <w:szCs w:val="26"/>
              </w:rPr>
            </w:pPr>
            <w:r>
              <w:rPr>
                <w:rFonts w:ascii="Rockwell" w:hAnsi="Rockwell"/>
                <w:b/>
                <w:bCs/>
                <w:szCs w:val="26"/>
              </w:rPr>
              <w:lastRenderedPageBreak/>
              <w:t>L’AB/PSR</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B2F1679" w14:textId="1AB05BD3" w:rsidR="00284822" w:rsidRDefault="00F77BF8">
            <w:pPr>
              <w:spacing w:before="120" w:after="120"/>
              <w:rPr>
                <w:rFonts w:ascii="Rockwell" w:hAnsi="Rockwell"/>
                <w:szCs w:val="26"/>
              </w:rPr>
            </w:pPr>
            <w:r>
              <w:rPr>
                <w:rFonts w:ascii="Rockwell" w:hAnsi="Rockwell"/>
                <w:szCs w:val="26"/>
              </w:rPr>
              <w:t>L’Autre Burkina/Parti pour le Socialisme et la Refondation</w:t>
            </w:r>
          </w:p>
        </w:tc>
      </w:tr>
      <w:tr w:rsidR="00284822" w14:paraId="0B2D2D24"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144370C" w14:textId="77777777" w:rsidR="00284822" w:rsidRDefault="00F77BF8">
            <w:pPr>
              <w:spacing w:before="120" w:after="120"/>
              <w:rPr>
                <w:rFonts w:ascii="Rockwell" w:hAnsi="Rockwell"/>
                <w:b/>
                <w:bCs/>
                <w:szCs w:val="26"/>
              </w:rPr>
            </w:pPr>
            <w:r>
              <w:rPr>
                <w:rFonts w:ascii="Rockwell" w:hAnsi="Rockwell"/>
                <w:b/>
                <w:bCs/>
                <w:szCs w:val="26"/>
              </w:rPr>
              <w:t>LMP</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1007FA2" w14:textId="77777777" w:rsidR="00284822" w:rsidRDefault="00F77BF8">
            <w:pPr>
              <w:spacing w:before="120" w:after="120"/>
              <w:rPr>
                <w:rFonts w:ascii="Rockwell" w:hAnsi="Rockwell"/>
                <w:szCs w:val="26"/>
              </w:rPr>
            </w:pPr>
            <w:r>
              <w:rPr>
                <w:rFonts w:ascii="Rockwell" w:hAnsi="Rockwell"/>
                <w:szCs w:val="26"/>
              </w:rPr>
              <w:t>La Marche pour la Patrie</w:t>
            </w:r>
          </w:p>
        </w:tc>
      </w:tr>
      <w:tr w:rsidR="00284822" w14:paraId="22D3C523"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F2975E6" w14:textId="77777777" w:rsidR="00284822" w:rsidRDefault="00F77BF8">
            <w:pPr>
              <w:spacing w:before="120" w:after="120"/>
              <w:rPr>
                <w:rFonts w:ascii="Rockwell" w:hAnsi="Rockwell"/>
                <w:b/>
                <w:bCs/>
                <w:szCs w:val="26"/>
              </w:rPr>
            </w:pPr>
            <w:r>
              <w:rPr>
                <w:rFonts w:ascii="Rockwell" w:hAnsi="Rockwell"/>
                <w:b/>
                <w:bCs/>
                <w:szCs w:val="26"/>
              </w:rPr>
              <w:t>MAE</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49CEA42" w14:textId="77777777" w:rsidR="00284822" w:rsidRDefault="00F77BF8">
            <w:pPr>
              <w:spacing w:before="120" w:after="120"/>
              <w:rPr>
                <w:rFonts w:ascii="Rockwell" w:hAnsi="Rockwell"/>
                <w:szCs w:val="26"/>
              </w:rPr>
            </w:pPr>
            <w:r>
              <w:rPr>
                <w:rFonts w:ascii="Rockwell" w:hAnsi="Rockwell"/>
                <w:szCs w:val="26"/>
              </w:rPr>
              <w:t>Mouvement Agir Ensemble</w:t>
            </w:r>
          </w:p>
        </w:tc>
      </w:tr>
      <w:tr w:rsidR="00284822" w14:paraId="41988114"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13E9D6B" w14:textId="77777777" w:rsidR="00284822" w:rsidRDefault="00F77BF8">
            <w:pPr>
              <w:spacing w:before="120" w:after="120"/>
              <w:rPr>
                <w:rFonts w:ascii="Rockwell" w:hAnsi="Rockwell"/>
                <w:b/>
                <w:bCs/>
                <w:szCs w:val="26"/>
              </w:rPr>
            </w:pPr>
            <w:r>
              <w:rPr>
                <w:rFonts w:ascii="Rockwell" w:hAnsi="Rockwell"/>
                <w:b/>
                <w:bCs/>
                <w:szCs w:val="26"/>
              </w:rPr>
              <w:t xml:space="preserve">MAP </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A29D335" w14:textId="77777777" w:rsidR="00284822" w:rsidRDefault="00F77BF8">
            <w:pPr>
              <w:spacing w:before="120" w:after="120"/>
              <w:rPr>
                <w:rFonts w:ascii="Rockwell" w:hAnsi="Rockwell"/>
                <w:szCs w:val="26"/>
              </w:rPr>
            </w:pPr>
            <w:r>
              <w:rPr>
                <w:rFonts w:ascii="Rockwell" w:hAnsi="Rockwell"/>
                <w:szCs w:val="26"/>
              </w:rPr>
              <w:t>Mouvement Africain des Peuples</w:t>
            </w:r>
          </w:p>
        </w:tc>
      </w:tr>
      <w:tr w:rsidR="00284822" w14:paraId="74B0DE9F"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29CBA87" w14:textId="77777777" w:rsidR="00284822" w:rsidRDefault="00F77BF8">
            <w:pPr>
              <w:spacing w:before="120" w:after="120"/>
              <w:rPr>
                <w:rFonts w:ascii="Rockwell" w:hAnsi="Rockwell"/>
                <w:b/>
                <w:bCs/>
                <w:szCs w:val="26"/>
              </w:rPr>
            </w:pPr>
            <w:r>
              <w:rPr>
                <w:rFonts w:ascii="Rockwell" w:hAnsi="Rockwell"/>
                <w:b/>
                <w:bCs/>
                <w:szCs w:val="26"/>
              </w:rPr>
              <w:t>MBF</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1AC93DA" w14:textId="77777777" w:rsidR="00284822" w:rsidRDefault="00F77BF8">
            <w:pPr>
              <w:spacing w:before="120" w:after="120"/>
              <w:rPr>
                <w:rFonts w:ascii="Rockwell" w:hAnsi="Rockwell"/>
                <w:szCs w:val="26"/>
              </w:rPr>
            </w:pPr>
            <w:r>
              <w:rPr>
                <w:rFonts w:ascii="Rockwell" w:hAnsi="Rockwell"/>
                <w:szCs w:val="26"/>
              </w:rPr>
              <w:t>Mouvement pour le Burkina du Futur</w:t>
            </w:r>
          </w:p>
        </w:tc>
      </w:tr>
      <w:tr w:rsidR="00284822" w14:paraId="7F1AAB59"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0595E17" w14:textId="77777777" w:rsidR="00284822" w:rsidRDefault="00F77BF8">
            <w:pPr>
              <w:spacing w:before="120" w:after="120"/>
              <w:rPr>
                <w:rFonts w:ascii="Rockwell" w:hAnsi="Rockwell"/>
                <w:b/>
                <w:bCs/>
                <w:szCs w:val="26"/>
              </w:rPr>
            </w:pPr>
            <w:r>
              <w:rPr>
                <w:rFonts w:ascii="Rockwell" w:hAnsi="Rockwell"/>
                <w:b/>
                <w:bCs/>
                <w:szCs w:val="26"/>
              </w:rPr>
              <w:t>MBU</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F7B7A96" w14:textId="77777777" w:rsidR="00284822" w:rsidRDefault="00F77BF8">
            <w:pPr>
              <w:spacing w:before="120" w:after="120"/>
              <w:rPr>
                <w:rFonts w:ascii="Rockwell" w:hAnsi="Rockwell"/>
                <w:szCs w:val="26"/>
              </w:rPr>
            </w:pPr>
            <w:r>
              <w:rPr>
                <w:rFonts w:ascii="Rockwell" w:hAnsi="Rockwell"/>
                <w:szCs w:val="26"/>
              </w:rPr>
              <w:t>Mouvement pour le Burkina Uni</w:t>
            </w:r>
          </w:p>
        </w:tc>
      </w:tr>
      <w:tr w:rsidR="00284822" w14:paraId="14AFC0B8"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D2C73E3" w14:textId="77777777" w:rsidR="00284822" w:rsidRDefault="00F77BF8">
            <w:pPr>
              <w:spacing w:before="120" w:after="120"/>
              <w:rPr>
                <w:rFonts w:ascii="Rockwell" w:hAnsi="Rockwell"/>
                <w:b/>
                <w:bCs/>
                <w:szCs w:val="26"/>
              </w:rPr>
            </w:pPr>
            <w:r>
              <w:rPr>
                <w:rFonts w:ascii="Rockwell" w:hAnsi="Rockwell"/>
                <w:b/>
                <w:bCs/>
                <w:szCs w:val="26"/>
              </w:rPr>
              <w:t>MCR</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D669D5C" w14:textId="77777777" w:rsidR="00284822" w:rsidRDefault="00F77BF8">
            <w:pPr>
              <w:spacing w:before="120" w:after="120"/>
              <w:rPr>
                <w:rFonts w:ascii="Rockwell" w:hAnsi="Rockwell"/>
                <w:szCs w:val="26"/>
              </w:rPr>
            </w:pPr>
            <w:r>
              <w:rPr>
                <w:rFonts w:ascii="Rockwell" w:hAnsi="Rockwell"/>
                <w:szCs w:val="26"/>
              </w:rPr>
              <w:t>Mouvement pour le Changement et la Renaissance</w:t>
            </w:r>
          </w:p>
        </w:tc>
      </w:tr>
      <w:tr w:rsidR="00284822" w14:paraId="1FCA7844"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58114B5" w14:textId="77777777" w:rsidR="00284822" w:rsidRDefault="00F77BF8">
            <w:pPr>
              <w:spacing w:before="120" w:after="120"/>
              <w:rPr>
                <w:rFonts w:ascii="Rockwell" w:hAnsi="Rockwell"/>
                <w:b/>
                <w:bCs/>
                <w:szCs w:val="26"/>
              </w:rPr>
            </w:pPr>
            <w:r>
              <w:rPr>
                <w:rFonts w:ascii="Rockwell" w:hAnsi="Rockwell"/>
                <w:b/>
                <w:bCs/>
                <w:szCs w:val="26"/>
              </w:rPr>
              <w:t>MDP-BF</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40430A2" w14:textId="77777777" w:rsidR="00284822" w:rsidRDefault="00F77BF8">
            <w:pPr>
              <w:spacing w:before="120" w:after="120"/>
              <w:rPr>
                <w:rFonts w:ascii="Rockwell" w:hAnsi="Rockwell"/>
                <w:szCs w:val="26"/>
              </w:rPr>
            </w:pPr>
            <w:r>
              <w:rPr>
                <w:rFonts w:ascii="Rockwell" w:hAnsi="Rockwell"/>
                <w:szCs w:val="26"/>
              </w:rPr>
              <w:t>Mouvement pour la Défense de la Patrie/Burkina Faso</w:t>
            </w:r>
          </w:p>
        </w:tc>
      </w:tr>
      <w:tr w:rsidR="00284822" w14:paraId="10E134F5"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5749222" w14:textId="77777777" w:rsidR="00284822" w:rsidRDefault="00F77BF8">
            <w:pPr>
              <w:spacing w:before="120" w:after="120"/>
              <w:rPr>
                <w:rFonts w:ascii="Rockwell" w:hAnsi="Rockwell"/>
                <w:b/>
                <w:bCs/>
                <w:szCs w:val="26"/>
              </w:rPr>
            </w:pPr>
            <w:r>
              <w:rPr>
                <w:rFonts w:ascii="Rockwell" w:hAnsi="Rockwell"/>
                <w:b/>
                <w:bCs/>
                <w:szCs w:val="26"/>
              </w:rPr>
              <w:t>MIDE</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416FC7D" w14:textId="77777777" w:rsidR="00284822" w:rsidRDefault="00F77BF8">
            <w:pPr>
              <w:spacing w:before="120" w:after="120"/>
              <w:rPr>
                <w:rFonts w:ascii="Rockwell" w:hAnsi="Rockwell"/>
                <w:color w:val="000000"/>
                <w:szCs w:val="26"/>
              </w:rPr>
            </w:pPr>
            <w:r>
              <w:rPr>
                <w:rFonts w:ascii="Rockwell" w:hAnsi="Rockwell"/>
                <w:color w:val="000000"/>
                <w:szCs w:val="26"/>
              </w:rPr>
              <w:t>Mouvement des Intellectuels pour le Développement</w:t>
            </w:r>
          </w:p>
        </w:tc>
      </w:tr>
      <w:tr w:rsidR="00284822" w14:paraId="57B3472D"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AB963E9" w14:textId="77777777" w:rsidR="00284822" w:rsidRDefault="00F77BF8">
            <w:pPr>
              <w:spacing w:before="120" w:after="120"/>
              <w:rPr>
                <w:rFonts w:ascii="Rockwell" w:hAnsi="Rockwell"/>
                <w:b/>
                <w:bCs/>
                <w:szCs w:val="26"/>
              </w:rPr>
            </w:pPr>
            <w:r>
              <w:rPr>
                <w:rFonts w:ascii="Rockwell" w:hAnsi="Rockwell"/>
                <w:b/>
                <w:bCs/>
                <w:szCs w:val="26"/>
              </w:rPr>
              <w:t>MODEM</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53AB15F" w14:textId="77777777" w:rsidR="00284822" w:rsidRDefault="00F77BF8">
            <w:pPr>
              <w:spacing w:before="120" w:after="120"/>
              <w:rPr>
                <w:rFonts w:ascii="Rockwell" w:hAnsi="Rockwell"/>
                <w:szCs w:val="26"/>
              </w:rPr>
            </w:pPr>
            <w:r>
              <w:rPr>
                <w:rFonts w:ascii="Rockwell" w:hAnsi="Rockwell"/>
                <w:szCs w:val="26"/>
              </w:rPr>
              <w:t>Mouvement Démocrate</w:t>
            </w:r>
          </w:p>
        </w:tc>
      </w:tr>
      <w:tr w:rsidR="00284822" w14:paraId="7564B01D"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3BE75FF" w14:textId="77777777" w:rsidR="00284822" w:rsidRDefault="00F77BF8">
            <w:pPr>
              <w:spacing w:before="120" w:after="120"/>
              <w:rPr>
                <w:rFonts w:ascii="Rockwell" w:hAnsi="Rockwell"/>
                <w:b/>
                <w:bCs/>
                <w:szCs w:val="26"/>
              </w:rPr>
            </w:pPr>
            <w:r>
              <w:rPr>
                <w:rFonts w:ascii="Rockwell" w:hAnsi="Rockwell"/>
                <w:b/>
                <w:bCs/>
                <w:szCs w:val="26"/>
              </w:rPr>
              <w:t xml:space="preserve">MPC </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CC179A7" w14:textId="77777777" w:rsidR="00284822" w:rsidRDefault="00F77BF8">
            <w:pPr>
              <w:spacing w:before="120" w:after="120"/>
              <w:rPr>
                <w:rFonts w:ascii="Rockwell" w:hAnsi="Rockwell"/>
                <w:szCs w:val="26"/>
              </w:rPr>
            </w:pPr>
            <w:r>
              <w:rPr>
                <w:rFonts w:ascii="Rockwell" w:hAnsi="Rockwell"/>
                <w:szCs w:val="26"/>
              </w:rPr>
              <w:t>Mouvement pour le Progrès et le Changement</w:t>
            </w:r>
          </w:p>
        </w:tc>
      </w:tr>
      <w:tr w:rsidR="00284822" w14:paraId="0C5B81D5"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2C54E6F" w14:textId="77777777" w:rsidR="00284822" w:rsidRDefault="00F77BF8">
            <w:pPr>
              <w:spacing w:before="120" w:after="120"/>
              <w:rPr>
                <w:rFonts w:ascii="Rockwell" w:hAnsi="Rockwell"/>
                <w:b/>
                <w:bCs/>
                <w:szCs w:val="26"/>
              </w:rPr>
            </w:pPr>
            <w:r>
              <w:rPr>
                <w:rFonts w:ascii="Rockwell" w:hAnsi="Rockwell"/>
                <w:b/>
                <w:bCs/>
                <w:szCs w:val="26"/>
              </w:rPr>
              <w:t>MPP</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65EC294" w14:textId="77777777" w:rsidR="00284822" w:rsidRDefault="00F77BF8">
            <w:pPr>
              <w:spacing w:before="120" w:after="120"/>
              <w:rPr>
                <w:rFonts w:ascii="Rockwell" w:hAnsi="Rockwell"/>
                <w:szCs w:val="26"/>
              </w:rPr>
            </w:pPr>
            <w:r>
              <w:rPr>
                <w:rFonts w:ascii="Rockwell" w:hAnsi="Rockwell"/>
                <w:szCs w:val="26"/>
              </w:rPr>
              <w:t>Mouvement du Peuple pour le Progrès</w:t>
            </w:r>
          </w:p>
        </w:tc>
      </w:tr>
      <w:tr w:rsidR="00284822" w14:paraId="31DDCC3D"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D908898" w14:textId="77777777" w:rsidR="00284822" w:rsidRDefault="00F77BF8">
            <w:pPr>
              <w:spacing w:before="120" w:after="120"/>
              <w:rPr>
                <w:rFonts w:ascii="Rockwell" w:hAnsi="Rockwell"/>
                <w:b/>
                <w:bCs/>
                <w:szCs w:val="26"/>
              </w:rPr>
            </w:pPr>
            <w:r>
              <w:rPr>
                <w:rFonts w:ascii="Rockwell" w:hAnsi="Rockwell"/>
                <w:b/>
                <w:bCs/>
                <w:szCs w:val="26"/>
              </w:rPr>
              <w:t>MRB</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CD4FC3F" w14:textId="77777777" w:rsidR="00284822" w:rsidRDefault="00F77BF8">
            <w:pPr>
              <w:spacing w:before="120" w:after="120"/>
              <w:rPr>
                <w:rFonts w:ascii="Rockwell" w:hAnsi="Rockwell"/>
                <w:szCs w:val="26"/>
              </w:rPr>
            </w:pPr>
            <w:r>
              <w:rPr>
                <w:rFonts w:ascii="Rockwell" w:hAnsi="Rockwell"/>
                <w:szCs w:val="26"/>
              </w:rPr>
              <w:t>Mouvement pour la Renaissance du Burkina</w:t>
            </w:r>
          </w:p>
        </w:tc>
      </w:tr>
      <w:tr w:rsidR="00284822" w14:paraId="04D5E0D9"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4F1015A" w14:textId="77777777" w:rsidR="00284822" w:rsidRDefault="00F77BF8">
            <w:pPr>
              <w:spacing w:before="120" w:after="120"/>
              <w:rPr>
                <w:rFonts w:ascii="Rockwell" w:hAnsi="Rockwell"/>
                <w:b/>
                <w:bCs/>
                <w:szCs w:val="26"/>
              </w:rPr>
            </w:pPr>
            <w:r>
              <w:rPr>
                <w:rFonts w:ascii="Rockwell" w:hAnsi="Rockwell"/>
                <w:b/>
                <w:bCs/>
                <w:szCs w:val="26"/>
              </w:rPr>
              <w:t>MRD</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CCD8E38" w14:textId="77777777" w:rsidR="00284822" w:rsidRDefault="00F77BF8">
            <w:pPr>
              <w:spacing w:before="120" w:after="120"/>
              <w:rPr>
                <w:rFonts w:ascii="Rockwell" w:hAnsi="Rockwell"/>
                <w:szCs w:val="26"/>
              </w:rPr>
            </w:pPr>
            <w:r>
              <w:rPr>
                <w:rFonts w:ascii="Rockwell" w:hAnsi="Rockwell"/>
                <w:szCs w:val="26"/>
              </w:rPr>
              <w:t>Mouvement pour le Renouveau Démocratique</w:t>
            </w:r>
          </w:p>
        </w:tc>
      </w:tr>
      <w:tr w:rsidR="00284822" w14:paraId="403D0AC9"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C1FAAE4" w14:textId="77777777" w:rsidR="00284822" w:rsidRDefault="00F77BF8">
            <w:pPr>
              <w:spacing w:before="120" w:after="120"/>
              <w:rPr>
                <w:rFonts w:ascii="Rockwell" w:hAnsi="Rockwell"/>
                <w:b/>
                <w:bCs/>
                <w:szCs w:val="26"/>
              </w:rPr>
            </w:pPr>
            <w:r>
              <w:rPr>
                <w:rFonts w:ascii="Rockwell" w:hAnsi="Rockwell"/>
                <w:b/>
                <w:bCs/>
                <w:szCs w:val="26"/>
              </w:rPr>
              <w:t>MRP</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5EBC04D" w14:textId="77777777" w:rsidR="00284822" w:rsidRDefault="00F77BF8">
            <w:pPr>
              <w:spacing w:before="120" w:after="120"/>
              <w:rPr>
                <w:rFonts w:ascii="Rockwell" w:hAnsi="Rockwell"/>
                <w:szCs w:val="26"/>
              </w:rPr>
            </w:pPr>
            <w:r>
              <w:rPr>
                <w:rFonts w:ascii="Rockwell" w:hAnsi="Rockwell"/>
                <w:szCs w:val="26"/>
              </w:rPr>
              <w:t>Mouvement pour le Rassemblement Patriotique</w:t>
            </w:r>
          </w:p>
        </w:tc>
      </w:tr>
      <w:tr w:rsidR="00284822" w14:paraId="5238CAF0"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0D39F6F" w14:textId="77777777" w:rsidR="00284822" w:rsidRDefault="00F77BF8">
            <w:pPr>
              <w:spacing w:before="120" w:after="120"/>
              <w:rPr>
                <w:rFonts w:ascii="Rockwell" w:hAnsi="Rockwell"/>
                <w:b/>
                <w:bCs/>
                <w:szCs w:val="26"/>
              </w:rPr>
            </w:pPr>
            <w:r>
              <w:rPr>
                <w:rFonts w:ascii="Rockwell" w:hAnsi="Rockwell"/>
                <w:b/>
                <w:bCs/>
                <w:szCs w:val="26"/>
              </w:rPr>
              <w:t>NA</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19813B4" w14:textId="77777777" w:rsidR="00284822" w:rsidRDefault="00F77BF8">
            <w:pPr>
              <w:spacing w:before="120" w:after="120"/>
              <w:rPr>
                <w:rFonts w:ascii="Rockwell" w:hAnsi="Rockwell"/>
                <w:szCs w:val="26"/>
              </w:rPr>
            </w:pPr>
            <w:r>
              <w:rPr>
                <w:rFonts w:ascii="Rockwell" w:hAnsi="Rockwell"/>
                <w:szCs w:val="26"/>
              </w:rPr>
              <w:t>Nombre d’Articles</w:t>
            </w:r>
          </w:p>
        </w:tc>
      </w:tr>
      <w:tr w:rsidR="00284822" w14:paraId="4CF71D3E"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7CE49BA" w14:textId="77777777" w:rsidR="00284822" w:rsidRDefault="00F77BF8">
            <w:pPr>
              <w:spacing w:before="120" w:after="120"/>
              <w:rPr>
                <w:rFonts w:ascii="Rockwell" w:hAnsi="Rockwell"/>
                <w:b/>
                <w:bCs/>
                <w:szCs w:val="26"/>
              </w:rPr>
            </w:pPr>
            <w:r>
              <w:rPr>
                <w:rFonts w:ascii="Rockwell" w:hAnsi="Rockwell"/>
                <w:b/>
                <w:bCs/>
                <w:szCs w:val="26"/>
              </w:rPr>
              <w:t>NAFA</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FEF5E07" w14:textId="77777777" w:rsidR="00284822" w:rsidRDefault="00F77BF8">
            <w:pPr>
              <w:spacing w:before="120" w:after="120"/>
              <w:rPr>
                <w:rFonts w:ascii="Rockwell" w:hAnsi="Rockwell"/>
                <w:szCs w:val="26"/>
              </w:rPr>
            </w:pPr>
            <w:r>
              <w:rPr>
                <w:rFonts w:ascii="Rockwell" w:hAnsi="Rockwell"/>
                <w:szCs w:val="26"/>
              </w:rPr>
              <w:t>Nouvelle Alliance du Faso</w:t>
            </w:r>
          </w:p>
        </w:tc>
      </w:tr>
      <w:tr w:rsidR="00284822" w14:paraId="0B858724"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F29A02D" w14:textId="77777777" w:rsidR="00284822" w:rsidRDefault="00F77BF8">
            <w:pPr>
              <w:spacing w:before="120" w:after="120"/>
              <w:rPr>
                <w:rFonts w:ascii="Rockwell" w:hAnsi="Rockwell"/>
                <w:b/>
                <w:bCs/>
                <w:szCs w:val="26"/>
              </w:rPr>
            </w:pPr>
            <w:r>
              <w:rPr>
                <w:rFonts w:ascii="Rockwell" w:hAnsi="Rockwell"/>
                <w:b/>
                <w:bCs/>
                <w:szCs w:val="26"/>
              </w:rPr>
              <w:t>NEDA</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AF2B138" w14:textId="77777777" w:rsidR="00284822" w:rsidRDefault="00F77BF8">
            <w:pPr>
              <w:spacing w:before="120" w:after="120"/>
              <w:rPr>
                <w:rFonts w:ascii="Rockwell" w:hAnsi="Rockwell"/>
                <w:szCs w:val="26"/>
              </w:rPr>
            </w:pPr>
            <w:r>
              <w:rPr>
                <w:rFonts w:ascii="Rockwell" w:hAnsi="Rockwell"/>
                <w:szCs w:val="26"/>
              </w:rPr>
              <w:t>Nouvel Elan Démocratique en Afrique</w:t>
            </w:r>
          </w:p>
        </w:tc>
      </w:tr>
      <w:tr w:rsidR="00284822" w14:paraId="1E29C092"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C9E22BB" w14:textId="77777777" w:rsidR="00284822" w:rsidRDefault="00F77BF8">
            <w:pPr>
              <w:spacing w:before="120" w:after="120"/>
              <w:rPr>
                <w:rFonts w:ascii="Rockwell" w:hAnsi="Rockwell"/>
                <w:b/>
                <w:bCs/>
                <w:szCs w:val="26"/>
              </w:rPr>
            </w:pPr>
            <w:r>
              <w:rPr>
                <w:rFonts w:ascii="Rockwell" w:hAnsi="Rockwell"/>
                <w:b/>
                <w:bCs/>
                <w:szCs w:val="26"/>
              </w:rPr>
              <w:t>NI</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9A731AD" w14:textId="77777777" w:rsidR="00284822" w:rsidRDefault="00F77BF8">
            <w:pPr>
              <w:spacing w:before="120" w:after="120"/>
              <w:rPr>
                <w:rFonts w:ascii="Rockwell" w:hAnsi="Rockwell"/>
                <w:szCs w:val="26"/>
              </w:rPr>
            </w:pPr>
            <w:r>
              <w:rPr>
                <w:rFonts w:ascii="Rockwell" w:hAnsi="Rockwell"/>
                <w:szCs w:val="26"/>
              </w:rPr>
              <w:t>Nombre d’Images ou d’Illustrations</w:t>
            </w:r>
          </w:p>
        </w:tc>
      </w:tr>
      <w:tr w:rsidR="00284822" w14:paraId="768B1B46"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2CD6B4B" w14:textId="77777777" w:rsidR="00284822" w:rsidRDefault="00F77BF8">
            <w:pPr>
              <w:spacing w:before="120" w:after="120"/>
              <w:rPr>
                <w:rFonts w:ascii="Rockwell" w:hAnsi="Rockwell"/>
                <w:b/>
                <w:bCs/>
                <w:szCs w:val="26"/>
              </w:rPr>
            </w:pPr>
            <w:r>
              <w:rPr>
                <w:rFonts w:ascii="Rockwell" w:hAnsi="Rockwell"/>
                <w:b/>
                <w:bCs/>
                <w:szCs w:val="26"/>
              </w:rPr>
              <w:lastRenderedPageBreak/>
              <w:t>NOVI</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D99F64F" w14:textId="77777777" w:rsidR="00284822" w:rsidRDefault="00F77BF8">
            <w:pPr>
              <w:spacing w:before="120" w:after="120"/>
              <w:rPr>
                <w:rFonts w:ascii="Rockwell" w:hAnsi="Rockwell"/>
                <w:szCs w:val="26"/>
              </w:rPr>
            </w:pPr>
            <w:r>
              <w:rPr>
                <w:rFonts w:ascii="Rockwell" w:hAnsi="Rockwell"/>
                <w:szCs w:val="26"/>
              </w:rPr>
              <w:t>Nouvelle Vision</w:t>
            </w:r>
          </w:p>
        </w:tc>
      </w:tr>
      <w:tr w:rsidR="00284822" w14:paraId="6EAB96C3"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1A23FD2" w14:textId="77777777" w:rsidR="00284822" w:rsidRDefault="00F77BF8">
            <w:pPr>
              <w:spacing w:before="120" w:after="120"/>
              <w:rPr>
                <w:rFonts w:ascii="Rockwell" w:hAnsi="Rockwell"/>
                <w:b/>
                <w:bCs/>
                <w:szCs w:val="26"/>
              </w:rPr>
            </w:pPr>
            <w:r>
              <w:rPr>
                <w:rFonts w:ascii="Rockwell" w:hAnsi="Rockwell"/>
                <w:b/>
                <w:bCs/>
                <w:szCs w:val="26"/>
              </w:rPr>
              <w:t>NP</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8772AA3" w14:textId="77777777" w:rsidR="00284822" w:rsidRDefault="00F77BF8">
            <w:pPr>
              <w:spacing w:before="120" w:after="120"/>
              <w:rPr>
                <w:rFonts w:ascii="Rockwell" w:hAnsi="Rockwell"/>
                <w:szCs w:val="26"/>
              </w:rPr>
            </w:pPr>
            <w:r>
              <w:rPr>
                <w:rFonts w:ascii="Rockwell" w:hAnsi="Rockwell"/>
                <w:szCs w:val="26"/>
              </w:rPr>
              <w:t>Nombre de pages</w:t>
            </w:r>
          </w:p>
        </w:tc>
      </w:tr>
      <w:tr w:rsidR="00284822" w14:paraId="7CB40DD9"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7C3B817" w14:textId="77777777" w:rsidR="00284822" w:rsidRDefault="00F77BF8">
            <w:pPr>
              <w:spacing w:before="120" w:after="120"/>
              <w:rPr>
                <w:rFonts w:ascii="Rockwell" w:hAnsi="Rockwell"/>
                <w:b/>
                <w:bCs/>
                <w:szCs w:val="26"/>
              </w:rPr>
            </w:pPr>
            <w:r>
              <w:rPr>
                <w:rFonts w:ascii="Rockwell" w:hAnsi="Rockwell"/>
                <w:b/>
                <w:bCs/>
                <w:szCs w:val="26"/>
              </w:rPr>
              <w:t>NTD</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A7A30EF" w14:textId="77777777" w:rsidR="00284822" w:rsidRDefault="00F77BF8">
            <w:pPr>
              <w:spacing w:before="120" w:after="120"/>
              <w:rPr>
                <w:rFonts w:ascii="Rockwell" w:hAnsi="Rockwell"/>
                <w:szCs w:val="26"/>
              </w:rPr>
            </w:pPr>
            <w:r>
              <w:rPr>
                <w:rFonts w:ascii="Rockwell" w:hAnsi="Rockwell"/>
                <w:szCs w:val="26"/>
              </w:rPr>
              <w:t>Nouveau Temps pour la Démocratie</w:t>
            </w:r>
          </w:p>
        </w:tc>
      </w:tr>
      <w:tr w:rsidR="00284822" w14:paraId="38ADDE1E"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284338C" w14:textId="77777777" w:rsidR="00284822" w:rsidRDefault="00F77BF8">
            <w:pPr>
              <w:spacing w:before="120" w:after="120"/>
              <w:rPr>
                <w:rFonts w:ascii="Rockwell" w:hAnsi="Rockwell"/>
                <w:b/>
                <w:bCs/>
                <w:szCs w:val="26"/>
              </w:rPr>
            </w:pPr>
            <w:r>
              <w:rPr>
                <w:rFonts w:ascii="Rockwell" w:hAnsi="Rockwell"/>
                <w:b/>
                <w:bCs/>
                <w:szCs w:val="26"/>
              </w:rPr>
              <w:t>PAREN</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4BA431F" w14:textId="77777777" w:rsidR="00284822" w:rsidRDefault="00F77BF8">
            <w:pPr>
              <w:spacing w:before="120" w:after="120"/>
              <w:rPr>
                <w:rFonts w:ascii="Rockwell" w:hAnsi="Rockwell"/>
                <w:szCs w:val="26"/>
              </w:rPr>
            </w:pPr>
            <w:r>
              <w:rPr>
                <w:rFonts w:ascii="Rockwell" w:hAnsi="Rockwell"/>
                <w:szCs w:val="26"/>
              </w:rPr>
              <w:t xml:space="preserve">Parti </w:t>
            </w:r>
            <w:proofErr w:type="gramStart"/>
            <w:r>
              <w:rPr>
                <w:rFonts w:ascii="Rockwell" w:hAnsi="Rockwell"/>
                <w:szCs w:val="26"/>
              </w:rPr>
              <w:t>pour  la</w:t>
            </w:r>
            <w:proofErr w:type="gramEnd"/>
            <w:r>
              <w:rPr>
                <w:rFonts w:ascii="Rockwell" w:hAnsi="Rockwell"/>
                <w:szCs w:val="26"/>
              </w:rPr>
              <w:t xml:space="preserve"> Renaissance Nationale</w:t>
            </w:r>
          </w:p>
        </w:tc>
      </w:tr>
      <w:tr w:rsidR="00284822" w14:paraId="512A3FCE"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12F0749" w14:textId="77777777" w:rsidR="00284822" w:rsidRDefault="00F77BF8">
            <w:pPr>
              <w:spacing w:before="120" w:after="120"/>
              <w:rPr>
                <w:rFonts w:ascii="Rockwell" w:hAnsi="Rockwell"/>
                <w:b/>
                <w:bCs/>
                <w:szCs w:val="26"/>
              </w:rPr>
            </w:pPr>
            <w:r>
              <w:rPr>
                <w:rFonts w:ascii="Rockwell" w:hAnsi="Rockwell"/>
                <w:b/>
                <w:bCs/>
                <w:szCs w:val="26"/>
              </w:rPr>
              <w:t>PDC</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4371B98" w14:textId="77777777" w:rsidR="00284822" w:rsidRDefault="00F77BF8">
            <w:pPr>
              <w:spacing w:before="120" w:after="120"/>
              <w:rPr>
                <w:rFonts w:ascii="Rockwell" w:hAnsi="Rockwell"/>
                <w:szCs w:val="26"/>
              </w:rPr>
            </w:pPr>
            <w:r>
              <w:rPr>
                <w:rFonts w:ascii="Rockwell" w:hAnsi="Rockwell"/>
                <w:szCs w:val="26"/>
              </w:rPr>
              <w:t>Parti pour le Développement et le Changement</w:t>
            </w:r>
          </w:p>
        </w:tc>
      </w:tr>
      <w:tr w:rsidR="00284822" w14:paraId="70455EDE"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CDE9FE7" w14:textId="77777777" w:rsidR="00284822" w:rsidRDefault="00F77BF8">
            <w:pPr>
              <w:spacing w:before="120" w:after="120"/>
              <w:rPr>
                <w:rFonts w:ascii="Rockwell" w:hAnsi="Rockwell"/>
                <w:b/>
                <w:bCs/>
                <w:szCs w:val="26"/>
              </w:rPr>
            </w:pPr>
            <w:r>
              <w:rPr>
                <w:rFonts w:ascii="Rockwell" w:hAnsi="Rockwell"/>
                <w:b/>
                <w:bCs/>
                <w:szCs w:val="26"/>
              </w:rPr>
              <w:t>PDIS-LAFIA</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3A9483E" w14:textId="77777777" w:rsidR="00284822" w:rsidRDefault="00F77BF8">
            <w:pPr>
              <w:spacing w:before="120" w:after="120"/>
              <w:rPr>
                <w:rFonts w:ascii="Rockwell" w:hAnsi="Rockwell"/>
                <w:szCs w:val="26"/>
              </w:rPr>
            </w:pPr>
            <w:r>
              <w:rPr>
                <w:rFonts w:ascii="Rockwell" w:hAnsi="Rockwell"/>
                <w:szCs w:val="26"/>
              </w:rPr>
              <w:t>Parti Démocratique pour l'Intégration et la Solidarité-LAFIA</w:t>
            </w:r>
          </w:p>
        </w:tc>
      </w:tr>
      <w:tr w:rsidR="00284822" w14:paraId="267BA35F"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0555D84" w14:textId="77777777" w:rsidR="00284822" w:rsidRDefault="00F77BF8">
            <w:pPr>
              <w:spacing w:before="120" w:after="120"/>
              <w:rPr>
                <w:rFonts w:ascii="Rockwell" w:hAnsi="Rockwell"/>
                <w:b/>
                <w:bCs/>
                <w:szCs w:val="26"/>
              </w:rPr>
            </w:pPr>
            <w:r>
              <w:rPr>
                <w:rFonts w:ascii="Rockwell" w:hAnsi="Rockwell"/>
                <w:b/>
                <w:bCs/>
                <w:szCs w:val="26"/>
              </w:rPr>
              <w:t>PDJ</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5F155F6" w14:textId="77777777" w:rsidR="00284822" w:rsidRDefault="00F77BF8">
            <w:pPr>
              <w:spacing w:before="120" w:after="120"/>
              <w:rPr>
                <w:rFonts w:ascii="Rockwell" w:hAnsi="Rockwell"/>
                <w:szCs w:val="26"/>
              </w:rPr>
            </w:pPr>
            <w:r>
              <w:rPr>
                <w:rFonts w:ascii="Rockwell" w:hAnsi="Rockwell"/>
                <w:szCs w:val="26"/>
              </w:rPr>
              <w:t>Parti pour la Démocratie et la Jeunesse</w:t>
            </w:r>
          </w:p>
        </w:tc>
      </w:tr>
      <w:tr w:rsidR="00284822" w14:paraId="009A4B00"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03747A7" w14:textId="77777777" w:rsidR="00284822" w:rsidRDefault="00F77BF8">
            <w:pPr>
              <w:spacing w:before="120" w:after="120"/>
              <w:rPr>
                <w:rFonts w:ascii="Rockwell" w:hAnsi="Rockwell"/>
                <w:b/>
                <w:bCs/>
                <w:szCs w:val="26"/>
              </w:rPr>
            </w:pPr>
            <w:r>
              <w:rPr>
                <w:rFonts w:ascii="Rockwell" w:hAnsi="Rockwell"/>
                <w:b/>
                <w:bCs/>
                <w:szCs w:val="26"/>
              </w:rPr>
              <w:t>PDP/PS</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3C4D133" w14:textId="77777777" w:rsidR="00284822" w:rsidRDefault="00F77BF8">
            <w:pPr>
              <w:spacing w:before="120" w:after="120"/>
              <w:rPr>
                <w:rFonts w:ascii="Rockwell" w:hAnsi="Rockwell"/>
                <w:szCs w:val="26"/>
              </w:rPr>
            </w:pPr>
            <w:r>
              <w:rPr>
                <w:rFonts w:ascii="Rockwell" w:hAnsi="Rockwell"/>
                <w:szCs w:val="26"/>
              </w:rPr>
              <w:t>Parti pour la Démocratie et le Progrès/Parti Socialiste</w:t>
            </w:r>
          </w:p>
        </w:tc>
      </w:tr>
      <w:tr w:rsidR="00284822" w14:paraId="52C5784E"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A3BFEB1" w14:textId="77777777" w:rsidR="00284822" w:rsidRDefault="00F77BF8">
            <w:pPr>
              <w:spacing w:before="120" w:after="120"/>
              <w:rPr>
                <w:rFonts w:ascii="Rockwell" w:hAnsi="Rockwell"/>
                <w:b/>
                <w:bCs/>
                <w:szCs w:val="26"/>
              </w:rPr>
            </w:pPr>
            <w:r>
              <w:rPr>
                <w:rFonts w:ascii="Rockwell" w:hAnsi="Rockwell"/>
                <w:b/>
                <w:bCs/>
                <w:szCs w:val="26"/>
              </w:rPr>
              <w:t>PDS</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AA68EEA" w14:textId="77777777" w:rsidR="00284822" w:rsidRDefault="00F77BF8">
            <w:pPr>
              <w:spacing w:before="120" w:after="120"/>
              <w:rPr>
                <w:rFonts w:ascii="Rockwell" w:hAnsi="Rockwell"/>
                <w:szCs w:val="26"/>
              </w:rPr>
            </w:pPr>
            <w:r>
              <w:rPr>
                <w:rFonts w:ascii="Rockwell" w:hAnsi="Rockwell"/>
                <w:szCs w:val="26"/>
              </w:rPr>
              <w:t>Parti pour la Démocratie et le Socialisme</w:t>
            </w:r>
          </w:p>
        </w:tc>
      </w:tr>
      <w:tr w:rsidR="00284822" w14:paraId="279190CD"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CA5253E" w14:textId="77777777" w:rsidR="00284822" w:rsidRDefault="00F77BF8">
            <w:pPr>
              <w:spacing w:before="120" w:after="120"/>
              <w:rPr>
                <w:rFonts w:ascii="Rockwell" w:hAnsi="Rockwell"/>
                <w:b/>
                <w:bCs/>
                <w:szCs w:val="26"/>
              </w:rPr>
            </w:pPr>
            <w:r>
              <w:rPr>
                <w:rFonts w:ascii="Rockwell" w:hAnsi="Rockwell"/>
                <w:b/>
                <w:bCs/>
                <w:szCs w:val="26"/>
              </w:rPr>
              <w:t>PIB</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692C4B7" w14:textId="77777777" w:rsidR="00284822" w:rsidRDefault="00F77BF8">
            <w:pPr>
              <w:spacing w:before="120" w:after="120"/>
              <w:rPr>
                <w:rFonts w:ascii="Rockwell" w:hAnsi="Rockwell"/>
                <w:szCs w:val="26"/>
              </w:rPr>
            </w:pPr>
            <w:r>
              <w:rPr>
                <w:rFonts w:ascii="Rockwell" w:hAnsi="Rockwell"/>
                <w:iCs/>
                <w:szCs w:val="26"/>
              </w:rPr>
              <w:t>Parti</w:t>
            </w:r>
            <w:r>
              <w:rPr>
                <w:rFonts w:ascii="Rockwell" w:hAnsi="Rockwell"/>
                <w:szCs w:val="26"/>
              </w:rPr>
              <w:t xml:space="preserve"> Indépendant du Burkina</w:t>
            </w:r>
          </w:p>
        </w:tc>
      </w:tr>
      <w:tr w:rsidR="00284822" w14:paraId="4A98AC08"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66CC6AA" w14:textId="77777777" w:rsidR="00284822" w:rsidRDefault="00F77BF8">
            <w:pPr>
              <w:spacing w:before="120" w:after="120"/>
              <w:rPr>
                <w:rFonts w:ascii="Rockwell" w:hAnsi="Rockwell"/>
                <w:b/>
                <w:bCs/>
                <w:szCs w:val="26"/>
              </w:rPr>
            </w:pPr>
            <w:r>
              <w:rPr>
                <w:rFonts w:ascii="Rockwell" w:hAnsi="Rockwell"/>
                <w:b/>
                <w:bCs/>
                <w:szCs w:val="26"/>
              </w:rPr>
              <w:t>PPR</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60E3874" w14:textId="77777777" w:rsidR="00284822" w:rsidRDefault="00F77BF8">
            <w:pPr>
              <w:spacing w:before="120" w:after="120"/>
              <w:rPr>
                <w:rFonts w:ascii="Rockwell" w:hAnsi="Rockwell"/>
                <w:szCs w:val="26"/>
              </w:rPr>
            </w:pPr>
            <w:r>
              <w:rPr>
                <w:rFonts w:ascii="Rockwell" w:hAnsi="Rockwell"/>
                <w:bCs/>
                <w:szCs w:val="26"/>
              </w:rPr>
              <w:t>Parti du Peuple Républicain</w:t>
            </w:r>
          </w:p>
        </w:tc>
      </w:tr>
      <w:tr w:rsidR="00284822" w14:paraId="5D55C897"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E0C8C57" w14:textId="77777777" w:rsidR="00284822" w:rsidRDefault="00F77BF8">
            <w:pPr>
              <w:spacing w:before="120" w:after="120"/>
              <w:rPr>
                <w:rFonts w:ascii="Rockwell" w:hAnsi="Rockwell"/>
                <w:b/>
                <w:bCs/>
                <w:szCs w:val="26"/>
              </w:rPr>
            </w:pPr>
            <w:r>
              <w:rPr>
                <w:rFonts w:ascii="Rockwell" w:hAnsi="Rockwell"/>
                <w:b/>
                <w:bCs/>
                <w:szCs w:val="26"/>
              </w:rPr>
              <w:t>PPS</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270D2DA" w14:textId="77777777" w:rsidR="00284822" w:rsidRDefault="00F77BF8">
            <w:pPr>
              <w:spacing w:before="120" w:after="120"/>
              <w:rPr>
                <w:rFonts w:ascii="Rockwell" w:hAnsi="Rockwell"/>
                <w:iCs/>
                <w:szCs w:val="26"/>
              </w:rPr>
            </w:pPr>
            <w:r>
              <w:rPr>
                <w:rFonts w:ascii="Rockwell" w:hAnsi="Rockwell"/>
                <w:iCs/>
                <w:szCs w:val="26"/>
              </w:rPr>
              <w:t>Parti Panafricain pour le Salut</w:t>
            </w:r>
          </w:p>
        </w:tc>
      </w:tr>
      <w:tr w:rsidR="00284822" w14:paraId="27615D57" w14:textId="77777777">
        <w:trPr>
          <w:trHeight w:val="846"/>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FD2910" w14:textId="77777777" w:rsidR="00284822" w:rsidRDefault="00F77BF8">
            <w:pPr>
              <w:spacing w:before="120" w:after="120"/>
              <w:rPr>
                <w:rFonts w:ascii="Rockwell" w:hAnsi="Rockwell"/>
                <w:b/>
                <w:bCs/>
                <w:szCs w:val="26"/>
              </w:rPr>
            </w:pPr>
            <w:r>
              <w:rPr>
                <w:rFonts w:ascii="Rockwell" w:hAnsi="Rockwell"/>
                <w:b/>
                <w:bCs/>
                <w:color w:val="000000" w:themeColor="text1"/>
                <w:szCs w:val="26"/>
              </w:rPr>
              <w:t>PRA-UEMOA-GUINEE</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11D2D59" w14:textId="77777777" w:rsidR="00284822" w:rsidRDefault="00F77BF8">
            <w:pPr>
              <w:spacing w:before="120" w:after="120"/>
              <w:rPr>
                <w:rFonts w:ascii="Rockwell" w:hAnsi="Rockwell"/>
                <w:iCs/>
                <w:szCs w:val="26"/>
              </w:rPr>
            </w:pPr>
            <w:r>
              <w:rPr>
                <w:rFonts w:ascii="Rockwell" w:hAnsi="Rockwell"/>
              </w:rPr>
              <w:t>Plateforme des régulateurs de l'audiovisuel des pays membres de l’</w:t>
            </w:r>
            <w:r>
              <w:rPr>
                <w:rFonts w:ascii="Rockwell" w:hAnsi="Rockwell"/>
                <w:bCs/>
                <w:color w:val="000000" w:themeColor="text1"/>
                <w:szCs w:val="26"/>
              </w:rPr>
              <w:t>UEMOA</w:t>
            </w:r>
            <w:r>
              <w:rPr>
                <w:rFonts w:ascii="Rockwell" w:hAnsi="Rockwell"/>
              </w:rPr>
              <w:t xml:space="preserve"> et de la Guinée</w:t>
            </w:r>
          </w:p>
        </w:tc>
      </w:tr>
      <w:tr w:rsidR="00284822" w14:paraId="642002D7"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D469A4F" w14:textId="77777777" w:rsidR="00284822" w:rsidRDefault="00F77BF8">
            <w:pPr>
              <w:spacing w:before="120" w:after="120"/>
              <w:rPr>
                <w:rFonts w:ascii="Rockwell" w:hAnsi="Rockwell"/>
                <w:b/>
                <w:bCs/>
                <w:szCs w:val="26"/>
              </w:rPr>
            </w:pPr>
            <w:r>
              <w:rPr>
                <w:rFonts w:ascii="Rockwell" w:hAnsi="Rockwell"/>
                <w:b/>
                <w:bCs/>
                <w:szCs w:val="26"/>
              </w:rPr>
              <w:t>PRC</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89AC261" w14:textId="77777777" w:rsidR="00284822" w:rsidRDefault="00F77BF8">
            <w:pPr>
              <w:spacing w:before="120" w:after="120"/>
              <w:rPr>
                <w:rFonts w:ascii="Rockwell" w:hAnsi="Rockwell"/>
                <w:iCs/>
                <w:szCs w:val="26"/>
              </w:rPr>
            </w:pPr>
            <w:r>
              <w:rPr>
                <w:rFonts w:ascii="Rockwell" w:hAnsi="Rockwell"/>
                <w:iCs/>
                <w:szCs w:val="26"/>
              </w:rPr>
              <w:t>Parti pour le Renouveau et le Changement</w:t>
            </w:r>
          </w:p>
        </w:tc>
      </w:tr>
      <w:tr w:rsidR="00284822" w14:paraId="43847D13"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B19D8D5" w14:textId="77777777" w:rsidR="00284822" w:rsidRDefault="00F77BF8">
            <w:pPr>
              <w:spacing w:before="120" w:after="120"/>
              <w:rPr>
                <w:rFonts w:ascii="Rockwell" w:hAnsi="Rockwell"/>
                <w:b/>
                <w:bCs/>
                <w:szCs w:val="26"/>
              </w:rPr>
            </w:pPr>
            <w:r>
              <w:rPr>
                <w:rFonts w:ascii="Rockwell" w:hAnsi="Rockwell"/>
                <w:b/>
                <w:bCs/>
                <w:szCs w:val="26"/>
              </w:rPr>
              <w:t>PRD</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9A03E57" w14:textId="77777777" w:rsidR="00284822" w:rsidRDefault="00F77BF8">
            <w:pPr>
              <w:spacing w:before="120" w:after="120"/>
              <w:rPr>
                <w:rFonts w:ascii="Rockwell" w:hAnsi="Rockwell"/>
                <w:iCs/>
                <w:szCs w:val="26"/>
              </w:rPr>
            </w:pPr>
            <w:r>
              <w:rPr>
                <w:rFonts w:ascii="Rockwell" w:hAnsi="Rockwell"/>
                <w:iCs/>
                <w:szCs w:val="26"/>
              </w:rPr>
              <w:t xml:space="preserve">Parti pour le Renouveau Démocratique </w:t>
            </w:r>
          </w:p>
        </w:tc>
      </w:tr>
      <w:tr w:rsidR="00284822" w14:paraId="3B346FF4"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CBF2A34" w14:textId="77777777" w:rsidR="00284822" w:rsidRDefault="00F77BF8">
            <w:pPr>
              <w:spacing w:before="120" w:after="120"/>
              <w:rPr>
                <w:rFonts w:ascii="Rockwell" w:hAnsi="Rockwell"/>
                <w:b/>
                <w:bCs/>
                <w:szCs w:val="26"/>
              </w:rPr>
            </w:pPr>
            <w:r>
              <w:rPr>
                <w:rFonts w:ascii="Rockwell" w:hAnsi="Rockwell"/>
                <w:b/>
                <w:bCs/>
                <w:szCs w:val="26"/>
              </w:rPr>
              <w:t>PRIT-LANAYA</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CC2E0BC" w14:textId="77777777" w:rsidR="00284822" w:rsidRDefault="00F77BF8">
            <w:pPr>
              <w:spacing w:before="120" w:after="120"/>
              <w:rPr>
                <w:rFonts w:ascii="Rockwell" w:hAnsi="Rockwell"/>
                <w:szCs w:val="26"/>
              </w:rPr>
            </w:pPr>
            <w:r>
              <w:rPr>
                <w:rFonts w:ascii="Rockwell" w:hAnsi="Rockwell"/>
                <w:iCs/>
                <w:szCs w:val="26"/>
              </w:rPr>
              <w:t>Parti</w:t>
            </w:r>
            <w:r>
              <w:rPr>
                <w:rFonts w:ascii="Rockwell" w:hAnsi="Rockwell"/>
                <w:szCs w:val="26"/>
              </w:rPr>
              <w:t xml:space="preserve"> Républicain pour l'Indépendance Totale –</w:t>
            </w:r>
            <w:r>
              <w:rPr>
                <w:rFonts w:ascii="Rockwell" w:hAnsi="Rockwell"/>
                <w:iCs/>
                <w:szCs w:val="26"/>
              </w:rPr>
              <w:t>LANAYA</w:t>
            </w:r>
          </w:p>
        </w:tc>
      </w:tr>
      <w:tr w:rsidR="00284822" w14:paraId="70E49CD8"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5B7AD71" w14:textId="77777777" w:rsidR="00284822" w:rsidRDefault="00F77BF8">
            <w:pPr>
              <w:spacing w:before="120" w:after="120"/>
              <w:rPr>
                <w:rFonts w:ascii="Rockwell" w:hAnsi="Rockwell"/>
                <w:b/>
                <w:bCs/>
                <w:szCs w:val="26"/>
              </w:rPr>
            </w:pPr>
            <w:r>
              <w:rPr>
                <w:rFonts w:ascii="Rockwell" w:hAnsi="Rockwell"/>
                <w:b/>
                <w:bCs/>
                <w:szCs w:val="26"/>
              </w:rPr>
              <w:t>PUR</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285C508" w14:textId="77777777" w:rsidR="00284822" w:rsidRDefault="00F77BF8">
            <w:pPr>
              <w:keepNext/>
              <w:keepLines/>
              <w:spacing w:before="120" w:after="120"/>
              <w:rPr>
                <w:rFonts w:ascii="Rockwell" w:hAnsi="Rockwell"/>
                <w:szCs w:val="26"/>
              </w:rPr>
            </w:pPr>
            <w:r>
              <w:rPr>
                <w:rFonts w:ascii="Rockwell" w:hAnsi="Rockwell"/>
                <w:szCs w:val="26"/>
              </w:rPr>
              <w:t>Progressistes Unis pour le Renouveau</w:t>
            </w:r>
          </w:p>
        </w:tc>
      </w:tr>
      <w:tr w:rsidR="00284822" w14:paraId="76C085A3"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D61FB9D" w14:textId="77777777" w:rsidR="00284822" w:rsidRDefault="00F77BF8">
            <w:pPr>
              <w:spacing w:before="120" w:after="120"/>
              <w:rPr>
                <w:rFonts w:ascii="Rockwell" w:hAnsi="Rockwell"/>
                <w:b/>
                <w:bCs/>
                <w:szCs w:val="26"/>
              </w:rPr>
            </w:pPr>
            <w:r>
              <w:rPr>
                <w:rFonts w:ascii="Rockwell" w:hAnsi="Rockwell"/>
                <w:b/>
                <w:bCs/>
                <w:szCs w:val="26"/>
              </w:rPr>
              <w:t>RDEBF</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2FE744E" w14:textId="77777777" w:rsidR="00284822" w:rsidRDefault="00F77BF8">
            <w:pPr>
              <w:spacing w:before="120" w:after="120"/>
              <w:rPr>
                <w:rFonts w:ascii="Rockwell" w:hAnsi="Rockwell"/>
                <w:szCs w:val="26"/>
              </w:rPr>
            </w:pPr>
            <w:r>
              <w:rPr>
                <w:rFonts w:ascii="Rockwell" w:hAnsi="Rockwell"/>
                <w:szCs w:val="26"/>
              </w:rPr>
              <w:t>Rassemblement Des Ecologistes du Burkina Faso</w:t>
            </w:r>
          </w:p>
        </w:tc>
      </w:tr>
      <w:tr w:rsidR="00284822" w14:paraId="6647C514"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2D3ABFC" w14:textId="77777777" w:rsidR="00284822" w:rsidRDefault="00F77BF8">
            <w:pPr>
              <w:spacing w:before="120" w:after="120"/>
              <w:rPr>
                <w:rFonts w:ascii="Rockwell" w:hAnsi="Rockwell"/>
                <w:b/>
                <w:bCs/>
                <w:szCs w:val="26"/>
              </w:rPr>
            </w:pPr>
            <w:r>
              <w:rPr>
                <w:rFonts w:ascii="Rockwell" w:hAnsi="Rockwell"/>
                <w:b/>
                <w:bCs/>
                <w:szCs w:val="26"/>
              </w:rPr>
              <w:lastRenderedPageBreak/>
              <w:t>RDF</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D79D75D" w14:textId="77777777" w:rsidR="00284822" w:rsidRDefault="00F77BF8">
            <w:pPr>
              <w:spacing w:before="120" w:after="120"/>
              <w:rPr>
                <w:rFonts w:ascii="Rockwell" w:hAnsi="Rockwell"/>
                <w:szCs w:val="26"/>
              </w:rPr>
            </w:pPr>
            <w:r>
              <w:rPr>
                <w:rFonts w:ascii="Rockwell" w:hAnsi="Rockwell"/>
                <w:szCs w:val="26"/>
              </w:rPr>
              <w:t>Rassemblement des Démocrates pour le Faso</w:t>
            </w:r>
          </w:p>
        </w:tc>
      </w:tr>
      <w:tr w:rsidR="00284822" w14:paraId="0391CD5D"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A60763E" w14:textId="77777777" w:rsidR="00284822" w:rsidRDefault="00F77BF8">
            <w:pPr>
              <w:spacing w:before="120" w:after="120"/>
              <w:rPr>
                <w:rFonts w:ascii="Rockwell" w:hAnsi="Rockwell"/>
                <w:b/>
                <w:bCs/>
                <w:szCs w:val="26"/>
              </w:rPr>
            </w:pPr>
            <w:r>
              <w:rPr>
                <w:rFonts w:ascii="Rockwell" w:hAnsi="Rockwell"/>
                <w:b/>
                <w:bCs/>
                <w:szCs w:val="26"/>
              </w:rPr>
              <w:t>RDJ</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1A50A88" w14:textId="77777777" w:rsidR="00284822" w:rsidRDefault="00F77BF8">
            <w:pPr>
              <w:spacing w:before="120" w:after="120"/>
              <w:rPr>
                <w:rFonts w:ascii="Rockwell" w:hAnsi="Rockwell"/>
                <w:szCs w:val="26"/>
              </w:rPr>
            </w:pPr>
            <w:r>
              <w:rPr>
                <w:rFonts w:ascii="Rockwell" w:hAnsi="Rockwell"/>
                <w:szCs w:val="26"/>
              </w:rPr>
              <w:t xml:space="preserve">Rassemblement pour la Démocratie et la Justice </w:t>
            </w:r>
          </w:p>
        </w:tc>
      </w:tr>
      <w:tr w:rsidR="00284822" w14:paraId="709A5AD7"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B8026FB" w14:textId="77777777" w:rsidR="00284822" w:rsidRDefault="00F77BF8">
            <w:pPr>
              <w:spacing w:before="120" w:after="120"/>
              <w:rPr>
                <w:rFonts w:ascii="Rockwell" w:hAnsi="Rockwell"/>
                <w:b/>
                <w:bCs/>
                <w:szCs w:val="26"/>
              </w:rPr>
            </w:pPr>
            <w:r>
              <w:rPr>
                <w:rFonts w:ascii="Rockwell" w:hAnsi="Rockwell"/>
                <w:b/>
                <w:bCs/>
                <w:szCs w:val="26"/>
              </w:rPr>
              <w:t>RDN</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E641584" w14:textId="77777777" w:rsidR="00284822" w:rsidRDefault="00F77BF8">
            <w:pPr>
              <w:spacing w:before="120" w:after="120"/>
              <w:rPr>
                <w:rFonts w:ascii="Rockwell" w:hAnsi="Rockwell"/>
                <w:szCs w:val="26"/>
              </w:rPr>
            </w:pPr>
            <w:r>
              <w:rPr>
                <w:rFonts w:ascii="Rockwell" w:hAnsi="Rockwell"/>
                <w:szCs w:val="26"/>
              </w:rPr>
              <w:t>Rassemblement pour le Développement National</w:t>
            </w:r>
          </w:p>
        </w:tc>
      </w:tr>
      <w:tr w:rsidR="00284822" w14:paraId="41639299"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C9BEDE7" w14:textId="77777777" w:rsidR="00284822" w:rsidRDefault="00F77BF8">
            <w:pPr>
              <w:spacing w:before="120" w:after="120"/>
              <w:rPr>
                <w:rFonts w:ascii="Rockwell" w:hAnsi="Rockwell"/>
                <w:b/>
                <w:bCs/>
                <w:szCs w:val="26"/>
              </w:rPr>
            </w:pPr>
            <w:r>
              <w:rPr>
                <w:rFonts w:ascii="Rockwell" w:hAnsi="Rockwell"/>
                <w:b/>
                <w:bCs/>
                <w:szCs w:val="26"/>
              </w:rPr>
              <w:t>RDP</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502A43D" w14:textId="77777777" w:rsidR="00284822" w:rsidRDefault="00F77BF8">
            <w:pPr>
              <w:spacing w:before="120" w:after="120"/>
              <w:rPr>
                <w:rFonts w:ascii="Rockwell" w:hAnsi="Rockwell"/>
                <w:szCs w:val="26"/>
              </w:rPr>
            </w:pPr>
            <w:r>
              <w:rPr>
                <w:rFonts w:ascii="Rockwell" w:hAnsi="Rockwell"/>
                <w:szCs w:val="26"/>
              </w:rPr>
              <w:t>Rassemblement Démocratique et Populaire</w:t>
            </w:r>
          </w:p>
        </w:tc>
      </w:tr>
      <w:tr w:rsidR="00284822" w14:paraId="57919739"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3FBDAA4" w14:textId="77777777" w:rsidR="00284822" w:rsidRDefault="00F77BF8">
            <w:pPr>
              <w:spacing w:before="120" w:after="120"/>
              <w:rPr>
                <w:rFonts w:ascii="Rockwell" w:hAnsi="Rockwell"/>
                <w:b/>
                <w:bCs/>
                <w:szCs w:val="26"/>
              </w:rPr>
            </w:pPr>
            <w:r>
              <w:rPr>
                <w:rFonts w:ascii="Rockwell" w:hAnsi="Rockwell"/>
                <w:b/>
                <w:bCs/>
                <w:szCs w:val="26"/>
              </w:rPr>
              <w:t>RDR</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FFF7E01" w14:textId="77777777" w:rsidR="00284822" w:rsidRDefault="00F77BF8">
            <w:pPr>
              <w:spacing w:before="120" w:after="120"/>
              <w:rPr>
                <w:rFonts w:ascii="Rockwell" w:hAnsi="Rockwell"/>
                <w:szCs w:val="26"/>
              </w:rPr>
            </w:pPr>
            <w:r>
              <w:rPr>
                <w:rFonts w:ascii="Rockwell" w:hAnsi="Rockwell"/>
                <w:szCs w:val="26"/>
              </w:rPr>
              <w:t>Rassemblement des Républicains</w:t>
            </w:r>
          </w:p>
        </w:tc>
      </w:tr>
      <w:tr w:rsidR="00284822" w14:paraId="27D24B7C"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7633BA7" w14:textId="77777777" w:rsidR="00284822" w:rsidRDefault="00F77BF8">
            <w:pPr>
              <w:spacing w:before="120" w:after="120"/>
              <w:rPr>
                <w:rFonts w:ascii="Rockwell" w:hAnsi="Rockwell"/>
                <w:b/>
                <w:bCs/>
                <w:szCs w:val="26"/>
              </w:rPr>
            </w:pPr>
            <w:r>
              <w:rPr>
                <w:rFonts w:ascii="Rockwell" w:hAnsi="Rockwell"/>
                <w:b/>
                <w:bCs/>
                <w:szCs w:val="26"/>
              </w:rPr>
              <w:t>RDRN</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4F43643" w14:textId="77777777" w:rsidR="00284822" w:rsidRDefault="00F77BF8">
            <w:pPr>
              <w:spacing w:before="120" w:after="120"/>
              <w:rPr>
                <w:rFonts w:ascii="Rockwell" w:hAnsi="Rockwell"/>
                <w:szCs w:val="26"/>
              </w:rPr>
            </w:pPr>
            <w:r>
              <w:rPr>
                <w:rFonts w:ascii="Rockwell" w:hAnsi="Rockwell"/>
                <w:szCs w:val="26"/>
              </w:rPr>
              <w:t>Rassemblement Démocratique pour la Refondation Nationale</w:t>
            </w:r>
          </w:p>
        </w:tc>
      </w:tr>
      <w:tr w:rsidR="00284822" w14:paraId="1F4B027B"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9A68ECA" w14:textId="77777777" w:rsidR="00284822" w:rsidRDefault="00F77BF8">
            <w:pPr>
              <w:spacing w:before="120" w:after="120"/>
              <w:rPr>
                <w:rFonts w:ascii="Rockwell" w:hAnsi="Rockwell"/>
                <w:b/>
                <w:bCs/>
                <w:szCs w:val="26"/>
              </w:rPr>
            </w:pPr>
            <w:r>
              <w:rPr>
                <w:rFonts w:ascii="Rockwell" w:hAnsi="Rockwell"/>
                <w:b/>
                <w:bCs/>
                <w:color w:val="000000" w:themeColor="text1"/>
                <w:szCs w:val="26"/>
              </w:rPr>
              <w:t>REFRAM</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5C0C4CF" w14:textId="77777777" w:rsidR="00284822" w:rsidRDefault="00F77BF8">
            <w:pPr>
              <w:spacing w:before="120" w:after="120"/>
              <w:rPr>
                <w:rFonts w:ascii="Rockwell" w:hAnsi="Rockwell"/>
                <w:szCs w:val="26"/>
              </w:rPr>
            </w:pPr>
            <w:r>
              <w:rPr>
                <w:rFonts w:ascii="Rockwell" w:hAnsi="Rockwell"/>
              </w:rPr>
              <w:t>Réseau Francophone des Régulateurs des Médias</w:t>
            </w:r>
          </w:p>
        </w:tc>
      </w:tr>
      <w:tr w:rsidR="00284822" w14:paraId="69E12DFB"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BAAF4E3" w14:textId="77777777" w:rsidR="00284822" w:rsidRDefault="00F77BF8">
            <w:pPr>
              <w:spacing w:before="120" w:after="120"/>
              <w:rPr>
                <w:rFonts w:ascii="Rockwell" w:hAnsi="Rockwell"/>
                <w:b/>
                <w:bCs/>
                <w:szCs w:val="26"/>
              </w:rPr>
            </w:pPr>
            <w:r>
              <w:rPr>
                <w:rFonts w:ascii="Rockwell" w:hAnsi="Rockwell"/>
                <w:b/>
                <w:bCs/>
                <w:szCs w:val="26"/>
              </w:rPr>
              <w:t>RMB</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88177E4" w14:textId="77777777" w:rsidR="00284822" w:rsidRDefault="00F77BF8">
            <w:pPr>
              <w:spacing w:before="120" w:after="120"/>
              <w:rPr>
                <w:rFonts w:ascii="Rockwell" w:hAnsi="Rockwell"/>
                <w:szCs w:val="26"/>
              </w:rPr>
            </w:pPr>
            <w:r>
              <w:rPr>
                <w:rFonts w:ascii="Rockwell" w:hAnsi="Rockwell"/>
                <w:szCs w:val="26"/>
              </w:rPr>
              <w:t>Rassemblement Mains Blanches</w:t>
            </w:r>
          </w:p>
        </w:tc>
      </w:tr>
      <w:tr w:rsidR="00284822" w14:paraId="54E82229"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EADF34F" w14:textId="77777777" w:rsidR="00284822" w:rsidRDefault="00F77BF8">
            <w:pPr>
              <w:spacing w:before="120" w:after="120"/>
              <w:rPr>
                <w:rFonts w:ascii="Rockwell" w:hAnsi="Rockwell"/>
                <w:b/>
                <w:bCs/>
                <w:szCs w:val="26"/>
              </w:rPr>
            </w:pPr>
            <w:r>
              <w:rPr>
                <w:rFonts w:ascii="Rockwell" w:hAnsi="Rockwell"/>
                <w:b/>
                <w:bCs/>
                <w:szCs w:val="26"/>
              </w:rPr>
              <w:t>RPD</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25C2AF0" w14:textId="77777777" w:rsidR="00284822" w:rsidRDefault="00F77BF8">
            <w:pPr>
              <w:spacing w:before="120" w:after="120"/>
              <w:rPr>
                <w:rFonts w:ascii="Rockwell" w:hAnsi="Rockwell"/>
                <w:szCs w:val="26"/>
              </w:rPr>
            </w:pPr>
            <w:r>
              <w:rPr>
                <w:rFonts w:ascii="Rockwell" w:hAnsi="Rockwell"/>
                <w:szCs w:val="26"/>
              </w:rPr>
              <w:t>Rassemblement Patriotique pour l’intégrité</w:t>
            </w:r>
          </w:p>
        </w:tc>
      </w:tr>
      <w:tr w:rsidR="00284822" w14:paraId="58D5C596"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8736B2A" w14:textId="77777777" w:rsidR="00284822" w:rsidRDefault="00F77BF8">
            <w:pPr>
              <w:spacing w:before="120" w:after="120"/>
              <w:rPr>
                <w:rFonts w:ascii="Rockwell" w:hAnsi="Rockwell"/>
                <w:b/>
                <w:bCs/>
                <w:szCs w:val="26"/>
              </w:rPr>
            </w:pPr>
            <w:r>
              <w:rPr>
                <w:rFonts w:ascii="Rockwell" w:hAnsi="Rockwell"/>
                <w:b/>
                <w:bCs/>
                <w:szCs w:val="26"/>
              </w:rPr>
              <w:t>SA</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EE31628" w14:textId="77777777" w:rsidR="00284822" w:rsidRDefault="00F77BF8">
            <w:pPr>
              <w:spacing w:before="120" w:after="120"/>
              <w:rPr>
                <w:rFonts w:ascii="Rockwell" w:hAnsi="Rockwell"/>
                <w:szCs w:val="26"/>
              </w:rPr>
            </w:pPr>
            <w:r>
              <w:rPr>
                <w:rFonts w:ascii="Rockwell" w:hAnsi="Rockwell"/>
                <w:szCs w:val="26"/>
              </w:rPr>
              <w:t>Soleil d'Avenir</w:t>
            </w:r>
          </w:p>
        </w:tc>
      </w:tr>
      <w:tr w:rsidR="00284822" w14:paraId="635B7609"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C09E928" w14:textId="77777777" w:rsidR="00284822" w:rsidRDefault="00F77BF8">
            <w:pPr>
              <w:spacing w:before="120" w:after="120"/>
              <w:rPr>
                <w:rFonts w:ascii="Rockwell" w:hAnsi="Rockwell"/>
                <w:b/>
                <w:bCs/>
                <w:szCs w:val="26"/>
              </w:rPr>
            </w:pPr>
            <w:r>
              <w:rPr>
                <w:rFonts w:ascii="Rockwell" w:hAnsi="Rockwell"/>
                <w:b/>
                <w:bCs/>
                <w:szCs w:val="26"/>
              </w:rPr>
              <w:t>SENS </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34258F5" w14:textId="77777777" w:rsidR="00284822" w:rsidRDefault="00F77BF8">
            <w:pPr>
              <w:spacing w:before="120" w:after="120"/>
              <w:rPr>
                <w:rFonts w:ascii="Rockwell" w:hAnsi="Rockwell"/>
                <w:szCs w:val="26"/>
              </w:rPr>
            </w:pPr>
            <w:r>
              <w:rPr>
                <w:rFonts w:ascii="Rockwell" w:hAnsi="Rockwell"/>
                <w:szCs w:val="26"/>
              </w:rPr>
              <w:t>Servir et Non se Servir</w:t>
            </w:r>
          </w:p>
        </w:tc>
      </w:tr>
      <w:tr w:rsidR="00284822" w14:paraId="781504EC" w14:textId="77777777">
        <w:trPr>
          <w:trHeight w:val="41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6CC189A" w14:textId="77777777" w:rsidR="00284822" w:rsidRDefault="00F77BF8">
            <w:pPr>
              <w:spacing w:before="120" w:after="120"/>
              <w:rPr>
                <w:rFonts w:ascii="Rockwell" w:hAnsi="Rockwell"/>
                <w:b/>
                <w:bCs/>
                <w:szCs w:val="26"/>
              </w:rPr>
            </w:pPr>
            <w:r>
              <w:rPr>
                <w:rFonts w:ascii="Rockwell" w:hAnsi="Rockwell"/>
                <w:b/>
                <w:bCs/>
                <w:szCs w:val="26"/>
              </w:rPr>
              <w:t>SOCL</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ED8A3EA" w14:textId="77777777" w:rsidR="00284822" w:rsidRDefault="00F77BF8">
            <w:pPr>
              <w:spacing w:before="120" w:after="120"/>
              <w:rPr>
                <w:rFonts w:ascii="Rockwell" w:hAnsi="Rockwell"/>
                <w:szCs w:val="26"/>
              </w:rPr>
            </w:pPr>
            <w:r>
              <w:rPr>
                <w:rFonts w:ascii="Rockwell" w:hAnsi="Rockwell"/>
                <w:iCs/>
                <w:szCs w:val="26"/>
              </w:rPr>
              <w:t>Socle</w:t>
            </w:r>
            <w:r>
              <w:rPr>
                <w:rFonts w:ascii="Rockwell" w:hAnsi="Rockwell"/>
                <w:szCs w:val="26"/>
              </w:rPr>
              <w:t xml:space="preserve"> Citoyen pour la Libération</w:t>
            </w:r>
          </w:p>
        </w:tc>
      </w:tr>
      <w:tr w:rsidR="00284822" w14:paraId="49D27E92"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96AC56C" w14:textId="77777777" w:rsidR="00284822" w:rsidRDefault="00F77BF8">
            <w:pPr>
              <w:spacing w:before="120" w:after="120"/>
              <w:rPr>
                <w:rFonts w:ascii="Rockwell" w:hAnsi="Rockwell"/>
                <w:b/>
                <w:bCs/>
                <w:szCs w:val="26"/>
              </w:rPr>
            </w:pPr>
            <w:r>
              <w:rPr>
                <w:rFonts w:ascii="Rockwell" w:hAnsi="Rockwell"/>
                <w:b/>
                <w:bCs/>
                <w:szCs w:val="26"/>
              </w:rPr>
              <w:t>TA</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024AB74" w14:textId="77777777" w:rsidR="00284822" w:rsidRDefault="00F77BF8">
            <w:pPr>
              <w:spacing w:before="120" w:after="120"/>
              <w:rPr>
                <w:rFonts w:ascii="Rockwell" w:hAnsi="Rockwell"/>
                <w:iCs/>
                <w:szCs w:val="26"/>
              </w:rPr>
            </w:pPr>
            <w:r>
              <w:rPr>
                <w:rFonts w:ascii="Rockwell" w:hAnsi="Rockwell"/>
                <w:iCs/>
                <w:szCs w:val="26"/>
              </w:rPr>
              <w:t>Temps d’Antenne</w:t>
            </w:r>
          </w:p>
        </w:tc>
      </w:tr>
      <w:tr w:rsidR="00284822" w14:paraId="5A63BE99"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B4E8394" w14:textId="77777777" w:rsidR="00284822" w:rsidRDefault="00F77BF8">
            <w:pPr>
              <w:spacing w:before="120" w:after="120"/>
              <w:rPr>
                <w:rFonts w:ascii="Rockwell" w:hAnsi="Rockwell"/>
                <w:b/>
                <w:bCs/>
                <w:szCs w:val="26"/>
              </w:rPr>
            </w:pPr>
            <w:r>
              <w:rPr>
                <w:rFonts w:ascii="Rockwell" w:hAnsi="Rockwell"/>
                <w:b/>
                <w:bCs/>
                <w:szCs w:val="26"/>
              </w:rPr>
              <w:t>TP</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E1A84C0" w14:textId="77777777" w:rsidR="00284822" w:rsidRDefault="00F77BF8">
            <w:pPr>
              <w:spacing w:before="120" w:after="120"/>
              <w:rPr>
                <w:rFonts w:ascii="Rockwell" w:hAnsi="Rockwell"/>
                <w:iCs/>
                <w:szCs w:val="26"/>
              </w:rPr>
            </w:pPr>
            <w:r>
              <w:rPr>
                <w:rFonts w:ascii="Rockwell" w:hAnsi="Rockwell"/>
                <w:iCs/>
                <w:szCs w:val="26"/>
              </w:rPr>
              <w:t>Temps de Parole</w:t>
            </w:r>
          </w:p>
        </w:tc>
      </w:tr>
      <w:tr w:rsidR="00284822" w14:paraId="724453D3"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F93CF5F" w14:textId="77777777" w:rsidR="00284822" w:rsidRDefault="00F77BF8">
            <w:pPr>
              <w:spacing w:before="120" w:after="120"/>
              <w:rPr>
                <w:rFonts w:ascii="Rockwell" w:hAnsi="Rockwell"/>
                <w:b/>
                <w:bCs/>
                <w:szCs w:val="26"/>
              </w:rPr>
            </w:pPr>
            <w:r>
              <w:rPr>
                <w:rFonts w:ascii="Rockwell" w:hAnsi="Rockwell"/>
                <w:b/>
                <w:bCs/>
                <w:szCs w:val="26"/>
              </w:rPr>
              <w:t>UCAP/BF</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487368C" w14:textId="77777777" w:rsidR="00284822" w:rsidRDefault="00F77BF8">
            <w:pPr>
              <w:spacing w:before="120" w:after="120"/>
              <w:rPr>
                <w:rFonts w:ascii="Rockwell" w:hAnsi="Rockwell"/>
                <w:szCs w:val="26"/>
              </w:rPr>
            </w:pPr>
            <w:r>
              <w:rPr>
                <w:rFonts w:ascii="Rockwell" w:hAnsi="Rockwell"/>
                <w:color w:val="000000"/>
                <w:szCs w:val="26"/>
              </w:rPr>
              <w:t>Union Catholique Africaine de la Presse/Burkina Faso</w:t>
            </w:r>
          </w:p>
        </w:tc>
      </w:tr>
      <w:tr w:rsidR="00284822" w14:paraId="29DCFD4D"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250C3FB" w14:textId="77777777" w:rsidR="00284822" w:rsidRDefault="00F77BF8">
            <w:pPr>
              <w:spacing w:before="120" w:after="120"/>
              <w:rPr>
                <w:rFonts w:ascii="Rockwell" w:hAnsi="Rockwell"/>
                <w:b/>
                <w:bCs/>
                <w:szCs w:val="26"/>
              </w:rPr>
            </w:pPr>
            <w:r>
              <w:rPr>
                <w:rFonts w:ascii="Rockwell" w:hAnsi="Rockwell"/>
                <w:b/>
                <w:bCs/>
                <w:szCs w:val="26"/>
              </w:rPr>
              <w:t>UDB/R</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F7B579D" w14:textId="77777777" w:rsidR="00284822" w:rsidRDefault="00F77BF8">
            <w:pPr>
              <w:spacing w:before="120" w:after="120"/>
              <w:rPr>
                <w:rFonts w:ascii="Rockwell" w:hAnsi="Rockwell"/>
                <w:iCs/>
                <w:szCs w:val="26"/>
              </w:rPr>
            </w:pPr>
            <w:r>
              <w:rPr>
                <w:rFonts w:ascii="Rockwell" w:hAnsi="Rockwell"/>
                <w:iCs/>
                <w:szCs w:val="26"/>
              </w:rPr>
              <w:t>Union Démocratique Burkinabè pour la Renaissance</w:t>
            </w:r>
          </w:p>
        </w:tc>
      </w:tr>
      <w:tr w:rsidR="00284822" w14:paraId="248F1AD4"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DEE2F98" w14:textId="77777777" w:rsidR="00284822" w:rsidRDefault="00F77BF8">
            <w:pPr>
              <w:spacing w:before="120" w:after="120"/>
              <w:rPr>
                <w:rFonts w:ascii="Rockwell" w:hAnsi="Rockwell"/>
                <w:b/>
                <w:bCs/>
                <w:color w:val="000000" w:themeColor="text1"/>
                <w:szCs w:val="26"/>
              </w:rPr>
            </w:pPr>
            <w:r>
              <w:rPr>
                <w:rFonts w:ascii="Rockwell" w:hAnsi="Rockwell"/>
                <w:b/>
                <w:bCs/>
                <w:color w:val="000000" w:themeColor="text1"/>
                <w:szCs w:val="26"/>
              </w:rPr>
              <w:t>UEMOA</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5A48BAC" w14:textId="77777777" w:rsidR="00284822" w:rsidRDefault="00F77BF8">
            <w:pPr>
              <w:spacing w:before="120" w:after="120"/>
              <w:rPr>
                <w:rFonts w:ascii="Rockwell" w:hAnsi="Rockwell"/>
              </w:rPr>
            </w:pPr>
            <w:r>
              <w:rPr>
                <w:rFonts w:ascii="Rockwell" w:hAnsi="Rockwell"/>
              </w:rPr>
              <w:t>Union Economique et Monétaire Ouest Africaine</w:t>
            </w:r>
          </w:p>
        </w:tc>
      </w:tr>
      <w:tr w:rsidR="00284822" w14:paraId="4CF7E40E"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1050C96" w14:textId="77777777" w:rsidR="00284822" w:rsidRDefault="00F77BF8">
            <w:pPr>
              <w:spacing w:before="120" w:after="120"/>
              <w:rPr>
                <w:rFonts w:ascii="Rockwell" w:hAnsi="Rockwell"/>
                <w:b/>
                <w:bCs/>
                <w:szCs w:val="26"/>
              </w:rPr>
            </w:pPr>
            <w:r>
              <w:rPr>
                <w:rFonts w:ascii="Rockwell" w:hAnsi="Rockwell"/>
                <w:b/>
                <w:bCs/>
                <w:szCs w:val="26"/>
              </w:rPr>
              <w:t>UFP</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9C09A9A" w14:textId="77777777" w:rsidR="00284822" w:rsidRDefault="00F77BF8">
            <w:pPr>
              <w:spacing w:before="120" w:after="120"/>
              <w:rPr>
                <w:rFonts w:ascii="Rockwell" w:hAnsi="Rockwell"/>
                <w:szCs w:val="26"/>
              </w:rPr>
            </w:pPr>
            <w:r>
              <w:rPr>
                <w:rFonts w:ascii="Rockwell" w:hAnsi="Rockwell"/>
                <w:szCs w:val="26"/>
              </w:rPr>
              <w:t>Union des Forces Progressistes</w:t>
            </w:r>
          </w:p>
        </w:tc>
      </w:tr>
      <w:tr w:rsidR="00284822" w14:paraId="18827E16"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CF4CC51" w14:textId="77777777" w:rsidR="00284822" w:rsidRDefault="00F77BF8">
            <w:pPr>
              <w:spacing w:before="120" w:after="120"/>
              <w:rPr>
                <w:rFonts w:ascii="Rockwell" w:hAnsi="Rockwell"/>
                <w:b/>
                <w:bCs/>
                <w:szCs w:val="26"/>
              </w:rPr>
            </w:pPr>
            <w:r>
              <w:rPr>
                <w:rFonts w:ascii="Rockwell" w:hAnsi="Rockwell"/>
                <w:b/>
                <w:bCs/>
                <w:szCs w:val="26"/>
              </w:rPr>
              <w:t>UIT</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64F3A75" w14:textId="77777777" w:rsidR="00284822" w:rsidRDefault="00F77BF8">
            <w:pPr>
              <w:spacing w:before="120" w:after="120"/>
              <w:rPr>
                <w:rFonts w:ascii="Rockwell" w:hAnsi="Rockwell"/>
                <w:szCs w:val="26"/>
              </w:rPr>
            </w:pPr>
            <w:r>
              <w:rPr>
                <w:rFonts w:ascii="Rockwell" w:hAnsi="Rockwell"/>
                <w:szCs w:val="26"/>
              </w:rPr>
              <w:t>Union Internationale des Télécommunications</w:t>
            </w:r>
          </w:p>
        </w:tc>
      </w:tr>
      <w:tr w:rsidR="00284822" w14:paraId="6CE6FBAD"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12BD4D4" w14:textId="77777777" w:rsidR="00284822" w:rsidRDefault="00F77BF8">
            <w:pPr>
              <w:spacing w:before="120" w:after="120"/>
              <w:rPr>
                <w:rFonts w:ascii="Rockwell" w:hAnsi="Rockwell"/>
                <w:b/>
                <w:bCs/>
                <w:szCs w:val="26"/>
              </w:rPr>
            </w:pPr>
            <w:r>
              <w:rPr>
                <w:rFonts w:ascii="Rockwell" w:hAnsi="Rockwell"/>
                <w:b/>
                <w:bCs/>
                <w:szCs w:val="26"/>
              </w:rPr>
              <w:lastRenderedPageBreak/>
              <w:t>UNDD</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990A3C0" w14:textId="77777777" w:rsidR="00284822" w:rsidRDefault="00F77BF8">
            <w:pPr>
              <w:spacing w:before="120" w:after="120"/>
              <w:rPr>
                <w:rFonts w:ascii="Rockwell" w:hAnsi="Rockwell"/>
                <w:szCs w:val="26"/>
              </w:rPr>
            </w:pPr>
            <w:r>
              <w:rPr>
                <w:rFonts w:ascii="Rockwell" w:hAnsi="Rockwell"/>
                <w:szCs w:val="26"/>
              </w:rPr>
              <w:t>Union Nationale pour la Démocratie et le Développement</w:t>
            </w:r>
          </w:p>
        </w:tc>
      </w:tr>
      <w:tr w:rsidR="00284822" w14:paraId="215C58DE"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4521082" w14:textId="77777777" w:rsidR="00284822" w:rsidRDefault="00F77BF8">
            <w:pPr>
              <w:spacing w:before="120" w:after="120"/>
              <w:rPr>
                <w:rFonts w:ascii="Rockwell" w:hAnsi="Rockwell"/>
                <w:b/>
                <w:bCs/>
                <w:szCs w:val="26"/>
              </w:rPr>
            </w:pPr>
            <w:r>
              <w:rPr>
                <w:rFonts w:ascii="Rockwell" w:hAnsi="Rockwell"/>
                <w:b/>
                <w:bCs/>
                <w:szCs w:val="26"/>
              </w:rPr>
              <w:t>UNIR/MPS</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B504464" w14:textId="77777777" w:rsidR="00284822" w:rsidRDefault="00F77BF8">
            <w:pPr>
              <w:spacing w:before="120" w:after="120"/>
              <w:rPr>
                <w:rFonts w:ascii="Rockwell" w:hAnsi="Rockwell"/>
                <w:szCs w:val="26"/>
              </w:rPr>
            </w:pPr>
            <w:r>
              <w:rPr>
                <w:rFonts w:ascii="Rockwell" w:hAnsi="Rockwell"/>
                <w:szCs w:val="26"/>
              </w:rPr>
              <w:t>Union pour la Renaissance/Mouvement Patriotique Sankariste</w:t>
            </w:r>
          </w:p>
        </w:tc>
      </w:tr>
      <w:tr w:rsidR="00284822" w14:paraId="34386118"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EC9FA63" w14:textId="77777777" w:rsidR="00284822" w:rsidRDefault="00F77BF8">
            <w:pPr>
              <w:spacing w:before="120" w:after="120"/>
              <w:rPr>
                <w:rFonts w:ascii="Rockwell" w:hAnsi="Rockwell"/>
                <w:b/>
                <w:bCs/>
                <w:szCs w:val="26"/>
              </w:rPr>
            </w:pPr>
            <w:r>
              <w:rPr>
                <w:rFonts w:ascii="Rockwell" w:hAnsi="Rockwell"/>
                <w:b/>
                <w:bCs/>
                <w:szCs w:val="26"/>
              </w:rPr>
              <w:t>UPC</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5979B94" w14:textId="77777777" w:rsidR="00284822" w:rsidRDefault="00F77BF8">
            <w:pPr>
              <w:spacing w:before="120" w:after="120"/>
              <w:rPr>
                <w:rFonts w:ascii="Rockwell" w:hAnsi="Rockwell"/>
                <w:szCs w:val="26"/>
              </w:rPr>
            </w:pPr>
            <w:r>
              <w:rPr>
                <w:rFonts w:ascii="Rockwell" w:hAnsi="Rockwell"/>
                <w:szCs w:val="26"/>
              </w:rPr>
              <w:t>Union pour le Progrès et le Changement</w:t>
            </w:r>
          </w:p>
        </w:tc>
      </w:tr>
      <w:tr w:rsidR="00284822" w14:paraId="526CE117"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1F1B7DF" w14:textId="77777777" w:rsidR="00284822" w:rsidRDefault="00F77BF8">
            <w:pPr>
              <w:spacing w:before="120" w:after="120"/>
              <w:rPr>
                <w:rFonts w:ascii="Rockwell" w:hAnsi="Rockwell"/>
                <w:b/>
                <w:bCs/>
                <w:szCs w:val="26"/>
              </w:rPr>
            </w:pPr>
            <w:r>
              <w:rPr>
                <w:rFonts w:ascii="Rockwell" w:hAnsi="Rockwell"/>
                <w:b/>
                <w:bCs/>
                <w:szCs w:val="26"/>
              </w:rPr>
              <w:t>UPR</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127E444" w14:textId="77777777" w:rsidR="00284822" w:rsidRDefault="00F77BF8">
            <w:pPr>
              <w:spacing w:before="120" w:after="120"/>
              <w:rPr>
                <w:rFonts w:ascii="Rockwell" w:hAnsi="Rockwell"/>
                <w:szCs w:val="26"/>
              </w:rPr>
            </w:pPr>
            <w:r>
              <w:rPr>
                <w:rFonts w:ascii="Rockwell" w:hAnsi="Rockwell"/>
                <w:szCs w:val="26"/>
              </w:rPr>
              <w:t>Union pour la République</w:t>
            </w:r>
          </w:p>
        </w:tc>
      </w:tr>
      <w:tr w:rsidR="00284822" w14:paraId="60DDD335"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60407C6" w14:textId="77777777" w:rsidR="00284822" w:rsidRDefault="00F77BF8">
            <w:pPr>
              <w:spacing w:before="120" w:after="120"/>
              <w:rPr>
                <w:rFonts w:ascii="Rockwell" w:hAnsi="Rockwell"/>
                <w:b/>
                <w:bCs/>
                <w:szCs w:val="26"/>
              </w:rPr>
            </w:pPr>
            <w:r>
              <w:rPr>
                <w:rFonts w:ascii="Rockwell" w:hAnsi="Rockwell"/>
                <w:b/>
                <w:bCs/>
                <w:szCs w:val="26"/>
              </w:rPr>
              <w:t>URD</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3AAF74B" w14:textId="77777777" w:rsidR="00284822" w:rsidRDefault="00F77BF8">
            <w:pPr>
              <w:spacing w:before="120" w:after="120"/>
              <w:rPr>
                <w:rFonts w:ascii="Rockwell" w:hAnsi="Rockwell"/>
                <w:szCs w:val="26"/>
              </w:rPr>
            </w:pPr>
            <w:r>
              <w:rPr>
                <w:rFonts w:ascii="Rockwell" w:hAnsi="Rockwell"/>
                <w:szCs w:val="26"/>
              </w:rPr>
              <w:t>Union pour la République et la Démocratie</w:t>
            </w:r>
          </w:p>
        </w:tc>
      </w:tr>
      <w:tr w:rsidR="00284822" w14:paraId="683E3912"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8FC85BA" w14:textId="77777777" w:rsidR="00284822" w:rsidRDefault="00F77BF8">
            <w:pPr>
              <w:spacing w:before="120" w:after="120"/>
              <w:rPr>
                <w:rFonts w:ascii="Rockwell" w:hAnsi="Rockwell"/>
                <w:b/>
                <w:bCs/>
                <w:szCs w:val="26"/>
              </w:rPr>
            </w:pPr>
            <w:r>
              <w:rPr>
                <w:rFonts w:ascii="Rockwell" w:hAnsi="Rockwell"/>
                <w:b/>
                <w:bCs/>
                <w:szCs w:val="26"/>
              </w:rPr>
              <w:t>URDB</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AA2F282" w14:textId="77777777" w:rsidR="00284822" w:rsidRDefault="00F77BF8">
            <w:pPr>
              <w:spacing w:before="120" w:after="120"/>
              <w:rPr>
                <w:rFonts w:ascii="Rockwell" w:hAnsi="Rockwell"/>
                <w:szCs w:val="26"/>
              </w:rPr>
            </w:pPr>
            <w:r>
              <w:rPr>
                <w:rFonts w:ascii="Rockwell" w:hAnsi="Rockwell"/>
                <w:szCs w:val="26"/>
              </w:rPr>
              <w:t>Union pour la Renaissance Démocratique du Burkina</w:t>
            </w:r>
          </w:p>
        </w:tc>
      </w:tr>
      <w:tr w:rsidR="00284822" w14:paraId="3FD3AEB6"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6204B32" w14:textId="77777777" w:rsidR="00284822" w:rsidRDefault="00F77BF8">
            <w:pPr>
              <w:spacing w:before="120" w:after="120"/>
              <w:rPr>
                <w:rFonts w:ascii="Rockwell" w:hAnsi="Rockwell"/>
                <w:b/>
                <w:bCs/>
                <w:szCs w:val="26"/>
              </w:rPr>
            </w:pPr>
            <w:r>
              <w:rPr>
                <w:rFonts w:ascii="Rockwell" w:hAnsi="Rockwell"/>
                <w:b/>
                <w:bCs/>
                <w:szCs w:val="26"/>
              </w:rPr>
              <w:t>VB</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FF186F9" w14:textId="77777777" w:rsidR="00284822" w:rsidRDefault="00F77BF8">
            <w:pPr>
              <w:tabs>
                <w:tab w:val="left" w:pos="2355"/>
              </w:tabs>
              <w:spacing w:before="120" w:after="120"/>
              <w:rPr>
                <w:rFonts w:ascii="Rockwell" w:hAnsi="Rockwell"/>
                <w:szCs w:val="26"/>
              </w:rPr>
            </w:pPr>
            <w:r>
              <w:rPr>
                <w:rFonts w:ascii="Rockwell" w:hAnsi="Rockwell"/>
                <w:szCs w:val="26"/>
              </w:rPr>
              <w:t>Vision Burkina</w:t>
            </w:r>
            <w:r>
              <w:rPr>
                <w:rFonts w:ascii="Rockwell" w:hAnsi="Rockwell"/>
                <w:szCs w:val="26"/>
              </w:rPr>
              <w:tab/>
            </w:r>
          </w:p>
        </w:tc>
      </w:tr>
      <w:tr w:rsidR="00284822" w14:paraId="467DF48D"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6E2550F" w14:textId="77777777" w:rsidR="00284822" w:rsidRDefault="00F77BF8">
            <w:pPr>
              <w:spacing w:before="120" w:after="120"/>
              <w:rPr>
                <w:rFonts w:ascii="Rockwell" w:hAnsi="Rockwell"/>
                <w:b/>
                <w:bCs/>
                <w:szCs w:val="26"/>
              </w:rPr>
            </w:pPr>
            <w:r>
              <w:rPr>
                <w:rFonts w:ascii="Rockwell" w:hAnsi="Rockwell"/>
                <w:b/>
                <w:bCs/>
                <w:szCs w:val="26"/>
              </w:rPr>
              <w:t>VDP</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3E5EB3B" w14:textId="77777777" w:rsidR="00284822" w:rsidRDefault="00F77BF8">
            <w:pPr>
              <w:spacing w:before="120" w:after="120"/>
              <w:rPr>
                <w:rFonts w:ascii="Rockwell" w:hAnsi="Rockwell"/>
                <w:szCs w:val="26"/>
              </w:rPr>
            </w:pPr>
            <w:r>
              <w:rPr>
                <w:rFonts w:ascii="Rockwell" w:hAnsi="Rockwell"/>
                <w:szCs w:val="26"/>
              </w:rPr>
              <w:t>Volontaire pour la Défense de la Patrie</w:t>
            </w:r>
          </w:p>
        </w:tc>
      </w:tr>
      <w:tr w:rsidR="00284822" w14:paraId="20C051F2"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91B8EF3" w14:textId="77777777" w:rsidR="00284822" w:rsidRDefault="00F77BF8">
            <w:pPr>
              <w:spacing w:before="120" w:after="120"/>
              <w:rPr>
                <w:rFonts w:ascii="Rockwell" w:hAnsi="Rockwell"/>
                <w:b/>
                <w:bCs/>
                <w:szCs w:val="26"/>
              </w:rPr>
            </w:pPr>
            <w:r>
              <w:rPr>
                <w:rFonts w:ascii="Rockwell" w:hAnsi="Rockwell"/>
                <w:b/>
                <w:bCs/>
                <w:szCs w:val="26"/>
              </w:rPr>
              <w:t>VH</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147F64A" w14:textId="77777777" w:rsidR="00284822" w:rsidRDefault="00F77BF8">
            <w:pPr>
              <w:spacing w:before="120" w:after="120"/>
              <w:rPr>
                <w:rFonts w:ascii="Rockwell" w:hAnsi="Rockwell"/>
                <w:szCs w:val="26"/>
              </w:rPr>
            </w:pPr>
            <w:r>
              <w:rPr>
                <w:rFonts w:ascii="Rockwell" w:hAnsi="Rockwell"/>
                <w:szCs w:val="26"/>
              </w:rPr>
              <w:t>Volume Horaire</w:t>
            </w:r>
          </w:p>
        </w:tc>
      </w:tr>
    </w:tbl>
    <w:p w14:paraId="356D01E4" w14:textId="77777777" w:rsidR="00284822" w:rsidRDefault="00284822">
      <w:pPr>
        <w:pStyle w:val="Titre1"/>
        <w:spacing w:before="120" w:after="120"/>
        <w:rPr>
          <w:rFonts w:ascii="Rockwell" w:hAnsi="Rockwell"/>
        </w:rPr>
        <w:sectPr w:rsidR="00284822">
          <w:pgSz w:w="11906" w:h="16838"/>
          <w:pgMar w:top="1418" w:right="1418" w:bottom="1418" w:left="1418" w:header="709" w:footer="709" w:gutter="0"/>
          <w:cols w:space="720"/>
        </w:sectPr>
      </w:pPr>
      <w:bookmarkStart w:id="30" w:name="_Toc42536519"/>
      <w:bookmarkStart w:id="31" w:name="_Toc42529860"/>
      <w:bookmarkStart w:id="32" w:name="_Toc43239311"/>
      <w:bookmarkStart w:id="33" w:name="_Toc119511770"/>
      <w:bookmarkStart w:id="34" w:name="_Toc43238603"/>
      <w:bookmarkStart w:id="35" w:name="_Hlk71206912"/>
      <w:bookmarkStart w:id="36" w:name="_Toc42535728"/>
      <w:bookmarkStart w:id="37" w:name="_Toc73184045"/>
      <w:bookmarkStart w:id="38" w:name="_Toc42536289"/>
      <w:bookmarkStart w:id="39" w:name="_Toc72864273"/>
      <w:bookmarkStart w:id="40" w:name="_Toc73183926"/>
      <w:bookmarkStart w:id="41" w:name="_Toc122608627"/>
      <w:bookmarkStart w:id="42" w:name="_Toc19126792"/>
      <w:bookmarkStart w:id="43" w:name="_Toc25166604"/>
      <w:bookmarkStart w:id="44" w:name="_Toc25165975"/>
      <w:bookmarkStart w:id="45" w:name="_Toc19126968"/>
      <w:bookmarkEnd w:id="16"/>
      <w:bookmarkEnd w:id="17"/>
      <w:bookmarkEnd w:id="18"/>
      <w:bookmarkEnd w:id="19"/>
      <w:bookmarkEnd w:id="20"/>
      <w:bookmarkEnd w:id="21"/>
      <w:bookmarkEnd w:id="22"/>
      <w:bookmarkEnd w:id="23"/>
      <w:bookmarkEnd w:id="24"/>
    </w:p>
    <w:p w14:paraId="65CBBA6D" w14:textId="77777777" w:rsidR="00284822" w:rsidRDefault="00F77BF8">
      <w:pPr>
        <w:pStyle w:val="Titre1"/>
        <w:spacing w:before="120" w:after="120"/>
        <w:rPr>
          <w:rFonts w:ascii="Rockwell" w:hAnsi="Rockwell"/>
        </w:rPr>
      </w:pPr>
      <w:bookmarkStart w:id="46" w:name="_Toc175048635"/>
      <w:bookmarkStart w:id="47" w:name="_Toc170304742"/>
      <w:r>
        <w:rPr>
          <w:rFonts w:ascii="Rockwell" w:hAnsi="Rockwell"/>
        </w:rPr>
        <w:lastRenderedPageBreak/>
        <w:t>AVANT-PROPOS</w:t>
      </w:r>
      <w:bookmarkStart w:id="48" w:name="_Hlk71207030"/>
      <w:bookmarkEnd w:id="30"/>
      <w:bookmarkEnd w:id="31"/>
      <w:bookmarkEnd w:id="32"/>
      <w:bookmarkEnd w:id="33"/>
      <w:bookmarkEnd w:id="34"/>
      <w:bookmarkEnd w:id="35"/>
      <w:bookmarkEnd w:id="36"/>
      <w:bookmarkEnd w:id="37"/>
      <w:bookmarkEnd w:id="38"/>
      <w:bookmarkEnd w:id="39"/>
      <w:bookmarkEnd w:id="40"/>
      <w:bookmarkEnd w:id="41"/>
      <w:bookmarkEnd w:id="46"/>
      <w:bookmarkEnd w:id="47"/>
    </w:p>
    <w:p w14:paraId="53BBC5EE" w14:textId="77777777" w:rsidR="00284822" w:rsidRDefault="00F77BF8">
      <w:pPr>
        <w:spacing w:before="120" w:after="120"/>
        <w:rPr>
          <w:rFonts w:ascii="Rockwell" w:hAnsi="Rockwell"/>
          <w:color w:val="000000" w:themeColor="text1"/>
          <w:szCs w:val="26"/>
        </w:rPr>
      </w:pPr>
      <w:r>
        <w:rPr>
          <w:rFonts w:ascii="Rockwell" w:hAnsi="Rockwell"/>
          <w:color w:val="000000" w:themeColor="text1"/>
          <w:szCs w:val="26"/>
        </w:rPr>
        <w:t xml:space="preserve">En 2022, le suivi par le Conseil supérieur de la communication (CSC) du secteur de la communication au public a révélé au moins deux défis majeurs : la construction d’un système médiatique national en phase avec l’évolution technologique et la résilience des entreprises de presse face à la situation sécuritaire nationale difficile. </w:t>
      </w:r>
    </w:p>
    <w:p w14:paraId="65A52F99" w14:textId="77777777" w:rsidR="00284822" w:rsidRDefault="00F77BF8">
      <w:pPr>
        <w:spacing w:before="120" w:after="120"/>
        <w:rPr>
          <w:rFonts w:ascii="Rockwell" w:hAnsi="Rockwell"/>
          <w:szCs w:val="26"/>
        </w:rPr>
      </w:pPr>
      <w:r>
        <w:rPr>
          <w:rFonts w:ascii="Rockwell" w:hAnsi="Rockwell"/>
          <w:color w:val="000000" w:themeColor="text1"/>
          <w:szCs w:val="26"/>
        </w:rPr>
        <w:t>Les échanges avec les acteurs de la communication montrent que la réponse à ces défis devrait s’inscrire dans l</w:t>
      </w:r>
      <w:r>
        <w:rPr>
          <w:rFonts w:ascii="Rockwell" w:hAnsi="Rockwell"/>
          <w:szCs w:val="26"/>
        </w:rPr>
        <w:t xml:space="preserve">a complémentarité entre l’offre publique et l’offre privée, l’évolution du modèle économique de l’audiovisuel, le renforcement des compétences des ressources humaines du secteur, la préservation du droit du citoyen à l’information et la couverture intégrale du territoire. </w:t>
      </w:r>
    </w:p>
    <w:p w14:paraId="0D1FEF41" w14:textId="77777777" w:rsidR="00284822" w:rsidRDefault="00F77BF8">
      <w:pPr>
        <w:spacing w:before="120" w:after="120"/>
        <w:rPr>
          <w:rFonts w:ascii="Rockwell" w:hAnsi="Rockwell"/>
          <w:color w:val="000000" w:themeColor="text1"/>
          <w:szCs w:val="26"/>
        </w:rPr>
      </w:pPr>
      <w:r>
        <w:rPr>
          <w:rFonts w:ascii="Rockwell" w:hAnsi="Rockwell"/>
          <w:color w:val="000000" w:themeColor="text1"/>
          <w:szCs w:val="26"/>
        </w:rPr>
        <w:t>Cette réponse devrait également s’insérer dans un vaste et urgent chantier de formulation d’une politique publique de promotion d’un système médiatique national compétitif, ouvert sur les attentes de toutes les générations et à même d’être un espace de valorisation de la richesse identitaire, culturelle, politique et civilisationnelle.</w:t>
      </w:r>
    </w:p>
    <w:p w14:paraId="1D2A4EF5" w14:textId="77777777" w:rsidR="00284822" w:rsidRDefault="00F77BF8">
      <w:pPr>
        <w:suppressAutoHyphens w:val="0"/>
        <w:autoSpaceDN/>
        <w:spacing w:before="120" w:after="120"/>
        <w:textAlignment w:val="auto"/>
        <w:rPr>
          <w:rFonts w:ascii="Rockwell" w:eastAsiaTheme="minorHAnsi" w:hAnsi="Rockwell"/>
          <w:szCs w:val="26"/>
          <w:lang w:eastAsia="en-US"/>
        </w:rPr>
      </w:pPr>
      <w:r>
        <w:rPr>
          <w:rFonts w:ascii="Rockwell" w:eastAsiaTheme="minorHAnsi" w:hAnsi="Rockwell"/>
          <w:szCs w:val="26"/>
          <w:lang w:eastAsia="en-US"/>
        </w:rPr>
        <w:t xml:space="preserve">Je voudrais ici, me féliciter de l’engagement de mes prédécesseurs dont la clairvoyance a permis la réalisation d’ambitieux programmes et tracé des sillons pour une presse plurielle et de plus en plus professionnelle au service de la nation. </w:t>
      </w:r>
    </w:p>
    <w:p w14:paraId="7B23C546" w14:textId="77777777" w:rsidR="00284822" w:rsidRDefault="00F77BF8">
      <w:pPr>
        <w:spacing w:before="120" w:after="120"/>
        <w:rPr>
          <w:rFonts w:ascii="Rockwell" w:hAnsi="Rockwell"/>
          <w:color w:val="000000" w:themeColor="text1"/>
          <w:szCs w:val="26"/>
        </w:rPr>
      </w:pPr>
      <w:r>
        <w:rPr>
          <w:rFonts w:ascii="Rockwell" w:hAnsi="Rockwell"/>
          <w:color w:val="000000" w:themeColor="text1"/>
          <w:szCs w:val="26"/>
        </w:rPr>
        <w:t>Pour ma part, je veillerai, avec l’accompagnement des plus hautes autorités, à poursuivre cette noble mission de consolidation des espaces de libertés et de démocratie dans notre pays.</w:t>
      </w:r>
    </w:p>
    <w:p w14:paraId="2653F815" w14:textId="77777777" w:rsidR="00284822" w:rsidRDefault="00F77BF8">
      <w:pPr>
        <w:tabs>
          <w:tab w:val="left" w:pos="7655"/>
        </w:tabs>
        <w:spacing w:before="120" w:after="120"/>
        <w:ind w:right="1132"/>
        <w:jc w:val="right"/>
        <w:rPr>
          <w:rFonts w:ascii="Rockwell" w:hAnsi="Rockwell"/>
          <w:color w:val="000000" w:themeColor="text1"/>
          <w:szCs w:val="26"/>
        </w:rPr>
      </w:pPr>
      <w:r>
        <w:rPr>
          <w:rFonts w:ascii="Rockwell" w:hAnsi="Rockwell"/>
          <w:color w:val="000000" w:themeColor="text1"/>
          <w:szCs w:val="26"/>
        </w:rPr>
        <w:t xml:space="preserve">       Le Président</w:t>
      </w:r>
    </w:p>
    <w:p w14:paraId="7E60F599" w14:textId="77777777" w:rsidR="00284822" w:rsidRDefault="00284822">
      <w:pPr>
        <w:tabs>
          <w:tab w:val="left" w:pos="8222"/>
        </w:tabs>
        <w:spacing w:before="120" w:after="120"/>
        <w:ind w:right="1273"/>
        <w:jc w:val="right"/>
        <w:rPr>
          <w:rFonts w:ascii="Rockwell" w:hAnsi="Rockwell"/>
          <w:color w:val="000000" w:themeColor="text1"/>
          <w:sz w:val="10"/>
          <w:szCs w:val="10"/>
        </w:rPr>
      </w:pPr>
    </w:p>
    <w:p w14:paraId="38A70FA6" w14:textId="77777777" w:rsidR="00284822" w:rsidRDefault="00284822">
      <w:pPr>
        <w:tabs>
          <w:tab w:val="left" w:pos="8222"/>
        </w:tabs>
        <w:spacing w:before="120" w:after="120"/>
        <w:ind w:right="1273"/>
        <w:jc w:val="right"/>
        <w:rPr>
          <w:rFonts w:ascii="Rockwell" w:hAnsi="Rockwell"/>
          <w:color w:val="000000" w:themeColor="text1"/>
          <w:sz w:val="10"/>
          <w:szCs w:val="10"/>
        </w:rPr>
      </w:pPr>
    </w:p>
    <w:p w14:paraId="5A2A3DC7" w14:textId="77777777" w:rsidR="00284822" w:rsidRDefault="00284822">
      <w:pPr>
        <w:tabs>
          <w:tab w:val="left" w:pos="8222"/>
        </w:tabs>
        <w:spacing w:before="120" w:after="120"/>
        <w:ind w:right="1273"/>
        <w:jc w:val="right"/>
        <w:rPr>
          <w:rFonts w:ascii="Rockwell" w:hAnsi="Rockwell"/>
          <w:color w:val="000000" w:themeColor="text1"/>
          <w:sz w:val="10"/>
          <w:szCs w:val="10"/>
        </w:rPr>
      </w:pPr>
    </w:p>
    <w:p w14:paraId="68BAE2B8" w14:textId="77777777" w:rsidR="00284822" w:rsidRDefault="00F77BF8">
      <w:pPr>
        <w:tabs>
          <w:tab w:val="left" w:pos="7050"/>
        </w:tabs>
        <w:spacing w:line="240" w:lineRule="auto"/>
        <w:jc w:val="right"/>
        <w:rPr>
          <w:rFonts w:ascii="Rockwell" w:hAnsi="Rockwell"/>
          <w:b/>
          <w:color w:val="000000" w:themeColor="text1"/>
          <w:sz w:val="24"/>
          <w:u w:val="single"/>
        </w:rPr>
      </w:pPr>
      <w:r>
        <w:rPr>
          <w:rFonts w:ascii="Rockwell" w:hAnsi="Rockwell"/>
          <w:b/>
          <w:color w:val="000000" w:themeColor="text1"/>
          <w:sz w:val="24"/>
          <w:u w:val="single"/>
        </w:rPr>
        <w:t>W. Louis Modeste OUEDRAOGO</w:t>
      </w:r>
    </w:p>
    <w:p w14:paraId="64989BA9" w14:textId="77777777" w:rsidR="00284822" w:rsidRDefault="00F77BF8">
      <w:pPr>
        <w:tabs>
          <w:tab w:val="left" w:pos="7050"/>
        </w:tabs>
        <w:spacing w:line="240" w:lineRule="auto"/>
        <w:ind w:left="4956"/>
        <w:jc w:val="center"/>
        <w:rPr>
          <w:rFonts w:ascii="Rockwell" w:hAnsi="Rockwell"/>
          <w:i/>
          <w:color w:val="000000" w:themeColor="text1"/>
          <w:sz w:val="20"/>
          <w:szCs w:val="20"/>
        </w:rPr>
      </w:pPr>
      <w:r>
        <w:rPr>
          <w:rFonts w:ascii="Rockwell" w:hAnsi="Rockwell"/>
          <w:i/>
          <w:color w:val="000000" w:themeColor="text1"/>
          <w:sz w:val="20"/>
          <w:szCs w:val="20"/>
        </w:rPr>
        <w:t>Chevalier de l’Ordre du Mérite des Arts, des Lettres et de la Communication</w:t>
      </w:r>
    </w:p>
    <w:p w14:paraId="4D989509" w14:textId="77777777" w:rsidR="00284822" w:rsidRDefault="00F77BF8">
      <w:pPr>
        <w:pStyle w:val="Lgende"/>
        <w:spacing w:before="120" w:after="120"/>
        <w:jc w:val="center"/>
        <w:rPr>
          <w:rFonts w:ascii="Rockwell" w:hAnsi="Rockwell"/>
          <w:color w:val="000000" w:themeColor="text1"/>
          <w:sz w:val="32"/>
          <w:szCs w:val="32"/>
        </w:rPr>
      </w:pPr>
      <w:bookmarkStart w:id="49" w:name="_Hlk71207303"/>
      <w:bookmarkEnd w:id="42"/>
      <w:bookmarkEnd w:id="43"/>
      <w:bookmarkEnd w:id="44"/>
      <w:bookmarkEnd w:id="45"/>
      <w:bookmarkEnd w:id="48"/>
      <w:r>
        <w:rPr>
          <w:rFonts w:ascii="Rockwell" w:hAnsi="Rockwell"/>
          <w:color w:val="000000" w:themeColor="text1"/>
          <w:sz w:val="32"/>
          <w:szCs w:val="32"/>
        </w:rPr>
        <w:lastRenderedPageBreak/>
        <w:t>Composition du Collège des conseillers en 2022</w:t>
      </w:r>
    </w:p>
    <w:p w14:paraId="719A50A9" w14:textId="77777777" w:rsidR="00284822" w:rsidRDefault="00284822">
      <w:pPr>
        <w:spacing w:before="120" w:after="120"/>
      </w:pPr>
    </w:p>
    <w:p w14:paraId="48154DCB" w14:textId="77777777" w:rsidR="00284822" w:rsidRDefault="00F77BF8">
      <w:pPr>
        <w:spacing w:before="120" w:after="120"/>
        <w:jc w:val="center"/>
        <w:rPr>
          <w:rFonts w:ascii="Rockwell" w:hAnsi="Rockwell"/>
          <w:b/>
          <w:color w:val="000000" w:themeColor="text1"/>
          <w:szCs w:val="26"/>
        </w:rPr>
      </w:pPr>
      <w:r>
        <w:rPr>
          <w:rFonts w:ascii="Rockwell" w:hAnsi="Rockwell"/>
          <w:b/>
          <w:color w:val="000000" w:themeColor="text1"/>
          <w:szCs w:val="26"/>
        </w:rPr>
        <w:t>De janvier à mai 2022</w:t>
      </w:r>
    </w:p>
    <w:p w14:paraId="74563BE3" w14:textId="77777777" w:rsidR="00284822" w:rsidRDefault="00F77BF8">
      <w:pPr>
        <w:spacing w:before="120" w:after="120"/>
        <w:ind w:firstLine="142"/>
        <w:jc w:val="center"/>
        <w:rPr>
          <w:rFonts w:ascii="Rockwell" w:hAnsi="Rockwell"/>
          <w:color w:val="000000" w:themeColor="text1"/>
          <w:szCs w:val="26"/>
        </w:rPr>
      </w:pPr>
      <w:r>
        <w:rPr>
          <w:rFonts w:ascii="Rockwell" w:hAnsi="Rockwell"/>
          <w:noProof/>
          <w:color w:val="000000" w:themeColor="text1"/>
          <w:szCs w:val="26"/>
        </w:rPr>
        <w:drawing>
          <wp:inline distT="0" distB="0" distL="0" distR="0" wp14:anchorId="6E5D8392" wp14:editId="148D5FD1">
            <wp:extent cx="2950210" cy="2463165"/>
            <wp:effectExtent l="0" t="4128" r="0" b="0"/>
            <wp:docPr id="89" name="Image 89" descr="C:\Users\HP\Desktop\illustrations rapport public 2023\1. Président BAM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 89" descr="C:\Users\HP\Desktop\illustrations rapport public 2023\1. Président BAMOGO.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rot="5400000">
                      <a:off x="0" y="0"/>
                      <a:ext cx="3084034" cy="2574946"/>
                    </a:xfrm>
                    <a:prstGeom prst="rect">
                      <a:avLst/>
                    </a:prstGeom>
                    <a:noFill/>
                    <a:ln>
                      <a:noFill/>
                    </a:ln>
                  </pic:spPr>
                </pic:pic>
              </a:graphicData>
            </a:graphic>
          </wp:inline>
        </w:drawing>
      </w:r>
    </w:p>
    <w:p w14:paraId="2B4456D2" w14:textId="77777777" w:rsidR="00284822" w:rsidRDefault="00F77BF8">
      <w:pPr>
        <w:spacing w:before="120" w:after="120"/>
        <w:ind w:firstLine="1985"/>
        <w:rPr>
          <w:rFonts w:ascii="Rockwell" w:hAnsi="Rockwell"/>
          <w:color w:val="000000" w:themeColor="text1"/>
          <w:sz w:val="18"/>
          <w:szCs w:val="18"/>
        </w:rPr>
      </w:pPr>
      <w:r>
        <w:rPr>
          <w:rFonts w:ascii="Rockwell" w:hAnsi="Rockwell"/>
          <w:color w:val="000000" w:themeColor="text1"/>
          <w:szCs w:val="26"/>
        </w:rPr>
        <w:t xml:space="preserve">             </w:t>
      </w:r>
      <w:r>
        <w:rPr>
          <w:rFonts w:ascii="Rockwell" w:hAnsi="Rockwell"/>
          <w:color w:val="000000" w:themeColor="text1"/>
          <w:sz w:val="18"/>
          <w:szCs w:val="18"/>
        </w:rPr>
        <w:t xml:space="preserve">M. </w:t>
      </w:r>
      <w:proofErr w:type="spellStart"/>
      <w:r>
        <w:rPr>
          <w:rFonts w:ascii="Rockwell" w:hAnsi="Rockwell"/>
          <w:color w:val="000000" w:themeColor="text1"/>
          <w:sz w:val="18"/>
          <w:szCs w:val="18"/>
        </w:rPr>
        <w:t>Abdoulazize</w:t>
      </w:r>
      <w:proofErr w:type="spellEnd"/>
      <w:r>
        <w:rPr>
          <w:rFonts w:ascii="Rockwell" w:hAnsi="Rockwell"/>
          <w:color w:val="000000" w:themeColor="text1"/>
          <w:sz w:val="18"/>
          <w:szCs w:val="18"/>
        </w:rPr>
        <w:t xml:space="preserve"> BAMOGO, Vice-président</w:t>
      </w:r>
    </w:p>
    <w:p w14:paraId="77C38ABB" w14:textId="77777777" w:rsidR="00284822" w:rsidRDefault="00284822">
      <w:pPr>
        <w:spacing w:before="120" w:after="120"/>
        <w:ind w:firstLine="1701"/>
        <w:rPr>
          <w:rFonts w:ascii="Rockwell" w:hAnsi="Rockwell"/>
          <w:color w:val="000000" w:themeColor="text1"/>
          <w:sz w:val="18"/>
          <w:szCs w:val="18"/>
        </w:rPr>
      </w:pPr>
    </w:p>
    <w:p w14:paraId="23AE1CF9" w14:textId="77777777" w:rsidR="00284822" w:rsidRDefault="00284822">
      <w:pPr>
        <w:spacing w:before="120" w:after="120"/>
        <w:ind w:firstLine="1701"/>
        <w:rPr>
          <w:rFonts w:ascii="Rockwell" w:hAnsi="Rockwell"/>
          <w:color w:val="000000" w:themeColor="text1"/>
          <w:sz w:val="20"/>
          <w:szCs w:val="20"/>
        </w:rPr>
      </w:pPr>
    </w:p>
    <w:p w14:paraId="699A4BCE" w14:textId="77777777" w:rsidR="00284822" w:rsidRDefault="00F77BF8">
      <w:pPr>
        <w:spacing w:before="120" w:after="120"/>
        <w:ind w:firstLine="1701"/>
        <w:rPr>
          <w:rFonts w:ascii="Rockwell" w:hAnsi="Rockwell"/>
          <w:color w:val="000000" w:themeColor="text1"/>
          <w:sz w:val="20"/>
          <w:szCs w:val="20"/>
        </w:rPr>
      </w:pPr>
      <w:r>
        <w:rPr>
          <w:rFonts w:ascii="Rockwell" w:hAnsi="Rockwell"/>
          <w:noProof/>
          <w:color w:val="000000" w:themeColor="text1"/>
          <w:szCs w:val="26"/>
        </w:rPr>
        <w:drawing>
          <wp:inline distT="0" distB="0" distL="0" distR="0" wp14:anchorId="0EA19E6F" wp14:editId="6947C311">
            <wp:extent cx="1862455" cy="2244090"/>
            <wp:effectExtent l="0" t="0" r="4445" b="3810"/>
            <wp:docPr id="84" name="Imag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 84"/>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893208" cy="2281080"/>
                    </a:xfrm>
                    <a:prstGeom prst="rect">
                      <a:avLst/>
                    </a:prstGeom>
                  </pic:spPr>
                </pic:pic>
              </a:graphicData>
            </a:graphic>
          </wp:inline>
        </w:drawing>
      </w:r>
      <w:r>
        <w:rPr>
          <w:rFonts w:ascii="Rockwell" w:hAnsi="Rockwell"/>
          <w:noProof/>
          <w:color w:val="000000" w:themeColor="text1"/>
          <w:szCs w:val="26"/>
        </w:rPr>
        <w:drawing>
          <wp:anchor distT="0" distB="0" distL="114300" distR="114300" simplePos="0" relativeHeight="251671552" behindDoc="0" locked="0" layoutInCell="1" allowOverlap="1" wp14:anchorId="01134C9B" wp14:editId="5C6E7939">
            <wp:simplePos x="0" y="0"/>
            <wp:positionH relativeFrom="margin">
              <wp:posOffset>4445</wp:posOffset>
            </wp:positionH>
            <wp:positionV relativeFrom="paragraph">
              <wp:posOffset>8255</wp:posOffset>
            </wp:positionV>
            <wp:extent cx="1838325" cy="2451100"/>
            <wp:effectExtent l="0" t="0" r="9525" b="635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38325" cy="2451100"/>
                    </a:xfrm>
                    <a:prstGeom prst="rect">
                      <a:avLst/>
                    </a:prstGeom>
                  </pic:spPr>
                </pic:pic>
              </a:graphicData>
            </a:graphic>
          </wp:anchor>
        </w:drawing>
      </w:r>
    </w:p>
    <w:p w14:paraId="5F5B0563" w14:textId="77777777" w:rsidR="00284822" w:rsidRDefault="00284822">
      <w:pPr>
        <w:spacing w:before="120" w:after="120"/>
        <w:ind w:firstLine="1701"/>
        <w:rPr>
          <w:rFonts w:ascii="Rockwell" w:hAnsi="Rockwell"/>
          <w:color w:val="000000" w:themeColor="text1"/>
          <w:sz w:val="10"/>
          <w:szCs w:val="10"/>
        </w:rPr>
      </w:pPr>
    </w:p>
    <w:p w14:paraId="5C846EB2" w14:textId="77777777" w:rsidR="00284822" w:rsidRDefault="00F77BF8">
      <w:pPr>
        <w:spacing w:before="120" w:after="120"/>
        <w:ind w:firstLine="284"/>
        <w:rPr>
          <w:rFonts w:ascii="Rockwell" w:hAnsi="Rockwell"/>
          <w:color w:val="000000" w:themeColor="text1"/>
          <w:sz w:val="18"/>
          <w:szCs w:val="18"/>
        </w:rPr>
      </w:pPr>
      <w:r>
        <w:rPr>
          <w:rFonts w:ascii="Rockwell" w:hAnsi="Rockwell"/>
          <w:color w:val="000000" w:themeColor="text1"/>
          <w:sz w:val="18"/>
          <w:szCs w:val="18"/>
        </w:rPr>
        <w:t>Mme Jeanne COULIBALY</w:t>
      </w:r>
      <w:r>
        <w:rPr>
          <w:rFonts w:ascii="Rockwell" w:hAnsi="Rockwell"/>
          <w:color w:val="000000" w:themeColor="text1"/>
          <w:sz w:val="18"/>
          <w:szCs w:val="18"/>
        </w:rPr>
        <w:tab/>
      </w:r>
      <w:r>
        <w:rPr>
          <w:rFonts w:ascii="Rockwell" w:hAnsi="Rockwell"/>
          <w:color w:val="000000" w:themeColor="text1"/>
          <w:sz w:val="18"/>
          <w:szCs w:val="18"/>
        </w:rPr>
        <w:tab/>
      </w:r>
      <w:r>
        <w:rPr>
          <w:rFonts w:ascii="Rockwell" w:hAnsi="Rockwell"/>
          <w:color w:val="000000" w:themeColor="text1"/>
          <w:sz w:val="18"/>
          <w:szCs w:val="18"/>
        </w:rPr>
        <w:tab/>
      </w:r>
      <w:r>
        <w:rPr>
          <w:rFonts w:ascii="Rockwell" w:hAnsi="Rockwell"/>
          <w:color w:val="000000" w:themeColor="text1"/>
          <w:sz w:val="18"/>
          <w:szCs w:val="18"/>
        </w:rPr>
        <w:tab/>
        <w:t xml:space="preserve">              Mme S. Eugénie Séraphine </w:t>
      </w:r>
    </w:p>
    <w:p w14:paraId="5F978F15" w14:textId="77777777" w:rsidR="00284822" w:rsidRDefault="00F77BF8">
      <w:pPr>
        <w:spacing w:before="120" w:after="120"/>
        <w:ind w:left="4248" w:firstLine="708"/>
        <w:rPr>
          <w:rFonts w:ascii="Rockwell" w:hAnsi="Rockwell"/>
          <w:color w:val="000000" w:themeColor="text1"/>
          <w:sz w:val="18"/>
          <w:szCs w:val="18"/>
        </w:rPr>
      </w:pPr>
      <w:r>
        <w:rPr>
          <w:rFonts w:ascii="Rockwell" w:hAnsi="Rockwell"/>
          <w:color w:val="000000" w:themeColor="text1"/>
          <w:sz w:val="18"/>
          <w:szCs w:val="18"/>
        </w:rPr>
        <w:t xml:space="preserve">               YAMEOGO/OUATTARA</w:t>
      </w:r>
    </w:p>
    <w:p w14:paraId="54591276" w14:textId="77777777" w:rsidR="00284822" w:rsidRDefault="00284822">
      <w:pPr>
        <w:spacing w:before="120" w:after="120"/>
        <w:ind w:left="4248" w:firstLine="708"/>
        <w:rPr>
          <w:rFonts w:ascii="Rockwell" w:hAnsi="Rockwell"/>
          <w:color w:val="000000" w:themeColor="text1"/>
          <w:sz w:val="18"/>
          <w:szCs w:val="18"/>
        </w:rPr>
      </w:pPr>
    </w:p>
    <w:p w14:paraId="7826200A" w14:textId="77777777" w:rsidR="00284822" w:rsidRDefault="00F77BF8">
      <w:pPr>
        <w:spacing w:before="120" w:after="120"/>
        <w:ind w:left="2127" w:firstLine="2835"/>
        <w:rPr>
          <w:rFonts w:ascii="Rockwell" w:hAnsi="Rockwell"/>
          <w:color w:val="000000" w:themeColor="text1"/>
          <w:szCs w:val="26"/>
        </w:rPr>
      </w:pPr>
      <w:r>
        <w:rPr>
          <w:noProof/>
        </w:rPr>
        <w:lastRenderedPageBreak/>
        <w:drawing>
          <wp:anchor distT="0" distB="0" distL="114300" distR="114300" simplePos="0" relativeHeight="251679744" behindDoc="0" locked="0" layoutInCell="1" allowOverlap="0" wp14:anchorId="152D7247" wp14:editId="0B85C252">
            <wp:simplePos x="0" y="0"/>
            <wp:positionH relativeFrom="column">
              <wp:posOffset>61595</wp:posOffset>
            </wp:positionH>
            <wp:positionV relativeFrom="paragraph">
              <wp:posOffset>58420</wp:posOffset>
            </wp:positionV>
            <wp:extent cx="1649730" cy="1719580"/>
            <wp:effectExtent l="0" t="0" r="0" b="0"/>
            <wp:wrapSquare wrapText="bothSides"/>
            <wp:docPr id="25" name="Picture 3676"/>
            <wp:cNvGraphicFramePr/>
            <a:graphic xmlns:a="http://schemas.openxmlformats.org/drawingml/2006/main">
              <a:graphicData uri="http://schemas.openxmlformats.org/drawingml/2006/picture">
                <pic:pic xmlns:pic="http://schemas.openxmlformats.org/drawingml/2006/picture">
                  <pic:nvPicPr>
                    <pic:cNvPr id="25" name="Picture 3676"/>
                    <pic:cNvPicPr/>
                  </pic:nvPicPr>
                  <pic:blipFill>
                    <a:blip r:embed="rId24"/>
                    <a:stretch>
                      <a:fillRect/>
                    </a:stretch>
                  </pic:blipFill>
                  <pic:spPr>
                    <a:xfrm>
                      <a:off x="0" y="0"/>
                      <a:ext cx="1649730" cy="1719580"/>
                    </a:xfrm>
                    <a:prstGeom prst="rect">
                      <a:avLst/>
                    </a:prstGeom>
                  </pic:spPr>
                </pic:pic>
              </a:graphicData>
            </a:graphic>
          </wp:anchor>
        </w:drawing>
      </w:r>
      <w:r>
        <w:rPr>
          <w:rFonts w:ascii="Rockwell" w:hAnsi="Rockwell"/>
          <w:color w:val="000000" w:themeColor="text1"/>
          <w:szCs w:val="26"/>
        </w:rPr>
        <w:t xml:space="preserve">  </w:t>
      </w:r>
      <w:r>
        <w:rPr>
          <w:noProof/>
        </w:rPr>
        <w:drawing>
          <wp:inline distT="0" distB="0" distL="0" distR="0" wp14:anchorId="257C83EE" wp14:editId="34DE0785">
            <wp:extent cx="1962150" cy="1809115"/>
            <wp:effectExtent l="0" t="0" r="0" b="635"/>
            <wp:docPr id="85" name="Image 85" descr="C:\Users\HP\Desktop\RP 2022- 2023\1.Photos de Me Soahanla Mathias TANKOANO\4. Victor SANO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 85" descr="C:\Users\HP\Desktop\RP 2022- 2023\1.Photos de Me Soahanla Mathias TANKOANO\4. Victor SANOU.jpg"/>
                    <pic:cNvPicPr>
                      <a:picLocks noChangeAspect="1" noChangeArrowheads="1"/>
                    </pic:cNvPicPr>
                  </pic:nvPicPr>
                  <pic:blipFill>
                    <a:blip r:embed="rId25" cstate="print">
                      <a:extLst>
                        <a:ext uri="{28A0092B-C50C-407E-A947-70E740481C1C}">
                          <a14:useLocalDpi xmlns:a14="http://schemas.microsoft.com/office/drawing/2010/main" val="0"/>
                        </a:ext>
                      </a:extLst>
                    </a:blip>
                    <a:srcRect l="20850" t="1600" r="13631" b="7774"/>
                    <a:stretch>
                      <a:fillRect/>
                    </a:stretch>
                  </pic:blipFill>
                  <pic:spPr>
                    <a:xfrm>
                      <a:off x="0" y="0"/>
                      <a:ext cx="2002397" cy="1846515"/>
                    </a:xfrm>
                    <a:prstGeom prst="rect">
                      <a:avLst/>
                    </a:prstGeom>
                    <a:noFill/>
                    <a:ln>
                      <a:noFill/>
                    </a:ln>
                  </pic:spPr>
                </pic:pic>
              </a:graphicData>
            </a:graphic>
          </wp:inline>
        </w:drawing>
      </w:r>
    </w:p>
    <w:p w14:paraId="69A82467" w14:textId="77777777" w:rsidR="00284822" w:rsidRDefault="00F77BF8">
      <w:pPr>
        <w:spacing w:before="120" w:after="120"/>
        <w:ind w:left="5664"/>
        <w:rPr>
          <w:rFonts w:ascii="Rockwell" w:hAnsi="Rockwell"/>
          <w:color w:val="000000" w:themeColor="text1"/>
          <w:sz w:val="18"/>
          <w:szCs w:val="18"/>
        </w:rPr>
      </w:pPr>
      <w:r>
        <w:rPr>
          <w:rFonts w:ascii="Rockwell" w:hAnsi="Rockwell"/>
          <w:color w:val="000000" w:themeColor="text1"/>
          <w:sz w:val="22"/>
          <w:szCs w:val="22"/>
        </w:rPr>
        <w:t xml:space="preserve">               </w:t>
      </w:r>
      <w:r>
        <w:rPr>
          <w:rFonts w:ascii="Rockwell" w:hAnsi="Rockwell"/>
          <w:color w:val="000000" w:themeColor="text1"/>
          <w:sz w:val="18"/>
          <w:szCs w:val="18"/>
        </w:rPr>
        <w:t xml:space="preserve">M. Victor SANOU                                                                  </w:t>
      </w:r>
    </w:p>
    <w:p w14:paraId="72897E86" w14:textId="77777777" w:rsidR="00284822" w:rsidRDefault="00F77BF8">
      <w:pPr>
        <w:spacing w:before="120" w:after="120"/>
        <w:ind w:firstLine="142"/>
        <w:rPr>
          <w:rFonts w:ascii="Rockwell" w:hAnsi="Rockwell"/>
          <w:color w:val="000000" w:themeColor="text1"/>
          <w:sz w:val="18"/>
          <w:szCs w:val="18"/>
        </w:rPr>
      </w:pPr>
      <w:r>
        <w:rPr>
          <w:rFonts w:ascii="Rockwell" w:hAnsi="Rockwell"/>
          <w:color w:val="000000" w:themeColor="text1"/>
          <w:sz w:val="18"/>
          <w:szCs w:val="18"/>
        </w:rPr>
        <w:t xml:space="preserve">   M. Alexis KONKOBO  </w:t>
      </w:r>
    </w:p>
    <w:p w14:paraId="1FC7C53B" w14:textId="77777777" w:rsidR="00284822" w:rsidRDefault="00284822">
      <w:pPr>
        <w:spacing w:before="120" w:after="120"/>
        <w:rPr>
          <w:rFonts w:ascii="Rockwell" w:hAnsi="Rockwell"/>
          <w:color w:val="000000" w:themeColor="text1"/>
          <w:sz w:val="20"/>
          <w:szCs w:val="20"/>
        </w:rPr>
      </w:pPr>
    </w:p>
    <w:p w14:paraId="4DE6274C" w14:textId="77777777" w:rsidR="00284822" w:rsidRDefault="00284822">
      <w:pPr>
        <w:spacing w:before="120" w:after="120"/>
        <w:rPr>
          <w:rFonts w:ascii="Rockwell" w:hAnsi="Rockwell"/>
          <w:color w:val="000000" w:themeColor="text1"/>
          <w:sz w:val="20"/>
          <w:szCs w:val="20"/>
        </w:rPr>
      </w:pPr>
    </w:p>
    <w:p w14:paraId="117E77A9" w14:textId="77777777" w:rsidR="00284822" w:rsidRDefault="00284822">
      <w:pPr>
        <w:spacing w:before="120" w:after="120"/>
        <w:rPr>
          <w:rFonts w:ascii="Rockwell" w:hAnsi="Rockwell"/>
          <w:color w:val="000000" w:themeColor="text1"/>
          <w:sz w:val="20"/>
          <w:szCs w:val="20"/>
        </w:rPr>
      </w:pPr>
    </w:p>
    <w:p w14:paraId="3BC15B32" w14:textId="77777777" w:rsidR="00284822" w:rsidRDefault="00284822">
      <w:pPr>
        <w:spacing w:before="120" w:after="120"/>
        <w:rPr>
          <w:rFonts w:ascii="Rockwell" w:hAnsi="Rockwell"/>
          <w:color w:val="000000" w:themeColor="text1"/>
          <w:sz w:val="10"/>
          <w:szCs w:val="10"/>
        </w:rPr>
      </w:pPr>
    </w:p>
    <w:p w14:paraId="03D46DFA" w14:textId="77777777" w:rsidR="00284822" w:rsidRDefault="00F77BF8">
      <w:pPr>
        <w:spacing w:before="120" w:after="120"/>
        <w:ind w:left="142"/>
        <w:rPr>
          <w:rFonts w:ascii="Rockwell" w:hAnsi="Rockwell"/>
          <w:color w:val="000000" w:themeColor="text1"/>
          <w:szCs w:val="26"/>
        </w:rPr>
      </w:pPr>
      <w:r>
        <w:rPr>
          <w:rFonts w:ascii="Rockwell" w:hAnsi="Rockwell"/>
          <w:noProof/>
          <w:color w:val="000000" w:themeColor="text1"/>
          <w:szCs w:val="26"/>
        </w:rPr>
        <w:drawing>
          <wp:anchor distT="0" distB="0" distL="114300" distR="114300" simplePos="0" relativeHeight="251672576" behindDoc="0" locked="0" layoutInCell="1" allowOverlap="1" wp14:anchorId="44D34CC9" wp14:editId="7935A231">
            <wp:simplePos x="0" y="0"/>
            <wp:positionH relativeFrom="margin">
              <wp:posOffset>-417195</wp:posOffset>
            </wp:positionH>
            <wp:positionV relativeFrom="paragraph">
              <wp:posOffset>274955</wp:posOffset>
            </wp:positionV>
            <wp:extent cx="1870710" cy="1276985"/>
            <wp:effectExtent l="0" t="7938" r="7303" b="7302"/>
            <wp:wrapSquare wrapText="bothSides"/>
            <wp:docPr id="33" name="Ima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 33"/>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rot="16200000">
                      <a:off x="0" y="0"/>
                      <a:ext cx="1870710" cy="1276985"/>
                    </a:xfrm>
                    <a:prstGeom prst="rect">
                      <a:avLst/>
                    </a:prstGeom>
                  </pic:spPr>
                </pic:pic>
              </a:graphicData>
            </a:graphic>
          </wp:anchor>
        </w:drawing>
      </w:r>
      <w:r>
        <w:rPr>
          <w:rFonts w:ascii="Rockwell" w:hAnsi="Rockwell"/>
          <w:color w:val="000000" w:themeColor="text1"/>
          <w:szCs w:val="26"/>
        </w:rPr>
        <w:t xml:space="preserve">                            </w:t>
      </w:r>
      <w:r>
        <w:rPr>
          <w:rFonts w:ascii="Rockwell" w:hAnsi="Rockwell"/>
          <w:color w:val="000000" w:themeColor="text1"/>
          <w:szCs w:val="26"/>
        </w:rPr>
        <w:tab/>
        <w:t xml:space="preserve">                                  </w:t>
      </w:r>
      <w:r>
        <w:rPr>
          <w:noProof/>
        </w:rPr>
        <w:drawing>
          <wp:inline distT="0" distB="0" distL="0" distR="0" wp14:anchorId="199C3694" wp14:editId="18E67A26">
            <wp:extent cx="1753235" cy="1350010"/>
            <wp:effectExtent l="0" t="7937" r="0" b="0"/>
            <wp:docPr id="32" name="Image 32" descr="C:\Users\HP\Desktop\illustrations rapport public 2023\6. Conseiller DAB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 32" descr="C:\Users\HP\Desktop\illustrations rapport public 2023\6. Conseiller DABO.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rot="16200000">
                      <a:off x="0" y="0"/>
                      <a:ext cx="1776355" cy="1367327"/>
                    </a:xfrm>
                    <a:prstGeom prst="rect">
                      <a:avLst/>
                    </a:prstGeom>
                    <a:noFill/>
                    <a:ln>
                      <a:noFill/>
                    </a:ln>
                  </pic:spPr>
                </pic:pic>
              </a:graphicData>
            </a:graphic>
          </wp:inline>
        </w:drawing>
      </w:r>
    </w:p>
    <w:p w14:paraId="15F8A17E" w14:textId="77777777" w:rsidR="00284822" w:rsidRDefault="00F77BF8">
      <w:pPr>
        <w:spacing w:before="120" w:after="120"/>
        <w:rPr>
          <w:rFonts w:ascii="Rockwell" w:hAnsi="Rockwell"/>
          <w:color w:val="000000" w:themeColor="text1"/>
          <w:sz w:val="18"/>
          <w:szCs w:val="18"/>
        </w:rPr>
      </w:pPr>
      <w:r>
        <w:rPr>
          <w:rFonts w:ascii="Rockwell" w:hAnsi="Rockwell"/>
          <w:color w:val="000000" w:themeColor="text1"/>
          <w:sz w:val="18"/>
          <w:szCs w:val="18"/>
        </w:rPr>
        <w:t xml:space="preserve">M. Ismaël NIGNAN </w:t>
      </w:r>
      <w:r>
        <w:rPr>
          <w:rFonts w:ascii="Rockwell" w:hAnsi="Rockwell"/>
          <w:color w:val="000000" w:themeColor="text1"/>
          <w:sz w:val="18"/>
          <w:szCs w:val="18"/>
        </w:rPr>
        <w:tab/>
      </w:r>
      <w:r>
        <w:rPr>
          <w:rFonts w:ascii="Rockwell" w:hAnsi="Rockwell"/>
          <w:color w:val="000000" w:themeColor="text1"/>
          <w:sz w:val="18"/>
          <w:szCs w:val="18"/>
        </w:rPr>
        <w:tab/>
      </w:r>
      <w:r>
        <w:rPr>
          <w:rFonts w:ascii="Rockwell" w:hAnsi="Rockwell"/>
          <w:color w:val="000000" w:themeColor="text1"/>
          <w:sz w:val="18"/>
          <w:szCs w:val="18"/>
        </w:rPr>
        <w:tab/>
      </w:r>
      <w:r>
        <w:rPr>
          <w:rFonts w:ascii="Rockwell" w:hAnsi="Rockwell"/>
          <w:color w:val="000000" w:themeColor="text1"/>
          <w:sz w:val="18"/>
          <w:szCs w:val="18"/>
        </w:rPr>
        <w:tab/>
      </w:r>
      <w:r>
        <w:rPr>
          <w:rFonts w:ascii="Rockwell" w:hAnsi="Rockwell"/>
          <w:color w:val="000000" w:themeColor="text1"/>
          <w:sz w:val="18"/>
          <w:szCs w:val="18"/>
        </w:rPr>
        <w:tab/>
      </w:r>
      <w:r>
        <w:rPr>
          <w:rFonts w:ascii="Rockwell" w:hAnsi="Rockwell"/>
          <w:color w:val="000000" w:themeColor="text1"/>
          <w:sz w:val="18"/>
          <w:szCs w:val="18"/>
        </w:rPr>
        <w:tab/>
      </w:r>
      <w:r>
        <w:rPr>
          <w:rFonts w:ascii="Rockwell" w:hAnsi="Rockwell"/>
          <w:color w:val="000000" w:themeColor="text1"/>
          <w:sz w:val="18"/>
          <w:szCs w:val="18"/>
        </w:rPr>
        <w:tab/>
        <w:t xml:space="preserve">         M. </w:t>
      </w:r>
      <w:proofErr w:type="spellStart"/>
      <w:r>
        <w:rPr>
          <w:rFonts w:ascii="Rockwell" w:hAnsi="Rockwell"/>
          <w:color w:val="000000" w:themeColor="text1"/>
          <w:sz w:val="18"/>
          <w:szCs w:val="18"/>
        </w:rPr>
        <w:t>Séni</w:t>
      </w:r>
      <w:proofErr w:type="spellEnd"/>
      <w:r>
        <w:rPr>
          <w:rFonts w:ascii="Rockwell" w:hAnsi="Rockwell"/>
          <w:color w:val="000000" w:themeColor="text1"/>
          <w:sz w:val="18"/>
          <w:szCs w:val="18"/>
        </w:rPr>
        <w:t xml:space="preserve"> DABO   </w:t>
      </w:r>
    </w:p>
    <w:p w14:paraId="7E582979" w14:textId="77777777" w:rsidR="00284822" w:rsidRDefault="00F77BF8">
      <w:pPr>
        <w:spacing w:before="120" w:after="120"/>
        <w:rPr>
          <w:rFonts w:ascii="Rockwell" w:hAnsi="Rockwell"/>
          <w:sz w:val="18"/>
          <w:szCs w:val="18"/>
        </w:rPr>
      </w:pPr>
      <w:r>
        <w:rPr>
          <w:rFonts w:ascii="Rockwell" w:hAnsi="Rockwell"/>
          <w:color w:val="000000" w:themeColor="text1"/>
          <w:sz w:val="18"/>
          <w:szCs w:val="18"/>
        </w:rPr>
        <w:tab/>
      </w:r>
      <w:r>
        <w:rPr>
          <w:rFonts w:ascii="Rockwell" w:hAnsi="Rockwell"/>
          <w:color w:val="000000" w:themeColor="text1"/>
          <w:sz w:val="18"/>
          <w:szCs w:val="18"/>
        </w:rPr>
        <w:tab/>
      </w:r>
      <w:r>
        <w:rPr>
          <w:rFonts w:ascii="Rockwell" w:hAnsi="Rockwell"/>
          <w:color w:val="000000" w:themeColor="text1"/>
          <w:sz w:val="18"/>
          <w:szCs w:val="18"/>
        </w:rPr>
        <w:tab/>
      </w:r>
      <w:r>
        <w:rPr>
          <w:rFonts w:ascii="Rockwell" w:hAnsi="Rockwell"/>
          <w:color w:val="000000" w:themeColor="text1"/>
          <w:sz w:val="18"/>
          <w:szCs w:val="18"/>
        </w:rPr>
        <w:tab/>
        <w:t xml:space="preserve"> </w:t>
      </w:r>
    </w:p>
    <w:p w14:paraId="173C0AD5" w14:textId="77777777" w:rsidR="00284822" w:rsidRDefault="00284822">
      <w:pPr>
        <w:spacing w:before="120" w:after="120"/>
        <w:rPr>
          <w:rFonts w:ascii="Rockwell" w:hAnsi="Rockwell"/>
          <w:color w:val="000000" w:themeColor="text1"/>
          <w:sz w:val="18"/>
          <w:szCs w:val="18"/>
        </w:rPr>
      </w:pPr>
    </w:p>
    <w:p w14:paraId="6516DDF1" w14:textId="77777777" w:rsidR="00284822" w:rsidRDefault="00284822">
      <w:pPr>
        <w:spacing w:before="120" w:after="120"/>
        <w:rPr>
          <w:rFonts w:ascii="Rockwell" w:hAnsi="Rockwell"/>
          <w:color w:val="000000" w:themeColor="text1"/>
          <w:szCs w:val="26"/>
        </w:rPr>
        <w:sectPr w:rsidR="00284822">
          <w:pgSz w:w="11906" w:h="16838"/>
          <w:pgMar w:top="1134" w:right="1418" w:bottom="1134" w:left="1418" w:header="709" w:footer="709" w:gutter="0"/>
          <w:cols w:space="720"/>
        </w:sectPr>
      </w:pPr>
    </w:p>
    <w:p w14:paraId="2550B5B6" w14:textId="77777777" w:rsidR="00284822" w:rsidRDefault="00F77BF8">
      <w:pPr>
        <w:spacing w:before="120" w:after="120"/>
        <w:jc w:val="center"/>
        <w:rPr>
          <w:rFonts w:ascii="Rockwell" w:hAnsi="Rockwell"/>
          <w:b/>
          <w:color w:val="000000" w:themeColor="text1"/>
          <w:szCs w:val="26"/>
        </w:rPr>
      </w:pPr>
      <w:r>
        <w:rPr>
          <w:rFonts w:ascii="Rockwell" w:hAnsi="Rockwell"/>
          <w:b/>
          <w:color w:val="000000" w:themeColor="text1"/>
          <w:szCs w:val="26"/>
        </w:rPr>
        <w:lastRenderedPageBreak/>
        <w:t>De mai à décembre 2022</w:t>
      </w:r>
    </w:p>
    <w:p w14:paraId="2457C17D" w14:textId="77777777" w:rsidR="00284822" w:rsidRDefault="00284822">
      <w:pPr>
        <w:spacing w:before="120" w:after="120"/>
        <w:jc w:val="center"/>
        <w:rPr>
          <w:rFonts w:ascii="Rockwell" w:hAnsi="Rockwell"/>
          <w:b/>
          <w:color w:val="000000" w:themeColor="text1"/>
          <w:szCs w:val="26"/>
        </w:rPr>
      </w:pPr>
    </w:p>
    <w:p w14:paraId="55A69EFE" w14:textId="77777777" w:rsidR="00284822" w:rsidRDefault="00F77BF8">
      <w:pPr>
        <w:spacing w:before="120" w:after="120"/>
        <w:jc w:val="center"/>
        <w:rPr>
          <w:rFonts w:ascii="Rockwell" w:hAnsi="Rockwell"/>
          <w:b/>
          <w:color w:val="000000" w:themeColor="text1"/>
          <w:szCs w:val="26"/>
        </w:rPr>
      </w:pPr>
      <w:r>
        <w:rPr>
          <w:rFonts w:ascii="Rockwell" w:hAnsi="Rockwell"/>
          <w:noProof/>
          <w:color w:val="000000" w:themeColor="text1"/>
          <w:szCs w:val="26"/>
        </w:rPr>
        <w:drawing>
          <wp:inline distT="0" distB="0" distL="0" distR="0" wp14:anchorId="5CE8C7FD" wp14:editId="694D19FC">
            <wp:extent cx="2664460" cy="2225040"/>
            <wp:effectExtent l="0" t="8890" r="0" b="0"/>
            <wp:docPr id="34" name="Image 34" descr="C:\Users\HP\Desktop\illustrations rapport public 2023\1. Président BAM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 34" descr="C:\Users\HP\Desktop\illustrations rapport public 2023\1. Président BAMOGO.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rot="5400000">
                      <a:off x="0" y="0"/>
                      <a:ext cx="2753814" cy="2299235"/>
                    </a:xfrm>
                    <a:prstGeom prst="rect">
                      <a:avLst/>
                    </a:prstGeom>
                    <a:noFill/>
                    <a:ln>
                      <a:noFill/>
                    </a:ln>
                  </pic:spPr>
                </pic:pic>
              </a:graphicData>
            </a:graphic>
          </wp:inline>
        </w:drawing>
      </w:r>
    </w:p>
    <w:p w14:paraId="742E5428" w14:textId="77777777" w:rsidR="00284822" w:rsidRDefault="00F77BF8">
      <w:pPr>
        <w:spacing w:before="120" w:after="120"/>
        <w:jc w:val="center"/>
        <w:rPr>
          <w:rFonts w:ascii="Rockwell" w:hAnsi="Rockwell"/>
          <w:color w:val="000000" w:themeColor="text1"/>
          <w:sz w:val="18"/>
          <w:szCs w:val="18"/>
        </w:rPr>
      </w:pPr>
      <w:r>
        <w:rPr>
          <w:rFonts w:ascii="Rockwell" w:hAnsi="Rockwell"/>
          <w:color w:val="000000" w:themeColor="text1"/>
          <w:sz w:val="18"/>
          <w:szCs w:val="18"/>
        </w:rPr>
        <w:t xml:space="preserve">   M. </w:t>
      </w:r>
      <w:proofErr w:type="spellStart"/>
      <w:r>
        <w:rPr>
          <w:rFonts w:ascii="Rockwell" w:hAnsi="Rockwell"/>
          <w:color w:val="000000" w:themeColor="text1"/>
          <w:sz w:val="18"/>
          <w:szCs w:val="18"/>
        </w:rPr>
        <w:t>Abdoulazize</w:t>
      </w:r>
      <w:proofErr w:type="spellEnd"/>
      <w:r>
        <w:rPr>
          <w:rFonts w:ascii="Rockwell" w:hAnsi="Rockwell"/>
          <w:color w:val="000000" w:themeColor="text1"/>
          <w:sz w:val="18"/>
          <w:szCs w:val="18"/>
        </w:rPr>
        <w:t xml:space="preserve"> BAMOGO, Président</w:t>
      </w:r>
    </w:p>
    <w:p w14:paraId="305F733A" w14:textId="77777777" w:rsidR="00284822" w:rsidRDefault="00284822">
      <w:pPr>
        <w:spacing w:before="120" w:after="120"/>
        <w:jc w:val="center"/>
        <w:rPr>
          <w:rFonts w:ascii="Rockwell" w:hAnsi="Rockwell"/>
          <w:color w:val="000000" w:themeColor="text1"/>
          <w:sz w:val="20"/>
          <w:szCs w:val="20"/>
        </w:rPr>
      </w:pPr>
    </w:p>
    <w:p w14:paraId="5FAB5F1D" w14:textId="77777777" w:rsidR="00284822" w:rsidRDefault="00284822">
      <w:pPr>
        <w:spacing w:before="120" w:after="120"/>
        <w:jc w:val="center"/>
        <w:rPr>
          <w:rFonts w:ascii="Rockwell" w:hAnsi="Rockwell"/>
          <w:color w:val="000000" w:themeColor="text1"/>
          <w:sz w:val="20"/>
          <w:szCs w:val="20"/>
        </w:rPr>
      </w:pPr>
    </w:p>
    <w:p w14:paraId="56E1F36B" w14:textId="77777777" w:rsidR="00284822" w:rsidRDefault="00F77BF8">
      <w:pPr>
        <w:spacing w:before="120" w:after="120"/>
        <w:ind w:right="-711"/>
        <w:rPr>
          <w:rFonts w:ascii="Rockwell" w:hAnsi="Rockwell"/>
          <w:color w:val="000000" w:themeColor="text1"/>
          <w:szCs w:val="26"/>
        </w:rPr>
      </w:pPr>
      <w:r>
        <w:rPr>
          <w:rFonts w:ascii="Rockwell" w:hAnsi="Rockwell"/>
          <w:noProof/>
          <w:color w:val="000000" w:themeColor="text1"/>
          <w:szCs w:val="26"/>
        </w:rPr>
        <w:drawing>
          <wp:anchor distT="0" distB="0" distL="114300" distR="114300" simplePos="0" relativeHeight="251674624" behindDoc="0" locked="0" layoutInCell="1" allowOverlap="1" wp14:anchorId="4DEADA06" wp14:editId="45BAED39">
            <wp:simplePos x="0" y="0"/>
            <wp:positionH relativeFrom="margin">
              <wp:posOffset>3623310</wp:posOffset>
            </wp:positionH>
            <wp:positionV relativeFrom="paragraph">
              <wp:posOffset>74295</wp:posOffset>
            </wp:positionV>
            <wp:extent cx="1652270" cy="2204085"/>
            <wp:effectExtent l="0" t="0" r="5080" b="5715"/>
            <wp:wrapSquare wrapText="bothSides"/>
            <wp:docPr id="73" name="Imag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 73"/>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652270" cy="2204085"/>
                    </a:xfrm>
                    <a:prstGeom prst="rect">
                      <a:avLst/>
                    </a:prstGeom>
                  </pic:spPr>
                </pic:pic>
              </a:graphicData>
            </a:graphic>
          </wp:anchor>
        </w:drawing>
      </w:r>
      <w:r>
        <w:rPr>
          <w:rFonts w:ascii="Rockwell" w:hAnsi="Rockwell"/>
          <w:noProof/>
          <w:color w:val="000000" w:themeColor="text1"/>
          <w:szCs w:val="26"/>
        </w:rPr>
        <w:drawing>
          <wp:anchor distT="0" distB="0" distL="114300" distR="114300" simplePos="0" relativeHeight="251673600" behindDoc="0" locked="0" layoutInCell="1" allowOverlap="1" wp14:anchorId="2F2B83C4" wp14:editId="336ACACC">
            <wp:simplePos x="0" y="0"/>
            <wp:positionH relativeFrom="column">
              <wp:align>left</wp:align>
            </wp:positionH>
            <wp:positionV relativeFrom="paragraph">
              <wp:align>top</wp:align>
            </wp:positionV>
            <wp:extent cx="1800860" cy="2169795"/>
            <wp:effectExtent l="0" t="0" r="8890" b="1905"/>
            <wp:wrapSquare wrapText="bothSides"/>
            <wp:docPr id="47" name="Imag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 47"/>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801010" cy="2169994"/>
                    </a:xfrm>
                    <a:prstGeom prst="rect">
                      <a:avLst/>
                    </a:prstGeom>
                  </pic:spPr>
                </pic:pic>
              </a:graphicData>
            </a:graphic>
          </wp:anchor>
        </w:drawing>
      </w:r>
      <w:r>
        <w:rPr>
          <w:rFonts w:ascii="Rockwell" w:hAnsi="Rockwell"/>
          <w:color w:val="000000" w:themeColor="text1"/>
          <w:szCs w:val="26"/>
        </w:rPr>
        <w:t xml:space="preserve">     </w:t>
      </w:r>
    </w:p>
    <w:p w14:paraId="35442CA2" w14:textId="77777777" w:rsidR="00284822" w:rsidRDefault="00284822">
      <w:pPr>
        <w:spacing w:before="120" w:after="120"/>
        <w:rPr>
          <w:rFonts w:ascii="Rockwell" w:hAnsi="Rockwell"/>
          <w:color w:val="000000" w:themeColor="text1"/>
          <w:szCs w:val="26"/>
        </w:rPr>
      </w:pPr>
    </w:p>
    <w:p w14:paraId="137117C0" w14:textId="77777777" w:rsidR="00284822" w:rsidRDefault="00284822">
      <w:pPr>
        <w:spacing w:before="120" w:after="120"/>
        <w:rPr>
          <w:rFonts w:ascii="Rockwell" w:hAnsi="Rockwell"/>
          <w:color w:val="000000" w:themeColor="text1"/>
          <w:szCs w:val="26"/>
        </w:rPr>
      </w:pPr>
    </w:p>
    <w:p w14:paraId="74A8CC81" w14:textId="77777777" w:rsidR="00284822" w:rsidRDefault="00284822">
      <w:pPr>
        <w:spacing w:before="120" w:after="120"/>
        <w:jc w:val="center"/>
        <w:rPr>
          <w:rFonts w:ascii="Rockwell" w:hAnsi="Rockwell"/>
          <w:color w:val="000000" w:themeColor="text1"/>
          <w:szCs w:val="26"/>
        </w:rPr>
      </w:pPr>
    </w:p>
    <w:p w14:paraId="0ABA7411" w14:textId="77777777" w:rsidR="00284822" w:rsidRDefault="00284822">
      <w:pPr>
        <w:spacing w:before="120" w:after="120"/>
        <w:jc w:val="center"/>
        <w:rPr>
          <w:rFonts w:ascii="Rockwell" w:hAnsi="Rockwell"/>
          <w:color w:val="000000" w:themeColor="text1"/>
          <w:szCs w:val="26"/>
        </w:rPr>
      </w:pPr>
    </w:p>
    <w:p w14:paraId="3828695F" w14:textId="77777777" w:rsidR="00284822" w:rsidRDefault="00F77BF8">
      <w:pPr>
        <w:spacing w:before="120" w:after="120"/>
        <w:jc w:val="center"/>
        <w:rPr>
          <w:rFonts w:ascii="Rockwell" w:hAnsi="Rockwell"/>
          <w:color w:val="000000" w:themeColor="text1"/>
          <w:szCs w:val="26"/>
        </w:rPr>
      </w:pPr>
      <w:r>
        <w:rPr>
          <w:rFonts w:ascii="Rockwell" w:hAnsi="Rockwell"/>
          <w:color w:val="000000" w:themeColor="text1"/>
          <w:szCs w:val="26"/>
        </w:rPr>
        <w:tab/>
      </w:r>
    </w:p>
    <w:p w14:paraId="3B2777E1" w14:textId="77777777" w:rsidR="00284822" w:rsidRDefault="00F77BF8">
      <w:pPr>
        <w:spacing w:before="120" w:after="120"/>
        <w:ind w:left="-284" w:right="5951"/>
        <w:jc w:val="center"/>
        <w:rPr>
          <w:rFonts w:ascii="Rockwell" w:hAnsi="Rockwell"/>
          <w:color w:val="000000" w:themeColor="text1"/>
          <w:sz w:val="18"/>
          <w:szCs w:val="18"/>
        </w:rPr>
      </w:pPr>
      <w:r>
        <w:rPr>
          <w:rFonts w:ascii="Rockwell" w:hAnsi="Rockwell"/>
          <w:color w:val="000000" w:themeColor="text1"/>
          <w:sz w:val="18"/>
          <w:szCs w:val="18"/>
        </w:rPr>
        <w:t xml:space="preserve">Mme S. Eugénie Séraphine </w:t>
      </w:r>
    </w:p>
    <w:p w14:paraId="742ECCF3" w14:textId="77777777" w:rsidR="00284822" w:rsidRDefault="00F77BF8">
      <w:pPr>
        <w:spacing w:before="120" w:after="120"/>
        <w:ind w:left="-993" w:right="139"/>
        <w:jc w:val="center"/>
        <w:rPr>
          <w:rFonts w:ascii="Rockwell" w:hAnsi="Rockwell"/>
          <w:color w:val="000000" w:themeColor="text1"/>
          <w:sz w:val="18"/>
          <w:szCs w:val="18"/>
        </w:rPr>
      </w:pPr>
      <w:r>
        <w:rPr>
          <w:rFonts w:ascii="Rockwell" w:hAnsi="Rockwell"/>
          <w:color w:val="000000" w:themeColor="text1"/>
          <w:sz w:val="18"/>
          <w:szCs w:val="18"/>
        </w:rPr>
        <w:t xml:space="preserve">YAMEOGO/OUATTARA, Vice-présidente             </w:t>
      </w:r>
      <w:r>
        <w:rPr>
          <w:rFonts w:ascii="Rockwell" w:hAnsi="Rockwell"/>
          <w:color w:val="000000" w:themeColor="text1"/>
          <w:sz w:val="18"/>
          <w:szCs w:val="18"/>
        </w:rPr>
        <w:tab/>
      </w:r>
      <w:r>
        <w:rPr>
          <w:rFonts w:ascii="Rockwell" w:hAnsi="Rockwell"/>
          <w:color w:val="000000" w:themeColor="text1"/>
          <w:sz w:val="18"/>
          <w:szCs w:val="18"/>
        </w:rPr>
        <w:tab/>
        <w:t xml:space="preserve">             Mme Jeanne COULIBALY   </w:t>
      </w:r>
    </w:p>
    <w:p w14:paraId="42798641" w14:textId="77777777" w:rsidR="00284822" w:rsidRDefault="00284822">
      <w:pPr>
        <w:spacing w:before="120" w:after="120"/>
        <w:ind w:left="-993" w:right="139"/>
        <w:jc w:val="center"/>
        <w:rPr>
          <w:rFonts w:ascii="Rockwell" w:hAnsi="Rockwell"/>
          <w:color w:val="000000" w:themeColor="text1"/>
          <w:sz w:val="18"/>
          <w:szCs w:val="18"/>
        </w:rPr>
      </w:pPr>
    </w:p>
    <w:p w14:paraId="4B204EBE" w14:textId="77777777" w:rsidR="00284822" w:rsidRDefault="00284822">
      <w:pPr>
        <w:spacing w:before="120" w:after="120"/>
        <w:ind w:left="-993" w:right="139"/>
        <w:jc w:val="center"/>
        <w:rPr>
          <w:rFonts w:ascii="Rockwell" w:hAnsi="Rockwell"/>
          <w:color w:val="000000" w:themeColor="text1"/>
          <w:sz w:val="22"/>
          <w:szCs w:val="22"/>
        </w:rPr>
      </w:pPr>
    </w:p>
    <w:p w14:paraId="3179B4C7" w14:textId="77777777" w:rsidR="00284822" w:rsidRDefault="00284822">
      <w:pPr>
        <w:spacing w:before="120" w:after="120"/>
        <w:ind w:left="-993" w:right="139"/>
        <w:jc w:val="center"/>
        <w:rPr>
          <w:rFonts w:ascii="Rockwell" w:hAnsi="Rockwell"/>
          <w:color w:val="000000" w:themeColor="text1"/>
          <w:sz w:val="22"/>
          <w:szCs w:val="22"/>
        </w:rPr>
      </w:pPr>
    </w:p>
    <w:p w14:paraId="25190365" w14:textId="77777777" w:rsidR="00284822" w:rsidRDefault="00284822">
      <w:pPr>
        <w:spacing w:before="120" w:after="120"/>
        <w:ind w:left="-993" w:right="139"/>
        <w:jc w:val="center"/>
        <w:rPr>
          <w:rFonts w:ascii="Rockwell" w:hAnsi="Rockwell"/>
          <w:color w:val="000000" w:themeColor="text1"/>
          <w:sz w:val="22"/>
          <w:szCs w:val="22"/>
        </w:rPr>
      </w:pPr>
    </w:p>
    <w:p w14:paraId="4BA41002" w14:textId="77777777" w:rsidR="00284822" w:rsidRDefault="00F77BF8">
      <w:pPr>
        <w:spacing w:before="120" w:after="120"/>
        <w:ind w:left="-993" w:right="139"/>
        <w:jc w:val="center"/>
        <w:rPr>
          <w:rFonts w:ascii="Rockwell" w:hAnsi="Rockwell"/>
          <w:szCs w:val="26"/>
        </w:rPr>
      </w:pPr>
      <w:r>
        <w:rPr>
          <w:rFonts w:ascii="Rockwell" w:hAnsi="Rockwell"/>
          <w:color w:val="000000" w:themeColor="text1"/>
          <w:sz w:val="22"/>
          <w:szCs w:val="22"/>
        </w:rPr>
        <w:t xml:space="preserve">    </w:t>
      </w:r>
    </w:p>
    <w:p w14:paraId="70070027" w14:textId="77777777" w:rsidR="00284822" w:rsidRDefault="00F77BF8">
      <w:pPr>
        <w:spacing w:before="120" w:after="120"/>
        <w:ind w:left="3402" w:right="-711" w:firstLine="1701"/>
        <w:rPr>
          <w:rFonts w:ascii="Rockwell" w:hAnsi="Rockwell"/>
          <w:color w:val="000000" w:themeColor="text1"/>
          <w:szCs w:val="26"/>
        </w:rPr>
      </w:pPr>
      <w:r>
        <w:rPr>
          <w:rFonts w:ascii="Rockwell" w:hAnsi="Rockwell"/>
          <w:noProof/>
          <w:color w:val="000000" w:themeColor="text1"/>
          <w:szCs w:val="26"/>
        </w:rPr>
        <w:lastRenderedPageBreak/>
        <w:drawing>
          <wp:anchor distT="0" distB="0" distL="114300" distR="114300" simplePos="0" relativeHeight="251675648" behindDoc="0" locked="0" layoutInCell="1" allowOverlap="1" wp14:anchorId="22F2D0B9" wp14:editId="583E102A">
            <wp:simplePos x="0" y="0"/>
            <wp:positionH relativeFrom="margin">
              <wp:posOffset>-15875</wp:posOffset>
            </wp:positionH>
            <wp:positionV relativeFrom="paragraph">
              <wp:posOffset>338455</wp:posOffset>
            </wp:positionV>
            <wp:extent cx="2044700" cy="1395730"/>
            <wp:effectExtent l="635" t="0" r="0" b="0"/>
            <wp:wrapSquare wrapText="bothSides"/>
            <wp:docPr id="74" name="Imag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 74"/>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rot="16200000">
                      <a:off x="0" y="0"/>
                      <a:ext cx="2044700" cy="1395730"/>
                    </a:xfrm>
                    <a:prstGeom prst="rect">
                      <a:avLst/>
                    </a:prstGeom>
                  </pic:spPr>
                </pic:pic>
              </a:graphicData>
            </a:graphic>
          </wp:anchor>
        </w:drawing>
      </w:r>
      <w:r>
        <w:rPr>
          <w:noProof/>
        </w:rPr>
        <w:drawing>
          <wp:anchor distT="0" distB="0" distL="114300" distR="114300" simplePos="0" relativeHeight="251676672" behindDoc="0" locked="0" layoutInCell="1" allowOverlap="1" wp14:anchorId="5FFEF59F" wp14:editId="5321B0D9">
            <wp:simplePos x="0" y="0"/>
            <wp:positionH relativeFrom="column">
              <wp:posOffset>3349625</wp:posOffset>
            </wp:positionH>
            <wp:positionV relativeFrom="paragraph">
              <wp:posOffset>273685</wp:posOffset>
            </wp:positionV>
            <wp:extent cx="2034540" cy="1487805"/>
            <wp:effectExtent l="6667" t="0" r="0" b="0"/>
            <wp:wrapSquare wrapText="bothSides"/>
            <wp:docPr id="75" name="Image 75" descr="C:\Users\HP\Desktop\illustrations rapport public 2023\6. Conseiller DAB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 75" descr="C:\Users\HP\Desktop\illustrations rapport public 2023\6. Conseiller DABO.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rot="16200000">
                      <a:off x="0" y="0"/>
                      <a:ext cx="2034540" cy="1487805"/>
                    </a:xfrm>
                    <a:prstGeom prst="rect">
                      <a:avLst/>
                    </a:prstGeom>
                    <a:noFill/>
                    <a:ln>
                      <a:noFill/>
                    </a:ln>
                  </pic:spPr>
                </pic:pic>
              </a:graphicData>
            </a:graphic>
          </wp:anchor>
        </w:drawing>
      </w:r>
    </w:p>
    <w:p w14:paraId="579DD9CB" w14:textId="77777777" w:rsidR="00284822" w:rsidRDefault="00F77BF8">
      <w:pPr>
        <w:spacing w:before="120" w:after="120"/>
        <w:ind w:left="851" w:firstLine="993"/>
        <w:rPr>
          <w:rFonts w:ascii="Rockwell" w:hAnsi="Rockwell"/>
          <w:color w:val="000000" w:themeColor="text1"/>
          <w:szCs w:val="26"/>
        </w:rPr>
      </w:pPr>
      <w:r>
        <w:rPr>
          <w:rFonts w:ascii="Rockwell" w:hAnsi="Rockwell"/>
          <w:color w:val="000000" w:themeColor="text1"/>
          <w:szCs w:val="26"/>
        </w:rPr>
        <w:t xml:space="preserve">              </w:t>
      </w:r>
    </w:p>
    <w:p w14:paraId="5DB923E0" w14:textId="77777777" w:rsidR="00284822" w:rsidRDefault="00F77BF8">
      <w:pPr>
        <w:spacing w:before="120" w:after="120"/>
        <w:rPr>
          <w:rFonts w:ascii="Rockwell" w:hAnsi="Rockwell"/>
          <w:color w:val="000000" w:themeColor="text1"/>
          <w:szCs w:val="26"/>
        </w:rPr>
      </w:pPr>
      <w:r>
        <w:rPr>
          <w:rFonts w:ascii="Rockwell" w:hAnsi="Rockwell"/>
          <w:color w:val="000000" w:themeColor="text1"/>
          <w:szCs w:val="26"/>
        </w:rPr>
        <w:t xml:space="preserve">       </w:t>
      </w:r>
    </w:p>
    <w:p w14:paraId="22A22E21" w14:textId="77777777" w:rsidR="00284822" w:rsidRDefault="00284822">
      <w:pPr>
        <w:spacing w:before="120" w:after="120"/>
        <w:jc w:val="center"/>
        <w:rPr>
          <w:rFonts w:ascii="Rockwell" w:hAnsi="Rockwell"/>
          <w:color w:val="000000" w:themeColor="text1"/>
          <w:szCs w:val="26"/>
        </w:rPr>
      </w:pPr>
    </w:p>
    <w:p w14:paraId="42D07517" w14:textId="77777777" w:rsidR="00284822" w:rsidRDefault="00F77BF8">
      <w:pPr>
        <w:spacing w:before="120" w:after="120"/>
        <w:rPr>
          <w:rFonts w:ascii="Rockwell" w:hAnsi="Rockwell"/>
          <w:color w:val="000000" w:themeColor="text1"/>
          <w:szCs w:val="26"/>
        </w:rPr>
      </w:pPr>
      <w:r>
        <w:rPr>
          <w:rFonts w:ascii="Rockwell" w:hAnsi="Rockwell"/>
          <w:color w:val="000000" w:themeColor="text1"/>
          <w:szCs w:val="26"/>
        </w:rPr>
        <w:t xml:space="preserve">   </w:t>
      </w:r>
    </w:p>
    <w:p w14:paraId="5228C9AC" w14:textId="77777777" w:rsidR="00284822" w:rsidRDefault="00F77BF8">
      <w:pPr>
        <w:spacing w:before="120" w:after="120"/>
        <w:ind w:left="567" w:hanging="141"/>
        <w:rPr>
          <w:rFonts w:ascii="Rockwell" w:hAnsi="Rockwell"/>
          <w:color w:val="000000" w:themeColor="text1"/>
          <w:sz w:val="22"/>
          <w:szCs w:val="22"/>
        </w:rPr>
      </w:pPr>
      <w:r>
        <w:rPr>
          <w:rFonts w:ascii="Rockwell" w:hAnsi="Rockwell"/>
          <w:color w:val="000000" w:themeColor="text1"/>
          <w:sz w:val="22"/>
          <w:szCs w:val="22"/>
        </w:rPr>
        <w:t xml:space="preserve">       </w:t>
      </w:r>
    </w:p>
    <w:p w14:paraId="01CDAEEB" w14:textId="77777777" w:rsidR="00284822" w:rsidRDefault="00F77BF8">
      <w:pPr>
        <w:spacing w:before="120" w:after="120"/>
        <w:ind w:left="567" w:hanging="141"/>
        <w:rPr>
          <w:rFonts w:ascii="Rockwell" w:hAnsi="Rockwell"/>
          <w:color w:val="000000" w:themeColor="text1"/>
          <w:sz w:val="18"/>
          <w:szCs w:val="18"/>
        </w:rPr>
      </w:pPr>
      <w:r>
        <w:rPr>
          <w:rFonts w:ascii="Rockwell" w:hAnsi="Rockwell"/>
          <w:color w:val="000000" w:themeColor="text1"/>
          <w:sz w:val="22"/>
          <w:szCs w:val="22"/>
        </w:rPr>
        <w:t xml:space="preserve">    </w:t>
      </w:r>
      <w:r>
        <w:rPr>
          <w:rFonts w:ascii="Rockwell" w:hAnsi="Rockwell"/>
          <w:color w:val="000000" w:themeColor="text1"/>
          <w:sz w:val="18"/>
          <w:szCs w:val="18"/>
        </w:rPr>
        <w:t xml:space="preserve">M. Ismaël NIGNAN                                                                                         M. </w:t>
      </w:r>
      <w:proofErr w:type="spellStart"/>
      <w:r>
        <w:rPr>
          <w:rFonts w:ascii="Rockwell" w:hAnsi="Rockwell"/>
          <w:color w:val="000000" w:themeColor="text1"/>
          <w:sz w:val="18"/>
          <w:szCs w:val="18"/>
        </w:rPr>
        <w:t>Séni</w:t>
      </w:r>
      <w:proofErr w:type="spellEnd"/>
      <w:r>
        <w:rPr>
          <w:rFonts w:ascii="Rockwell" w:hAnsi="Rockwell"/>
          <w:color w:val="000000" w:themeColor="text1"/>
          <w:sz w:val="18"/>
          <w:szCs w:val="18"/>
        </w:rPr>
        <w:t xml:space="preserve"> DABO</w:t>
      </w:r>
    </w:p>
    <w:p w14:paraId="4ABC2245" w14:textId="77777777" w:rsidR="00284822" w:rsidRDefault="00284822">
      <w:pPr>
        <w:spacing w:before="120" w:after="120"/>
        <w:ind w:left="567" w:hanging="141"/>
        <w:rPr>
          <w:rFonts w:ascii="Rockwell" w:hAnsi="Rockwell"/>
          <w:color w:val="000000" w:themeColor="text1"/>
          <w:sz w:val="18"/>
          <w:szCs w:val="18"/>
        </w:rPr>
      </w:pPr>
    </w:p>
    <w:p w14:paraId="2E7B940D" w14:textId="77777777" w:rsidR="00284822" w:rsidRDefault="00F77BF8">
      <w:pPr>
        <w:spacing w:before="120" w:after="120"/>
        <w:ind w:left="567" w:hanging="141"/>
        <w:rPr>
          <w:rFonts w:ascii="Rockwell" w:hAnsi="Rockwell"/>
          <w:color w:val="000000" w:themeColor="text1"/>
          <w:sz w:val="22"/>
          <w:szCs w:val="22"/>
        </w:rPr>
      </w:pPr>
      <w:r>
        <w:rPr>
          <w:rFonts w:ascii="Rockwell" w:hAnsi="Rockwell"/>
          <w:noProof/>
          <w:color w:val="000000" w:themeColor="text1"/>
          <w:szCs w:val="26"/>
        </w:rPr>
        <w:drawing>
          <wp:anchor distT="0" distB="0" distL="114300" distR="114300" simplePos="0" relativeHeight="251677696" behindDoc="0" locked="0" layoutInCell="1" allowOverlap="1" wp14:anchorId="4E8A57BD" wp14:editId="2C54BE82">
            <wp:simplePos x="0" y="0"/>
            <wp:positionH relativeFrom="column">
              <wp:posOffset>211455</wp:posOffset>
            </wp:positionH>
            <wp:positionV relativeFrom="paragraph">
              <wp:posOffset>161925</wp:posOffset>
            </wp:positionV>
            <wp:extent cx="1515110" cy="2120265"/>
            <wp:effectExtent l="0" t="0" r="8890" b="0"/>
            <wp:wrapSquare wrapText="bothSides"/>
            <wp:docPr id="78" name="Imag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 78"/>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515110" cy="2120265"/>
                    </a:xfrm>
                    <a:prstGeom prst="rect">
                      <a:avLst/>
                    </a:prstGeom>
                  </pic:spPr>
                </pic:pic>
              </a:graphicData>
            </a:graphic>
          </wp:anchor>
        </w:drawing>
      </w:r>
      <w:r>
        <w:rPr>
          <w:rFonts w:ascii="Rockwell" w:hAnsi="Rockwell"/>
          <w:color w:val="000000" w:themeColor="text1"/>
          <w:szCs w:val="26"/>
        </w:rPr>
        <w:tab/>
      </w:r>
      <w:r>
        <w:rPr>
          <w:rFonts w:ascii="Rockwell" w:hAnsi="Rockwell"/>
          <w:color w:val="000000" w:themeColor="text1"/>
          <w:szCs w:val="26"/>
        </w:rPr>
        <w:tab/>
      </w:r>
      <w:r>
        <w:rPr>
          <w:rFonts w:ascii="Rockwell" w:hAnsi="Rockwell"/>
          <w:color w:val="000000" w:themeColor="text1"/>
          <w:szCs w:val="26"/>
        </w:rPr>
        <w:tab/>
      </w:r>
      <w:r>
        <w:rPr>
          <w:rFonts w:ascii="Rockwell" w:hAnsi="Rockwell"/>
          <w:color w:val="000000" w:themeColor="text1"/>
          <w:szCs w:val="26"/>
        </w:rPr>
        <w:tab/>
      </w:r>
      <w:r>
        <w:rPr>
          <w:rFonts w:ascii="Rockwell" w:hAnsi="Rockwell"/>
          <w:color w:val="000000" w:themeColor="text1"/>
          <w:szCs w:val="26"/>
        </w:rPr>
        <w:tab/>
      </w:r>
    </w:p>
    <w:p w14:paraId="55EB7F2D" w14:textId="77777777" w:rsidR="00284822" w:rsidRDefault="00F77BF8">
      <w:pPr>
        <w:spacing w:before="120" w:after="120"/>
        <w:ind w:left="7371" w:right="139" w:hanging="1701"/>
        <w:rPr>
          <w:rFonts w:ascii="Rockwell" w:hAnsi="Rockwell"/>
          <w:color w:val="000000" w:themeColor="text1"/>
          <w:szCs w:val="26"/>
        </w:rPr>
      </w:pPr>
      <w:r>
        <w:rPr>
          <w:rFonts w:ascii="Rockwell" w:hAnsi="Rockwell"/>
          <w:noProof/>
          <w:color w:val="000000" w:themeColor="text1"/>
          <w:szCs w:val="26"/>
        </w:rPr>
        <w:drawing>
          <wp:inline distT="0" distB="0" distL="0" distR="0" wp14:anchorId="4A1D5AB1" wp14:editId="632D0D7E">
            <wp:extent cx="1644015" cy="2192655"/>
            <wp:effectExtent l="0" t="0" r="0" b="0"/>
            <wp:docPr id="86" name="Imag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 86"/>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656204" cy="2208759"/>
                    </a:xfrm>
                    <a:prstGeom prst="rect">
                      <a:avLst/>
                    </a:prstGeom>
                  </pic:spPr>
                </pic:pic>
              </a:graphicData>
            </a:graphic>
          </wp:inline>
        </w:drawing>
      </w:r>
    </w:p>
    <w:p w14:paraId="467AD3FD" w14:textId="77777777" w:rsidR="00284822" w:rsidRDefault="00F77BF8">
      <w:pPr>
        <w:spacing w:before="120" w:after="120"/>
        <w:ind w:left="-709"/>
        <w:rPr>
          <w:rFonts w:ascii="Rockwell" w:hAnsi="Rockwell"/>
          <w:color w:val="000000" w:themeColor="text1"/>
          <w:sz w:val="18"/>
          <w:szCs w:val="18"/>
        </w:rPr>
      </w:pPr>
      <w:r>
        <w:rPr>
          <w:rFonts w:ascii="Rockwell" w:hAnsi="Rockwell"/>
          <w:color w:val="000000" w:themeColor="text1"/>
          <w:sz w:val="18"/>
          <w:szCs w:val="18"/>
        </w:rPr>
        <w:t xml:space="preserve">  Mme Marie Danielle BOUGAIRE/ZANGREYANOGHO                                               M. Mamadou Ali COMPAORE  </w:t>
      </w:r>
    </w:p>
    <w:p w14:paraId="7123674D" w14:textId="77777777" w:rsidR="00284822" w:rsidRDefault="00284822">
      <w:pPr>
        <w:spacing w:before="120" w:after="120"/>
        <w:ind w:left="-709"/>
        <w:rPr>
          <w:rFonts w:ascii="Rockwell" w:hAnsi="Rockwell"/>
          <w:color w:val="000000" w:themeColor="text1"/>
          <w:sz w:val="18"/>
          <w:szCs w:val="18"/>
        </w:rPr>
      </w:pPr>
    </w:p>
    <w:p w14:paraId="763EDF5E" w14:textId="77777777" w:rsidR="00284822" w:rsidRDefault="00284822">
      <w:pPr>
        <w:spacing w:before="120" w:after="120"/>
        <w:ind w:left="-709"/>
        <w:rPr>
          <w:rFonts w:ascii="Rockwell" w:hAnsi="Rockwell"/>
          <w:color w:val="000000" w:themeColor="text1"/>
          <w:sz w:val="20"/>
          <w:szCs w:val="20"/>
        </w:rPr>
      </w:pPr>
    </w:p>
    <w:p w14:paraId="650C16A7" w14:textId="77777777" w:rsidR="00284822" w:rsidRDefault="00284822">
      <w:pPr>
        <w:spacing w:before="120" w:after="120"/>
        <w:ind w:left="-709"/>
        <w:rPr>
          <w:rFonts w:ascii="Rockwell" w:hAnsi="Rockwell"/>
          <w:color w:val="000000" w:themeColor="text1"/>
          <w:sz w:val="20"/>
          <w:szCs w:val="20"/>
        </w:rPr>
      </w:pPr>
    </w:p>
    <w:p w14:paraId="1BCDE81A" w14:textId="77777777" w:rsidR="00284822" w:rsidRDefault="00F77BF8">
      <w:pPr>
        <w:spacing w:before="120" w:after="120"/>
        <w:ind w:left="2268" w:right="423" w:firstLine="2835"/>
        <w:jc w:val="left"/>
        <w:rPr>
          <w:rFonts w:ascii="Rockwell" w:hAnsi="Rockwell"/>
          <w:color w:val="000000" w:themeColor="text1"/>
          <w:sz w:val="10"/>
          <w:szCs w:val="10"/>
        </w:rPr>
      </w:pPr>
      <w:r>
        <w:rPr>
          <w:noProof/>
        </w:rPr>
        <w:lastRenderedPageBreak/>
        <w:drawing>
          <wp:anchor distT="0" distB="0" distL="114300" distR="114300" simplePos="0" relativeHeight="251678720" behindDoc="0" locked="0" layoutInCell="1" allowOverlap="1" wp14:anchorId="526B88C4" wp14:editId="026AB9EC">
            <wp:simplePos x="0" y="0"/>
            <wp:positionH relativeFrom="margin">
              <wp:align>left</wp:align>
            </wp:positionH>
            <wp:positionV relativeFrom="paragraph">
              <wp:posOffset>172085</wp:posOffset>
            </wp:positionV>
            <wp:extent cx="1617345" cy="2156460"/>
            <wp:effectExtent l="0" t="0" r="2540" b="0"/>
            <wp:wrapSquare wrapText="bothSides"/>
            <wp:docPr id="88" name="Image 88" descr="C:\Users\HP\Desktop\illustrations rapport public 2023\3. Conseiller KAMBI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 88" descr="C:\Users\HP\Desktop\illustrations rapport public 2023\3. Conseiller KAMBIRE.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1617260" cy="2156698"/>
                    </a:xfrm>
                    <a:prstGeom prst="rect">
                      <a:avLst/>
                    </a:prstGeom>
                    <a:noFill/>
                    <a:ln>
                      <a:noFill/>
                    </a:ln>
                  </pic:spPr>
                </pic:pic>
              </a:graphicData>
            </a:graphic>
          </wp:anchor>
        </w:drawing>
      </w:r>
      <w:r>
        <w:rPr>
          <w:noProof/>
        </w:rPr>
        <w:drawing>
          <wp:inline distT="0" distB="0" distL="0" distR="0" wp14:anchorId="536B49BB" wp14:editId="55F87136">
            <wp:extent cx="1951355" cy="2237740"/>
            <wp:effectExtent l="0" t="0" r="3810" b="0"/>
            <wp:docPr id="93" name="Image 93" descr="C:\Users\HP\Desktop\illustrations rapport public 2023\4. Conseillère BONKOUNGO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 93" descr="C:\Users\HP\Desktop\illustrations rapport public 2023\4. Conseillère BONKOUNGOU.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a:xfrm>
                      <a:off x="0" y="0"/>
                      <a:ext cx="1951720" cy="2238233"/>
                    </a:xfrm>
                    <a:prstGeom prst="rect">
                      <a:avLst/>
                    </a:prstGeom>
                    <a:noFill/>
                    <a:ln>
                      <a:noFill/>
                    </a:ln>
                  </pic:spPr>
                </pic:pic>
              </a:graphicData>
            </a:graphic>
          </wp:inline>
        </w:drawing>
      </w:r>
    </w:p>
    <w:p w14:paraId="57F12CF3" w14:textId="77777777" w:rsidR="00284822" w:rsidRDefault="00F77BF8">
      <w:pPr>
        <w:spacing w:before="120" w:after="120"/>
        <w:ind w:right="-569"/>
        <w:rPr>
          <w:rFonts w:ascii="Rockwell" w:hAnsi="Rockwell"/>
          <w:color w:val="000000" w:themeColor="text1"/>
          <w:sz w:val="18"/>
          <w:szCs w:val="18"/>
        </w:rPr>
      </w:pPr>
      <w:r>
        <w:rPr>
          <w:rFonts w:ascii="Rockwell" w:hAnsi="Rockwell"/>
          <w:color w:val="000000" w:themeColor="text1"/>
          <w:sz w:val="18"/>
          <w:szCs w:val="18"/>
        </w:rPr>
        <w:t xml:space="preserve">     M. </w:t>
      </w:r>
      <w:proofErr w:type="spellStart"/>
      <w:r>
        <w:rPr>
          <w:rFonts w:ascii="Rockwell" w:hAnsi="Rockwell"/>
          <w:color w:val="000000" w:themeColor="text1"/>
          <w:sz w:val="18"/>
          <w:szCs w:val="18"/>
        </w:rPr>
        <w:t>Bobar</w:t>
      </w:r>
      <w:proofErr w:type="spellEnd"/>
      <w:r>
        <w:rPr>
          <w:rFonts w:ascii="Rockwell" w:hAnsi="Rockwell"/>
          <w:color w:val="000000" w:themeColor="text1"/>
          <w:sz w:val="18"/>
          <w:szCs w:val="18"/>
        </w:rPr>
        <w:t xml:space="preserve"> Félix KAMBIRE</w:t>
      </w:r>
      <w:r>
        <w:rPr>
          <w:rFonts w:ascii="Rockwell" w:hAnsi="Rockwell"/>
          <w:color w:val="000000" w:themeColor="text1"/>
          <w:sz w:val="22"/>
          <w:szCs w:val="22"/>
        </w:rPr>
        <w:t xml:space="preserve">          </w:t>
      </w:r>
      <w:r>
        <w:rPr>
          <w:rFonts w:ascii="Rockwell" w:hAnsi="Rockwell"/>
          <w:color w:val="000000" w:themeColor="text1"/>
          <w:sz w:val="22"/>
          <w:szCs w:val="22"/>
        </w:rPr>
        <w:tab/>
      </w:r>
      <w:r>
        <w:rPr>
          <w:rFonts w:ascii="Rockwell" w:hAnsi="Rockwell"/>
          <w:color w:val="000000" w:themeColor="text1"/>
          <w:sz w:val="22"/>
          <w:szCs w:val="22"/>
        </w:rPr>
        <w:tab/>
      </w:r>
      <w:r>
        <w:rPr>
          <w:rFonts w:ascii="Rockwell" w:hAnsi="Rockwell"/>
          <w:color w:val="000000" w:themeColor="text1"/>
          <w:sz w:val="22"/>
          <w:szCs w:val="22"/>
        </w:rPr>
        <w:tab/>
        <w:t xml:space="preserve">       </w:t>
      </w:r>
      <w:r>
        <w:rPr>
          <w:rFonts w:ascii="Rockwell" w:hAnsi="Rockwell"/>
          <w:color w:val="000000" w:themeColor="text1"/>
          <w:sz w:val="18"/>
          <w:szCs w:val="18"/>
        </w:rPr>
        <w:t xml:space="preserve">Mme </w:t>
      </w:r>
      <w:proofErr w:type="spellStart"/>
      <w:r>
        <w:rPr>
          <w:rFonts w:ascii="Rockwell" w:hAnsi="Rockwell"/>
          <w:color w:val="000000" w:themeColor="text1"/>
          <w:sz w:val="18"/>
          <w:szCs w:val="18"/>
        </w:rPr>
        <w:t>Wendenmi</w:t>
      </w:r>
      <w:proofErr w:type="spellEnd"/>
      <w:r>
        <w:rPr>
          <w:rFonts w:ascii="Rockwell" w:hAnsi="Rockwell"/>
          <w:color w:val="000000" w:themeColor="text1"/>
          <w:sz w:val="18"/>
          <w:szCs w:val="18"/>
        </w:rPr>
        <w:t xml:space="preserve"> Valérie BONKOUNGOU/SAOUADOGO</w:t>
      </w:r>
    </w:p>
    <w:p w14:paraId="5A563E18" w14:textId="77777777" w:rsidR="00284822" w:rsidRDefault="00F77BF8">
      <w:pPr>
        <w:spacing w:before="120" w:after="120"/>
        <w:ind w:right="-144" w:hanging="1418"/>
        <w:rPr>
          <w:rFonts w:ascii="Rockwell" w:hAnsi="Rockwell"/>
          <w:color w:val="000000" w:themeColor="text1"/>
          <w:sz w:val="18"/>
          <w:szCs w:val="18"/>
        </w:rPr>
      </w:pPr>
      <w:r>
        <w:rPr>
          <w:rFonts w:ascii="Rockwell" w:hAnsi="Rockwell"/>
          <w:color w:val="000000" w:themeColor="text1"/>
          <w:sz w:val="20"/>
          <w:szCs w:val="20"/>
        </w:rPr>
        <w:t xml:space="preserve">                           </w:t>
      </w:r>
    </w:p>
    <w:p w14:paraId="3998F410" w14:textId="77777777" w:rsidR="00284822" w:rsidRDefault="00F77BF8">
      <w:pPr>
        <w:spacing w:before="120" w:after="120"/>
        <w:ind w:right="-144"/>
        <w:rPr>
          <w:rFonts w:ascii="Rockwell" w:hAnsi="Rockwell"/>
          <w:color w:val="000000" w:themeColor="text1"/>
          <w:szCs w:val="26"/>
        </w:rPr>
      </w:pPr>
      <w:r>
        <w:rPr>
          <w:rFonts w:ascii="Rockwell" w:hAnsi="Rockwell"/>
          <w:color w:val="000000" w:themeColor="text1"/>
          <w:sz w:val="18"/>
          <w:szCs w:val="18"/>
        </w:rPr>
        <w:tab/>
      </w:r>
      <w:r>
        <w:rPr>
          <w:rFonts w:ascii="Rockwell" w:hAnsi="Rockwell"/>
          <w:color w:val="000000" w:themeColor="text1"/>
          <w:sz w:val="18"/>
          <w:szCs w:val="18"/>
        </w:rPr>
        <w:tab/>
      </w:r>
      <w:r>
        <w:rPr>
          <w:rFonts w:ascii="Rockwell" w:hAnsi="Rockwell"/>
          <w:color w:val="000000" w:themeColor="text1"/>
          <w:sz w:val="18"/>
          <w:szCs w:val="18"/>
        </w:rPr>
        <w:tab/>
      </w:r>
      <w:r>
        <w:rPr>
          <w:rFonts w:ascii="Rockwell" w:hAnsi="Rockwell"/>
          <w:color w:val="000000" w:themeColor="text1"/>
          <w:sz w:val="22"/>
          <w:szCs w:val="22"/>
        </w:rPr>
        <w:tab/>
      </w:r>
    </w:p>
    <w:p w14:paraId="3BD7DF62" w14:textId="77777777" w:rsidR="00284822" w:rsidRDefault="00284822">
      <w:pPr>
        <w:spacing w:before="120" w:after="120"/>
        <w:ind w:left="2832" w:firstLine="1846"/>
        <w:jc w:val="center"/>
        <w:rPr>
          <w:rFonts w:ascii="Rockwell" w:hAnsi="Rockwell"/>
          <w:sz w:val="10"/>
          <w:szCs w:val="10"/>
        </w:rPr>
      </w:pPr>
    </w:p>
    <w:p w14:paraId="63A176B6" w14:textId="77777777" w:rsidR="00284822" w:rsidRDefault="00284822">
      <w:pPr>
        <w:spacing w:before="120" w:after="120"/>
        <w:rPr>
          <w:rFonts w:ascii="Rockwell" w:hAnsi="Rockwell"/>
          <w:sz w:val="10"/>
          <w:szCs w:val="10"/>
        </w:rPr>
      </w:pPr>
    </w:p>
    <w:p w14:paraId="4454023A" w14:textId="77777777" w:rsidR="00284822" w:rsidRDefault="00284822">
      <w:pPr>
        <w:spacing w:before="120" w:after="120"/>
        <w:rPr>
          <w:rFonts w:ascii="Rockwell" w:hAnsi="Rockwell"/>
          <w:sz w:val="10"/>
          <w:szCs w:val="10"/>
        </w:rPr>
      </w:pPr>
    </w:p>
    <w:p w14:paraId="65E64A4D" w14:textId="77777777" w:rsidR="00284822" w:rsidRDefault="00284822">
      <w:pPr>
        <w:spacing w:before="120" w:after="120"/>
        <w:rPr>
          <w:rFonts w:ascii="Rockwell" w:hAnsi="Rockwell"/>
          <w:sz w:val="10"/>
          <w:szCs w:val="10"/>
        </w:rPr>
      </w:pPr>
    </w:p>
    <w:p w14:paraId="1AF54335" w14:textId="77777777" w:rsidR="00284822" w:rsidRDefault="00284822">
      <w:pPr>
        <w:spacing w:before="120" w:after="120"/>
        <w:rPr>
          <w:rFonts w:ascii="Rockwell" w:hAnsi="Rockwell"/>
          <w:sz w:val="10"/>
          <w:szCs w:val="10"/>
        </w:rPr>
        <w:sectPr w:rsidR="00284822">
          <w:pgSz w:w="11906" w:h="16838"/>
          <w:pgMar w:top="1418" w:right="1418" w:bottom="1418" w:left="1418" w:header="709" w:footer="709" w:gutter="0"/>
          <w:cols w:space="720"/>
        </w:sectPr>
      </w:pPr>
    </w:p>
    <w:p w14:paraId="532574F1" w14:textId="77777777" w:rsidR="00284822" w:rsidRDefault="00F77BF8">
      <w:pPr>
        <w:pStyle w:val="Titre1"/>
        <w:spacing w:before="120" w:after="120"/>
        <w:rPr>
          <w:rFonts w:ascii="Rockwell" w:hAnsi="Rockwell"/>
        </w:rPr>
      </w:pPr>
      <w:bookmarkStart w:id="50" w:name="_Toc122608629"/>
      <w:bookmarkStart w:id="51" w:name="_Toc42535729"/>
      <w:bookmarkStart w:id="52" w:name="_Toc43238604"/>
      <w:bookmarkStart w:id="53" w:name="_Toc175048636"/>
      <w:bookmarkStart w:id="54" w:name="_Toc42529861"/>
      <w:bookmarkStart w:id="55" w:name="_Toc73184046"/>
      <w:bookmarkStart w:id="56" w:name="_Toc170304743"/>
      <w:bookmarkStart w:id="57" w:name="_Toc42536520"/>
      <w:bookmarkStart w:id="58" w:name="_Toc72864274"/>
      <w:bookmarkStart w:id="59" w:name="_Toc42536290"/>
      <w:bookmarkStart w:id="60" w:name="_Toc73183927"/>
      <w:bookmarkStart w:id="61" w:name="_Toc119511772"/>
      <w:bookmarkStart w:id="62" w:name="_Toc43239312"/>
      <w:r>
        <w:rPr>
          <w:rFonts w:ascii="Rockwell" w:hAnsi="Rockwell"/>
        </w:rPr>
        <w:lastRenderedPageBreak/>
        <w:t>INTRODUCTION</w:t>
      </w:r>
      <w:bookmarkEnd w:id="50"/>
      <w:bookmarkEnd w:id="51"/>
      <w:bookmarkEnd w:id="52"/>
      <w:bookmarkEnd w:id="53"/>
      <w:bookmarkEnd w:id="54"/>
      <w:bookmarkEnd w:id="55"/>
      <w:bookmarkEnd w:id="56"/>
      <w:bookmarkEnd w:id="57"/>
      <w:bookmarkEnd w:id="58"/>
      <w:bookmarkEnd w:id="59"/>
      <w:bookmarkEnd w:id="60"/>
      <w:bookmarkEnd w:id="61"/>
      <w:bookmarkEnd w:id="62"/>
    </w:p>
    <w:p w14:paraId="5F042AC0" w14:textId="77777777" w:rsidR="00284822" w:rsidRDefault="00F77BF8">
      <w:pPr>
        <w:spacing w:before="120" w:after="120"/>
        <w:rPr>
          <w:rFonts w:ascii="Rockwell" w:hAnsi="Rockwell"/>
          <w:color w:val="000000" w:themeColor="text1"/>
          <w:szCs w:val="26"/>
        </w:rPr>
      </w:pPr>
      <w:r>
        <w:rPr>
          <w:rFonts w:ascii="Rockwell" w:hAnsi="Rockwell"/>
          <w:color w:val="000000" w:themeColor="text1"/>
          <w:szCs w:val="26"/>
        </w:rPr>
        <w:t>Plus qu’une tradition, le rapport public du Conseil supérieur de la communication est un exercice annuel de redevabilité, en premier lieu, à l’attention des plus hautes autorités et, en second, à celle de toute personne intéressée par la gestion des activités de communication audiovisuelle, de presse écrite et en ligne, publique et privée au Burkina Faso.</w:t>
      </w:r>
    </w:p>
    <w:p w14:paraId="3DE8E27D" w14:textId="77777777" w:rsidR="00284822" w:rsidRDefault="00F77BF8">
      <w:pPr>
        <w:autoSpaceDE w:val="0"/>
        <w:spacing w:before="120" w:after="120"/>
        <w:rPr>
          <w:rFonts w:ascii="Rockwell" w:eastAsia="Calibri" w:hAnsi="Rockwell"/>
          <w:color w:val="000000" w:themeColor="text1"/>
          <w:szCs w:val="26"/>
          <w:lang w:eastAsia="en-US"/>
        </w:rPr>
      </w:pPr>
      <w:r>
        <w:rPr>
          <w:rFonts w:ascii="Rockwell" w:eastAsia="Calibri" w:hAnsi="Rockwell"/>
          <w:color w:val="000000" w:themeColor="text1"/>
          <w:szCs w:val="26"/>
          <w:lang w:eastAsia="en-US"/>
        </w:rPr>
        <w:t>Depuis plusieurs années donc, l’institution s’acquitte de ce devoir que lui impose la loi en adressant au Président du Faso, une fois par an, son rapport public qui comporte, entre autres :</w:t>
      </w:r>
    </w:p>
    <w:p w14:paraId="2A45ADFA" w14:textId="77777777" w:rsidR="00284822" w:rsidRDefault="00F77BF8">
      <w:pPr>
        <w:numPr>
          <w:ilvl w:val="0"/>
          <w:numId w:val="4"/>
        </w:numPr>
        <w:suppressAutoHyphens w:val="0"/>
        <w:autoSpaceDN/>
        <w:spacing w:before="120" w:after="120"/>
        <w:textAlignment w:val="auto"/>
        <w:rPr>
          <w:rFonts w:ascii="Rockwell" w:hAnsi="Rockwell"/>
          <w:color w:val="000000" w:themeColor="text1"/>
          <w:szCs w:val="26"/>
        </w:rPr>
      </w:pPr>
      <w:proofErr w:type="gramStart"/>
      <w:r>
        <w:rPr>
          <w:rFonts w:ascii="Rockwell" w:hAnsi="Rockwell"/>
          <w:color w:val="000000" w:themeColor="text1"/>
          <w:szCs w:val="26"/>
        </w:rPr>
        <w:t>l’exécution</w:t>
      </w:r>
      <w:proofErr w:type="gramEnd"/>
      <w:r>
        <w:rPr>
          <w:rFonts w:ascii="Rockwell" w:hAnsi="Rockwell"/>
          <w:color w:val="000000" w:themeColor="text1"/>
          <w:szCs w:val="26"/>
        </w:rPr>
        <w:t xml:space="preserve"> de ses missions ;</w:t>
      </w:r>
    </w:p>
    <w:p w14:paraId="4E301E1F" w14:textId="77777777" w:rsidR="00284822" w:rsidRDefault="00F77BF8">
      <w:pPr>
        <w:numPr>
          <w:ilvl w:val="0"/>
          <w:numId w:val="4"/>
        </w:numPr>
        <w:suppressAutoHyphens w:val="0"/>
        <w:autoSpaceDN/>
        <w:spacing w:before="120" w:after="120"/>
        <w:textAlignment w:val="auto"/>
        <w:rPr>
          <w:rFonts w:ascii="Rockwell" w:hAnsi="Rockwell"/>
          <w:color w:val="000000" w:themeColor="text1"/>
          <w:szCs w:val="26"/>
        </w:rPr>
      </w:pPr>
      <w:proofErr w:type="gramStart"/>
      <w:r>
        <w:rPr>
          <w:rFonts w:ascii="Rockwell" w:hAnsi="Rockwell"/>
          <w:color w:val="000000" w:themeColor="text1"/>
          <w:szCs w:val="26"/>
        </w:rPr>
        <w:t>l’état</w:t>
      </w:r>
      <w:proofErr w:type="gramEnd"/>
      <w:r>
        <w:rPr>
          <w:rFonts w:ascii="Rockwell" w:hAnsi="Rockwell"/>
          <w:color w:val="000000" w:themeColor="text1"/>
          <w:szCs w:val="26"/>
        </w:rPr>
        <w:t xml:space="preserve"> des médias au Burkina Faso ;</w:t>
      </w:r>
    </w:p>
    <w:p w14:paraId="27005DFC" w14:textId="77777777" w:rsidR="00284822" w:rsidRDefault="00F77BF8">
      <w:pPr>
        <w:numPr>
          <w:ilvl w:val="0"/>
          <w:numId w:val="4"/>
        </w:numPr>
        <w:suppressAutoHyphens w:val="0"/>
        <w:autoSpaceDN/>
        <w:spacing w:before="120" w:after="120"/>
        <w:textAlignment w:val="auto"/>
        <w:rPr>
          <w:rFonts w:ascii="Rockwell" w:hAnsi="Rockwell"/>
          <w:color w:val="000000" w:themeColor="text1"/>
          <w:szCs w:val="26"/>
        </w:rPr>
      </w:pPr>
      <w:proofErr w:type="gramStart"/>
      <w:r>
        <w:rPr>
          <w:rFonts w:ascii="Rockwell" w:hAnsi="Rockwell"/>
          <w:color w:val="000000" w:themeColor="text1"/>
          <w:szCs w:val="26"/>
        </w:rPr>
        <w:t>la</w:t>
      </w:r>
      <w:proofErr w:type="gramEnd"/>
      <w:r>
        <w:rPr>
          <w:rFonts w:ascii="Rockwell" w:hAnsi="Rockwell"/>
          <w:color w:val="000000" w:themeColor="text1"/>
          <w:szCs w:val="26"/>
        </w:rPr>
        <w:t xml:space="preserve"> qualité du contenu des médias ;</w:t>
      </w:r>
    </w:p>
    <w:p w14:paraId="54225467" w14:textId="77777777" w:rsidR="00284822" w:rsidRDefault="00F77BF8">
      <w:pPr>
        <w:numPr>
          <w:ilvl w:val="0"/>
          <w:numId w:val="4"/>
        </w:numPr>
        <w:suppressAutoHyphens w:val="0"/>
        <w:autoSpaceDN/>
        <w:spacing w:before="120" w:after="120"/>
        <w:textAlignment w:val="auto"/>
        <w:rPr>
          <w:rFonts w:ascii="Rockwell" w:hAnsi="Rockwell"/>
          <w:color w:val="000000" w:themeColor="text1"/>
          <w:szCs w:val="26"/>
        </w:rPr>
      </w:pPr>
      <w:proofErr w:type="gramStart"/>
      <w:r>
        <w:rPr>
          <w:rFonts w:ascii="Rockwell" w:hAnsi="Rockwell"/>
          <w:color w:val="000000" w:themeColor="text1"/>
          <w:szCs w:val="26"/>
        </w:rPr>
        <w:t>l’état</w:t>
      </w:r>
      <w:proofErr w:type="gramEnd"/>
      <w:r>
        <w:rPr>
          <w:rFonts w:ascii="Rockwell" w:hAnsi="Rockwell"/>
          <w:color w:val="000000" w:themeColor="text1"/>
          <w:szCs w:val="26"/>
        </w:rPr>
        <w:t xml:space="preserve"> du respect des textes législatifs et réglementaires régissant le secteur de la communication ;</w:t>
      </w:r>
    </w:p>
    <w:p w14:paraId="440CD4AD" w14:textId="77777777" w:rsidR="00284822" w:rsidRDefault="00F77BF8">
      <w:pPr>
        <w:numPr>
          <w:ilvl w:val="0"/>
          <w:numId w:val="4"/>
        </w:numPr>
        <w:suppressAutoHyphens w:val="0"/>
        <w:autoSpaceDN/>
        <w:spacing w:before="120" w:after="120"/>
        <w:textAlignment w:val="auto"/>
        <w:rPr>
          <w:rFonts w:ascii="Rockwell" w:hAnsi="Rockwell"/>
          <w:color w:val="000000" w:themeColor="text1"/>
          <w:szCs w:val="26"/>
        </w:rPr>
      </w:pPr>
      <w:proofErr w:type="gramStart"/>
      <w:r>
        <w:rPr>
          <w:rFonts w:ascii="Rockwell" w:hAnsi="Rockwell"/>
          <w:color w:val="000000" w:themeColor="text1"/>
          <w:szCs w:val="26"/>
        </w:rPr>
        <w:t>des</w:t>
      </w:r>
      <w:proofErr w:type="gramEnd"/>
      <w:r>
        <w:rPr>
          <w:rFonts w:ascii="Rockwell" w:hAnsi="Rockwell"/>
          <w:color w:val="000000" w:themeColor="text1"/>
          <w:szCs w:val="26"/>
        </w:rPr>
        <w:t xml:space="preserve"> recommandations prospectives.</w:t>
      </w:r>
    </w:p>
    <w:p w14:paraId="3B47C1D9" w14:textId="77777777" w:rsidR="00284822" w:rsidRDefault="00F77BF8">
      <w:pPr>
        <w:spacing w:before="120" w:after="120"/>
        <w:rPr>
          <w:rFonts w:ascii="Rockwell" w:hAnsi="Rockwell"/>
          <w:color w:val="000000" w:themeColor="text1"/>
          <w:szCs w:val="26"/>
        </w:rPr>
      </w:pPr>
      <w:r>
        <w:rPr>
          <w:rFonts w:ascii="Rockwell" w:hAnsi="Rockwell"/>
          <w:color w:val="000000" w:themeColor="text1"/>
          <w:szCs w:val="26"/>
        </w:rPr>
        <w:t>L’on retiendra que l’année 2022 a été marquée par une crise institutionnelle au sein du Conseil supérieur de la communication. En effet, la lenteur observée dans la nomination de membres du conseil aux postes vacants depuis l’année 2021</w:t>
      </w:r>
      <w:r>
        <w:rPr>
          <w:rFonts w:ascii="Rockwell" w:hAnsi="Rockwell"/>
          <w:color w:val="000000" w:themeColor="text1"/>
          <w:szCs w:val="26"/>
          <w:vertAlign w:val="superscript"/>
        </w:rPr>
        <w:footnoteReference w:id="1"/>
      </w:r>
      <w:r>
        <w:rPr>
          <w:rFonts w:ascii="Rockwell" w:hAnsi="Rockwell"/>
          <w:color w:val="000000" w:themeColor="text1"/>
          <w:szCs w:val="26"/>
        </w:rPr>
        <w:t xml:space="preserve"> et la conjoncture sociopolitique nationale en janvier 2022, ont négativement impacté le fonctionnement de l’institution. Quatre (04) nouveaux membres seront finalement nommés, prêteront serment le 27 mai 2022 et une nouvelle élection du président du CSC, en vue d’achever le mandat en cours sera organisée le 30 mai. </w:t>
      </w:r>
    </w:p>
    <w:p w14:paraId="4AE462DF" w14:textId="77777777" w:rsidR="00284822" w:rsidRDefault="00F77BF8">
      <w:pPr>
        <w:spacing w:before="120" w:after="120"/>
        <w:rPr>
          <w:rFonts w:ascii="Rockwell" w:hAnsi="Rockwell"/>
          <w:color w:val="000000" w:themeColor="text1"/>
          <w:szCs w:val="26"/>
        </w:rPr>
      </w:pPr>
      <w:r>
        <w:rPr>
          <w:rFonts w:ascii="Rockwell" w:hAnsi="Rockwell"/>
          <w:color w:val="000000" w:themeColor="text1"/>
          <w:szCs w:val="26"/>
        </w:rPr>
        <w:lastRenderedPageBreak/>
        <w:t xml:space="preserve">Celle-ci sera malheureusement contestée et l’instance de régulation, acéphale avec un Secrétaire général intérimaire, connaîtra une léthargie de fin mai à début décembre 2022. </w:t>
      </w:r>
    </w:p>
    <w:p w14:paraId="36B1D1F7" w14:textId="77777777" w:rsidR="00284822" w:rsidRDefault="00F77BF8">
      <w:pPr>
        <w:spacing w:before="120" w:after="120"/>
        <w:rPr>
          <w:rFonts w:ascii="Rockwell" w:hAnsi="Rockwell"/>
          <w:color w:val="000000" w:themeColor="text1"/>
          <w:szCs w:val="26"/>
        </w:rPr>
      </w:pPr>
      <w:r>
        <w:rPr>
          <w:rFonts w:ascii="Rockwell" w:hAnsi="Rockwell"/>
          <w:color w:val="000000" w:themeColor="text1"/>
          <w:szCs w:val="26"/>
        </w:rPr>
        <w:t xml:space="preserve">En dépit de cette situation déplorable, le travail de régulation s’est poursuivi à travers l’observation quotidienne des médias aussi bien au Centre que dans les Régions. </w:t>
      </w:r>
    </w:p>
    <w:p w14:paraId="5ED0B91C" w14:textId="77777777" w:rsidR="00284822" w:rsidRDefault="00F77BF8">
      <w:pPr>
        <w:spacing w:before="120" w:after="120"/>
        <w:rPr>
          <w:rFonts w:ascii="Rockwell" w:hAnsi="Rockwell"/>
          <w:color w:val="000000" w:themeColor="text1"/>
          <w:szCs w:val="26"/>
        </w:rPr>
      </w:pPr>
      <w:r>
        <w:rPr>
          <w:rFonts w:ascii="Rockwell" w:hAnsi="Rockwell"/>
          <w:color w:val="000000" w:themeColor="text1"/>
          <w:szCs w:val="26"/>
        </w:rPr>
        <w:t xml:space="preserve">Le présent rapport rend compte des activités menées au cours de la période sous revue. </w:t>
      </w:r>
    </w:p>
    <w:p w14:paraId="753B8050" w14:textId="77777777" w:rsidR="00284822" w:rsidRDefault="00F77BF8">
      <w:pPr>
        <w:spacing w:before="120" w:after="120"/>
        <w:rPr>
          <w:rFonts w:ascii="Rockwell" w:hAnsi="Rockwell"/>
          <w:color w:val="000000" w:themeColor="text1"/>
          <w:szCs w:val="26"/>
        </w:rPr>
      </w:pPr>
      <w:r>
        <w:rPr>
          <w:rFonts w:ascii="Rockwell" w:hAnsi="Rockwell"/>
          <w:color w:val="000000" w:themeColor="text1"/>
          <w:szCs w:val="26"/>
        </w:rPr>
        <w:t>Il s’organise autour de quatre (04) parties :</w:t>
      </w:r>
    </w:p>
    <w:p w14:paraId="6368ACE8" w14:textId="77777777" w:rsidR="00284822" w:rsidRDefault="00F77BF8">
      <w:pPr>
        <w:spacing w:before="120" w:after="120"/>
        <w:rPr>
          <w:rFonts w:ascii="Rockwell" w:hAnsi="Rockwell"/>
          <w:color w:val="000000" w:themeColor="text1"/>
          <w:szCs w:val="26"/>
        </w:rPr>
      </w:pPr>
      <w:r>
        <w:rPr>
          <w:rFonts w:ascii="Rockwell" w:hAnsi="Rockwell"/>
          <w:color w:val="000000" w:themeColor="text1"/>
          <w:szCs w:val="26"/>
        </w:rPr>
        <w:t>-activités de régulation des médias et contentieux ;</w:t>
      </w:r>
    </w:p>
    <w:p w14:paraId="63E4EB17" w14:textId="77777777" w:rsidR="00284822" w:rsidRDefault="00F77BF8">
      <w:pPr>
        <w:spacing w:before="120" w:after="120"/>
        <w:rPr>
          <w:rFonts w:ascii="Rockwell" w:hAnsi="Rockwell"/>
          <w:color w:val="000000" w:themeColor="text1"/>
          <w:szCs w:val="26"/>
        </w:rPr>
      </w:pPr>
      <w:r>
        <w:rPr>
          <w:rFonts w:ascii="Rockwell" w:hAnsi="Rockwell"/>
          <w:color w:val="000000" w:themeColor="text1"/>
          <w:szCs w:val="26"/>
        </w:rPr>
        <w:t>-rencontre de travail et coopération ;</w:t>
      </w:r>
    </w:p>
    <w:p w14:paraId="1018DC12" w14:textId="77777777" w:rsidR="00284822" w:rsidRDefault="00F77BF8">
      <w:pPr>
        <w:spacing w:before="120" w:after="120"/>
        <w:rPr>
          <w:rFonts w:ascii="Rockwell" w:hAnsi="Rockwell"/>
          <w:color w:val="000000" w:themeColor="text1"/>
          <w:szCs w:val="26"/>
        </w:rPr>
      </w:pPr>
      <w:r>
        <w:rPr>
          <w:rFonts w:ascii="Rockwell" w:hAnsi="Rockwell"/>
          <w:color w:val="000000" w:themeColor="text1"/>
          <w:szCs w:val="26"/>
        </w:rPr>
        <w:t>-gestion des ressources humaines des finances et des matières ;</w:t>
      </w:r>
    </w:p>
    <w:p w14:paraId="3A3548F3" w14:textId="77777777" w:rsidR="00284822" w:rsidRDefault="00F77BF8">
      <w:pPr>
        <w:spacing w:before="120" w:after="120"/>
        <w:rPr>
          <w:rFonts w:ascii="Rockwell" w:hAnsi="Rockwell"/>
          <w:color w:val="000000" w:themeColor="text1"/>
          <w:szCs w:val="26"/>
        </w:rPr>
      </w:pPr>
      <w:r>
        <w:rPr>
          <w:rFonts w:ascii="Rockwell" w:hAnsi="Rockwell"/>
          <w:color w:val="000000" w:themeColor="text1"/>
          <w:szCs w:val="26"/>
        </w:rPr>
        <w:t xml:space="preserve">-acquis, perspectives et recommandations. </w:t>
      </w:r>
    </w:p>
    <w:p w14:paraId="085A52D9" w14:textId="77777777" w:rsidR="00284822" w:rsidRDefault="00284822">
      <w:pPr>
        <w:spacing w:before="120" w:after="120"/>
        <w:rPr>
          <w:rFonts w:ascii="Rockwell" w:hAnsi="Rockwell"/>
          <w:szCs w:val="26"/>
        </w:rPr>
      </w:pPr>
    </w:p>
    <w:p w14:paraId="0C2902FC" w14:textId="77777777" w:rsidR="00284822" w:rsidRDefault="00284822">
      <w:pPr>
        <w:spacing w:before="120" w:after="120"/>
        <w:rPr>
          <w:rFonts w:ascii="Rockwell" w:hAnsi="Rockwell"/>
          <w:szCs w:val="26"/>
        </w:rPr>
      </w:pPr>
    </w:p>
    <w:p w14:paraId="1C644136" w14:textId="77777777" w:rsidR="00284822" w:rsidRDefault="00284822">
      <w:pPr>
        <w:spacing w:before="120" w:after="120"/>
        <w:rPr>
          <w:rFonts w:ascii="Rockwell" w:hAnsi="Rockwell"/>
          <w:szCs w:val="26"/>
        </w:rPr>
      </w:pPr>
    </w:p>
    <w:p w14:paraId="4D2668EB" w14:textId="77777777" w:rsidR="00284822" w:rsidRDefault="00284822">
      <w:pPr>
        <w:spacing w:before="120" w:after="120"/>
        <w:rPr>
          <w:rFonts w:ascii="Rockwell" w:hAnsi="Rockwell"/>
          <w:szCs w:val="26"/>
        </w:rPr>
      </w:pPr>
    </w:p>
    <w:p w14:paraId="5593D0F8" w14:textId="77777777" w:rsidR="00284822" w:rsidRDefault="00F77BF8">
      <w:pPr>
        <w:spacing w:before="120" w:after="120"/>
        <w:rPr>
          <w:rFonts w:ascii="Rockwell" w:hAnsi="Rockwell"/>
          <w:szCs w:val="26"/>
        </w:rPr>
      </w:pPr>
      <w:r>
        <w:rPr>
          <w:rFonts w:ascii="Rockwell" w:hAnsi="Rockwell"/>
          <w:szCs w:val="26"/>
        </w:rPr>
        <w:t xml:space="preserve"> </w:t>
      </w:r>
    </w:p>
    <w:p w14:paraId="22C48C84" w14:textId="77777777" w:rsidR="00284822" w:rsidRDefault="00284822">
      <w:pPr>
        <w:spacing w:before="120" w:after="120"/>
        <w:rPr>
          <w:rFonts w:ascii="Rockwell" w:hAnsi="Rockwell"/>
          <w:szCs w:val="26"/>
        </w:rPr>
      </w:pPr>
    </w:p>
    <w:p w14:paraId="694F764C" w14:textId="77777777" w:rsidR="00284822" w:rsidRDefault="00284822">
      <w:pPr>
        <w:spacing w:before="120" w:after="120"/>
        <w:rPr>
          <w:rFonts w:ascii="Rockwell" w:hAnsi="Rockwell"/>
          <w:szCs w:val="26"/>
        </w:rPr>
      </w:pPr>
    </w:p>
    <w:p w14:paraId="287A335A" w14:textId="77777777" w:rsidR="00284822" w:rsidRDefault="00284822">
      <w:pPr>
        <w:spacing w:before="120" w:after="120"/>
        <w:rPr>
          <w:rFonts w:ascii="Rockwell" w:hAnsi="Rockwell"/>
          <w:szCs w:val="26"/>
        </w:rPr>
      </w:pPr>
    </w:p>
    <w:p w14:paraId="7310D331" w14:textId="77777777" w:rsidR="00284822" w:rsidRDefault="00284822">
      <w:pPr>
        <w:spacing w:before="120" w:after="120"/>
        <w:rPr>
          <w:rFonts w:ascii="Rockwell" w:hAnsi="Rockwell"/>
          <w:szCs w:val="26"/>
        </w:rPr>
      </w:pPr>
    </w:p>
    <w:p w14:paraId="6FC8351C" w14:textId="77777777" w:rsidR="00284822" w:rsidRDefault="00284822">
      <w:pPr>
        <w:spacing w:before="120" w:after="120"/>
        <w:rPr>
          <w:rFonts w:ascii="Rockwell" w:hAnsi="Rockwell"/>
          <w:szCs w:val="26"/>
        </w:rPr>
      </w:pPr>
    </w:p>
    <w:p w14:paraId="25E28D88" w14:textId="77777777" w:rsidR="00284822" w:rsidRDefault="00F77BF8">
      <w:pPr>
        <w:spacing w:before="120" w:after="120"/>
        <w:rPr>
          <w:rFonts w:ascii="Rockwell" w:hAnsi="Rockwell"/>
          <w:szCs w:val="26"/>
        </w:rPr>
      </w:pPr>
      <w:r>
        <w:rPr>
          <w:rFonts w:ascii="Rockwell" w:hAnsi="Rockwell"/>
          <w:noProof/>
          <w:szCs w:val="26"/>
        </w:rPr>
        <w:lastRenderedPageBreak/>
        <mc:AlternateContent>
          <mc:Choice Requires="wpc">
            <w:drawing>
              <wp:inline distT="0" distB="0" distL="0" distR="0" wp14:anchorId="371C1323" wp14:editId="6C6C4643">
                <wp:extent cx="7557770" cy="4408170"/>
                <wp:effectExtent l="0" t="0" r="0" b="0"/>
                <wp:docPr id="61" name="Zone de dessin 6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62" name="Rectangle à coins arrondis 62"/>
                        <wps:cNvSpPr/>
                        <wps:spPr>
                          <a:xfrm>
                            <a:off x="29845" y="1445260"/>
                            <a:ext cx="5567680" cy="1845945"/>
                          </a:xfrm>
                          <a:prstGeom prst="roundRect">
                            <a:avLst/>
                          </a:prstGeom>
                          <a:gradFill flip="none" rotWithShape="1">
                            <a:gsLst>
                              <a:gs pos="0">
                                <a:srgbClr val="00B0F0">
                                  <a:tint val="66000"/>
                                  <a:satMod val="160000"/>
                                </a:srgbClr>
                              </a:gs>
                              <a:gs pos="50000">
                                <a:srgbClr val="00B0F0">
                                  <a:tint val="44500"/>
                                  <a:satMod val="160000"/>
                                </a:srgbClr>
                              </a:gs>
                              <a:gs pos="100000">
                                <a:srgbClr val="00B0F0">
                                  <a:tint val="23500"/>
                                  <a:satMod val="160000"/>
                                </a:srgbClr>
                              </a:gs>
                            </a:gsLst>
                            <a:lin ang="2700000" scaled="1"/>
                            <a:tileRect/>
                          </a:gra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C5BCDC" w14:textId="77777777" w:rsidR="003148F1" w:rsidRDefault="003148F1">
                              <w:pPr>
                                <w:pStyle w:val="Titre1"/>
                                <w:spacing w:after="240"/>
                                <w:rPr>
                                  <w:rFonts w:ascii="Rockwell" w:hAnsi="Rockwell"/>
                                  <w:color w:val="000000" w:themeColor="text1"/>
                                </w:rPr>
                              </w:pPr>
                              <w:bookmarkStart w:id="63" w:name="_Toc42536293"/>
                              <w:bookmarkStart w:id="64" w:name="_Toc43239313"/>
                              <w:bookmarkStart w:id="65" w:name="_Toc43238605"/>
                              <w:bookmarkStart w:id="66" w:name="_Toc42536523"/>
                              <w:bookmarkStart w:id="67" w:name="_Toc42535732"/>
                              <w:bookmarkStart w:id="68" w:name="_Toc72864275"/>
                              <w:bookmarkStart w:id="69" w:name="_Toc119511773"/>
                              <w:bookmarkStart w:id="70" w:name="_Toc73183928"/>
                              <w:bookmarkStart w:id="71" w:name="_Toc122608630"/>
                              <w:bookmarkStart w:id="72" w:name="_Toc73184047"/>
                              <w:r>
                                <w:rPr>
                                  <w:color w:val="000000" w:themeColor="text1"/>
                                </w:rPr>
                                <w:t xml:space="preserve"> </w:t>
                              </w:r>
                              <w:bookmarkStart w:id="73" w:name="_Toc175048637"/>
                              <w:bookmarkStart w:id="74" w:name="_Toc170304744"/>
                              <w:r>
                                <w:rPr>
                                  <w:rFonts w:ascii="Rockwell" w:hAnsi="Rockwell"/>
                                  <w:color w:val="000000" w:themeColor="text1"/>
                                </w:rPr>
                                <w:t>PREMIERE PARTIE :</w:t>
                              </w:r>
                              <w:bookmarkEnd w:id="73"/>
                              <w:bookmarkEnd w:id="74"/>
                              <w:r>
                                <w:rPr>
                                  <w:rFonts w:ascii="Rockwell" w:hAnsi="Rockwell"/>
                                  <w:color w:val="000000" w:themeColor="text1"/>
                                </w:rPr>
                                <w:t xml:space="preserve"> </w:t>
                              </w:r>
                            </w:p>
                            <w:p w14:paraId="085BA2DF" w14:textId="77777777" w:rsidR="003148F1" w:rsidRDefault="003148F1">
                              <w:pPr>
                                <w:pStyle w:val="Titre1"/>
                                <w:spacing w:after="240"/>
                                <w:rPr>
                                  <w:rFonts w:ascii="Rockwell" w:hAnsi="Rockwell"/>
                                  <w:color w:val="000000" w:themeColor="text1"/>
                                </w:rPr>
                              </w:pPr>
                              <w:bookmarkStart w:id="75" w:name="_Toc175048638"/>
                              <w:bookmarkStart w:id="76" w:name="_Toc170304745"/>
                              <w:r>
                                <w:rPr>
                                  <w:rFonts w:ascii="Rockwell" w:hAnsi="Rockwell"/>
                                  <w:color w:val="000000" w:themeColor="text1"/>
                                </w:rPr>
                                <w:t xml:space="preserve">ACTIVITES DE REGULATION </w:t>
                              </w:r>
                              <w:bookmarkEnd w:id="63"/>
                              <w:bookmarkEnd w:id="64"/>
                              <w:bookmarkEnd w:id="65"/>
                              <w:bookmarkEnd w:id="66"/>
                              <w:bookmarkEnd w:id="67"/>
                              <w:r>
                                <w:rPr>
                                  <w:rFonts w:ascii="Rockwell" w:hAnsi="Rockwell"/>
                                  <w:color w:val="000000" w:themeColor="text1"/>
                                </w:rPr>
                                <w:t>DES MEDIAS</w:t>
                              </w:r>
                              <w:bookmarkEnd w:id="75"/>
                            </w:p>
                            <w:p w14:paraId="40EB39EF" w14:textId="77777777" w:rsidR="003148F1" w:rsidRDefault="003148F1">
                              <w:pPr>
                                <w:pStyle w:val="Titre1"/>
                                <w:spacing w:after="240"/>
                                <w:rPr>
                                  <w:rFonts w:ascii="Rockwell" w:hAnsi="Rockwell"/>
                                  <w:color w:val="000000" w:themeColor="text1"/>
                                </w:rPr>
                              </w:pPr>
                              <w:r>
                                <w:rPr>
                                  <w:rFonts w:ascii="Rockwell" w:hAnsi="Rockwell"/>
                                  <w:color w:val="000000" w:themeColor="text1"/>
                                </w:rPr>
                                <w:t xml:space="preserve"> </w:t>
                              </w:r>
                              <w:bookmarkStart w:id="77" w:name="_Toc175048639"/>
                              <w:r>
                                <w:rPr>
                                  <w:rFonts w:ascii="Rockwell" w:hAnsi="Rockwell"/>
                                  <w:color w:val="000000" w:themeColor="text1"/>
                                </w:rPr>
                                <w:t>ET CONTENTIEUX</w:t>
                              </w:r>
                              <w:bookmarkEnd w:id="68"/>
                              <w:bookmarkEnd w:id="69"/>
                              <w:bookmarkEnd w:id="70"/>
                              <w:bookmarkEnd w:id="71"/>
                              <w:bookmarkEnd w:id="72"/>
                              <w:bookmarkEnd w:id="76"/>
                              <w:bookmarkEnd w:id="77"/>
                            </w:p>
                            <w:p w14:paraId="1B1A62E3" w14:textId="77777777" w:rsidR="003148F1" w:rsidRDefault="003148F1">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c:wpc>
                  </a:graphicData>
                </a:graphic>
              </wp:inline>
            </w:drawing>
          </mc:Choice>
          <mc:Fallback>
            <w:pict>
              <v:group w14:anchorId="371C1323" id="Zone de dessin 61" o:spid="_x0000_s1037" editas="canvas" style="width:595.1pt;height:347.1pt;mso-position-horizontal-relative:char;mso-position-vertical-relative:line" coordsize="75577,440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">
                <v:shape id="_x0000_s1038" type="#_x0000_t75" style="position:absolute;width:75577;height:44081;visibility:visible;mso-wrap-style:square">
                  <v:fill o:detectmouseclick="t"/>
                  <v:path o:connecttype="none"/>
                </v:shape>
                <v:roundrect id="Rectangle à coins arrondis 62" o:spid="_x0000_s1039" style="position:absolute;left:298;top:14452;width:55677;height:1846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" fillcolor="#83d3ff" strokecolor="black [3213]" strokeweight="2.25pt">
                  <v:fill color2="#dbf0ff" rotate="t" angle="45" colors="0 #83d3ff;.5 #b5e2ff;1 #dbf0ff" focus="100%" type="gradient"/>
                  <v:stroke joinstyle="miter"/>
                  <v:textbox>
                    <w:txbxContent>
                      <w:p w14:paraId="54C5BCDC" w14:textId="77777777" w:rsidR="003148F1" w:rsidRDefault="003148F1">
                        <w:pPr>
                          <w:pStyle w:val="Titre1"/>
                          <w:spacing w:after="240"/>
                          <w:rPr>
                            <w:rFonts w:ascii="Rockwell" w:hAnsi="Rockwell"/>
                            <w:color w:val="000000" w:themeColor="text1"/>
                          </w:rPr>
                        </w:pPr>
                        <w:bookmarkStart w:id="78" w:name="_Toc42536293"/>
                        <w:bookmarkStart w:id="79" w:name="_Toc43239313"/>
                        <w:bookmarkStart w:id="80" w:name="_Toc43238605"/>
                        <w:bookmarkStart w:id="81" w:name="_Toc42536523"/>
                        <w:bookmarkStart w:id="82" w:name="_Toc42535732"/>
                        <w:bookmarkStart w:id="83" w:name="_Toc72864275"/>
                        <w:bookmarkStart w:id="84" w:name="_Toc119511773"/>
                        <w:bookmarkStart w:id="85" w:name="_Toc73183928"/>
                        <w:bookmarkStart w:id="86" w:name="_Toc122608630"/>
                        <w:bookmarkStart w:id="87" w:name="_Toc73184047"/>
                        <w:r>
                          <w:rPr>
                            <w:color w:val="000000" w:themeColor="text1"/>
                          </w:rPr>
                          <w:t xml:space="preserve"> </w:t>
                        </w:r>
                        <w:bookmarkStart w:id="88" w:name="_Toc175048637"/>
                        <w:bookmarkStart w:id="89" w:name="_Toc170304744"/>
                        <w:r>
                          <w:rPr>
                            <w:rFonts w:ascii="Rockwell" w:hAnsi="Rockwell"/>
                            <w:color w:val="000000" w:themeColor="text1"/>
                          </w:rPr>
                          <w:t>PREMIERE PARTIE :</w:t>
                        </w:r>
                        <w:bookmarkEnd w:id="88"/>
                        <w:bookmarkEnd w:id="89"/>
                        <w:r>
                          <w:rPr>
                            <w:rFonts w:ascii="Rockwell" w:hAnsi="Rockwell"/>
                            <w:color w:val="000000" w:themeColor="text1"/>
                          </w:rPr>
                          <w:t xml:space="preserve"> </w:t>
                        </w:r>
                      </w:p>
                      <w:p w14:paraId="085BA2DF" w14:textId="77777777" w:rsidR="003148F1" w:rsidRDefault="003148F1">
                        <w:pPr>
                          <w:pStyle w:val="Titre1"/>
                          <w:spacing w:after="240"/>
                          <w:rPr>
                            <w:rFonts w:ascii="Rockwell" w:hAnsi="Rockwell"/>
                            <w:color w:val="000000" w:themeColor="text1"/>
                          </w:rPr>
                        </w:pPr>
                        <w:bookmarkStart w:id="90" w:name="_Toc175048638"/>
                        <w:bookmarkStart w:id="91" w:name="_Toc170304745"/>
                        <w:r>
                          <w:rPr>
                            <w:rFonts w:ascii="Rockwell" w:hAnsi="Rockwell"/>
                            <w:color w:val="000000" w:themeColor="text1"/>
                          </w:rPr>
                          <w:t xml:space="preserve">ACTIVITES DE REGULATION </w:t>
                        </w:r>
                        <w:bookmarkEnd w:id="78"/>
                        <w:bookmarkEnd w:id="79"/>
                        <w:bookmarkEnd w:id="80"/>
                        <w:bookmarkEnd w:id="81"/>
                        <w:bookmarkEnd w:id="82"/>
                        <w:r>
                          <w:rPr>
                            <w:rFonts w:ascii="Rockwell" w:hAnsi="Rockwell"/>
                            <w:color w:val="000000" w:themeColor="text1"/>
                          </w:rPr>
                          <w:t>DES MEDIAS</w:t>
                        </w:r>
                        <w:bookmarkEnd w:id="90"/>
                      </w:p>
                      <w:p w14:paraId="40EB39EF" w14:textId="77777777" w:rsidR="003148F1" w:rsidRDefault="003148F1">
                        <w:pPr>
                          <w:pStyle w:val="Titre1"/>
                          <w:spacing w:after="240"/>
                          <w:rPr>
                            <w:rFonts w:ascii="Rockwell" w:hAnsi="Rockwell"/>
                            <w:color w:val="000000" w:themeColor="text1"/>
                          </w:rPr>
                        </w:pPr>
                        <w:r>
                          <w:rPr>
                            <w:rFonts w:ascii="Rockwell" w:hAnsi="Rockwell"/>
                            <w:color w:val="000000" w:themeColor="text1"/>
                          </w:rPr>
                          <w:t xml:space="preserve"> </w:t>
                        </w:r>
                        <w:bookmarkStart w:id="92" w:name="_Toc175048639"/>
                        <w:r>
                          <w:rPr>
                            <w:rFonts w:ascii="Rockwell" w:hAnsi="Rockwell"/>
                            <w:color w:val="000000" w:themeColor="text1"/>
                          </w:rPr>
                          <w:t>ET CONTENTIEUX</w:t>
                        </w:r>
                        <w:bookmarkEnd w:id="83"/>
                        <w:bookmarkEnd w:id="84"/>
                        <w:bookmarkEnd w:id="85"/>
                        <w:bookmarkEnd w:id="86"/>
                        <w:bookmarkEnd w:id="87"/>
                        <w:bookmarkEnd w:id="91"/>
                        <w:bookmarkEnd w:id="92"/>
                      </w:p>
                      <w:p w14:paraId="1B1A62E3" w14:textId="77777777" w:rsidR="003148F1" w:rsidRDefault="003148F1">
                        <w:pPr>
                          <w:jc w:val="center"/>
                        </w:pPr>
                      </w:p>
                    </w:txbxContent>
                  </v:textbox>
                </v:roundrect>
                <w10:anchorlock/>
              </v:group>
            </w:pict>
          </mc:Fallback>
        </mc:AlternateContent>
      </w:r>
    </w:p>
    <w:p w14:paraId="7F5C5B4A" w14:textId="77777777" w:rsidR="00284822" w:rsidRDefault="00284822">
      <w:pPr>
        <w:spacing w:before="120" w:after="120"/>
        <w:rPr>
          <w:rFonts w:ascii="Rockwell" w:hAnsi="Rockwell"/>
          <w:szCs w:val="26"/>
        </w:rPr>
      </w:pPr>
    </w:p>
    <w:bookmarkEnd w:id="49"/>
    <w:p w14:paraId="24AF5161" w14:textId="77777777" w:rsidR="00284822" w:rsidRDefault="00284822">
      <w:pPr>
        <w:spacing w:before="120" w:after="120"/>
        <w:rPr>
          <w:rFonts w:ascii="Rockwell" w:hAnsi="Rockwell"/>
          <w:szCs w:val="26"/>
        </w:rPr>
        <w:sectPr w:rsidR="00284822">
          <w:pgSz w:w="11906" w:h="16838"/>
          <w:pgMar w:top="1418" w:right="1418" w:bottom="1418" w:left="1418" w:header="709" w:footer="709" w:gutter="0"/>
          <w:cols w:space="720"/>
        </w:sectPr>
      </w:pPr>
    </w:p>
    <w:p w14:paraId="1BA797D3" w14:textId="77777777" w:rsidR="00284822" w:rsidRDefault="00F77BF8">
      <w:pPr>
        <w:pStyle w:val="Titre2"/>
        <w:spacing w:before="120" w:after="120"/>
        <w:rPr>
          <w:rFonts w:ascii="Rockwell" w:hAnsi="Rockwell"/>
          <w:sz w:val="30"/>
          <w:szCs w:val="30"/>
        </w:rPr>
      </w:pPr>
      <w:bookmarkStart w:id="93" w:name="_Toc122608631"/>
      <w:bookmarkStart w:id="94" w:name="_Toc119511774"/>
      <w:bookmarkStart w:id="95" w:name="_Toc175048640"/>
      <w:bookmarkStart w:id="96" w:name="_Toc170304746"/>
      <w:r>
        <w:rPr>
          <w:rFonts w:ascii="Rockwell" w:hAnsi="Rockwell"/>
          <w:sz w:val="30"/>
          <w:szCs w:val="30"/>
        </w:rPr>
        <w:lastRenderedPageBreak/>
        <w:t>CHAPITRE I : REGULATION DE L’OFFRE MEDIATIQUE ET SUIVI DU FONCTIONNEMENT DES MEDIAS</w:t>
      </w:r>
      <w:bookmarkEnd w:id="93"/>
      <w:bookmarkEnd w:id="94"/>
      <w:bookmarkEnd w:id="95"/>
      <w:bookmarkEnd w:id="96"/>
    </w:p>
    <w:p w14:paraId="0778452F" w14:textId="77777777" w:rsidR="00284822" w:rsidRDefault="00F77BF8">
      <w:pPr>
        <w:spacing w:before="120" w:after="120"/>
        <w:rPr>
          <w:rFonts w:ascii="Rockwell" w:hAnsi="Rockwell"/>
          <w:color w:val="000000" w:themeColor="text1"/>
          <w:szCs w:val="26"/>
        </w:rPr>
      </w:pPr>
      <w:r>
        <w:rPr>
          <w:rFonts w:ascii="Rockwell" w:hAnsi="Rockwell"/>
          <w:color w:val="000000" w:themeColor="text1"/>
          <w:szCs w:val="26"/>
        </w:rPr>
        <w:t>Le Conseil supérieur de la communication a, comme de coutume, procédé à la régulation de l’offre médiatique et assuré le suivi du fonctionnement des médias, toutes typologies confondues, tout au long de l’année 2022.</w:t>
      </w:r>
    </w:p>
    <w:p w14:paraId="2C02D326" w14:textId="77777777" w:rsidR="00284822" w:rsidRDefault="00F77BF8">
      <w:pPr>
        <w:tabs>
          <w:tab w:val="left" w:pos="2984"/>
        </w:tabs>
        <w:spacing w:before="120" w:after="120"/>
        <w:rPr>
          <w:rFonts w:ascii="Rockwell" w:hAnsi="Rockwell"/>
          <w:color w:val="000000" w:themeColor="text1"/>
          <w:sz w:val="10"/>
          <w:szCs w:val="10"/>
        </w:rPr>
      </w:pPr>
      <w:r>
        <w:rPr>
          <w:rFonts w:ascii="Rockwell" w:hAnsi="Rockwell"/>
          <w:color w:val="4472C4" w:themeColor="accent5"/>
          <w:szCs w:val="26"/>
        </w:rPr>
        <w:tab/>
      </w:r>
    </w:p>
    <w:p w14:paraId="036B1FB1" w14:textId="77777777" w:rsidR="00284822" w:rsidRDefault="00F77BF8">
      <w:pPr>
        <w:pStyle w:val="Titre3"/>
        <w:spacing w:before="120" w:after="120"/>
        <w:rPr>
          <w:rFonts w:ascii="Rockwell" w:hAnsi="Rockwell"/>
          <w:i w:val="0"/>
          <w:szCs w:val="28"/>
        </w:rPr>
      </w:pPr>
      <w:bookmarkStart w:id="97" w:name="_Toc170304747"/>
      <w:bookmarkStart w:id="98" w:name="_Toc175048641"/>
      <w:r>
        <w:rPr>
          <w:rFonts w:ascii="Rockwell" w:hAnsi="Rockwell"/>
          <w:i w:val="0"/>
          <w:szCs w:val="28"/>
        </w:rPr>
        <w:t>SECTION 1 : REGULATION DE L’OFFRE MEDIATIQUE</w:t>
      </w:r>
      <w:bookmarkEnd w:id="97"/>
      <w:bookmarkEnd w:id="98"/>
    </w:p>
    <w:p w14:paraId="3FAB7655" w14:textId="77777777" w:rsidR="00284822" w:rsidRDefault="00F77BF8">
      <w:pPr>
        <w:spacing w:before="120" w:after="120"/>
        <w:rPr>
          <w:rFonts w:ascii="Rockwell" w:hAnsi="Rockwell"/>
          <w:szCs w:val="26"/>
        </w:rPr>
      </w:pPr>
      <w:r>
        <w:rPr>
          <w:rFonts w:ascii="Rockwell" w:hAnsi="Rockwell"/>
          <w:szCs w:val="26"/>
        </w:rPr>
        <w:t>La régulation de l’offre médiatique a particulièrement consisté en la réception de demandes d’autorisation d’exploitation de fréquences, de déclaration d’existence d’organes de presse écrite et en ligne ainsi que d’entreprises de publicité et de renouvellement de conventions.</w:t>
      </w:r>
    </w:p>
    <w:p w14:paraId="2FE77B17" w14:textId="77777777" w:rsidR="00284822" w:rsidRDefault="00284822">
      <w:pPr>
        <w:spacing w:before="120" w:after="120"/>
        <w:rPr>
          <w:rFonts w:ascii="Rockwell" w:hAnsi="Rockwell"/>
          <w:sz w:val="4"/>
          <w:szCs w:val="4"/>
        </w:rPr>
      </w:pPr>
    </w:p>
    <w:p w14:paraId="5E69DD85" w14:textId="77777777" w:rsidR="00284822" w:rsidRDefault="00F77BF8">
      <w:pPr>
        <w:pStyle w:val="Style4"/>
        <w:spacing w:before="120" w:after="120"/>
        <w:rPr>
          <w:i w:val="0"/>
        </w:rPr>
      </w:pPr>
      <w:bookmarkStart w:id="99" w:name="_Toc170304748"/>
      <w:bookmarkStart w:id="100" w:name="_Toc175048642"/>
      <w:r>
        <w:rPr>
          <w:i w:val="0"/>
        </w:rPr>
        <w:t>Paragraphe 1 : Autorisation d’exploitation et signature de conventions</w:t>
      </w:r>
      <w:bookmarkEnd w:id="99"/>
      <w:bookmarkEnd w:id="100"/>
    </w:p>
    <w:p w14:paraId="1E64320D" w14:textId="77777777" w:rsidR="00284822" w:rsidRDefault="00284822">
      <w:pPr>
        <w:pStyle w:val="Style4"/>
        <w:spacing w:before="120" w:after="120"/>
        <w:rPr>
          <w:i w:val="0"/>
          <w:sz w:val="10"/>
          <w:szCs w:val="10"/>
        </w:rPr>
      </w:pPr>
    </w:p>
    <w:p w14:paraId="04E0E46F" w14:textId="77777777" w:rsidR="00284822" w:rsidRDefault="00F77BF8">
      <w:pPr>
        <w:pStyle w:val="Titre5"/>
        <w:ind w:left="1843" w:hanging="357"/>
        <w:rPr>
          <w:rFonts w:ascii="Rockwell" w:hAnsi="Rockwell"/>
        </w:rPr>
      </w:pPr>
      <w:bookmarkStart w:id="101" w:name="_Toc175048643"/>
      <w:r>
        <w:rPr>
          <w:rFonts w:ascii="Rockwell" w:hAnsi="Rockwell"/>
        </w:rPr>
        <w:t>1. Autorisation d’exploitation de fréquences</w:t>
      </w:r>
      <w:bookmarkEnd w:id="101"/>
    </w:p>
    <w:p w14:paraId="42A82348" w14:textId="77777777" w:rsidR="00284822" w:rsidRDefault="00F77BF8">
      <w:pPr>
        <w:spacing w:before="120" w:after="120"/>
        <w:textAlignment w:val="auto"/>
        <w:rPr>
          <w:rFonts w:ascii="Rockwell" w:hAnsi="Rockwell"/>
          <w:szCs w:val="26"/>
        </w:rPr>
      </w:pPr>
      <w:r>
        <w:rPr>
          <w:rFonts w:ascii="Rockwell" w:hAnsi="Rockwell"/>
          <w:szCs w:val="26"/>
        </w:rPr>
        <w:t>Au titre des autorisations d’exploitations, le CSC a reçu quatre (04) demandes de fréquences dont :</w:t>
      </w:r>
    </w:p>
    <w:p w14:paraId="475E5A65" w14:textId="77777777" w:rsidR="00284822" w:rsidRDefault="00F77BF8">
      <w:pPr>
        <w:numPr>
          <w:ilvl w:val="0"/>
          <w:numId w:val="5"/>
        </w:numPr>
        <w:spacing w:before="120" w:after="120"/>
        <w:textAlignment w:val="auto"/>
        <w:rPr>
          <w:rFonts w:ascii="Rockwell" w:hAnsi="Rockwell"/>
          <w:szCs w:val="26"/>
        </w:rPr>
      </w:pPr>
      <w:proofErr w:type="gramStart"/>
      <w:r>
        <w:rPr>
          <w:rFonts w:ascii="Rockwell" w:hAnsi="Rockwell"/>
          <w:szCs w:val="26"/>
        </w:rPr>
        <w:t>une</w:t>
      </w:r>
      <w:proofErr w:type="gramEnd"/>
      <w:r>
        <w:rPr>
          <w:rFonts w:ascii="Rockwell" w:hAnsi="Rockwell"/>
          <w:szCs w:val="26"/>
        </w:rPr>
        <w:t xml:space="preserve"> (01) pour la création d’une radio associative ou communautaire ;</w:t>
      </w:r>
    </w:p>
    <w:p w14:paraId="09BEBB59" w14:textId="77777777" w:rsidR="00284822" w:rsidRDefault="00F77BF8">
      <w:pPr>
        <w:numPr>
          <w:ilvl w:val="0"/>
          <w:numId w:val="5"/>
        </w:numPr>
        <w:spacing w:before="120" w:after="120"/>
        <w:textAlignment w:val="auto"/>
        <w:rPr>
          <w:rFonts w:ascii="Rockwell" w:hAnsi="Rockwell"/>
          <w:szCs w:val="26"/>
        </w:rPr>
      </w:pPr>
      <w:proofErr w:type="gramStart"/>
      <w:r>
        <w:rPr>
          <w:rFonts w:ascii="Rockwell" w:hAnsi="Rockwell"/>
          <w:szCs w:val="26"/>
        </w:rPr>
        <w:t>trois</w:t>
      </w:r>
      <w:proofErr w:type="gramEnd"/>
      <w:r>
        <w:rPr>
          <w:rFonts w:ascii="Rockwell" w:hAnsi="Rockwell"/>
          <w:szCs w:val="26"/>
        </w:rPr>
        <w:t xml:space="preserve"> (03) pour la création de radios confessionnelles.</w:t>
      </w:r>
    </w:p>
    <w:p w14:paraId="7525F2F6" w14:textId="77777777" w:rsidR="00284822" w:rsidRDefault="00F77BF8">
      <w:pPr>
        <w:tabs>
          <w:tab w:val="left" w:pos="5103"/>
        </w:tabs>
        <w:spacing w:before="120" w:after="120"/>
        <w:ind w:left="-142"/>
        <w:rPr>
          <w:rFonts w:ascii="Rockwell" w:hAnsi="Rockwell"/>
          <w:szCs w:val="26"/>
        </w:rPr>
      </w:pPr>
      <w:r>
        <w:rPr>
          <w:rFonts w:ascii="Rockwell" w:hAnsi="Rockwell"/>
          <w:szCs w:val="26"/>
        </w:rPr>
        <w:t xml:space="preserve">Les différents demandeurs ont été invités à se conformer aux dispositions de la loi </w:t>
      </w:r>
      <w:r>
        <w:rPr>
          <w:rFonts w:ascii="Rockwell" w:hAnsi="Rockwell"/>
          <w:i/>
          <w:szCs w:val="26"/>
        </w:rPr>
        <w:t>N</w:t>
      </w:r>
      <w:r>
        <w:rPr>
          <w:rFonts w:ascii="Rockwell" w:hAnsi="Rockwell"/>
          <w:i/>
          <w:szCs w:val="26"/>
          <w:vertAlign w:val="superscript"/>
        </w:rPr>
        <w:t>o</w:t>
      </w:r>
      <w:r>
        <w:rPr>
          <w:rFonts w:ascii="Rockwell" w:hAnsi="Rockwell"/>
          <w:i/>
          <w:szCs w:val="26"/>
        </w:rPr>
        <w:t>015-2013/AN du 14/05/2013 portant attributions, composition</w:t>
      </w:r>
      <w:r>
        <w:rPr>
          <w:rFonts w:ascii="Rockwell" w:hAnsi="Rockwell"/>
          <w:b/>
          <w:szCs w:val="26"/>
        </w:rPr>
        <w:t xml:space="preserve">, </w:t>
      </w:r>
      <w:r>
        <w:rPr>
          <w:rFonts w:ascii="Rockwell" w:hAnsi="Rockwell"/>
          <w:i/>
          <w:szCs w:val="26"/>
        </w:rPr>
        <w:t>organisation et fonctionnement du Conseil supérieur de la communication</w:t>
      </w:r>
      <w:r>
        <w:rPr>
          <w:rFonts w:ascii="Rockwell" w:hAnsi="Rockwell"/>
          <w:b/>
          <w:szCs w:val="26"/>
        </w:rPr>
        <w:t xml:space="preserve">, </w:t>
      </w:r>
      <w:r>
        <w:rPr>
          <w:rFonts w:ascii="Rockwell" w:hAnsi="Rockwell"/>
          <w:szCs w:val="26"/>
        </w:rPr>
        <w:t>notamment en son article 6</w:t>
      </w:r>
      <w:r>
        <w:rPr>
          <w:rStyle w:val="Appelnotedebasdep"/>
          <w:rFonts w:ascii="Rockwell" w:hAnsi="Rockwell"/>
          <w:szCs w:val="26"/>
        </w:rPr>
        <w:footnoteReference w:id="2"/>
      </w:r>
      <w:r>
        <w:rPr>
          <w:rFonts w:ascii="Rockwell" w:hAnsi="Rockwell"/>
          <w:szCs w:val="26"/>
        </w:rPr>
        <w:t>.</w:t>
      </w:r>
    </w:p>
    <w:p w14:paraId="4BE6B8F5" w14:textId="77777777" w:rsidR="00284822" w:rsidRDefault="00F77BF8">
      <w:pPr>
        <w:pStyle w:val="Titre5"/>
        <w:numPr>
          <w:ilvl w:val="1"/>
          <w:numId w:val="6"/>
        </w:numPr>
        <w:ind w:left="-426"/>
        <w:jc w:val="center"/>
        <w:rPr>
          <w:rFonts w:ascii="Rockwell" w:hAnsi="Rockwell"/>
        </w:rPr>
      </w:pPr>
      <w:bookmarkStart w:id="102" w:name="_Toc175048644"/>
      <w:r>
        <w:rPr>
          <w:rFonts w:ascii="Rockwell" w:hAnsi="Rockwell"/>
        </w:rPr>
        <w:lastRenderedPageBreak/>
        <w:t>Signature de conventions</w:t>
      </w:r>
      <w:bookmarkEnd w:id="102"/>
    </w:p>
    <w:p w14:paraId="6D5276ED" w14:textId="77777777" w:rsidR="00284822" w:rsidRDefault="00F77BF8">
      <w:pPr>
        <w:spacing w:before="120" w:after="120"/>
        <w:rPr>
          <w:rFonts w:ascii="Rockwell" w:hAnsi="Rockwell"/>
          <w:szCs w:val="26"/>
        </w:rPr>
      </w:pPr>
      <w:r>
        <w:rPr>
          <w:rFonts w:ascii="Rockwell" w:hAnsi="Rockwell"/>
          <w:szCs w:val="26"/>
        </w:rPr>
        <w:t xml:space="preserve">Le 20 janvier 2022, la commune de Matiacoali a signé sa première convention pour l’exploitation de la fréquence </w:t>
      </w:r>
      <w:r>
        <w:rPr>
          <w:rFonts w:ascii="Rockwell" w:hAnsi="Rockwell"/>
          <w:i/>
          <w:szCs w:val="26"/>
        </w:rPr>
        <w:t>103 MHz</w:t>
      </w:r>
      <w:r>
        <w:rPr>
          <w:rFonts w:ascii="Rockwell" w:hAnsi="Rockwell"/>
          <w:szCs w:val="26"/>
        </w:rPr>
        <w:t>.</w:t>
      </w:r>
    </w:p>
    <w:p w14:paraId="0FA95FD5" w14:textId="77777777" w:rsidR="00284822" w:rsidRDefault="00F77BF8">
      <w:pPr>
        <w:spacing w:before="120" w:after="120"/>
        <w:rPr>
          <w:rFonts w:ascii="Rockwell" w:hAnsi="Rockwell"/>
          <w:szCs w:val="26"/>
        </w:rPr>
      </w:pPr>
      <w:r>
        <w:rPr>
          <w:rFonts w:ascii="Rockwell" w:hAnsi="Rockwell"/>
          <w:szCs w:val="26"/>
        </w:rPr>
        <w:t>En outre,</w:t>
      </w:r>
      <w:r>
        <w:rPr>
          <w:rFonts w:ascii="Rockwell" w:hAnsi="Rockwell"/>
          <w:b/>
          <w:szCs w:val="26"/>
        </w:rPr>
        <w:t xml:space="preserve"> </w:t>
      </w:r>
      <w:r>
        <w:rPr>
          <w:rFonts w:ascii="Rockwell" w:hAnsi="Rockwell"/>
          <w:szCs w:val="26"/>
        </w:rPr>
        <w:t>au</w:t>
      </w:r>
      <w:r>
        <w:rPr>
          <w:rFonts w:ascii="Rockwell" w:hAnsi="Rockwell"/>
          <w:b/>
          <w:szCs w:val="26"/>
        </w:rPr>
        <w:t xml:space="preserve"> </w:t>
      </w:r>
      <w:r>
        <w:rPr>
          <w:rFonts w:ascii="Rockwell" w:hAnsi="Rockwell"/>
          <w:szCs w:val="26"/>
        </w:rPr>
        <w:t xml:space="preserve">cours de l’année 2022, deux (02) télévisions confessionnelles et une (01) radio institutionnelle ont procédé au renouvellement de leur convention avec le CSC. Il s’agit de la télévision </w:t>
      </w:r>
      <w:r>
        <w:rPr>
          <w:rFonts w:ascii="Rockwell" w:hAnsi="Rockwell"/>
          <w:i/>
          <w:szCs w:val="26"/>
        </w:rPr>
        <w:t>EL Bethel TV</w:t>
      </w:r>
      <w:r>
        <w:rPr>
          <w:rFonts w:ascii="Rockwell" w:hAnsi="Rockwell"/>
          <w:szCs w:val="26"/>
        </w:rPr>
        <w:t xml:space="preserve">, le 22 février 2022, de la télévision </w:t>
      </w:r>
      <w:r>
        <w:rPr>
          <w:rFonts w:ascii="Rockwell" w:hAnsi="Rockwell"/>
          <w:i/>
          <w:szCs w:val="26"/>
        </w:rPr>
        <w:t>IMPACT TV</w:t>
      </w:r>
      <w:r>
        <w:rPr>
          <w:rFonts w:ascii="Rockwell" w:hAnsi="Rockwell"/>
          <w:szCs w:val="26"/>
        </w:rPr>
        <w:t xml:space="preserve"> et de la radio </w:t>
      </w:r>
      <w:r>
        <w:rPr>
          <w:rFonts w:ascii="Rockwell" w:hAnsi="Rockwell"/>
          <w:i/>
          <w:szCs w:val="26"/>
        </w:rPr>
        <w:t>La Voix du</w:t>
      </w:r>
      <w:r>
        <w:rPr>
          <w:rFonts w:ascii="Rockwell" w:hAnsi="Rockwell"/>
          <w:szCs w:val="26"/>
        </w:rPr>
        <w:t xml:space="preserve"> </w:t>
      </w:r>
      <w:r>
        <w:rPr>
          <w:rFonts w:ascii="Rockwell" w:hAnsi="Rockwell"/>
          <w:i/>
          <w:szCs w:val="26"/>
        </w:rPr>
        <w:t>Parlement</w:t>
      </w:r>
      <w:r>
        <w:rPr>
          <w:rFonts w:ascii="Rockwell" w:hAnsi="Rockwell"/>
          <w:szCs w:val="26"/>
        </w:rPr>
        <w:t>, le 13 avril 2022.</w:t>
      </w:r>
    </w:p>
    <w:p w14:paraId="6FCE1A0F" w14:textId="77777777" w:rsidR="00284822" w:rsidRDefault="00F77BF8">
      <w:pPr>
        <w:spacing w:before="120" w:after="120"/>
        <w:rPr>
          <w:rFonts w:ascii="Rockwell" w:hAnsi="Rockwell"/>
          <w:szCs w:val="26"/>
        </w:rPr>
      </w:pPr>
      <w:r>
        <w:rPr>
          <w:rFonts w:ascii="Rockwell" w:hAnsi="Rockwell"/>
          <w:noProof/>
          <w:szCs w:val="26"/>
        </w:rPr>
        <w:drawing>
          <wp:inline distT="0" distB="0" distL="0" distR="0" wp14:anchorId="4B16FC7B" wp14:editId="4BE0E18F">
            <wp:extent cx="5759450" cy="3839210"/>
            <wp:effectExtent l="0" t="0" r="0" b="8890"/>
            <wp:docPr id="77" name="Image 77" descr="E:\photos rapport public 2022\Photos signatures de convention et de partenariat\Convention CSC-Radio La Voix du Parlement\DSC_5649 - Cop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 77" descr="E:\photos rapport public 2022\Photos signatures de convention et de partenariat\Convention CSC-Radio La Voix du Parlement\DSC_5649 - Copie.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a:xfrm>
                      <a:off x="0" y="0"/>
                      <a:ext cx="5759450" cy="3839633"/>
                    </a:xfrm>
                    <a:prstGeom prst="rect">
                      <a:avLst/>
                    </a:prstGeom>
                    <a:noFill/>
                    <a:ln>
                      <a:noFill/>
                    </a:ln>
                  </pic:spPr>
                </pic:pic>
              </a:graphicData>
            </a:graphic>
          </wp:inline>
        </w:drawing>
      </w:r>
    </w:p>
    <w:p w14:paraId="50CAADAE" w14:textId="77777777" w:rsidR="00284822" w:rsidRDefault="00F77BF8">
      <w:pPr>
        <w:tabs>
          <w:tab w:val="left" w:pos="2790"/>
        </w:tabs>
        <w:spacing w:before="120" w:after="120"/>
        <w:jc w:val="center"/>
        <w:rPr>
          <w:rFonts w:ascii="Rockwell" w:hAnsi="Rockwell"/>
          <w:b/>
          <w:i/>
          <w:sz w:val="18"/>
          <w:szCs w:val="18"/>
        </w:rPr>
      </w:pPr>
      <w:r>
        <w:rPr>
          <w:rFonts w:ascii="Rockwell" w:hAnsi="Rockwell"/>
          <w:b/>
          <w:i/>
          <w:sz w:val="18"/>
          <w:szCs w:val="18"/>
        </w:rPr>
        <w:t xml:space="preserve">Le Président du CSC et son homologue de l’ALT procédant à la signature de la convention </w:t>
      </w:r>
    </w:p>
    <w:p w14:paraId="0A75CC59" w14:textId="77777777" w:rsidR="00284822" w:rsidRDefault="00F77BF8">
      <w:pPr>
        <w:tabs>
          <w:tab w:val="left" w:pos="2790"/>
        </w:tabs>
        <w:spacing w:before="120" w:after="120"/>
        <w:jc w:val="center"/>
        <w:rPr>
          <w:rFonts w:ascii="Rockwell" w:hAnsi="Rockwell"/>
          <w:b/>
          <w:i/>
          <w:sz w:val="18"/>
          <w:szCs w:val="18"/>
        </w:rPr>
      </w:pPr>
      <w:proofErr w:type="gramStart"/>
      <w:r>
        <w:rPr>
          <w:rFonts w:ascii="Rockwell" w:hAnsi="Rockwell"/>
          <w:b/>
          <w:i/>
          <w:sz w:val="18"/>
          <w:szCs w:val="18"/>
        </w:rPr>
        <w:t>de</w:t>
      </w:r>
      <w:proofErr w:type="gramEnd"/>
      <w:r>
        <w:rPr>
          <w:rFonts w:ascii="Rockwell" w:hAnsi="Rockwell"/>
          <w:b/>
          <w:i/>
          <w:sz w:val="18"/>
          <w:szCs w:val="18"/>
        </w:rPr>
        <w:t xml:space="preserve"> la radio la Voix du Parlement</w:t>
      </w:r>
    </w:p>
    <w:p w14:paraId="642D2787" w14:textId="77777777" w:rsidR="00284822" w:rsidRDefault="00284822">
      <w:pPr>
        <w:tabs>
          <w:tab w:val="left" w:pos="2790"/>
        </w:tabs>
        <w:spacing w:before="120" w:after="120"/>
        <w:jc w:val="center"/>
        <w:rPr>
          <w:rFonts w:ascii="Rockwell" w:hAnsi="Rockwell"/>
          <w:b/>
          <w:i/>
          <w:sz w:val="18"/>
          <w:szCs w:val="18"/>
        </w:rPr>
      </w:pPr>
    </w:p>
    <w:p w14:paraId="335264E6" w14:textId="77777777" w:rsidR="00284822" w:rsidRDefault="00F77BF8">
      <w:pPr>
        <w:spacing w:before="120" w:after="120"/>
        <w:ind w:left="-142"/>
        <w:rPr>
          <w:rFonts w:ascii="Rockwell" w:hAnsi="Rockwell"/>
          <w:color w:val="FF0000"/>
          <w:szCs w:val="26"/>
        </w:rPr>
      </w:pPr>
      <w:r>
        <w:rPr>
          <w:rFonts w:ascii="Rockwell" w:hAnsi="Rockwell"/>
          <w:color w:val="000000" w:themeColor="text1"/>
          <w:szCs w:val="26"/>
        </w:rPr>
        <w:t xml:space="preserve">Sur un total de quinze (15) autorisations arrivées à expiration, seuls les trois (03) médias ci-dessus cités ont sacrifié à cette exigence légale. </w:t>
      </w:r>
      <w:r>
        <w:rPr>
          <w:rFonts w:ascii="Rockwell" w:hAnsi="Rockwell"/>
          <w:szCs w:val="26"/>
        </w:rPr>
        <w:t xml:space="preserve">En rappel, l’initiative du renouvellement des conventions est à la charge des promoteurs de médias et cela six (06) mois avant la date d’expiration de l’autorisation </w:t>
      </w:r>
      <w:r>
        <w:rPr>
          <w:rFonts w:ascii="Rockwell" w:hAnsi="Rockwell"/>
          <w:szCs w:val="26"/>
        </w:rPr>
        <w:lastRenderedPageBreak/>
        <w:t xml:space="preserve">d’exploitation. En dépit des rappels du CSC, il est constaté que ceux-ci ne respectent pas toujours les délais. </w:t>
      </w:r>
    </w:p>
    <w:p w14:paraId="7AF592E2" w14:textId="77777777" w:rsidR="00284822" w:rsidRDefault="00284822">
      <w:pPr>
        <w:tabs>
          <w:tab w:val="left" w:pos="1935"/>
        </w:tabs>
        <w:spacing w:before="120" w:after="120"/>
        <w:rPr>
          <w:rFonts w:ascii="Rockwell" w:hAnsi="Rockwell"/>
          <w:color w:val="000000" w:themeColor="text1"/>
          <w:sz w:val="4"/>
          <w:szCs w:val="4"/>
        </w:rPr>
      </w:pPr>
    </w:p>
    <w:p w14:paraId="3A10E54F" w14:textId="77777777" w:rsidR="00284822" w:rsidRDefault="00F77BF8">
      <w:pPr>
        <w:pStyle w:val="Style4"/>
        <w:spacing w:before="120" w:after="120"/>
        <w:rPr>
          <w:i w:val="0"/>
        </w:rPr>
      </w:pPr>
      <w:bookmarkStart w:id="103" w:name="_Toc163556665"/>
      <w:bookmarkStart w:id="104" w:name="_Toc175048645"/>
      <w:bookmarkStart w:id="105" w:name="_Toc170304749"/>
      <w:r>
        <w:rPr>
          <w:i w:val="0"/>
        </w:rPr>
        <w:t>Paragraphe 2 :  Déclarations d’existence</w:t>
      </w:r>
      <w:bookmarkEnd w:id="103"/>
      <w:bookmarkEnd w:id="104"/>
      <w:bookmarkEnd w:id="105"/>
    </w:p>
    <w:p w14:paraId="3539CF42" w14:textId="77777777" w:rsidR="00284822" w:rsidRDefault="00284822">
      <w:pPr>
        <w:pStyle w:val="Style4"/>
        <w:spacing w:before="120" w:after="120"/>
        <w:rPr>
          <w:i w:val="0"/>
          <w:sz w:val="10"/>
          <w:szCs w:val="10"/>
        </w:rPr>
      </w:pPr>
    </w:p>
    <w:p w14:paraId="05D0DC5D" w14:textId="77777777" w:rsidR="00284822" w:rsidRDefault="00F77BF8">
      <w:pPr>
        <w:pStyle w:val="Titre5"/>
        <w:numPr>
          <w:ilvl w:val="0"/>
          <w:numId w:val="0"/>
        </w:numPr>
        <w:ind w:left="1134" w:hanging="360"/>
        <w:rPr>
          <w:rFonts w:ascii="Rockwell" w:hAnsi="Rockwell"/>
        </w:rPr>
      </w:pPr>
      <w:bookmarkStart w:id="106" w:name="_Toc175048646"/>
      <w:r>
        <w:rPr>
          <w:rFonts w:ascii="Rockwell" w:hAnsi="Rockwell"/>
        </w:rPr>
        <w:t>2.1. Déclaration d’existence de la presse écrite et en ligne</w:t>
      </w:r>
      <w:bookmarkEnd w:id="106"/>
    </w:p>
    <w:p w14:paraId="38A296E8" w14:textId="77777777" w:rsidR="00284822" w:rsidRDefault="00F77BF8">
      <w:pPr>
        <w:spacing w:before="120" w:after="120"/>
        <w:ind w:left="-142"/>
        <w:rPr>
          <w:rFonts w:ascii="Rockwell" w:eastAsia="Calibri" w:hAnsi="Rockwell"/>
          <w:szCs w:val="26"/>
        </w:rPr>
      </w:pPr>
      <w:r>
        <w:rPr>
          <w:rFonts w:ascii="Rockwell" w:eastAsia="Calibri" w:hAnsi="Rockwell"/>
          <w:szCs w:val="26"/>
        </w:rPr>
        <w:t>En application des articles 13 alinéa 2 et 09 alinéa 2 des lois N° 057-2015/CNT et N°058-2015/CNT portant respectivement régime juridique de la presse écrite et en ligne, ces médias sont tenus de transmettre copie de leur récépissé de déclaration au CSC dans les quinze (15) jours suivant leur déclaration. Ainsi au titre de l’année 2022, la situation des déclarations se présente comme suit :</w:t>
      </w:r>
    </w:p>
    <w:p w14:paraId="508401D2" w14:textId="77777777" w:rsidR="00284822" w:rsidRDefault="00F77BF8">
      <w:pPr>
        <w:numPr>
          <w:ilvl w:val="0"/>
          <w:numId w:val="7"/>
        </w:numPr>
        <w:spacing w:before="120" w:after="120"/>
        <w:textAlignment w:val="auto"/>
        <w:rPr>
          <w:rFonts w:ascii="Rockwell" w:eastAsia="Calibri" w:hAnsi="Rockwell"/>
          <w:szCs w:val="26"/>
        </w:rPr>
      </w:pPr>
      <w:proofErr w:type="gramStart"/>
      <w:r>
        <w:rPr>
          <w:rFonts w:ascii="Rockwell" w:eastAsia="Calibri" w:hAnsi="Rockwell"/>
          <w:szCs w:val="26"/>
        </w:rPr>
        <w:t>six</w:t>
      </w:r>
      <w:proofErr w:type="gramEnd"/>
      <w:r>
        <w:rPr>
          <w:rFonts w:ascii="Rockwell" w:eastAsia="Calibri" w:hAnsi="Rockwell"/>
          <w:szCs w:val="26"/>
        </w:rPr>
        <w:t xml:space="preserve"> (06) déclarations de presse écrite ;</w:t>
      </w:r>
    </w:p>
    <w:p w14:paraId="7346B053" w14:textId="77777777" w:rsidR="00284822" w:rsidRDefault="00F77BF8">
      <w:pPr>
        <w:numPr>
          <w:ilvl w:val="0"/>
          <w:numId w:val="7"/>
        </w:numPr>
        <w:spacing w:before="120" w:after="120"/>
        <w:ind w:left="777" w:hanging="357"/>
        <w:textAlignment w:val="auto"/>
        <w:rPr>
          <w:rFonts w:ascii="Rockwell" w:eastAsia="Calibri" w:hAnsi="Rockwell"/>
          <w:szCs w:val="26"/>
        </w:rPr>
      </w:pPr>
      <w:proofErr w:type="gramStart"/>
      <w:r>
        <w:rPr>
          <w:rFonts w:ascii="Rockwell" w:eastAsia="Calibri" w:hAnsi="Rockwell"/>
          <w:szCs w:val="26"/>
        </w:rPr>
        <w:t>trente</w:t>
      </w:r>
      <w:proofErr w:type="gramEnd"/>
      <w:r>
        <w:rPr>
          <w:rFonts w:ascii="Rockwell" w:eastAsia="Calibri" w:hAnsi="Rockwell"/>
          <w:szCs w:val="26"/>
        </w:rPr>
        <w:t xml:space="preserve"> (30) déclarations de presse en ligne.  </w:t>
      </w:r>
    </w:p>
    <w:p w14:paraId="79E75496" w14:textId="77777777" w:rsidR="00284822" w:rsidRDefault="00284822">
      <w:pPr>
        <w:spacing w:before="120" w:after="120"/>
        <w:ind w:left="777"/>
        <w:textAlignment w:val="auto"/>
        <w:rPr>
          <w:rFonts w:ascii="Rockwell" w:eastAsia="Calibri" w:hAnsi="Rockwell"/>
          <w:sz w:val="10"/>
          <w:szCs w:val="10"/>
        </w:rPr>
      </w:pPr>
    </w:p>
    <w:p w14:paraId="3AA5092F" w14:textId="77777777" w:rsidR="00284822" w:rsidRDefault="00F77BF8">
      <w:pPr>
        <w:pStyle w:val="Titre5"/>
        <w:numPr>
          <w:ilvl w:val="1"/>
          <w:numId w:val="8"/>
        </w:numPr>
        <w:ind w:firstLine="982"/>
        <w:rPr>
          <w:rFonts w:ascii="Rockwell" w:hAnsi="Rockwell"/>
        </w:rPr>
      </w:pPr>
      <w:bookmarkStart w:id="107" w:name="_Toc175048647"/>
      <w:bookmarkStart w:id="108" w:name="_Hlk162508538"/>
      <w:r>
        <w:rPr>
          <w:rFonts w:ascii="Rockwell" w:hAnsi="Rockwell"/>
        </w:rPr>
        <w:t>Déclaration d’existence d’entreprises de publicité</w:t>
      </w:r>
      <w:bookmarkEnd w:id="107"/>
    </w:p>
    <w:p w14:paraId="685E324E" w14:textId="77777777" w:rsidR="00284822" w:rsidRDefault="00F77BF8">
      <w:pPr>
        <w:spacing w:before="120" w:after="120"/>
        <w:rPr>
          <w:rFonts w:ascii="Rockwell" w:hAnsi="Rockwell"/>
          <w:szCs w:val="26"/>
        </w:rPr>
      </w:pPr>
      <w:r>
        <w:rPr>
          <w:rFonts w:ascii="Rockwell" w:hAnsi="Rockwell"/>
          <w:szCs w:val="26"/>
        </w:rPr>
        <w:t>Le décret N°2017-0458/PRES/PM/MCRP/MINEFID/MCIA du 12 juin 2017 portant définition des conditions et des règles applicables à l’exercice des professions publicitaires, dispose en son article 11 alinéa 3 que « </w:t>
      </w:r>
      <w:r>
        <w:rPr>
          <w:rFonts w:ascii="Rockwell" w:hAnsi="Rockwell"/>
          <w:i/>
          <w:szCs w:val="26"/>
        </w:rPr>
        <w:t>l’instance nationale chargée de la régulation de la communication publie au mois de septembre de chaque année, la liste des entreprises déclarées »</w:t>
      </w:r>
      <w:r>
        <w:rPr>
          <w:rFonts w:ascii="Rockwell" w:hAnsi="Rockwell"/>
          <w:szCs w:val="26"/>
        </w:rPr>
        <w:t xml:space="preserve">. </w:t>
      </w:r>
    </w:p>
    <w:p w14:paraId="00BCB933" w14:textId="77777777" w:rsidR="00284822" w:rsidRDefault="00F77BF8">
      <w:pPr>
        <w:spacing w:before="120" w:after="120"/>
        <w:rPr>
          <w:rFonts w:ascii="Rockwell" w:hAnsi="Rockwell"/>
          <w:szCs w:val="26"/>
        </w:rPr>
      </w:pPr>
      <w:r>
        <w:rPr>
          <w:rFonts w:ascii="Rockwell" w:hAnsi="Rockwell"/>
          <w:szCs w:val="26"/>
        </w:rPr>
        <w:t>Après analyse des dossiers reçus, cent-cinq (105) ont été jugés conformes à la loi</w:t>
      </w:r>
      <w:r>
        <w:rPr>
          <w:rStyle w:val="Appelnotedebasdep"/>
          <w:rFonts w:ascii="Rockwell" w:hAnsi="Rockwell"/>
          <w:szCs w:val="26"/>
        </w:rPr>
        <w:footnoteReference w:id="3"/>
      </w:r>
      <w:r>
        <w:rPr>
          <w:rFonts w:ascii="Rockwell" w:hAnsi="Rockwell"/>
          <w:szCs w:val="26"/>
        </w:rPr>
        <w:t xml:space="preserve">. Des récépissés ont été délivrés à ces entreprises de publicité pour leur permettre d’exercer légalement leurs activités. </w:t>
      </w:r>
    </w:p>
    <w:p w14:paraId="61AD0D4A" w14:textId="77777777" w:rsidR="00284822" w:rsidRDefault="00284822">
      <w:pPr>
        <w:spacing w:before="120" w:after="120"/>
        <w:rPr>
          <w:rFonts w:ascii="Rockwell" w:hAnsi="Rockwell"/>
          <w:szCs w:val="26"/>
        </w:rPr>
        <w:sectPr w:rsidR="00284822">
          <w:pgSz w:w="11906" w:h="16838"/>
          <w:pgMar w:top="1418" w:right="1418" w:bottom="1418" w:left="1418" w:header="709" w:footer="709" w:gutter="0"/>
          <w:cols w:space="720"/>
        </w:sectPr>
      </w:pPr>
    </w:p>
    <w:p w14:paraId="6603F3E1" w14:textId="77777777" w:rsidR="00284822" w:rsidRDefault="00F77BF8">
      <w:pPr>
        <w:pStyle w:val="Titre3"/>
        <w:spacing w:before="120" w:after="120"/>
        <w:rPr>
          <w:rFonts w:ascii="Rockwell" w:hAnsi="Rockwell"/>
          <w:i w:val="0"/>
        </w:rPr>
      </w:pPr>
      <w:bookmarkStart w:id="109" w:name="_Toc119511776"/>
      <w:bookmarkStart w:id="110" w:name="_Toc122608639"/>
      <w:bookmarkStart w:id="111" w:name="_Toc175048648"/>
      <w:bookmarkStart w:id="112" w:name="_Toc170304750"/>
      <w:bookmarkEnd w:id="108"/>
      <w:r>
        <w:rPr>
          <w:rFonts w:ascii="Rockwell" w:hAnsi="Rockwell"/>
          <w:i w:val="0"/>
        </w:rPr>
        <w:lastRenderedPageBreak/>
        <w:t>SECTION 2 : SUIVI DU FONCTIONNEMENT DES MEDIAS</w:t>
      </w:r>
      <w:bookmarkEnd w:id="109"/>
      <w:bookmarkEnd w:id="110"/>
      <w:bookmarkEnd w:id="111"/>
      <w:bookmarkEnd w:id="112"/>
    </w:p>
    <w:p w14:paraId="40AFF187" w14:textId="77777777" w:rsidR="00284822" w:rsidRDefault="00F77BF8">
      <w:pPr>
        <w:spacing w:before="120" w:after="120"/>
        <w:rPr>
          <w:rFonts w:ascii="Rockwell" w:hAnsi="Rockwell"/>
          <w:szCs w:val="26"/>
        </w:rPr>
      </w:pPr>
      <w:r>
        <w:rPr>
          <w:rFonts w:ascii="Rockwell" w:hAnsi="Rockwell"/>
          <w:szCs w:val="26"/>
        </w:rPr>
        <w:t>Le suivi du fonctionnement des médias a concerné les médias audiovisuels privés ainsi que la presse écrite et en ligne.</w:t>
      </w:r>
    </w:p>
    <w:p w14:paraId="38D1AC5F" w14:textId="77777777" w:rsidR="00284822" w:rsidRDefault="00284822">
      <w:pPr>
        <w:spacing w:before="120" w:after="120"/>
        <w:rPr>
          <w:rFonts w:ascii="Rockwell" w:hAnsi="Rockwell"/>
          <w:szCs w:val="26"/>
        </w:rPr>
      </w:pPr>
    </w:p>
    <w:p w14:paraId="5ECE9AAB" w14:textId="23FA6746" w:rsidR="00284822" w:rsidRDefault="00F77BF8">
      <w:pPr>
        <w:pStyle w:val="Titre4"/>
        <w:spacing w:before="120" w:after="120"/>
        <w:rPr>
          <w:rFonts w:ascii="Rockwell" w:hAnsi="Rockwell"/>
          <w:sz w:val="28"/>
          <w:szCs w:val="28"/>
        </w:rPr>
      </w:pPr>
      <w:bookmarkStart w:id="113" w:name="_Toc175048649"/>
      <w:r>
        <w:rPr>
          <w:rFonts w:ascii="Rockwell" w:hAnsi="Rockwell"/>
          <w:sz w:val="28"/>
          <w:szCs w:val="28"/>
        </w:rPr>
        <w:t xml:space="preserve">Paragraphe 1 : </w:t>
      </w:r>
      <w:r w:rsidR="00FF0B4E">
        <w:rPr>
          <w:rFonts w:ascii="Rockwell" w:hAnsi="Rockwell"/>
          <w:sz w:val="28"/>
          <w:szCs w:val="28"/>
        </w:rPr>
        <w:t>M</w:t>
      </w:r>
      <w:r>
        <w:rPr>
          <w:rFonts w:ascii="Rockwell" w:hAnsi="Rockwell"/>
          <w:sz w:val="28"/>
          <w:szCs w:val="28"/>
        </w:rPr>
        <w:t>édias audiovisuels privés</w:t>
      </w:r>
      <w:bookmarkEnd w:id="113"/>
    </w:p>
    <w:p w14:paraId="37106A03" w14:textId="77777777" w:rsidR="00284822" w:rsidRDefault="00F77BF8">
      <w:pPr>
        <w:spacing w:before="120" w:after="120"/>
        <w:rPr>
          <w:rFonts w:ascii="Rockwell" w:hAnsi="Rockwell"/>
          <w:szCs w:val="26"/>
        </w:rPr>
      </w:pPr>
      <w:r>
        <w:rPr>
          <w:rFonts w:ascii="Rockwell" w:hAnsi="Rockwell"/>
          <w:szCs w:val="26"/>
        </w:rPr>
        <w:t>Au sens de la loi, seuls les médias audiovisuels privés sont soumis à l’obligation du dépôt de leurs rapports d’activités auprès du CSC. Ainsi, le suivi du fonctionnement des médias audiovisuels privés a consisté en l’analyse de leurs bilans moraux et financiers ainsi qu’au contrôle du respect de leurs grilles de programmes.</w:t>
      </w:r>
    </w:p>
    <w:p w14:paraId="0BBFD168" w14:textId="77777777" w:rsidR="00284822" w:rsidRDefault="00284822">
      <w:pPr>
        <w:spacing w:before="120" w:after="120"/>
        <w:rPr>
          <w:rFonts w:ascii="Rockwell" w:hAnsi="Rockwell"/>
          <w:sz w:val="10"/>
          <w:szCs w:val="10"/>
        </w:rPr>
      </w:pPr>
    </w:p>
    <w:p w14:paraId="58D12DDD" w14:textId="5F80A9FB" w:rsidR="00284822" w:rsidRDefault="00FF0B4E">
      <w:pPr>
        <w:pStyle w:val="Titre5"/>
        <w:numPr>
          <w:ilvl w:val="1"/>
          <w:numId w:val="9"/>
        </w:numPr>
        <w:ind w:hanging="437"/>
        <w:rPr>
          <w:rFonts w:ascii="Rockwell" w:hAnsi="Rockwell"/>
        </w:rPr>
      </w:pPr>
      <w:bookmarkStart w:id="114" w:name="_Toc175048650"/>
      <w:r>
        <w:rPr>
          <w:rFonts w:ascii="Rockwell" w:hAnsi="Rockwell"/>
        </w:rPr>
        <w:t>A</w:t>
      </w:r>
      <w:r w:rsidR="00F77BF8">
        <w:rPr>
          <w:rFonts w:ascii="Rockwell" w:hAnsi="Rockwell"/>
        </w:rPr>
        <w:t>nalyse des bilans moraux et financiers</w:t>
      </w:r>
      <w:bookmarkEnd w:id="114"/>
    </w:p>
    <w:p w14:paraId="7E7D4A40" w14:textId="77777777" w:rsidR="00284822" w:rsidRDefault="00F77BF8">
      <w:pPr>
        <w:spacing w:before="120" w:after="120"/>
        <w:ind w:left="-142"/>
        <w:rPr>
          <w:rFonts w:ascii="Rockwell" w:hAnsi="Rockwell"/>
          <w:szCs w:val="26"/>
        </w:rPr>
      </w:pPr>
      <w:r>
        <w:rPr>
          <w:rFonts w:ascii="Rockwell" w:hAnsi="Rockwell"/>
          <w:szCs w:val="26"/>
        </w:rPr>
        <w:t xml:space="preserve">La compétence des ressources humaines et la capacité financière sont des éléments révélateurs de l’aptitude des médias à faire face aux défis d’un traitement professionnel, pluraliste et équilibré de l’information médiatique. C’est pourquoi, le Régulateur des médias mène une analyse économique et juridique des bilans moraux et financiers des médias audiovisuels privés, toutes typologies confondues. L’objectif étant également de permettre un meilleur suivi de leur fonctionnement. </w:t>
      </w:r>
    </w:p>
    <w:p w14:paraId="6BD96221" w14:textId="77777777" w:rsidR="00284822" w:rsidRDefault="00F77BF8">
      <w:pPr>
        <w:spacing w:before="120" w:after="120"/>
        <w:ind w:left="-142"/>
        <w:rPr>
          <w:rFonts w:ascii="Rockwell" w:hAnsi="Rockwell"/>
          <w:szCs w:val="26"/>
        </w:rPr>
      </w:pPr>
      <w:r>
        <w:rPr>
          <w:rFonts w:ascii="Rockwell" w:hAnsi="Rockwell"/>
          <w:szCs w:val="26"/>
        </w:rPr>
        <w:t xml:space="preserve">Cet exercice s’inscrit en droite ligne des conventions qui font obligation aux médias audiovisuels de transmettre au CSC, au plus tard le 30 juin de l’année en cours, leur bilan moral et financier de l’année écoulée. </w:t>
      </w:r>
    </w:p>
    <w:p w14:paraId="0D968CF1" w14:textId="77777777" w:rsidR="00284822" w:rsidRDefault="00F77BF8">
      <w:pPr>
        <w:spacing w:before="120" w:after="120"/>
        <w:ind w:left="-142"/>
        <w:rPr>
          <w:rFonts w:ascii="Rockwell" w:hAnsi="Rockwell"/>
          <w:color w:val="000000" w:themeColor="text1"/>
          <w:szCs w:val="26"/>
        </w:rPr>
      </w:pPr>
      <w:r>
        <w:rPr>
          <w:rFonts w:ascii="Rockwell" w:hAnsi="Rockwell"/>
          <w:szCs w:val="26"/>
        </w:rPr>
        <w:t xml:space="preserve">Ainsi, au titre de l’année 2022, sur un total de cent quarante-six (146) médias audiovisuels dont cent vingt-huit (128) radios et dix-huit (18) télévisions concernées par cette obligation de dépôt, seuls quatre-vingt-deux (82) médias dont sept (07) télévisions et soixante-quinze (75) radios ont transmis dans les délais impartis leurs rapports d’activités au CSC, </w:t>
      </w:r>
      <w:r>
        <w:rPr>
          <w:rFonts w:ascii="Rockwell" w:hAnsi="Rockwell"/>
          <w:color w:val="000000" w:themeColor="text1"/>
          <w:szCs w:val="26"/>
        </w:rPr>
        <w:t xml:space="preserve">soit un taux de 56,16 %. Bien qu’en </w:t>
      </w:r>
      <w:r>
        <w:rPr>
          <w:rFonts w:ascii="Rockwell" w:hAnsi="Rockwell"/>
          <w:szCs w:val="26"/>
        </w:rPr>
        <w:t>deçà</w:t>
      </w:r>
      <w:r>
        <w:rPr>
          <w:rFonts w:ascii="Rockwell" w:hAnsi="Rockwell"/>
          <w:color w:val="000000" w:themeColor="text1"/>
          <w:szCs w:val="26"/>
        </w:rPr>
        <w:t xml:space="preserve"> des attentes, ce taux est en hausse comparativement à </w:t>
      </w:r>
      <w:r>
        <w:rPr>
          <w:rFonts w:ascii="Rockwell" w:hAnsi="Rockwell"/>
          <w:color w:val="000000" w:themeColor="text1"/>
          <w:szCs w:val="26"/>
        </w:rPr>
        <w:lastRenderedPageBreak/>
        <w:t>l’année 2021 où il était de 32,45 %. L’analyse des bilans moraux et financiers des médias audiovisuels privés laisse constater que douze (12) radios et trois (03) télévisions ont présenté des bilans financiers négatifs, tandis que quarante-trois (43) radios et trois (03) télévisions ont eu des soldes positifs.</w:t>
      </w:r>
    </w:p>
    <w:p w14:paraId="63A9C441" w14:textId="77777777" w:rsidR="00284822" w:rsidRDefault="00284822">
      <w:pPr>
        <w:spacing w:before="120" w:after="120"/>
        <w:ind w:left="-142"/>
        <w:rPr>
          <w:rFonts w:ascii="Rockwell" w:hAnsi="Rockwell"/>
          <w:sz w:val="10"/>
          <w:szCs w:val="10"/>
        </w:rPr>
      </w:pPr>
    </w:p>
    <w:p w14:paraId="02DACF21" w14:textId="09DC6399" w:rsidR="00284822" w:rsidRDefault="00FF0B4E">
      <w:pPr>
        <w:pStyle w:val="Titre5"/>
        <w:numPr>
          <w:ilvl w:val="1"/>
          <w:numId w:val="9"/>
        </w:numPr>
        <w:rPr>
          <w:rFonts w:ascii="Rockwell" w:hAnsi="Rockwell"/>
        </w:rPr>
      </w:pPr>
      <w:bookmarkStart w:id="115" w:name="_Toc175048651"/>
      <w:r>
        <w:rPr>
          <w:rFonts w:ascii="Rockwell" w:hAnsi="Rockwell"/>
        </w:rPr>
        <w:t>C</w:t>
      </w:r>
      <w:r w:rsidR="00F77BF8">
        <w:rPr>
          <w:rFonts w:ascii="Rockwell" w:hAnsi="Rockwell"/>
        </w:rPr>
        <w:t>ontrôle du respect des grilles des programmes</w:t>
      </w:r>
      <w:bookmarkEnd w:id="115"/>
    </w:p>
    <w:p w14:paraId="1F48CC7A" w14:textId="77777777" w:rsidR="00284822" w:rsidRDefault="00F77BF8">
      <w:pPr>
        <w:spacing w:before="120" w:after="120"/>
        <w:ind w:left="-142"/>
        <w:rPr>
          <w:rFonts w:ascii="Rockwell" w:hAnsi="Rockwell"/>
          <w:szCs w:val="26"/>
        </w:rPr>
      </w:pPr>
      <w:r>
        <w:rPr>
          <w:rFonts w:ascii="Rockwell" w:hAnsi="Rockwell"/>
          <w:szCs w:val="26"/>
        </w:rPr>
        <w:t>Le contrôle du respect des grilles des programmes a concerné les médias relevant de la délégation régionale de l’Ouest du CSC.</w:t>
      </w:r>
    </w:p>
    <w:p w14:paraId="46D93399" w14:textId="77777777" w:rsidR="00284822" w:rsidRDefault="00F77BF8">
      <w:pPr>
        <w:spacing w:before="120" w:after="120"/>
        <w:ind w:left="-142"/>
        <w:rPr>
          <w:rFonts w:ascii="Rockwell" w:hAnsi="Rockwell"/>
          <w:i/>
          <w:szCs w:val="26"/>
        </w:rPr>
      </w:pPr>
      <w:r>
        <w:rPr>
          <w:rFonts w:ascii="Rockwell" w:eastAsia="Calibri" w:hAnsi="Rockwell"/>
          <w:szCs w:val="26"/>
          <w:lang w:eastAsia="en-US"/>
        </w:rPr>
        <w:t>Au cours de l’année 2022, vingt-trois (23) médias ont été contrôlés</w:t>
      </w:r>
      <w:r>
        <w:rPr>
          <w:rStyle w:val="Appelnotedebasdep"/>
          <w:rFonts w:ascii="Rockwell" w:eastAsia="Calibri" w:hAnsi="Rockwell"/>
          <w:szCs w:val="26"/>
          <w:lang w:eastAsia="en-US"/>
        </w:rPr>
        <w:footnoteReference w:id="4"/>
      </w:r>
      <w:r>
        <w:rPr>
          <w:rFonts w:ascii="Rockwell" w:eastAsia="Calibri" w:hAnsi="Rockwell"/>
          <w:szCs w:val="26"/>
          <w:lang w:eastAsia="en-US"/>
        </w:rPr>
        <w:t xml:space="preserve">.  Parmi ceux-ci, onze (11) radios n’ont pas toujours respecté leurs grilles de programmes. Il s’agit des radios </w:t>
      </w:r>
      <w:r>
        <w:rPr>
          <w:rFonts w:ascii="Rockwell" w:eastAsia="Calibri" w:hAnsi="Rockwell"/>
          <w:i/>
          <w:szCs w:val="26"/>
          <w:lang w:eastAsia="en-US"/>
        </w:rPr>
        <w:t xml:space="preserve">LPC, Municipale de </w:t>
      </w:r>
      <w:proofErr w:type="spellStart"/>
      <w:r>
        <w:rPr>
          <w:rFonts w:ascii="Rockwell" w:eastAsia="Calibri" w:hAnsi="Rockwell"/>
          <w:i/>
          <w:szCs w:val="26"/>
          <w:lang w:eastAsia="en-US"/>
        </w:rPr>
        <w:t>Sya</w:t>
      </w:r>
      <w:proofErr w:type="spellEnd"/>
      <w:r>
        <w:rPr>
          <w:rFonts w:ascii="Rockwell" w:eastAsia="Calibri" w:hAnsi="Rockwell"/>
          <w:i/>
          <w:szCs w:val="26"/>
          <w:lang w:eastAsia="en-US"/>
        </w:rPr>
        <w:t>, Amazone SARL, Al-</w:t>
      </w:r>
      <w:proofErr w:type="spellStart"/>
      <w:r>
        <w:rPr>
          <w:rFonts w:ascii="Rockwell" w:eastAsia="Calibri" w:hAnsi="Rockwell"/>
          <w:i/>
          <w:szCs w:val="26"/>
          <w:lang w:eastAsia="en-US"/>
        </w:rPr>
        <w:t>mafaz</w:t>
      </w:r>
      <w:proofErr w:type="spellEnd"/>
      <w:r>
        <w:rPr>
          <w:rFonts w:ascii="Rockwell" w:eastAsia="Calibri" w:hAnsi="Rockwell"/>
          <w:i/>
          <w:szCs w:val="26"/>
          <w:lang w:eastAsia="en-US"/>
        </w:rPr>
        <w:t xml:space="preserve">, </w:t>
      </w:r>
      <w:proofErr w:type="spellStart"/>
      <w:r>
        <w:rPr>
          <w:rFonts w:ascii="Rockwell" w:eastAsia="Calibri" w:hAnsi="Rockwell"/>
          <w:i/>
          <w:szCs w:val="26"/>
          <w:lang w:eastAsia="en-US"/>
        </w:rPr>
        <w:t>Ahmadiyya</w:t>
      </w:r>
      <w:proofErr w:type="spellEnd"/>
      <w:r>
        <w:rPr>
          <w:rFonts w:ascii="Rockwell" w:eastAsia="Calibri" w:hAnsi="Rockwell"/>
          <w:i/>
          <w:szCs w:val="26"/>
          <w:lang w:eastAsia="en-US"/>
        </w:rPr>
        <w:t xml:space="preserve"> </w:t>
      </w:r>
      <w:r>
        <w:rPr>
          <w:rFonts w:ascii="Rockwell" w:eastAsia="Calibri" w:hAnsi="Rockwell"/>
          <w:szCs w:val="26"/>
          <w:lang w:eastAsia="en-US"/>
        </w:rPr>
        <w:t>de Bobo-Dioulasso</w:t>
      </w:r>
      <w:r>
        <w:rPr>
          <w:rFonts w:ascii="Rockwell" w:eastAsia="Calibri" w:hAnsi="Rockwell"/>
          <w:i/>
          <w:szCs w:val="26"/>
          <w:lang w:eastAsia="en-US"/>
        </w:rPr>
        <w:t xml:space="preserve">, Cascade, </w:t>
      </w:r>
      <w:proofErr w:type="spellStart"/>
      <w:r>
        <w:rPr>
          <w:rFonts w:ascii="Rockwell" w:eastAsia="Calibri" w:hAnsi="Rockwell"/>
          <w:i/>
          <w:szCs w:val="26"/>
          <w:lang w:eastAsia="en-US"/>
        </w:rPr>
        <w:t>Munyu</w:t>
      </w:r>
      <w:proofErr w:type="spellEnd"/>
      <w:r>
        <w:rPr>
          <w:rFonts w:ascii="Rockwell" w:eastAsia="Calibri" w:hAnsi="Rockwell"/>
          <w:i/>
          <w:szCs w:val="26"/>
          <w:lang w:eastAsia="en-US"/>
        </w:rPr>
        <w:t xml:space="preserve"> </w:t>
      </w:r>
      <w:r>
        <w:rPr>
          <w:rFonts w:ascii="Rockwell" w:eastAsia="Calibri" w:hAnsi="Rockwell"/>
          <w:szCs w:val="26"/>
          <w:lang w:eastAsia="en-US"/>
        </w:rPr>
        <w:t>et</w:t>
      </w:r>
      <w:r>
        <w:rPr>
          <w:rFonts w:ascii="Rockwell" w:eastAsia="Calibri" w:hAnsi="Rockwell"/>
          <w:i/>
          <w:szCs w:val="26"/>
          <w:lang w:eastAsia="en-US"/>
        </w:rPr>
        <w:t xml:space="preserve"> </w:t>
      </w:r>
      <w:proofErr w:type="spellStart"/>
      <w:r>
        <w:rPr>
          <w:rFonts w:ascii="Rockwell" w:eastAsia="Calibri" w:hAnsi="Rockwell"/>
          <w:i/>
          <w:szCs w:val="26"/>
          <w:lang w:eastAsia="en-US"/>
        </w:rPr>
        <w:t>Teriya</w:t>
      </w:r>
      <w:proofErr w:type="spellEnd"/>
      <w:r>
        <w:rPr>
          <w:rFonts w:ascii="Rockwell" w:eastAsia="Calibri" w:hAnsi="Rockwell"/>
          <w:i/>
          <w:szCs w:val="26"/>
          <w:lang w:eastAsia="en-US"/>
        </w:rPr>
        <w:t xml:space="preserve"> </w:t>
      </w:r>
      <w:r>
        <w:rPr>
          <w:rFonts w:ascii="Rockwell" w:eastAsia="Calibri" w:hAnsi="Rockwell"/>
          <w:szCs w:val="26"/>
          <w:lang w:eastAsia="en-US"/>
        </w:rPr>
        <w:t>de</w:t>
      </w:r>
      <w:r>
        <w:rPr>
          <w:rFonts w:ascii="Rockwell" w:eastAsia="Calibri" w:hAnsi="Rockwell"/>
          <w:i/>
          <w:szCs w:val="26"/>
          <w:lang w:eastAsia="en-US"/>
        </w:rPr>
        <w:t xml:space="preserve"> </w:t>
      </w:r>
      <w:r>
        <w:rPr>
          <w:rFonts w:ascii="Rockwell" w:eastAsia="Calibri" w:hAnsi="Rockwell"/>
          <w:szCs w:val="26"/>
          <w:lang w:eastAsia="en-US"/>
        </w:rPr>
        <w:t>Banfora</w:t>
      </w:r>
      <w:r>
        <w:rPr>
          <w:rFonts w:ascii="Rockwell" w:eastAsia="Calibri" w:hAnsi="Rockwell"/>
          <w:i/>
          <w:szCs w:val="26"/>
          <w:lang w:eastAsia="en-US"/>
        </w:rPr>
        <w:t xml:space="preserve">, </w:t>
      </w:r>
      <w:proofErr w:type="spellStart"/>
      <w:r>
        <w:rPr>
          <w:rFonts w:ascii="Rockwell" w:eastAsia="Calibri" w:hAnsi="Rockwell"/>
          <w:i/>
          <w:szCs w:val="26"/>
          <w:lang w:eastAsia="en-US"/>
        </w:rPr>
        <w:t>Ahmadiyya</w:t>
      </w:r>
      <w:proofErr w:type="spellEnd"/>
      <w:r>
        <w:rPr>
          <w:rFonts w:ascii="Rockwell" w:eastAsia="Calibri" w:hAnsi="Rockwell"/>
          <w:i/>
          <w:szCs w:val="26"/>
          <w:lang w:eastAsia="en-US"/>
        </w:rPr>
        <w:t xml:space="preserve"> </w:t>
      </w:r>
      <w:r>
        <w:rPr>
          <w:rFonts w:ascii="Rockwell" w:eastAsia="Calibri" w:hAnsi="Rockwell"/>
          <w:szCs w:val="26"/>
          <w:lang w:eastAsia="en-US"/>
        </w:rPr>
        <w:t>et</w:t>
      </w:r>
      <w:r>
        <w:rPr>
          <w:rFonts w:ascii="Rockwell" w:eastAsia="Calibri" w:hAnsi="Rockwell"/>
          <w:i/>
          <w:szCs w:val="26"/>
          <w:lang w:eastAsia="en-US"/>
        </w:rPr>
        <w:t xml:space="preserve"> RTB2 </w:t>
      </w:r>
      <w:r>
        <w:rPr>
          <w:rFonts w:ascii="Rockwell" w:eastAsia="Calibri" w:hAnsi="Rockwell"/>
          <w:szCs w:val="26"/>
          <w:lang w:eastAsia="en-US"/>
        </w:rPr>
        <w:t>de Dédougou et</w:t>
      </w:r>
      <w:r>
        <w:rPr>
          <w:rFonts w:ascii="Rockwell" w:eastAsia="Calibri" w:hAnsi="Rockwell"/>
          <w:i/>
          <w:szCs w:val="26"/>
          <w:lang w:eastAsia="en-US"/>
        </w:rPr>
        <w:t xml:space="preserve"> ESO </w:t>
      </w:r>
      <w:r>
        <w:rPr>
          <w:rFonts w:ascii="Rockwell" w:eastAsia="Calibri" w:hAnsi="Rockwell"/>
          <w:szCs w:val="26"/>
          <w:lang w:eastAsia="en-US"/>
        </w:rPr>
        <w:t>de</w:t>
      </w:r>
      <w:r>
        <w:rPr>
          <w:rFonts w:ascii="Rockwell" w:eastAsia="Calibri" w:hAnsi="Rockwell"/>
          <w:i/>
          <w:szCs w:val="26"/>
          <w:lang w:eastAsia="en-US"/>
        </w:rPr>
        <w:t xml:space="preserve"> Gaoua. </w:t>
      </w:r>
    </w:p>
    <w:p w14:paraId="159D45CF" w14:textId="77777777" w:rsidR="00284822" w:rsidRDefault="00F77BF8">
      <w:pPr>
        <w:spacing w:before="120" w:after="120"/>
        <w:ind w:left="-142"/>
        <w:rPr>
          <w:rFonts w:ascii="Rockwell" w:eastAsia="Calibri" w:hAnsi="Rockwell"/>
          <w:szCs w:val="26"/>
          <w:lang w:eastAsia="en-US"/>
        </w:rPr>
      </w:pPr>
      <w:r>
        <w:rPr>
          <w:rFonts w:ascii="Rockwell" w:eastAsia="Calibri" w:hAnsi="Rockwell"/>
          <w:szCs w:val="26"/>
          <w:lang w:eastAsia="en-US"/>
        </w:rPr>
        <w:t xml:space="preserve">Si le non-respect des grilles des programmes de ces vingt-trois (23) médias de l’Ouest peut se justifier par des délestages ou des pannes techniques, il est à signaler qu’en ce qui concerne </w:t>
      </w:r>
      <w:r>
        <w:rPr>
          <w:rFonts w:ascii="Rockwell" w:hAnsi="Rockwell"/>
          <w:szCs w:val="26"/>
        </w:rPr>
        <w:t xml:space="preserve">la </w:t>
      </w:r>
      <w:r>
        <w:rPr>
          <w:rFonts w:ascii="Rockwell" w:hAnsi="Rockwell"/>
          <w:i/>
          <w:szCs w:val="26"/>
        </w:rPr>
        <w:t>radio LPC</w:t>
      </w:r>
      <w:r>
        <w:rPr>
          <w:rFonts w:ascii="Rockwell" w:hAnsi="Rockwell"/>
          <w:szCs w:val="26"/>
        </w:rPr>
        <w:t>, ce manquement semble en plus lié à une insuffisance en ressources humaines.</w:t>
      </w:r>
      <w:r>
        <w:rPr>
          <w:rFonts w:ascii="Rockwell" w:eastAsia="Calibri" w:hAnsi="Rockwell"/>
          <w:szCs w:val="26"/>
          <w:lang w:eastAsia="en-US"/>
        </w:rPr>
        <w:t xml:space="preserve"> </w:t>
      </w:r>
    </w:p>
    <w:p w14:paraId="4D8BC5C7" w14:textId="77777777" w:rsidR="00284822" w:rsidRDefault="00284822">
      <w:pPr>
        <w:spacing w:before="120" w:after="120"/>
        <w:ind w:left="-142"/>
        <w:rPr>
          <w:rFonts w:ascii="Rockwell" w:eastAsia="Calibri" w:hAnsi="Rockwell"/>
          <w:sz w:val="10"/>
          <w:szCs w:val="10"/>
          <w:lang w:eastAsia="en-US"/>
        </w:rPr>
      </w:pPr>
    </w:p>
    <w:p w14:paraId="062F4A40" w14:textId="1DB6E5A7" w:rsidR="00284822" w:rsidRDefault="00F77BF8">
      <w:pPr>
        <w:pStyle w:val="Titre4"/>
        <w:spacing w:before="120" w:after="120"/>
        <w:rPr>
          <w:rFonts w:ascii="Rockwell" w:hAnsi="Rockwell"/>
          <w:sz w:val="28"/>
          <w:szCs w:val="28"/>
        </w:rPr>
      </w:pPr>
      <w:bookmarkStart w:id="116" w:name="_Toc175048652"/>
      <w:r>
        <w:rPr>
          <w:rFonts w:ascii="Rockwell" w:hAnsi="Rockwell"/>
          <w:sz w:val="28"/>
          <w:szCs w:val="28"/>
        </w:rPr>
        <w:t xml:space="preserve">Paragraphe 2 : </w:t>
      </w:r>
      <w:r w:rsidR="000A1561">
        <w:rPr>
          <w:rFonts w:ascii="Rockwell" w:hAnsi="Rockwell"/>
          <w:sz w:val="28"/>
          <w:szCs w:val="28"/>
        </w:rPr>
        <w:t>P</w:t>
      </w:r>
      <w:r>
        <w:rPr>
          <w:rFonts w:ascii="Rockwell" w:hAnsi="Rockwell"/>
          <w:sz w:val="28"/>
          <w:szCs w:val="28"/>
        </w:rPr>
        <w:t>resse écrite</w:t>
      </w:r>
      <w:bookmarkEnd w:id="116"/>
    </w:p>
    <w:p w14:paraId="5F401C64" w14:textId="77777777" w:rsidR="00284822" w:rsidRDefault="00F77BF8">
      <w:pPr>
        <w:spacing w:before="120" w:after="120"/>
        <w:ind w:left="-142"/>
        <w:rPr>
          <w:rFonts w:ascii="Rockwell" w:hAnsi="Rockwell"/>
          <w:szCs w:val="26"/>
        </w:rPr>
      </w:pPr>
      <w:r>
        <w:rPr>
          <w:rFonts w:ascii="Rockwell" w:hAnsi="Rockwell"/>
          <w:szCs w:val="26"/>
        </w:rPr>
        <w:t>Le suivi du fonctionnement de la presse écrite a principalement porté sur le contrôle du respect du dépôt légal. En effet, conformément à la loi</w:t>
      </w:r>
      <w:r>
        <w:rPr>
          <w:rStyle w:val="Appelnotedebasdep"/>
          <w:rFonts w:ascii="Rockwell" w:hAnsi="Rockwell"/>
          <w:szCs w:val="26"/>
        </w:rPr>
        <w:footnoteReference w:id="5"/>
      </w:r>
      <w:r>
        <w:rPr>
          <w:rFonts w:ascii="Rockwell" w:hAnsi="Rockwell"/>
          <w:szCs w:val="26"/>
        </w:rPr>
        <w:t>, tout journal ou périodique imprimé doit faire l’objet de dépôt légal, en deux exemplaires, le jour de sa publication, au Conseil Supérieur de la Communication.</w:t>
      </w:r>
    </w:p>
    <w:p w14:paraId="398E0970" w14:textId="77777777" w:rsidR="00284822" w:rsidRDefault="00284822">
      <w:pPr>
        <w:spacing w:before="120" w:after="120"/>
        <w:ind w:left="-142"/>
        <w:rPr>
          <w:rFonts w:ascii="Rockwell" w:hAnsi="Rockwell"/>
          <w:sz w:val="10"/>
          <w:szCs w:val="10"/>
        </w:rPr>
      </w:pPr>
    </w:p>
    <w:p w14:paraId="190CD0C0" w14:textId="4AB41D98" w:rsidR="00284822" w:rsidRDefault="000A1561">
      <w:pPr>
        <w:pStyle w:val="Titre5"/>
        <w:numPr>
          <w:ilvl w:val="1"/>
          <w:numId w:val="10"/>
        </w:numPr>
        <w:ind w:hanging="578"/>
        <w:rPr>
          <w:rFonts w:ascii="Rockwell" w:hAnsi="Rockwell"/>
        </w:rPr>
      </w:pPr>
      <w:bookmarkStart w:id="117" w:name="_Toc175048653"/>
      <w:r>
        <w:rPr>
          <w:rFonts w:ascii="Rockwell" w:hAnsi="Rockwell"/>
        </w:rPr>
        <w:lastRenderedPageBreak/>
        <w:t>P</w:t>
      </w:r>
      <w:r w:rsidR="00F77BF8">
        <w:rPr>
          <w:rFonts w:ascii="Rockwell" w:hAnsi="Rockwell"/>
        </w:rPr>
        <w:t>resse écrite de la région du Centre</w:t>
      </w:r>
      <w:bookmarkEnd w:id="117"/>
    </w:p>
    <w:p w14:paraId="1BB11F08" w14:textId="77777777" w:rsidR="00284822" w:rsidRDefault="00F77BF8">
      <w:pPr>
        <w:spacing w:before="120" w:after="120"/>
        <w:ind w:left="-142"/>
        <w:rPr>
          <w:rFonts w:ascii="Rockwell" w:hAnsi="Rockwell"/>
          <w:szCs w:val="26"/>
        </w:rPr>
      </w:pPr>
      <w:r>
        <w:rPr>
          <w:rFonts w:ascii="Rockwell" w:hAnsi="Rockwell"/>
          <w:szCs w:val="26"/>
        </w:rPr>
        <w:t>La situation des dépôts effectués par la presse écrite du Centre, au cours de l’année, fait ressortir que sur un total de mille sept cent quatre-vingts (</w:t>
      </w:r>
      <w:r>
        <w:rPr>
          <w:rFonts w:ascii="Rockwell" w:hAnsi="Rockwell"/>
          <w:bCs/>
          <w:szCs w:val="26"/>
        </w:rPr>
        <w:t>1780)</w:t>
      </w:r>
      <w:r>
        <w:rPr>
          <w:rFonts w:ascii="Rockwell" w:hAnsi="Rockwell"/>
          <w:b/>
          <w:bCs/>
          <w:szCs w:val="26"/>
        </w:rPr>
        <w:t xml:space="preserve"> </w:t>
      </w:r>
      <w:r>
        <w:rPr>
          <w:rFonts w:ascii="Rockwell" w:hAnsi="Rockwell"/>
          <w:bCs/>
          <w:szCs w:val="26"/>
        </w:rPr>
        <w:t>publications attendues</w:t>
      </w:r>
      <w:r>
        <w:rPr>
          <w:rFonts w:ascii="Rockwell" w:hAnsi="Rockwell"/>
          <w:b/>
          <w:bCs/>
          <w:szCs w:val="26"/>
        </w:rPr>
        <w:t xml:space="preserve">, </w:t>
      </w:r>
      <w:r>
        <w:rPr>
          <w:rFonts w:ascii="Rockwell" w:hAnsi="Rockwell"/>
          <w:szCs w:val="26"/>
        </w:rPr>
        <w:t>le CSC a reçu sept cent vingt-deux (722) exemplaires de journaux constitués de quotidiens, d’hebdomadaires, de bimensuels et de mensuels.</w:t>
      </w:r>
    </w:p>
    <w:p w14:paraId="7500421B" w14:textId="77777777" w:rsidR="00284822" w:rsidRDefault="00F77BF8">
      <w:pPr>
        <w:spacing w:before="120" w:after="120"/>
        <w:ind w:left="-142"/>
        <w:rPr>
          <w:rFonts w:ascii="Rockwell" w:hAnsi="Rockwell"/>
          <w:szCs w:val="26"/>
        </w:rPr>
      </w:pPr>
      <w:r>
        <w:rPr>
          <w:rFonts w:ascii="Rockwell" w:hAnsi="Rockwell"/>
          <w:szCs w:val="26"/>
        </w:rPr>
        <w:t xml:space="preserve">Sept (07) journaux ont un taux de dépôt supérieur ou égal à 50%.  Il s’agit de </w:t>
      </w:r>
      <w:proofErr w:type="spellStart"/>
      <w:r>
        <w:rPr>
          <w:rFonts w:ascii="Rockwell" w:hAnsi="Rockwell"/>
          <w:i/>
          <w:szCs w:val="26"/>
        </w:rPr>
        <w:t>Sidwaya</w:t>
      </w:r>
      <w:proofErr w:type="spellEnd"/>
      <w:r>
        <w:rPr>
          <w:rFonts w:ascii="Rockwell" w:hAnsi="Rockwell"/>
          <w:szCs w:val="26"/>
        </w:rPr>
        <w:t xml:space="preserve">, </w:t>
      </w:r>
      <w:r>
        <w:rPr>
          <w:rFonts w:ascii="Rockwell" w:hAnsi="Rockwell"/>
          <w:i/>
          <w:szCs w:val="26"/>
        </w:rPr>
        <w:t>Le Pays</w:t>
      </w:r>
      <w:r>
        <w:rPr>
          <w:rFonts w:ascii="Rockwell" w:hAnsi="Rockwell"/>
          <w:szCs w:val="26"/>
        </w:rPr>
        <w:t xml:space="preserve">, </w:t>
      </w:r>
      <w:r>
        <w:rPr>
          <w:rFonts w:ascii="Rockwell" w:hAnsi="Rockwell"/>
          <w:i/>
          <w:szCs w:val="26"/>
        </w:rPr>
        <w:t>Le Quotidien</w:t>
      </w:r>
      <w:r>
        <w:rPr>
          <w:rFonts w:ascii="Rockwell" w:hAnsi="Rockwell"/>
          <w:szCs w:val="26"/>
        </w:rPr>
        <w:t xml:space="preserve">, </w:t>
      </w:r>
      <w:proofErr w:type="spellStart"/>
      <w:r>
        <w:rPr>
          <w:rFonts w:ascii="Rockwell" w:hAnsi="Rockwell"/>
          <w:i/>
          <w:szCs w:val="26"/>
        </w:rPr>
        <w:t>Sidwaya</w:t>
      </w:r>
      <w:proofErr w:type="spellEnd"/>
      <w:r>
        <w:rPr>
          <w:rFonts w:ascii="Rockwell" w:hAnsi="Rockwell"/>
          <w:i/>
          <w:szCs w:val="26"/>
        </w:rPr>
        <w:t xml:space="preserve"> sport</w:t>
      </w:r>
      <w:r>
        <w:rPr>
          <w:rFonts w:ascii="Rockwell" w:hAnsi="Rockwell"/>
          <w:szCs w:val="26"/>
        </w:rPr>
        <w:t xml:space="preserve">, </w:t>
      </w:r>
      <w:r>
        <w:rPr>
          <w:rFonts w:ascii="Rockwell" w:hAnsi="Rockwell"/>
          <w:i/>
          <w:szCs w:val="26"/>
        </w:rPr>
        <w:t>Le courrier confidentiel</w:t>
      </w:r>
      <w:r>
        <w:rPr>
          <w:rFonts w:ascii="Rockwell" w:hAnsi="Rockwell"/>
          <w:szCs w:val="26"/>
        </w:rPr>
        <w:t xml:space="preserve">, </w:t>
      </w:r>
      <w:r>
        <w:rPr>
          <w:rFonts w:ascii="Rockwell" w:hAnsi="Rockwell"/>
          <w:bCs/>
          <w:i/>
          <w:szCs w:val="26"/>
        </w:rPr>
        <w:t>L’Evénement</w:t>
      </w:r>
      <w:r>
        <w:rPr>
          <w:rFonts w:ascii="Rockwell" w:hAnsi="Rockwell"/>
          <w:szCs w:val="26"/>
        </w:rPr>
        <w:t xml:space="preserve">, </w:t>
      </w:r>
      <w:r>
        <w:rPr>
          <w:rFonts w:ascii="Rockwell" w:hAnsi="Rockwell"/>
          <w:i/>
          <w:szCs w:val="26"/>
        </w:rPr>
        <w:t>Carrefour Africain</w:t>
      </w:r>
      <w:r>
        <w:rPr>
          <w:rFonts w:ascii="Rockwell" w:hAnsi="Rockwell"/>
          <w:szCs w:val="26"/>
        </w:rPr>
        <w:t>. </w:t>
      </w:r>
      <w:r>
        <w:rPr>
          <w:rFonts w:ascii="Rockwell" w:hAnsi="Rockwell"/>
          <w:szCs w:val="26"/>
        </w:rPr>
        <w:tab/>
      </w:r>
    </w:p>
    <w:p w14:paraId="25F4FB99" w14:textId="77777777" w:rsidR="00284822" w:rsidRDefault="00F77BF8">
      <w:pPr>
        <w:spacing w:before="120" w:after="120"/>
        <w:ind w:left="-142"/>
        <w:rPr>
          <w:rFonts w:ascii="Rockwell" w:hAnsi="Rockwell"/>
          <w:szCs w:val="26"/>
        </w:rPr>
      </w:pPr>
      <w:r>
        <w:rPr>
          <w:rFonts w:ascii="Rockwell" w:hAnsi="Rockwell"/>
          <w:szCs w:val="26"/>
        </w:rPr>
        <w:t>Quant aux autres journaux reçus, leur dépôt est inférieur à 50%. Ce sont </w:t>
      </w:r>
      <w:r>
        <w:rPr>
          <w:rFonts w:ascii="Rockwell" w:hAnsi="Rockwell"/>
          <w:i/>
          <w:szCs w:val="26"/>
        </w:rPr>
        <w:t>: Aujourd’hui au Faso</w:t>
      </w:r>
      <w:r>
        <w:rPr>
          <w:rFonts w:ascii="Rockwell" w:hAnsi="Rockwell"/>
          <w:szCs w:val="26"/>
        </w:rPr>
        <w:t xml:space="preserve">, </w:t>
      </w:r>
      <w:r>
        <w:rPr>
          <w:rFonts w:ascii="Rockwell" w:hAnsi="Rockwell"/>
          <w:i/>
          <w:szCs w:val="26"/>
        </w:rPr>
        <w:t xml:space="preserve">L’Observateur </w:t>
      </w:r>
      <w:proofErr w:type="spellStart"/>
      <w:r>
        <w:rPr>
          <w:rFonts w:ascii="Rockwell" w:hAnsi="Rockwell"/>
          <w:i/>
          <w:szCs w:val="26"/>
        </w:rPr>
        <w:t>Paalga</w:t>
      </w:r>
      <w:proofErr w:type="spellEnd"/>
      <w:r>
        <w:rPr>
          <w:rFonts w:ascii="Rockwell" w:hAnsi="Rockwell"/>
          <w:szCs w:val="26"/>
        </w:rPr>
        <w:t xml:space="preserve">, </w:t>
      </w:r>
      <w:r>
        <w:rPr>
          <w:rFonts w:ascii="Rockwell" w:hAnsi="Rockwell"/>
          <w:i/>
          <w:szCs w:val="26"/>
        </w:rPr>
        <w:t>L’Express du Faso</w:t>
      </w:r>
      <w:r>
        <w:rPr>
          <w:rFonts w:ascii="Rockwell" w:hAnsi="Rockwell"/>
          <w:szCs w:val="26"/>
        </w:rPr>
        <w:t>, </w:t>
      </w:r>
      <w:r>
        <w:rPr>
          <w:rFonts w:ascii="Rockwell" w:hAnsi="Rockwell"/>
          <w:i/>
          <w:szCs w:val="26"/>
        </w:rPr>
        <w:t>La lettre du Faso</w:t>
      </w:r>
      <w:r>
        <w:rPr>
          <w:rFonts w:ascii="Rockwell" w:hAnsi="Rockwell"/>
          <w:szCs w:val="26"/>
        </w:rPr>
        <w:t xml:space="preserve">, </w:t>
      </w:r>
      <w:r>
        <w:rPr>
          <w:rFonts w:ascii="Rockwell" w:hAnsi="Rockwell"/>
          <w:i/>
          <w:szCs w:val="26"/>
        </w:rPr>
        <w:t>Evasion</w:t>
      </w:r>
      <w:r>
        <w:rPr>
          <w:rFonts w:ascii="Rockwell" w:hAnsi="Rockwell"/>
          <w:szCs w:val="26"/>
        </w:rPr>
        <w:t xml:space="preserve">, </w:t>
      </w:r>
      <w:r>
        <w:rPr>
          <w:rFonts w:ascii="Rockwell" w:hAnsi="Rockwell"/>
          <w:i/>
          <w:szCs w:val="26"/>
        </w:rPr>
        <w:t>l’Economiste du Faso</w:t>
      </w:r>
      <w:r>
        <w:rPr>
          <w:rFonts w:ascii="Rockwell" w:hAnsi="Rockwell"/>
          <w:szCs w:val="26"/>
        </w:rPr>
        <w:t xml:space="preserve">, </w:t>
      </w:r>
      <w:r>
        <w:rPr>
          <w:rFonts w:ascii="Rockwell" w:hAnsi="Rockwell"/>
          <w:i/>
          <w:szCs w:val="26"/>
        </w:rPr>
        <w:t xml:space="preserve">Le Reporter, </w:t>
      </w:r>
      <w:r>
        <w:rPr>
          <w:rFonts w:ascii="Rockwell" w:hAnsi="Rockwell"/>
          <w:bCs/>
          <w:i/>
          <w:szCs w:val="26"/>
        </w:rPr>
        <w:t xml:space="preserve">Infos Sciences Culture, </w:t>
      </w:r>
      <w:r>
        <w:rPr>
          <w:rFonts w:ascii="Rockwell" w:hAnsi="Rockwell"/>
          <w:i/>
          <w:szCs w:val="26"/>
        </w:rPr>
        <w:t>Votre Santé, le Nouveau Monde, La Tribune du Sahel</w:t>
      </w:r>
      <w:r>
        <w:rPr>
          <w:rFonts w:ascii="Rockwell" w:hAnsi="Rockwell"/>
          <w:szCs w:val="26"/>
        </w:rPr>
        <w:t xml:space="preserve">. </w:t>
      </w:r>
    </w:p>
    <w:p w14:paraId="4264E4BD" w14:textId="77777777" w:rsidR="00284822" w:rsidRDefault="00284822">
      <w:pPr>
        <w:suppressAutoHyphens w:val="0"/>
        <w:autoSpaceDN/>
        <w:spacing w:before="120" w:after="120"/>
        <w:textAlignment w:val="auto"/>
        <w:rPr>
          <w:rFonts w:ascii="Rockwell" w:eastAsia="Calibri" w:hAnsi="Rockwell"/>
          <w:i/>
          <w:szCs w:val="26"/>
          <w:u w:val="single"/>
        </w:rPr>
      </w:pPr>
    </w:p>
    <w:p w14:paraId="500E0D69" w14:textId="77777777" w:rsidR="00284822" w:rsidRDefault="00284822">
      <w:pPr>
        <w:suppressAutoHyphens w:val="0"/>
        <w:autoSpaceDN/>
        <w:spacing w:before="120" w:after="120"/>
        <w:textAlignment w:val="auto"/>
        <w:rPr>
          <w:rFonts w:ascii="Rockwell" w:eastAsia="Calibri" w:hAnsi="Rockwell"/>
          <w:i/>
          <w:szCs w:val="26"/>
          <w:u w:val="single"/>
        </w:rPr>
        <w:sectPr w:rsidR="00284822">
          <w:pgSz w:w="11906" w:h="16838"/>
          <w:pgMar w:top="1418" w:right="1418" w:bottom="1418" w:left="1418" w:header="709" w:footer="709" w:gutter="0"/>
          <w:cols w:space="720"/>
        </w:sectPr>
      </w:pPr>
    </w:p>
    <w:p w14:paraId="4EB22579" w14:textId="77777777" w:rsidR="00284822" w:rsidRDefault="00F77BF8">
      <w:pPr>
        <w:suppressAutoHyphens w:val="0"/>
        <w:autoSpaceDN/>
        <w:spacing w:before="120" w:after="120"/>
        <w:textAlignment w:val="auto"/>
        <w:rPr>
          <w:rFonts w:ascii="Rockwell" w:eastAsia="Calibri" w:hAnsi="Rockwell"/>
          <w:b/>
          <w:bCs/>
          <w:i/>
          <w:sz w:val="20"/>
          <w:szCs w:val="20"/>
        </w:rPr>
      </w:pPr>
      <w:r>
        <w:rPr>
          <w:rFonts w:ascii="Rockwell" w:eastAsia="Calibri" w:hAnsi="Rockwell"/>
          <w:b/>
          <w:i/>
          <w:sz w:val="20"/>
          <w:szCs w:val="20"/>
          <w:u w:val="single"/>
        </w:rPr>
        <w:lastRenderedPageBreak/>
        <w:t>Tableau 1</w:t>
      </w:r>
      <w:r>
        <w:rPr>
          <w:rFonts w:ascii="Rockwell" w:eastAsia="Calibri" w:hAnsi="Rockwell"/>
          <w:b/>
          <w:i/>
          <w:sz w:val="20"/>
          <w:szCs w:val="20"/>
        </w:rPr>
        <w:t xml:space="preserve"> : </w:t>
      </w:r>
      <w:r>
        <w:rPr>
          <w:rFonts w:ascii="Rockwell" w:eastAsia="Calibri" w:hAnsi="Rockwell"/>
          <w:bCs/>
          <w:i/>
          <w:sz w:val="20"/>
          <w:szCs w:val="20"/>
        </w:rPr>
        <w:t>situation du respect du dépôt légal</w:t>
      </w:r>
    </w:p>
    <w:tbl>
      <w:tblPr>
        <w:tblW w:w="14449" w:type="dxa"/>
        <w:jc w:val="center"/>
        <w:tblCellMar>
          <w:left w:w="70" w:type="dxa"/>
          <w:right w:w="70" w:type="dxa"/>
        </w:tblCellMar>
        <w:tblLook w:val="04A0" w:firstRow="1" w:lastRow="0" w:firstColumn="1" w:lastColumn="0" w:noHBand="0" w:noVBand="1"/>
      </w:tblPr>
      <w:tblGrid>
        <w:gridCol w:w="887"/>
        <w:gridCol w:w="2931"/>
        <w:gridCol w:w="2172"/>
        <w:gridCol w:w="3214"/>
        <w:gridCol w:w="2977"/>
        <w:gridCol w:w="2268"/>
      </w:tblGrid>
      <w:tr w:rsidR="00284822" w14:paraId="1A9843FA" w14:textId="77777777">
        <w:trPr>
          <w:trHeight w:val="657"/>
          <w:jc w:val="center"/>
        </w:trPr>
        <w:tc>
          <w:tcPr>
            <w:tcW w:w="887" w:type="dxa"/>
            <w:tcBorders>
              <w:top w:val="single" w:sz="4" w:space="0" w:color="auto"/>
              <w:left w:val="single" w:sz="8" w:space="0" w:color="auto"/>
              <w:bottom w:val="single" w:sz="8" w:space="0" w:color="auto"/>
              <w:right w:val="single" w:sz="8" w:space="0" w:color="auto"/>
            </w:tcBorders>
            <w:shd w:val="clear" w:color="auto" w:fill="D9D9D9" w:themeFill="background1" w:themeFillShade="D9"/>
          </w:tcPr>
          <w:p w14:paraId="23547BDC" w14:textId="77777777" w:rsidR="00284822" w:rsidRDefault="00F77BF8">
            <w:pPr>
              <w:suppressAutoHyphens w:val="0"/>
              <w:autoSpaceDN/>
              <w:spacing w:line="240" w:lineRule="auto"/>
              <w:jc w:val="center"/>
              <w:textAlignment w:val="auto"/>
              <w:rPr>
                <w:rFonts w:ascii="Rockwell" w:hAnsi="Rockwell"/>
                <w:b/>
                <w:bCs/>
                <w:color w:val="000000"/>
                <w:szCs w:val="26"/>
              </w:rPr>
            </w:pPr>
            <w:r>
              <w:rPr>
                <w:rFonts w:ascii="Rockwell" w:hAnsi="Rockwell"/>
                <w:b/>
                <w:bCs/>
                <w:color w:val="000000"/>
                <w:szCs w:val="26"/>
              </w:rPr>
              <w:t>N°</w:t>
            </w:r>
          </w:p>
        </w:tc>
        <w:tc>
          <w:tcPr>
            <w:tcW w:w="2931" w:type="dxa"/>
            <w:tcBorders>
              <w:top w:val="single" w:sz="4" w:space="0" w:color="auto"/>
              <w:left w:val="nil"/>
              <w:bottom w:val="single" w:sz="8" w:space="0" w:color="auto"/>
              <w:right w:val="single" w:sz="8" w:space="0" w:color="auto"/>
            </w:tcBorders>
            <w:shd w:val="clear" w:color="auto" w:fill="D9D9D9" w:themeFill="background1" w:themeFillShade="D9"/>
          </w:tcPr>
          <w:p w14:paraId="7B2065C9" w14:textId="77777777" w:rsidR="00284822" w:rsidRDefault="00F77BF8">
            <w:pPr>
              <w:suppressAutoHyphens w:val="0"/>
              <w:autoSpaceDN/>
              <w:spacing w:line="240" w:lineRule="auto"/>
              <w:jc w:val="center"/>
              <w:textAlignment w:val="auto"/>
              <w:rPr>
                <w:rFonts w:ascii="Rockwell" w:hAnsi="Rockwell"/>
                <w:b/>
                <w:bCs/>
                <w:color w:val="000000"/>
                <w:szCs w:val="26"/>
              </w:rPr>
            </w:pPr>
            <w:r>
              <w:rPr>
                <w:rFonts w:ascii="Rockwell" w:hAnsi="Rockwell"/>
                <w:b/>
                <w:bCs/>
                <w:color w:val="000000"/>
                <w:szCs w:val="26"/>
              </w:rPr>
              <w:t>JOURNAUX</w:t>
            </w:r>
          </w:p>
        </w:tc>
        <w:tc>
          <w:tcPr>
            <w:tcW w:w="2172" w:type="dxa"/>
            <w:tcBorders>
              <w:top w:val="single" w:sz="4" w:space="0" w:color="auto"/>
              <w:left w:val="nil"/>
              <w:bottom w:val="nil"/>
              <w:right w:val="single" w:sz="8" w:space="0" w:color="auto"/>
            </w:tcBorders>
            <w:shd w:val="clear" w:color="auto" w:fill="D9D9D9" w:themeFill="background1" w:themeFillShade="D9"/>
          </w:tcPr>
          <w:p w14:paraId="24EDB912" w14:textId="77777777" w:rsidR="00284822" w:rsidRDefault="00F77BF8">
            <w:pPr>
              <w:suppressAutoHyphens w:val="0"/>
              <w:autoSpaceDN/>
              <w:spacing w:line="240" w:lineRule="auto"/>
              <w:jc w:val="center"/>
              <w:textAlignment w:val="auto"/>
              <w:rPr>
                <w:rFonts w:ascii="Rockwell" w:hAnsi="Rockwell"/>
                <w:b/>
                <w:bCs/>
                <w:color w:val="000000"/>
                <w:szCs w:val="26"/>
              </w:rPr>
            </w:pPr>
            <w:r>
              <w:rPr>
                <w:rFonts w:ascii="Rockwell" w:hAnsi="Rockwell"/>
                <w:b/>
                <w:bCs/>
                <w:color w:val="000000"/>
                <w:szCs w:val="26"/>
              </w:rPr>
              <w:t>PERIODICITE</w:t>
            </w:r>
          </w:p>
        </w:tc>
        <w:tc>
          <w:tcPr>
            <w:tcW w:w="3214" w:type="dxa"/>
            <w:tcBorders>
              <w:top w:val="single" w:sz="4" w:space="0" w:color="auto"/>
              <w:left w:val="nil"/>
              <w:bottom w:val="single" w:sz="8" w:space="0" w:color="auto"/>
              <w:right w:val="single" w:sz="8" w:space="0" w:color="auto"/>
            </w:tcBorders>
            <w:shd w:val="clear" w:color="auto" w:fill="D9D9D9" w:themeFill="background1" w:themeFillShade="D9"/>
          </w:tcPr>
          <w:p w14:paraId="4EE1B47D" w14:textId="77777777" w:rsidR="00284822" w:rsidRDefault="00F77BF8">
            <w:pPr>
              <w:suppressAutoHyphens w:val="0"/>
              <w:autoSpaceDN/>
              <w:spacing w:line="240" w:lineRule="auto"/>
              <w:jc w:val="center"/>
              <w:textAlignment w:val="auto"/>
              <w:rPr>
                <w:rFonts w:ascii="Rockwell" w:hAnsi="Rockwell"/>
                <w:b/>
                <w:bCs/>
                <w:color w:val="000000"/>
                <w:szCs w:val="26"/>
              </w:rPr>
            </w:pPr>
            <w:r>
              <w:rPr>
                <w:rFonts w:ascii="Rockwell" w:hAnsi="Rockwell"/>
                <w:b/>
                <w:bCs/>
                <w:color w:val="000000"/>
                <w:szCs w:val="26"/>
              </w:rPr>
              <w:t>NOMBRE DE DEPOT</w:t>
            </w:r>
          </w:p>
          <w:p w14:paraId="43D60E27" w14:textId="77777777" w:rsidR="00284822" w:rsidRDefault="00F77BF8">
            <w:pPr>
              <w:suppressAutoHyphens w:val="0"/>
              <w:autoSpaceDN/>
              <w:spacing w:line="240" w:lineRule="auto"/>
              <w:jc w:val="center"/>
              <w:textAlignment w:val="auto"/>
              <w:rPr>
                <w:rFonts w:ascii="Rockwell" w:hAnsi="Rockwell"/>
                <w:b/>
                <w:bCs/>
                <w:color w:val="000000"/>
                <w:szCs w:val="26"/>
              </w:rPr>
            </w:pPr>
            <w:r>
              <w:rPr>
                <w:rFonts w:ascii="Rockwell" w:hAnsi="Rockwell"/>
                <w:b/>
                <w:bCs/>
                <w:color w:val="000000"/>
                <w:szCs w:val="26"/>
              </w:rPr>
              <w:t>EFFECTIF</w:t>
            </w:r>
          </w:p>
        </w:tc>
        <w:tc>
          <w:tcPr>
            <w:tcW w:w="2977" w:type="dxa"/>
            <w:tcBorders>
              <w:top w:val="single" w:sz="4" w:space="0" w:color="auto"/>
              <w:left w:val="nil"/>
              <w:bottom w:val="single" w:sz="8" w:space="0" w:color="auto"/>
              <w:right w:val="single" w:sz="8" w:space="0" w:color="auto"/>
            </w:tcBorders>
            <w:shd w:val="clear" w:color="auto" w:fill="D9D9D9" w:themeFill="background1" w:themeFillShade="D9"/>
          </w:tcPr>
          <w:p w14:paraId="05E9D9D8" w14:textId="77777777" w:rsidR="00284822" w:rsidRDefault="00F77BF8">
            <w:pPr>
              <w:suppressAutoHyphens w:val="0"/>
              <w:autoSpaceDN/>
              <w:spacing w:line="240" w:lineRule="auto"/>
              <w:jc w:val="center"/>
              <w:textAlignment w:val="auto"/>
              <w:rPr>
                <w:rFonts w:ascii="Rockwell" w:hAnsi="Rockwell"/>
                <w:b/>
                <w:bCs/>
                <w:color w:val="000000"/>
                <w:szCs w:val="26"/>
              </w:rPr>
            </w:pPr>
            <w:r>
              <w:rPr>
                <w:rFonts w:ascii="Rockwell" w:hAnsi="Rockwell"/>
                <w:b/>
                <w:bCs/>
                <w:color w:val="000000"/>
                <w:szCs w:val="26"/>
              </w:rPr>
              <w:t>NOMBRE</w:t>
            </w:r>
          </w:p>
          <w:p w14:paraId="7756E79E" w14:textId="77777777" w:rsidR="00284822" w:rsidRDefault="00F77BF8">
            <w:pPr>
              <w:suppressAutoHyphens w:val="0"/>
              <w:autoSpaceDN/>
              <w:spacing w:line="240" w:lineRule="auto"/>
              <w:jc w:val="center"/>
              <w:textAlignment w:val="auto"/>
              <w:rPr>
                <w:rFonts w:ascii="Rockwell" w:hAnsi="Rockwell"/>
                <w:b/>
                <w:bCs/>
                <w:color w:val="000000"/>
                <w:szCs w:val="26"/>
              </w:rPr>
            </w:pPr>
            <w:r>
              <w:rPr>
                <w:rFonts w:ascii="Rockwell" w:hAnsi="Rockwell"/>
                <w:b/>
                <w:bCs/>
                <w:color w:val="000000"/>
                <w:szCs w:val="26"/>
              </w:rPr>
              <w:t>DE PUBLICATIONS</w:t>
            </w:r>
          </w:p>
        </w:tc>
        <w:tc>
          <w:tcPr>
            <w:tcW w:w="2268" w:type="dxa"/>
            <w:tcBorders>
              <w:top w:val="single" w:sz="4" w:space="0" w:color="auto"/>
              <w:left w:val="nil"/>
              <w:bottom w:val="single" w:sz="8" w:space="0" w:color="auto"/>
              <w:right w:val="single" w:sz="8" w:space="0" w:color="auto"/>
            </w:tcBorders>
            <w:shd w:val="clear" w:color="auto" w:fill="D9D9D9" w:themeFill="background1" w:themeFillShade="D9"/>
          </w:tcPr>
          <w:p w14:paraId="5C00826C" w14:textId="77777777" w:rsidR="00284822" w:rsidRDefault="00F77BF8">
            <w:pPr>
              <w:suppressAutoHyphens w:val="0"/>
              <w:autoSpaceDN/>
              <w:spacing w:line="240" w:lineRule="auto"/>
              <w:jc w:val="center"/>
              <w:textAlignment w:val="auto"/>
              <w:rPr>
                <w:rFonts w:ascii="Rockwell" w:hAnsi="Rockwell"/>
                <w:b/>
                <w:bCs/>
                <w:color w:val="000000"/>
                <w:szCs w:val="26"/>
              </w:rPr>
            </w:pPr>
            <w:r>
              <w:rPr>
                <w:rFonts w:ascii="Rockwell" w:hAnsi="Rockwell"/>
                <w:b/>
                <w:bCs/>
                <w:color w:val="000000"/>
                <w:szCs w:val="26"/>
              </w:rPr>
              <w:t>TAUX</w:t>
            </w:r>
          </w:p>
        </w:tc>
      </w:tr>
      <w:tr w:rsidR="00284822" w14:paraId="1E5CA60B" w14:textId="77777777">
        <w:trPr>
          <w:trHeight w:val="57"/>
          <w:jc w:val="center"/>
        </w:trPr>
        <w:tc>
          <w:tcPr>
            <w:tcW w:w="887" w:type="dxa"/>
            <w:tcBorders>
              <w:top w:val="nil"/>
              <w:left w:val="single" w:sz="8" w:space="0" w:color="auto"/>
              <w:bottom w:val="single" w:sz="8" w:space="0" w:color="auto"/>
              <w:right w:val="single" w:sz="8" w:space="0" w:color="auto"/>
            </w:tcBorders>
            <w:shd w:val="clear" w:color="auto" w:fill="auto"/>
          </w:tcPr>
          <w:p w14:paraId="5E748005"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1</w:t>
            </w:r>
          </w:p>
        </w:tc>
        <w:tc>
          <w:tcPr>
            <w:tcW w:w="2931" w:type="dxa"/>
            <w:tcBorders>
              <w:top w:val="nil"/>
              <w:left w:val="nil"/>
              <w:bottom w:val="single" w:sz="8" w:space="0" w:color="auto"/>
              <w:right w:val="nil"/>
            </w:tcBorders>
            <w:shd w:val="clear" w:color="auto" w:fill="auto"/>
          </w:tcPr>
          <w:p w14:paraId="3660347B" w14:textId="77777777" w:rsidR="00284822" w:rsidRDefault="00F77BF8">
            <w:pPr>
              <w:suppressAutoHyphens w:val="0"/>
              <w:autoSpaceDN/>
              <w:spacing w:before="60" w:after="60"/>
              <w:jc w:val="left"/>
              <w:textAlignment w:val="auto"/>
              <w:rPr>
                <w:rFonts w:ascii="Rockwell" w:hAnsi="Rockwell"/>
                <w:bCs/>
                <w:color w:val="000000"/>
                <w:szCs w:val="26"/>
              </w:rPr>
            </w:pPr>
            <w:proofErr w:type="spellStart"/>
            <w:r>
              <w:rPr>
                <w:rFonts w:ascii="Rockwell" w:hAnsi="Rockwell"/>
                <w:bCs/>
                <w:color w:val="000000"/>
                <w:szCs w:val="26"/>
              </w:rPr>
              <w:t>Sidwaya</w:t>
            </w:r>
            <w:proofErr w:type="spellEnd"/>
          </w:p>
        </w:tc>
        <w:tc>
          <w:tcPr>
            <w:tcW w:w="2172" w:type="dxa"/>
            <w:vMerge w:val="restart"/>
            <w:tcBorders>
              <w:top w:val="single" w:sz="4" w:space="0" w:color="auto"/>
              <w:left w:val="single" w:sz="4" w:space="0" w:color="auto"/>
              <w:bottom w:val="single" w:sz="8" w:space="0" w:color="000000"/>
              <w:right w:val="single" w:sz="4" w:space="0" w:color="auto"/>
            </w:tcBorders>
            <w:shd w:val="clear" w:color="auto" w:fill="auto"/>
            <w:vAlign w:val="center"/>
          </w:tcPr>
          <w:p w14:paraId="23CA2568" w14:textId="77777777" w:rsidR="00284822" w:rsidRDefault="00F77BF8">
            <w:pPr>
              <w:suppressAutoHyphens w:val="0"/>
              <w:autoSpaceDN/>
              <w:spacing w:before="60" w:after="60"/>
              <w:jc w:val="center"/>
              <w:textAlignment w:val="auto"/>
              <w:rPr>
                <w:rFonts w:ascii="Rockwell" w:hAnsi="Rockwell"/>
                <w:bCs/>
                <w:color w:val="000000"/>
                <w:szCs w:val="26"/>
              </w:rPr>
            </w:pPr>
            <w:r>
              <w:rPr>
                <w:rFonts w:ascii="Rockwell" w:hAnsi="Rockwell"/>
                <w:bCs/>
                <w:color w:val="000000"/>
                <w:szCs w:val="26"/>
              </w:rPr>
              <w:t>Quotidien</w:t>
            </w:r>
          </w:p>
        </w:tc>
        <w:tc>
          <w:tcPr>
            <w:tcW w:w="3214" w:type="dxa"/>
            <w:tcBorders>
              <w:top w:val="nil"/>
              <w:left w:val="nil"/>
              <w:bottom w:val="single" w:sz="8" w:space="0" w:color="auto"/>
              <w:right w:val="single" w:sz="8" w:space="0" w:color="auto"/>
            </w:tcBorders>
            <w:shd w:val="clear" w:color="auto" w:fill="auto"/>
            <w:vAlign w:val="center"/>
          </w:tcPr>
          <w:p w14:paraId="1D09CEA4"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207</w:t>
            </w:r>
          </w:p>
        </w:tc>
        <w:tc>
          <w:tcPr>
            <w:tcW w:w="2977" w:type="dxa"/>
            <w:tcBorders>
              <w:top w:val="nil"/>
              <w:left w:val="nil"/>
              <w:bottom w:val="single" w:sz="8" w:space="0" w:color="auto"/>
              <w:right w:val="single" w:sz="8" w:space="0" w:color="auto"/>
            </w:tcBorders>
            <w:shd w:val="clear" w:color="auto" w:fill="auto"/>
            <w:vAlign w:val="center"/>
          </w:tcPr>
          <w:p w14:paraId="1C492479"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240</w:t>
            </w:r>
          </w:p>
        </w:tc>
        <w:tc>
          <w:tcPr>
            <w:tcW w:w="2268" w:type="dxa"/>
            <w:tcBorders>
              <w:top w:val="nil"/>
              <w:left w:val="nil"/>
              <w:bottom w:val="single" w:sz="8" w:space="0" w:color="auto"/>
              <w:right w:val="single" w:sz="8" w:space="0" w:color="auto"/>
            </w:tcBorders>
            <w:shd w:val="clear" w:color="auto" w:fill="auto"/>
            <w:vAlign w:val="center"/>
          </w:tcPr>
          <w:p w14:paraId="3D0906F4" w14:textId="77777777" w:rsidR="00284822" w:rsidRDefault="00F77BF8">
            <w:pPr>
              <w:suppressAutoHyphens w:val="0"/>
              <w:autoSpaceDN/>
              <w:spacing w:before="60" w:after="60"/>
              <w:jc w:val="center"/>
              <w:textAlignment w:val="auto"/>
              <w:rPr>
                <w:rFonts w:ascii="Rockwell" w:hAnsi="Rockwell"/>
                <w:bCs/>
                <w:color w:val="000000"/>
                <w:szCs w:val="26"/>
              </w:rPr>
            </w:pPr>
            <w:r>
              <w:rPr>
                <w:rFonts w:ascii="Rockwell" w:hAnsi="Rockwell"/>
                <w:bCs/>
                <w:color w:val="000000"/>
                <w:szCs w:val="26"/>
              </w:rPr>
              <w:t>86%</w:t>
            </w:r>
          </w:p>
        </w:tc>
      </w:tr>
      <w:tr w:rsidR="00284822" w14:paraId="6D2BE793" w14:textId="77777777">
        <w:trPr>
          <w:trHeight w:val="57"/>
          <w:jc w:val="center"/>
        </w:trPr>
        <w:tc>
          <w:tcPr>
            <w:tcW w:w="887" w:type="dxa"/>
            <w:tcBorders>
              <w:top w:val="nil"/>
              <w:left w:val="single" w:sz="8" w:space="0" w:color="auto"/>
              <w:bottom w:val="single" w:sz="8" w:space="0" w:color="auto"/>
              <w:right w:val="single" w:sz="8" w:space="0" w:color="auto"/>
            </w:tcBorders>
            <w:shd w:val="clear" w:color="auto" w:fill="auto"/>
          </w:tcPr>
          <w:p w14:paraId="635AC0F2"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2</w:t>
            </w:r>
          </w:p>
        </w:tc>
        <w:tc>
          <w:tcPr>
            <w:tcW w:w="2931" w:type="dxa"/>
            <w:tcBorders>
              <w:top w:val="nil"/>
              <w:left w:val="nil"/>
              <w:bottom w:val="single" w:sz="8" w:space="0" w:color="auto"/>
              <w:right w:val="nil"/>
            </w:tcBorders>
            <w:shd w:val="clear" w:color="auto" w:fill="auto"/>
          </w:tcPr>
          <w:p w14:paraId="2BA8F2A9"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Le Pays</w:t>
            </w:r>
          </w:p>
        </w:tc>
        <w:tc>
          <w:tcPr>
            <w:tcW w:w="2172" w:type="dxa"/>
            <w:vMerge/>
            <w:tcBorders>
              <w:top w:val="single" w:sz="4" w:space="0" w:color="auto"/>
              <w:left w:val="single" w:sz="4" w:space="0" w:color="auto"/>
              <w:bottom w:val="single" w:sz="8" w:space="0" w:color="000000"/>
              <w:right w:val="single" w:sz="4" w:space="0" w:color="auto"/>
            </w:tcBorders>
            <w:vAlign w:val="center"/>
          </w:tcPr>
          <w:p w14:paraId="0B7202B5" w14:textId="77777777" w:rsidR="00284822" w:rsidRDefault="00284822">
            <w:pPr>
              <w:suppressAutoHyphens w:val="0"/>
              <w:autoSpaceDN/>
              <w:spacing w:before="60" w:after="60"/>
              <w:jc w:val="center"/>
              <w:textAlignment w:val="auto"/>
              <w:rPr>
                <w:rFonts w:ascii="Rockwell" w:hAnsi="Rockwell"/>
                <w:bCs/>
                <w:color w:val="000000"/>
                <w:szCs w:val="26"/>
              </w:rPr>
            </w:pPr>
          </w:p>
        </w:tc>
        <w:tc>
          <w:tcPr>
            <w:tcW w:w="3214" w:type="dxa"/>
            <w:tcBorders>
              <w:top w:val="nil"/>
              <w:left w:val="nil"/>
              <w:bottom w:val="single" w:sz="8" w:space="0" w:color="auto"/>
              <w:right w:val="single" w:sz="8" w:space="0" w:color="auto"/>
            </w:tcBorders>
            <w:shd w:val="clear" w:color="auto" w:fill="auto"/>
            <w:vAlign w:val="center"/>
          </w:tcPr>
          <w:p w14:paraId="2FDE8DE8"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125</w:t>
            </w:r>
          </w:p>
        </w:tc>
        <w:tc>
          <w:tcPr>
            <w:tcW w:w="2977" w:type="dxa"/>
            <w:tcBorders>
              <w:top w:val="nil"/>
              <w:left w:val="nil"/>
              <w:bottom w:val="single" w:sz="8" w:space="0" w:color="auto"/>
              <w:right w:val="single" w:sz="8" w:space="0" w:color="auto"/>
            </w:tcBorders>
            <w:shd w:val="clear" w:color="auto" w:fill="auto"/>
            <w:vAlign w:val="center"/>
          </w:tcPr>
          <w:p w14:paraId="07F6C0F2"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240</w:t>
            </w:r>
          </w:p>
        </w:tc>
        <w:tc>
          <w:tcPr>
            <w:tcW w:w="2268" w:type="dxa"/>
            <w:tcBorders>
              <w:top w:val="nil"/>
              <w:left w:val="nil"/>
              <w:bottom w:val="single" w:sz="8" w:space="0" w:color="auto"/>
              <w:right w:val="single" w:sz="8" w:space="0" w:color="auto"/>
            </w:tcBorders>
            <w:shd w:val="clear" w:color="auto" w:fill="auto"/>
            <w:vAlign w:val="center"/>
          </w:tcPr>
          <w:p w14:paraId="2054B837" w14:textId="77777777" w:rsidR="00284822" w:rsidRDefault="00F77BF8">
            <w:pPr>
              <w:suppressAutoHyphens w:val="0"/>
              <w:autoSpaceDN/>
              <w:spacing w:before="60" w:after="60"/>
              <w:jc w:val="center"/>
              <w:textAlignment w:val="auto"/>
              <w:rPr>
                <w:rFonts w:ascii="Rockwell" w:hAnsi="Rockwell"/>
                <w:bCs/>
                <w:color w:val="000000"/>
                <w:szCs w:val="26"/>
              </w:rPr>
            </w:pPr>
            <w:r>
              <w:rPr>
                <w:rFonts w:ascii="Rockwell" w:hAnsi="Rockwell"/>
                <w:bCs/>
                <w:color w:val="000000"/>
                <w:szCs w:val="26"/>
              </w:rPr>
              <w:t>52%</w:t>
            </w:r>
          </w:p>
        </w:tc>
      </w:tr>
      <w:tr w:rsidR="00284822" w14:paraId="27D05A18" w14:textId="77777777">
        <w:trPr>
          <w:trHeight w:val="57"/>
          <w:jc w:val="center"/>
        </w:trPr>
        <w:tc>
          <w:tcPr>
            <w:tcW w:w="887" w:type="dxa"/>
            <w:tcBorders>
              <w:top w:val="nil"/>
              <w:left w:val="single" w:sz="8" w:space="0" w:color="auto"/>
              <w:bottom w:val="single" w:sz="8" w:space="0" w:color="auto"/>
              <w:right w:val="single" w:sz="8" w:space="0" w:color="auto"/>
            </w:tcBorders>
            <w:shd w:val="clear" w:color="auto" w:fill="auto"/>
          </w:tcPr>
          <w:p w14:paraId="485FEB30"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3</w:t>
            </w:r>
          </w:p>
        </w:tc>
        <w:tc>
          <w:tcPr>
            <w:tcW w:w="2931" w:type="dxa"/>
            <w:tcBorders>
              <w:top w:val="nil"/>
              <w:left w:val="nil"/>
              <w:bottom w:val="single" w:sz="8" w:space="0" w:color="auto"/>
              <w:right w:val="nil"/>
            </w:tcBorders>
            <w:shd w:val="clear" w:color="auto" w:fill="auto"/>
          </w:tcPr>
          <w:p w14:paraId="22CE62C9"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Le Quotidien</w:t>
            </w:r>
          </w:p>
        </w:tc>
        <w:tc>
          <w:tcPr>
            <w:tcW w:w="2172" w:type="dxa"/>
            <w:vMerge/>
            <w:tcBorders>
              <w:top w:val="single" w:sz="4" w:space="0" w:color="auto"/>
              <w:left w:val="single" w:sz="4" w:space="0" w:color="auto"/>
              <w:bottom w:val="single" w:sz="8" w:space="0" w:color="000000"/>
              <w:right w:val="single" w:sz="4" w:space="0" w:color="auto"/>
            </w:tcBorders>
            <w:vAlign w:val="center"/>
          </w:tcPr>
          <w:p w14:paraId="62B08465" w14:textId="77777777" w:rsidR="00284822" w:rsidRDefault="00284822">
            <w:pPr>
              <w:suppressAutoHyphens w:val="0"/>
              <w:autoSpaceDN/>
              <w:spacing w:before="60" w:after="60"/>
              <w:jc w:val="center"/>
              <w:textAlignment w:val="auto"/>
              <w:rPr>
                <w:rFonts w:ascii="Rockwell" w:hAnsi="Rockwell"/>
                <w:bCs/>
                <w:color w:val="000000"/>
                <w:szCs w:val="26"/>
              </w:rPr>
            </w:pPr>
          </w:p>
        </w:tc>
        <w:tc>
          <w:tcPr>
            <w:tcW w:w="3214" w:type="dxa"/>
            <w:tcBorders>
              <w:top w:val="nil"/>
              <w:left w:val="nil"/>
              <w:bottom w:val="single" w:sz="8" w:space="0" w:color="auto"/>
              <w:right w:val="single" w:sz="8" w:space="0" w:color="auto"/>
            </w:tcBorders>
            <w:shd w:val="clear" w:color="auto" w:fill="auto"/>
            <w:vAlign w:val="center"/>
          </w:tcPr>
          <w:p w14:paraId="28D40C8E"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223</w:t>
            </w:r>
          </w:p>
        </w:tc>
        <w:tc>
          <w:tcPr>
            <w:tcW w:w="2977" w:type="dxa"/>
            <w:tcBorders>
              <w:top w:val="nil"/>
              <w:left w:val="nil"/>
              <w:bottom w:val="single" w:sz="8" w:space="0" w:color="auto"/>
              <w:right w:val="single" w:sz="8" w:space="0" w:color="auto"/>
            </w:tcBorders>
            <w:shd w:val="clear" w:color="auto" w:fill="auto"/>
            <w:vAlign w:val="center"/>
          </w:tcPr>
          <w:p w14:paraId="69F272B5"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240</w:t>
            </w:r>
          </w:p>
        </w:tc>
        <w:tc>
          <w:tcPr>
            <w:tcW w:w="2268" w:type="dxa"/>
            <w:tcBorders>
              <w:top w:val="nil"/>
              <w:left w:val="nil"/>
              <w:bottom w:val="single" w:sz="8" w:space="0" w:color="auto"/>
              <w:right w:val="single" w:sz="8" w:space="0" w:color="auto"/>
            </w:tcBorders>
            <w:shd w:val="clear" w:color="auto" w:fill="auto"/>
            <w:vAlign w:val="center"/>
          </w:tcPr>
          <w:p w14:paraId="152782C4" w14:textId="77777777" w:rsidR="00284822" w:rsidRDefault="00F77BF8">
            <w:pPr>
              <w:suppressAutoHyphens w:val="0"/>
              <w:autoSpaceDN/>
              <w:spacing w:before="60" w:after="60"/>
              <w:jc w:val="center"/>
              <w:textAlignment w:val="auto"/>
              <w:rPr>
                <w:rFonts w:ascii="Rockwell" w:hAnsi="Rockwell"/>
                <w:bCs/>
                <w:color w:val="000000"/>
                <w:szCs w:val="26"/>
              </w:rPr>
            </w:pPr>
            <w:r>
              <w:rPr>
                <w:rFonts w:ascii="Rockwell" w:hAnsi="Rockwell"/>
                <w:bCs/>
                <w:color w:val="000000"/>
                <w:szCs w:val="26"/>
              </w:rPr>
              <w:t>93%</w:t>
            </w:r>
          </w:p>
        </w:tc>
      </w:tr>
      <w:tr w:rsidR="00284822" w14:paraId="1A188B37" w14:textId="77777777">
        <w:trPr>
          <w:trHeight w:val="57"/>
          <w:jc w:val="center"/>
        </w:trPr>
        <w:tc>
          <w:tcPr>
            <w:tcW w:w="887" w:type="dxa"/>
            <w:tcBorders>
              <w:top w:val="nil"/>
              <w:left w:val="single" w:sz="8" w:space="0" w:color="auto"/>
              <w:bottom w:val="single" w:sz="8" w:space="0" w:color="auto"/>
              <w:right w:val="single" w:sz="8" w:space="0" w:color="auto"/>
            </w:tcBorders>
            <w:shd w:val="clear" w:color="auto" w:fill="auto"/>
          </w:tcPr>
          <w:p w14:paraId="7F1D09BB"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4</w:t>
            </w:r>
          </w:p>
        </w:tc>
        <w:tc>
          <w:tcPr>
            <w:tcW w:w="2931" w:type="dxa"/>
            <w:tcBorders>
              <w:top w:val="nil"/>
              <w:left w:val="nil"/>
              <w:bottom w:val="single" w:sz="8" w:space="0" w:color="auto"/>
              <w:right w:val="nil"/>
            </w:tcBorders>
            <w:shd w:val="clear" w:color="auto" w:fill="auto"/>
          </w:tcPr>
          <w:p w14:paraId="180B41EC"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 xml:space="preserve">L'Observateur </w:t>
            </w:r>
            <w:proofErr w:type="spellStart"/>
            <w:r>
              <w:rPr>
                <w:rFonts w:ascii="Rockwell" w:hAnsi="Rockwell"/>
                <w:bCs/>
                <w:color w:val="000000"/>
                <w:szCs w:val="26"/>
              </w:rPr>
              <w:t>Paalga</w:t>
            </w:r>
            <w:proofErr w:type="spellEnd"/>
          </w:p>
        </w:tc>
        <w:tc>
          <w:tcPr>
            <w:tcW w:w="2172" w:type="dxa"/>
            <w:vMerge/>
            <w:tcBorders>
              <w:top w:val="single" w:sz="4" w:space="0" w:color="auto"/>
              <w:left w:val="single" w:sz="4" w:space="0" w:color="auto"/>
              <w:bottom w:val="single" w:sz="8" w:space="0" w:color="000000"/>
              <w:right w:val="single" w:sz="4" w:space="0" w:color="auto"/>
            </w:tcBorders>
            <w:vAlign w:val="center"/>
          </w:tcPr>
          <w:p w14:paraId="02ECBF4C" w14:textId="77777777" w:rsidR="00284822" w:rsidRDefault="00284822">
            <w:pPr>
              <w:suppressAutoHyphens w:val="0"/>
              <w:autoSpaceDN/>
              <w:spacing w:before="60" w:after="60"/>
              <w:jc w:val="center"/>
              <w:textAlignment w:val="auto"/>
              <w:rPr>
                <w:rFonts w:ascii="Rockwell" w:hAnsi="Rockwell"/>
                <w:bCs/>
                <w:color w:val="000000"/>
                <w:szCs w:val="26"/>
              </w:rPr>
            </w:pPr>
          </w:p>
        </w:tc>
        <w:tc>
          <w:tcPr>
            <w:tcW w:w="3214" w:type="dxa"/>
            <w:tcBorders>
              <w:top w:val="nil"/>
              <w:left w:val="nil"/>
              <w:bottom w:val="single" w:sz="8" w:space="0" w:color="auto"/>
              <w:right w:val="single" w:sz="8" w:space="0" w:color="auto"/>
            </w:tcBorders>
            <w:shd w:val="clear" w:color="auto" w:fill="auto"/>
            <w:vAlign w:val="center"/>
          </w:tcPr>
          <w:p w14:paraId="4F7381CD"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4</w:t>
            </w:r>
          </w:p>
        </w:tc>
        <w:tc>
          <w:tcPr>
            <w:tcW w:w="2977" w:type="dxa"/>
            <w:tcBorders>
              <w:top w:val="nil"/>
              <w:left w:val="nil"/>
              <w:bottom w:val="single" w:sz="8" w:space="0" w:color="auto"/>
              <w:right w:val="single" w:sz="8" w:space="0" w:color="auto"/>
            </w:tcBorders>
            <w:shd w:val="clear" w:color="auto" w:fill="auto"/>
            <w:vAlign w:val="center"/>
          </w:tcPr>
          <w:p w14:paraId="1D478259"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240</w:t>
            </w:r>
          </w:p>
        </w:tc>
        <w:tc>
          <w:tcPr>
            <w:tcW w:w="2268" w:type="dxa"/>
            <w:tcBorders>
              <w:top w:val="nil"/>
              <w:left w:val="nil"/>
              <w:bottom w:val="single" w:sz="8" w:space="0" w:color="auto"/>
              <w:right w:val="single" w:sz="8" w:space="0" w:color="auto"/>
            </w:tcBorders>
            <w:shd w:val="clear" w:color="auto" w:fill="auto"/>
            <w:vAlign w:val="center"/>
          </w:tcPr>
          <w:p w14:paraId="5B6057E3" w14:textId="77777777" w:rsidR="00284822" w:rsidRDefault="00F77BF8">
            <w:pPr>
              <w:suppressAutoHyphens w:val="0"/>
              <w:autoSpaceDN/>
              <w:spacing w:before="60" w:after="60"/>
              <w:jc w:val="center"/>
              <w:textAlignment w:val="auto"/>
              <w:rPr>
                <w:rFonts w:ascii="Rockwell" w:hAnsi="Rockwell"/>
                <w:bCs/>
                <w:color w:val="000000"/>
                <w:szCs w:val="26"/>
              </w:rPr>
            </w:pPr>
            <w:r>
              <w:rPr>
                <w:rFonts w:ascii="Rockwell" w:hAnsi="Rockwell"/>
                <w:bCs/>
                <w:color w:val="000000"/>
                <w:szCs w:val="26"/>
              </w:rPr>
              <w:t>2%</w:t>
            </w:r>
          </w:p>
        </w:tc>
      </w:tr>
      <w:tr w:rsidR="00284822" w14:paraId="4403A36D" w14:textId="77777777">
        <w:trPr>
          <w:trHeight w:val="57"/>
          <w:jc w:val="center"/>
        </w:trPr>
        <w:tc>
          <w:tcPr>
            <w:tcW w:w="887" w:type="dxa"/>
            <w:tcBorders>
              <w:top w:val="nil"/>
              <w:left w:val="single" w:sz="8" w:space="0" w:color="auto"/>
              <w:bottom w:val="single" w:sz="8" w:space="0" w:color="auto"/>
              <w:right w:val="single" w:sz="8" w:space="0" w:color="auto"/>
            </w:tcBorders>
            <w:shd w:val="clear" w:color="000000" w:fill="F2F2F2"/>
          </w:tcPr>
          <w:p w14:paraId="3AA17819"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5</w:t>
            </w:r>
          </w:p>
        </w:tc>
        <w:tc>
          <w:tcPr>
            <w:tcW w:w="2931" w:type="dxa"/>
            <w:tcBorders>
              <w:top w:val="nil"/>
              <w:left w:val="nil"/>
              <w:bottom w:val="single" w:sz="8" w:space="0" w:color="auto"/>
              <w:right w:val="nil"/>
            </w:tcBorders>
            <w:shd w:val="clear" w:color="auto" w:fill="auto"/>
          </w:tcPr>
          <w:p w14:paraId="5F893CFC"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Aujourd’hui au Faso</w:t>
            </w:r>
          </w:p>
        </w:tc>
        <w:tc>
          <w:tcPr>
            <w:tcW w:w="2172" w:type="dxa"/>
            <w:vMerge/>
            <w:tcBorders>
              <w:top w:val="single" w:sz="4" w:space="0" w:color="auto"/>
              <w:left w:val="single" w:sz="4" w:space="0" w:color="auto"/>
              <w:bottom w:val="single" w:sz="8" w:space="0" w:color="000000"/>
              <w:right w:val="single" w:sz="4" w:space="0" w:color="auto"/>
            </w:tcBorders>
            <w:vAlign w:val="center"/>
          </w:tcPr>
          <w:p w14:paraId="2EF56A96" w14:textId="77777777" w:rsidR="00284822" w:rsidRDefault="00284822">
            <w:pPr>
              <w:suppressAutoHyphens w:val="0"/>
              <w:autoSpaceDN/>
              <w:spacing w:before="60" w:after="60"/>
              <w:jc w:val="center"/>
              <w:textAlignment w:val="auto"/>
              <w:rPr>
                <w:rFonts w:ascii="Rockwell" w:hAnsi="Rockwell"/>
                <w:bCs/>
                <w:color w:val="000000"/>
                <w:szCs w:val="26"/>
              </w:rPr>
            </w:pPr>
          </w:p>
        </w:tc>
        <w:tc>
          <w:tcPr>
            <w:tcW w:w="3214" w:type="dxa"/>
            <w:tcBorders>
              <w:top w:val="nil"/>
              <w:left w:val="nil"/>
              <w:bottom w:val="single" w:sz="8" w:space="0" w:color="auto"/>
              <w:right w:val="single" w:sz="8" w:space="0" w:color="auto"/>
            </w:tcBorders>
            <w:shd w:val="clear" w:color="auto" w:fill="auto"/>
            <w:vAlign w:val="center"/>
          </w:tcPr>
          <w:p w14:paraId="1806CA92"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26</w:t>
            </w:r>
          </w:p>
        </w:tc>
        <w:tc>
          <w:tcPr>
            <w:tcW w:w="2977" w:type="dxa"/>
            <w:tcBorders>
              <w:top w:val="nil"/>
              <w:left w:val="nil"/>
              <w:bottom w:val="single" w:sz="8" w:space="0" w:color="auto"/>
              <w:right w:val="single" w:sz="8" w:space="0" w:color="auto"/>
            </w:tcBorders>
            <w:shd w:val="clear" w:color="auto" w:fill="auto"/>
            <w:vAlign w:val="center"/>
          </w:tcPr>
          <w:p w14:paraId="579600DB"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240</w:t>
            </w:r>
          </w:p>
        </w:tc>
        <w:tc>
          <w:tcPr>
            <w:tcW w:w="2268" w:type="dxa"/>
            <w:tcBorders>
              <w:top w:val="nil"/>
              <w:left w:val="nil"/>
              <w:bottom w:val="single" w:sz="8" w:space="0" w:color="auto"/>
              <w:right w:val="single" w:sz="8" w:space="0" w:color="auto"/>
            </w:tcBorders>
            <w:shd w:val="clear" w:color="auto" w:fill="auto"/>
            <w:vAlign w:val="center"/>
          </w:tcPr>
          <w:p w14:paraId="30ABA5C7" w14:textId="77777777" w:rsidR="00284822" w:rsidRDefault="00F77BF8">
            <w:pPr>
              <w:suppressAutoHyphens w:val="0"/>
              <w:autoSpaceDN/>
              <w:spacing w:before="60" w:after="60"/>
              <w:jc w:val="center"/>
              <w:textAlignment w:val="auto"/>
              <w:rPr>
                <w:rFonts w:ascii="Rockwell" w:hAnsi="Rockwell"/>
                <w:bCs/>
                <w:color w:val="000000"/>
                <w:szCs w:val="26"/>
              </w:rPr>
            </w:pPr>
            <w:r>
              <w:rPr>
                <w:rFonts w:ascii="Rockwell" w:hAnsi="Rockwell"/>
                <w:bCs/>
                <w:color w:val="000000"/>
                <w:szCs w:val="26"/>
              </w:rPr>
              <w:t>11%</w:t>
            </w:r>
          </w:p>
        </w:tc>
      </w:tr>
      <w:tr w:rsidR="00284822" w14:paraId="2FDE4CBD" w14:textId="77777777">
        <w:trPr>
          <w:trHeight w:val="60"/>
          <w:jc w:val="center"/>
        </w:trPr>
        <w:tc>
          <w:tcPr>
            <w:tcW w:w="887" w:type="dxa"/>
            <w:tcBorders>
              <w:top w:val="nil"/>
              <w:left w:val="single" w:sz="8" w:space="0" w:color="auto"/>
              <w:bottom w:val="single" w:sz="8" w:space="0" w:color="auto"/>
              <w:right w:val="single" w:sz="8" w:space="0" w:color="auto"/>
            </w:tcBorders>
            <w:shd w:val="clear" w:color="000000" w:fill="F2F2F2"/>
          </w:tcPr>
          <w:p w14:paraId="5AA16829"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6</w:t>
            </w:r>
          </w:p>
        </w:tc>
        <w:tc>
          <w:tcPr>
            <w:tcW w:w="2931" w:type="dxa"/>
            <w:tcBorders>
              <w:top w:val="nil"/>
              <w:left w:val="nil"/>
              <w:bottom w:val="single" w:sz="8" w:space="0" w:color="auto"/>
              <w:right w:val="nil"/>
            </w:tcBorders>
            <w:shd w:val="clear" w:color="auto" w:fill="auto"/>
          </w:tcPr>
          <w:p w14:paraId="7D25C562"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L'Express du Faso</w:t>
            </w:r>
          </w:p>
        </w:tc>
        <w:tc>
          <w:tcPr>
            <w:tcW w:w="2172" w:type="dxa"/>
            <w:vMerge/>
            <w:tcBorders>
              <w:top w:val="single" w:sz="4" w:space="0" w:color="auto"/>
              <w:left w:val="single" w:sz="4" w:space="0" w:color="auto"/>
              <w:bottom w:val="single" w:sz="8" w:space="0" w:color="000000"/>
              <w:right w:val="single" w:sz="4" w:space="0" w:color="auto"/>
            </w:tcBorders>
            <w:vAlign w:val="center"/>
          </w:tcPr>
          <w:p w14:paraId="2D122E4C" w14:textId="77777777" w:rsidR="00284822" w:rsidRDefault="00284822">
            <w:pPr>
              <w:suppressAutoHyphens w:val="0"/>
              <w:autoSpaceDN/>
              <w:spacing w:before="60" w:after="60"/>
              <w:jc w:val="center"/>
              <w:textAlignment w:val="auto"/>
              <w:rPr>
                <w:rFonts w:ascii="Rockwell" w:hAnsi="Rockwell"/>
                <w:bCs/>
                <w:color w:val="000000"/>
                <w:szCs w:val="26"/>
              </w:rPr>
            </w:pPr>
          </w:p>
        </w:tc>
        <w:tc>
          <w:tcPr>
            <w:tcW w:w="3214" w:type="dxa"/>
            <w:tcBorders>
              <w:top w:val="nil"/>
              <w:left w:val="nil"/>
              <w:bottom w:val="single" w:sz="8" w:space="0" w:color="auto"/>
              <w:right w:val="single" w:sz="8" w:space="0" w:color="auto"/>
            </w:tcBorders>
            <w:shd w:val="clear" w:color="auto" w:fill="auto"/>
            <w:vAlign w:val="center"/>
          </w:tcPr>
          <w:p w14:paraId="2D86F074"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1</w:t>
            </w:r>
          </w:p>
        </w:tc>
        <w:tc>
          <w:tcPr>
            <w:tcW w:w="2977" w:type="dxa"/>
            <w:tcBorders>
              <w:top w:val="nil"/>
              <w:left w:val="nil"/>
              <w:bottom w:val="single" w:sz="8" w:space="0" w:color="auto"/>
              <w:right w:val="single" w:sz="8" w:space="0" w:color="auto"/>
            </w:tcBorders>
            <w:shd w:val="clear" w:color="auto" w:fill="auto"/>
            <w:vAlign w:val="center"/>
          </w:tcPr>
          <w:p w14:paraId="2CC359A0"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240</w:t>
            </w:r>
          </w:p>
        </w:tc>
        <w:tc>
          <w:tcPr>
            <w:tcW w:w="2268" w:type="dxa"/>
            <w:tcBorders>
              <w:top w:val="nil"/>
              <w:left w:val="nil"/>
              <w:bottom w:val="single" w:sz="8" w:space="0" w:color="auto"/>
              <w:right w:val="single" w:sz="8" w:space="0" w:color="auto"/>
            </w:tcBorders>
            <w:shd w:val="clear" w:color="auto" w:fill="auto"/>
            <w:vAlign w:val="center"/>
          </w:tcPr>
          <w:p w14:paraId="5D520D8A" w14:textId="77777777" w:rsidR="00284822" w:rsidRDefault="00F77BF8">
            <w:pPr>
              <w:suppressAutoHyphens w:val="0"/>
              <w:autoSpaceDN/>
              <w:spacing w:before="60" w:after="60"/>
              <w:jc w:val="center"/>
              <w:textAlignment w:val="auto"/>
              <w:rPr>
                <w:rFonts w:ascii="Rockwell" w:hAnsi="Rockwell"/>
                <w:bCs/>
                <w:color w:val="000000"/>
                <w:szCs w:val="26"/>
              </w:rPr>
            </w:pPr>
            <w:r>
              <w:rPr>
                <w:rFonts w:ascii="Rockwell" w:hAnsi="Rockwell"/>
                <w:bCs/>
                <w:color w:val="000000"/>
                <w:szCs w:val="26"/>
              </w:rPr>
              <w:t>0%</w:t>
            </w:r>
          </w:p>
        </w:tc>
      </w:tr>
      <w:tr w:rsidR="00284822" w14:paraId="53E364B3" w14:textId="77777777">
        <w:trPr>
          <w:trHeight w:val="57"/>
          <w:jc w:val="center"/>
        </w:trPr>
        <w:tc>
          <w:tcPr>
            <w:tcW w:w="887" w:type="dxa"/>
            <w:tcBorders>
              <w:top w:val="nil"/>
              <w:left w:val="single" w:sz="8" w:space="0" w:color="auto"/>
              <w:bottom w:val="single" w:sz="8" w:space="0" w:color="auto"/>
              <w:right w:val="single" w:sz="8" w:space="0" w:color="auto"/>
            </w:tcBorders>
            <w:shd w:val="clear" w:color="000000" w:fill="F2F2F2"/>
          </w:tcPr>
          <w:p w14:paraId="7E32ADD2"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7</w:t>
            </w:r>
          </w:p>
        </w:tc>
        <w:tc>
          <w:tcPr>
            <w:tcW w:w="2931" w:type="dxa"/>
            <w:tcBorders>
              <w:top w:val="nil"/>
              <w:left w:val="nil"/>
              <w:bottom w:val="single" w:sz="8" w:space="0" w:color="auto"/>
              <w:right w:val="single" w:sz="8" w:space="0" w:color="auto"/>
            </w:tcBorders>
            <w:shd w:val="clear" w:color="000000" w:fill="D9D9D9"/>
          </w:tcPr>
          <w:p w14:paraId="79435635"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La Lettre du Faso</w:t>
            </w:r>
          </w:p>
        </w:tc>
        <w:tc>
          <w:tcPr>
            <w:tcW w:w="2172" w:type="dxa"/>
            <w:vMerge w:val="restart"/>
            <w:tcBorders>
              <w:top w:val="nil"/>
              <w:left w:val="single" w:sz="8" w:space="0" w:color="auto"/>
              <w:bottom w:val="single" w:sz="8" w:space="0" w:color="000000"/>
              <w:right w:val="single" w:sz="8" w:space="0" w:color="auto"/>
            </w:tcBorders>
            <w:shd w:val="clear" w:color="000000" w:fill="D9D9D9"/>
            <w:vAlign w:val="center"/>
          </w:tcPr>
          <w:p w14:paraId="274F3873" w14:textId="77777777" w:rsidR="00284822" w:rsidRDefault="00F77BF8">
            <w:pPr>
              <w:suppressAutoHyphens w:val="0"/>
              <w:autoSpaceDN/>
              <w:spacing w:before="60" w:after="60"/>
              <w:jc w:val="center"/>
              <w:textAlignment w:val="auto"/>
              <w:rPr>
                <w:rFonts w:ascii="Rockwell" w:hAnsi="Rockwell"/>
                <w:bCs/>
                <w:color w:val="000000"/>
                <w:szCs w:val="26"/>
              </w:rPr>
            </w:pPr>
            <w:r>
              <w:rPr>
                <w:rFonts w:ascii="Rockwell" w:hAnsi="Rockwell"/>
                <w:bCs/>
                <w:color w:val="000000"/>
                <w:szCs w:val="26"/>
              </w:rPr>
              <w:t>Hebdomadaire</w:t>
            </w:r>
          </w:p>
        </w:tc>
        <w:tc>
          <w:tcPr>
            <w:tcW w:w="3214" w:type="dxa"/>
            <w:tcBorders>
              <w:top w:val="nil"/>
              <w:left w:val="nil"/>
              <w:bottom w:val="single" w:sz="8" w:space="0" w:color="auto"/>
              <w:right w:val="single" w:sz="8" w:space="0" w:color="auto"/>
            </w:tcBorders>
            <w:shd w:val="clear" w:color="000000" w:fill="D9D9D9"/>
            <w:vAlign w:val="center"/>
          </w:tcPr>
          <w:p w14:paraId="25355DBC"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10</w:t>
            </w:r>
          </w:p>
        </w:tc>
        <w:tc>
          <w:tcPr>
            <w:tcW w:w="2977" w:type="dxa"/>
            <w:tcBorders>
              <w:top w:val="nil"/>
              <w:left w:val="nil"/>
              <w:bottom w:val="single" w:sz="8" w:space="0" w:color="auto"/>
              <w:right w:val="single" w:sz="8" w:space="0" w:color="auto"/>
            </w:tcBorders>
            <w:shd w:val="clear" w:color="000000" w:fill="D9D9D9"/>
            <w:vAlign w:val="center"/>
          </w:tcPr>
          <w:p w14:paraId="0B59B37E"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48</w:t>
            </w:r>
          </w:p>
        </w:tc>
        <w:tc>
          <w:tcPr>
            <w:tcW w:w="2268" w:type="dxa"/>
            <w:tcBorders>
              <w:top w:val="nil"/>
              <w:left w:val="nil"/>
              <w:bottom w:val="single" w:sz="8" w:space="0" w:color="auto"/>
              <w:right w:val="single" w:sz="8" w:space="0" w:color="auto"/>
            </w:tcBorders>
            <w:shd w:val="clear" w:color="000000" w:fill="D9D9D9"/>
            <w:vAlign w:val="center"/>
          </w:tcPr>
          <w:p w14:paraId="0B47931D" w14:textId="77777777" w:rsidR="00284822" w:rsidRDefault="00F77BF8">
            <w:pPr>
              <w:suppressAutoHyphens w:val="0"/>
              <w:autoSpaceDN/>
              <w:spacing w:before="60" w:after="60"/>
              <w:jc w:val="center"/>
              <w:textAlignment w:val="auto"/>
              <w:rPr>
                <w:rFonts w:ascii="Rockwell" w:hAnsi="Rockwell"/>
                <w:bCs/>
                <w:color w:val="000000"/>
                <w:szCs w:val="26"/>
              </w:rPr>
            </w:pPr>
            <w:r>
              <w:rPr>
                <w:rFonts w:ascii="Rockwell" w:hAnsi="Rockwell"/>
                <w:bCs/>
                <w:color w:val="000000"/>
                <w:szCs w:val="26"/>
              </w:rPr>
              <w:t>21%</w:t>
            </w:r>
          </w:p>
        </w:tc>
      </w:tr>
      <w:tr w:rsidR="00284822" w14:paraId="67E4857D" w14:textId="77777777">
        <w:trPr>
          <w:trHeight w:val="57"/>
          <w:jc w:val="center"/>
        </w:trPr>
        <w:tc>
          <w:tcPr>
            <w:tcW w:w="887" w:type="dxa"/>
            <w:tcBorders>
              <w:top w:val="nil"/>
              <w:left w:val="single" w:sz="8" w:space="0" w:color="auto"/>
              <w:bottom w:val="single" w:sz="8" w:space="0" w:color="auto"/>
              <w:right w:val="single" w:sz="8" w:space="0" w:color="auto"/>
            </w:tcBorders>
            <w:shd w:val="clear" w:color="000000" w:fill="F2F2F2"/>
          </w:tcPr>
          <w:p w14:paraId="559B0476"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8</w:t>
            </w:r>
          </w:p>
        </w:tc>
        <w:tc>
          <w:tcPr>
            <w:tcW w:w="2931" w:type="dxa"/>
            <w:tcBorders>
              <w:top w:val="nil"/>
              <w:left w:val="nil"/>
              <w:bottom w:val="single" w:sz="8" w:space="0" w:color="auto"/>
              <w:right w:val="single" w:sz="8" w:space="0" w:color="auto"/>
            </w:tcBorders>
            <w:shd w:val="clear" w:color="000000" w:fill="D9D9D9"/>
          </w:tcPr>
          <w:p w14:paraId="3707101D"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L'Economiste du Faso</w:t>
            </w:r>
          </w:p>
        </w:tc>
        <w:tc>
          <w:tcPr>
            <w:tcW w:w="2172" w:type="dxa"/>
            <w:vMerge/>
            <w:tcBorders>
              <w:top w:val="nil"/>
              <w:left w:val="single" w:sz="8" w:space="0" w:color="auto"/>
              <w:bottom w:val="single" w:sz="8" w:space="0" w:color="000000"/>
              <w:right w:val="single" w:sz="8" w:space="0" w:color="auto"/>
            </w:tcBorders>
            <w:vAlign w:val="center"/>
          </w:tcPr>
          <w:p w14:paraId="2501FBEF" w14:textId="77777777" w:rsidR="00284822" w:rsidRDefault="00284822">
            <w:pPr>
              <w:suppressAutoHyphens w:val="0"/>
              <w:autoSpaceDN/>
              <w:spacing w:before="60" w:after="60"/>
              <w:jc w:val="center"/>
              <w:textAlignment w:val="auto"/>
              <w:rPr>
                <w:rFonts w:ascii="Rockwell" w:hAnsi="Rockwell"/>
                <w:bCs/>
                <w:color w:val="000000"/>
                <w:szCs w:val="26"/>
              </w:rPr>
            </w:pPr>
          </w:p>
        </w:tc>
        <w:tc>
          <w:tcPr>
            <w:tcW w:w="3214" w:type="dxa"/>
            <w:tcBorders>
              <w:top w:val="nil"/>
              <w:left w:val="nil"/>
              <w:bottom w:val="single" w:sz="8" w:space="0" w:color="auto"/>
              <w:right w:val="single" w:sz="8" w:space="0" w:color="auto"/>
            </w:tcBorders>
            <w:shd w:val="clear" w:color="000000" w:fill="D9D9D9"/>
            <w:vAlign w:val="center"/>
          </w:tcPr>
          <w:p w14:paraId="582AB9AB"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2</w:t>
            </w:r>
          </w:p>
        </w:tc>
        <w:tc>
          <w:tcPr>
            <w:tcW w:w="2977" w:type="dxa"/>
            <w:tcBorders>
              <w:top w:val="nil"/>
              <w:left w:val="nil"/>
              <w:bottom w:val="single" w:sz="8" w:space="0" w:color="auto"/>
              <w:right w:val="single" w:sz="8" w:space="0" w:color="auto"/>
            </w:tcBorders>
            <w:shd w:val="clear" w:color="000000" w:fill="D9D9D9"/>
            <w:vAlign w:val="center"/>
          </w:tcPr>
          <w:p w14:paraId="7A21B7A6"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48</w:t>
            </w:r>
          </w:p>
        </w:tc>
        <w:tc>
          <w:tcPr>
            <w:tcW w:w="2268" w:type="dxa"/>
            <w:tcBorders>
              <w:top w:val="nil"/>
              <w:left w:val="nil"/>
              <w:bottom w:val="single" w:sz="8" w:space="0" w:color="auto"/>
              <w:right w:val="single" w:sz="8" w:space="0" w:color="auto"/>
            </w:tcBorders>
            <w:shd w:val="clear" w:color="000000" w:fill="D9D9D9"/>
            <w:vAlign w:val="center"/>
          </w:tcPr>
          <w:p w14:paraId="7A8F5609" w14:textId="77777777" w:rsidR="00284822" w:rsidRDefault="00F77BF8">
            <w:pPr>
              <w:suppressAutoHyphens w:val="0"/>
              <w:autoSpaceDN/>
              <w:spacing w:before="60" w:after="60"/>
              <w:jc w:val="center"/>
              <w:textAlignment w:val="auto"/>
              <w:rPr>
                <w:rFonts w:ascii="Rockwell" w:hAnsi="Rockwell"/>
                <w:bCs/>
                <w:color w:val="000000"/>
                <w:szCs w:val="26"/>
              </w:rPr>
            </w:pPr>
            <w:r>
              <w:rPr>
                <w:rFonts w:ascii="Rockwell" w:hAnsi="Rockwell"/>
                <w:bCs/>
                <w:color w:val="000000"/>
                <w:szCs w:val="26"/>
              </w:rPr>
              <w:t>4%</w:t>
            </w:r>
          </w:p>
        </w:tc>
      </w:tr>
      <w:tr w:rsidR="00284822" w14:paraId="245193F1" w14:textId="77777777">
        <w:trPr>
          <w:trHeight w:val="57"/>
          <w:jc w:val="center"/>
        </w:trPr>
        <w:tc>
          <w:tcPr>
            <w:tcW w:w="887" w:type="dxa"/>
            <w:tcBorders>
              <w:top w:val="nil"/>
              <w:left w:val="single" w:sz="8" w:space="0" w:color="auto"/>
              <w:bottom w:val="single" w:sz="8" w:space="0" w:color="auto"/>
              <w:right w:val="single" w:sz="8" w:space="0" w:color="auto"/>
            </w:tcBorders>
            <w:shd w:val="clear" w:color="000000" w:fill="F2F2F2"/>
          </w:tcPr>
          <w:p w14:paraId="44E1EDBE"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9</w:t>
            </w:r>
          </w:p>
        </w:tc>
        <w:tc>
          <w:tcPr>
            <w:tcW w:w="2931" w:type="dxa"/>
            <w:tcBorders>
              <w:top w:val="nil"/>
              <w:left w:val="nil"/>
              <w:bottom w:val="single" w:sz="8" w:space="0" w:color="auto"/>
              <w:right w:val="single" w:sz="8" w:space="0" w:color="auto"/>
            </w:tcBorders>
            <w:shd w:val="clear" w:color="000000" w:fill="D9D9D9"/>
          </w:tcPr>
          <w:p w14:paraId="2A6A69FE"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Evasion</w:t>
            </w:r>
          </w:p>
        </w:tc>
        <w:tc>
          <w:tcPr>
            <w:tcW w:w="2172" w:type="dxa"/>
            <w:vMerge/>
            <w:tcBorders>
              <w:top w:val="nil"/>
              <w:left w:val="single" w:sz="8" w:space="0" w:color="auto"/>
              <w:bottom w:val="single" w:sz="8" w:space="0" w:color="000000"/>
              <w:right w:val="single" w:sz="8" w:space="0" w:color="auto"/>
            </w:tcBorders>
            <w:vAlign w:val="center"/>
          </w:tcPr>
          <w:p w14:paraId="4F70F231" w14:textId="77777777" w:rsidR="00284822" w:rsidRDefault="00284822">
            <w:pPr>
              <w:suppressAutoHyphens w:val="0"/>
              <w:autoSpaceDN/>
              <w:spacing w:before="60" w:after="60"/>
              <w:jc w:val="center"/>
              <w:textAlignment w:val="auto"/>
              <w:rPr>
                <w:rFonts w:ascii="Rockwell" w:hAnsi="Rockwell"/>
                <w:bCs/>
                <w:color w:val="000000"/>
                <w:szCs w:val="26"/>
              </w:rPr>
            </w:pPr>
          </w:p>
        </w:tc>
        <w:tc>
          <w:tcPr>
            <w:tcW w:w="3214" w:type="dxa"/>
            <w:tcBorders>
              <w:top w:val="nil"/>
              <w:left w:val="nil"/>
              <w:bottom w:val="single" w:sz="8" w:space="0" w:color="auto"/>
              <w:right w:val="single" w:sz="8" w:space="0" w:color="auto"/>
            </w:tcBorders>
            <w:shd w:val="clear" w:color="000000" w:fill="D9D9D9"/>
            <w:vAlign w:val="center"/>
          </w:tcPr>
          <w:p w14:paraId="3B080F21"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19</w:t>
            </w:r>
          </w:p>
        </w:tc>
        <w:tc>
          <w:tcPr>
            <w:tcW w:w="2977" w:type="dxa"/>
            <w:tcBorders>
              <w:top w:val="nil"/>
              <w:left w:val="nil"/>
              <w:bottom w:val="single" w:sz="8" w:space="0" w:color="auto"/>
              <w:right w:val="single" w:sz="8" w:space="0" w:color="auto"/>
            </w:tcBorders>
            <w:shd w:val="clear" w:color="000000" w:fill="D9D9D9"/>
            <w:vAlign w:val="center"/>
          </w:tcPr>
          <w:p w14:paraId="3F3929D9"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48</w:t>
            </w:r>
          </w:p>
        </w:tc>
        <w:tc>
          <w:tcPr>
            <w:tcW w:w="2268" w:type="dxa"/>
            <w:tcBorders>
              <w:top w:val="nil"/>
              <w:left w:val="nil"/>
              <w:bottom w:val="single" w:sz="8" w:space="0" w:color="auto"/>
              <w:right w:val="single" w:sz="8" w:space="0" w:color="auto"/>
            </w:tcBorders>
            <w:shd w:val="clear" w:color="000000" w:fill="D9D9D9"/>
            <w:vAlign w:val="center"/>
          </w:tcPr>
          <w:p w14:paraId="0F0740E7" w14:textId="77777777" w:rsidR="00284822" w:rsidRDefault="00F77BF8">
            <w:pPr>
              <w:suppressAutoHyphens w:val="0"/>
              <w:autoSpaceDN/>
              <w:spacing w:before="60" w:after="60"/>
              <w:jc w:val="center"/>
              <w:textAlignment w:val="auto"/>
              <w:rPr>
                <w:rFonts w:ascii="Rockwell" w:hAnsi="Rockwell"/>
                <w:bCs/>
                <w:color w:val="000000"/>
                <w:szCs w:val="26"/>
              </w:rPr>
            </w:pPr>
            <w:r>
              <w:rPr>
                <w:rFonts w:ascii="Rockwell" w:hAnsi="Rockwell"/>
                <w:bCs/>
                <w:color w:val="000000"/>
                <w:szCs w:val="26"/>
              </w:rPr>
              <w:t>40%</w:t>
            </w:r>
          </w:p>
        </w:tc>
      </w:tr>
      <w:tr w:rsidR="00284822" w14:paraId="58143D26" w14:textId="77777777">
        <w:trPr>
          <w:trHeight w:val="57"/>
          <w:jc w:val="center"/>
        </w:trPr>
        <w:tc>
          <w:tcPr>
            <w:tcW w:w="887" w:type="dxa"/>
            <w:tcBorders>
              <w:top w:val="nil"/>
              <w:left w:val="single" w:sz="8" w:space="0" w:color="auto"/>
              <w:bottom w:val="nil"/>
              <w:right w:val="single" w:sz="8" w:space="0" w:color="auto"/>
            </w:tcBorders>
            <w:shd w:val="clear" w:color="auto" w:fill="auto"/>
          </w:tcPr>
          <w:p w14:paraId="68A55CF7"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10</w:t>
            </w:r>
          </w:p>
        </w:tc>
        <w:tc>
          <w:tcPr>
            <w:tcW w:w="2931" w:type="dxa"/>
            <w:tcBorders>
              <w:top w:val="nil"/>
              <w:left w:val="nil"/>
              <w:bottom w:val="single" w:sz="8" w:space="0" w:color="auto"/>
              <w:right w:val="single" w:sz="8" w:space="0" w:color="auto"/>
            </w:tcBorders>
            <w:shd w:val="clear" w:color="000000" w:fill="D9D9D9"/>
          </w:tcPr>
          <w:p w14:paraId="2AEC5675" w14:textId="77777777" w:rsidR="00284822" w:rsidRDefault="00F77BF8">
            <w:pPr>
              <w:suppressAutoHyphens w:val="0"/>
              <w:autoSpaceDN/>
              <w:spacing w:before="60" w:after="60"/>
              <w:jc w:val="left"/>
              <w:textAlignment w:val="auto"/>
              <w:rPr>
                <w:rFonts w:ascii="Rockwell" w:hAnsi="Rockwell"/>
                <w:bCs/>
                <w:color w:val="000000"/>
                <w:szCs w:val="26"/>
              </w:rPr>
            </w:pPr>
            <w:proofErr w:type="spellStart"/>
            <w:r>
              <w:rPr>
                <w:rFonts w:ascii="Rockwell" w:hAnsi="Rockwell"/>
                <w:bCs/>
                <w:color w:val="000000"/>
                <w:szCs w:val="26"/>
              </w:rPr>
              <w:t>Sidwaya</w:t>
            </w:r>
            <w:proofErr w:type="spellEnd"/>
            <w:r>
              <w:rPr>
                <w:rFonts w:ascii="Rockwell" w:hAnsi="Rockwell"/>
                <w:bCs/>
                <w:color w:val="000000"/>
                <w:szCs w:val="26"/>
              </w:rPr>
              <w:t xml:space="preserve"> sport</w:t>
            </w:r>
          </w:p>
        </w:tc>
        <w:tc>
          <w:tcPr>
            <w:tcW w:w="2172" w:type="dxa"/>
            <w:vMerge/>
            <w:tcBorders>
              <w:top w:val="nil"/>
              <w:left w:val="single" w:sz="8" w:space="0" w:color="auto"/>
              <w:bottom w:val="single" w:sz="8" w:space="0" w:color="000000"/>
              <w:right w:val="single" w:sz="8" w:space="0" w:color="auto"/>
            </w:tcBorders>
            <w:vAlign w:val="center"/>
          </w:tcPr>
          <w:p w14:paraId="47BDA177" w14:textId="77777777" w:rsidR="00284822" w:rsidRDefault="00284822">
            <w:pPr>
              <w:suppressAutoHyphens w:val="0"/>
              <w:autoSpaceDN/>
              <w:spacing w:before="60" w:after="60"/>
              <w:jc w:val="center"/>
              <w:textAlignment w:val="auto"/>
              <w:rPr>
                <w:rFonts w:ascii="Rockwell" w:hAnsi="Rockwell"/>
                <w:bCs/>
                <w:color w:val="000000"/>
                <w:szCs w:val="26"/>
              </w:rPr>
            </w:pPr>
          </w:p>
        </w:tc>
        <w:tc>
          <w:tcPr>
            <w:tcW w:w="3214" w:type="dxa"/>
            <w:tcBorders>
              <w:top w:val="nil"/>
              <w:left w:val="nil"/>
              <w:bottom w:val="single" w:sz="8" w:space="0" w:color="auto"/>
              <w:right w:val="single" w:sz="8" w:space="0" w:color="auto"/>
            </w:tcBorders>
            <w:shd w:val="clear" w:color="000000" w:fill="D9D9D9"/>
            <w:vAlign w:val="center"/>
          </w:tcPr>
          <w:p w14:paraId="50E83FB3"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42</w:t>
            </w:r>
          </w:p>
        </w:tc>
        <w:tc>
          <w:tcPr>
            <w:tcW w:w="2977" w:type="dxa"/>
            <w:tcBorders>
              <w:top w:val="nil"/>
              <w:left w:val="nil"/>
              <w:bottom w:val="single" w:sz="8" w:space="0" w:color="auto"/>
              <w:right w:val="single" w:sz="8" w:space="0" w:color="auto"/>
            </w:tcBorders>
            <w:shd w:val="clear" w:color="000000" w:fill="D9D9D9"/>
            <w:vAlign w:val="center"/>
          </w:tcPr>
          <w:p w14:paraId="78E09E53"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48</w:t>
            </w:r>
          </w:p>
        </w:tc>
        <w:tc>
          <w:tcPr>
            <w:tcW w:w="2268" w:type="dxa"/>
            <w:tcBorders>
              <w:top w:val="nil"/>
              <w:left w:val="nil"/>
              <w:bottom w:val="single" w:sz="8" w:space="0" w:color="auto"/>
              <w:right w:val="single" w:sz="8" w:space="0" w:color="auto"/>
            </w:tcBorders>
            <w:shd w:val="clear" w:color="000000" w:fill="D9D9D9"/>
            <w:vAlign w:val="center"/>
          </w:tcPr>
          <w:p w14:paraId="5C26D05C" w14:textId="77777777" w:rsidR="00284822" w:rsidRDefault="00F77BF8">
            <w:pPr>
              <w:suppressAutoHyphens w:val="0"/>
              <w:autoSpaceDN/>
              <w:spacing w:before="60" w:after="60"/>
              <w:jc w:val="center"/>
              <w:textAlignment w:val="auto"/>
              <w:rPr>
                <w:rFonts w:ascii="Rockwell" w:hAnsi="Rockwell"/>
                <w:bCs/>
                <w:color w:val="000000"/>
                <w:szCs w:val="26"/>
              </w:rPr>
            </w:pPr>
            <w:r>
              <w:rPr>
                <w:rFonts w:ascii="Rockwell" w:hAnsi="Rockwell"/>
                <w:bCs/>
                <w:color w:val="000000"/>
                <w:szCs w:val="26"/>
              </w:rPr>
              <w:t>88%</w:t>
            </w:r>
          </w:p>
        </w:tc>
      </w:tr>
      <w:tr w:rsidR="00284822" w14:paraId="4E45A2CB" w14:textId="77777777">
        <w:trPr>
          <w:trHeight w:val="57"/>
          <w:jc w:val="center"/>
        </w:trPr>
        <w:tc>
          <w:tcPr>
            <w:tcW w:w="887" w:type="dxa"/>
            <w:tcBorders>
              <w:top w:val="nil"/>
              <w:left w:val="single" w:sz="8" w:space="0" w:color="auto"/>
              <w:bottom w:val="nil"/>
              <w:right w:val="single" w:sz="8" w:space="0" w:color="auto"/>
            </w:tcBorders>
            <w:shd w:val="clear" w:color="auto" w:fill="auto"/>
            <w:vAlign w:val="center"/>
          </w:tcPr>
          <w:p w14:paraId="1B7AD1F1"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11</w:t>
            </w:r>
          </w:p>
        </w:tc>
        <w:tc>
          <w:tcPr>
            <w:tcW w:w="2931" w:type="dxa"/>
            <w:tcBorders>
              <w:top w:val="nil"/>
              <w:left w:val="nil"/>
              <w:bottom w:val="single" w:sz="8" w:space="0" w:color="auto"/>
              <w:right w:val="single" w:sz="8" w:space="0" w:color="auto"/>
            </w:tcBorders>
            <w:shd w:val="clear" w:color="auto" w:fill="auto"/>
            <w:vAlign w:val="center"/>
          </w:tcPr>
          <w:p w14:paraId="51D4DD0C"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Le Reporter</w:t>
            </w:r>
          </w:p>
        </w:tc>
        <w:tc>
          <w:tcPr>
            <w:tcW w:w="2172" w:type="dxa"/>
            <w:vMerge w:val="restart"/>
            <w:tcBorders>
              <w:top w:val="nil"/>
              <w:left w:val="single" w:sz="8" w:space="0" w:color="auto"/>
              <w:bottom w:val="single" w:sz="8" w:space="0" w:color="000000"/>
              <w:right w:val="single" w:sz="8" w:space="0" w:color="auto"/>
            </w:tcBorders>
            <w:shd w:val="clear" w:color="auto" w:fill="auto"/>
            <w:vAlign w:val="center"/>
          </w:tcPr>
          <w:p w14:paraId="6E30EEAC" w14:textId="77777777" w:rsidR="00284822" w:rsidRDefault="00F77BF8">
            <w:pPr>
              <w:suppressAutoHyphens w:val="0"/>
              <w:autoSpaceDN/>
              <w:spacing w:before="60" w:after="60"/>
              <w:jc w:val="center"/>
              <w:textAlignment w:val="auto"/>
              <w:rPr>
                <w:rFonts w:ascii="Rockwell" w:hAnsi="Rockwell"/>
                <w:bCs/>
                <w:color w:val="000000"/>
                <w:szCs w:val="26"/>
              </w:rPr>
            </w:pPr>
            <w:r>
              <w:rPr>
                <w:rFonts w:ascii="Rockwell" w:hAnsi="Rockwell"/>
                <w:bCs/>
                <w:color w:val="000000"/>
                <w:szCs w:val="26"/>
              </w:rPr>
              <w:t>Bimensuel</w:t>
            </w:r>
          </w:p>
        </w:tc>
        <w:tc>
          <w:tcPr>
            <w:tcW w:w="3214" w:type="dxa"/>
            <w:tcBorders>
              <w:top w:val="nil"/>
              <w:left w:val="nil"/>
              <w:bottom w:val="single" w:sz="8" w:space="0" w:color="auto"/>
              <w:right w:val="single" w:sz="8" w:space="0" w:color="auto"/>
            </w:tcBorders>
            <w:shd w:val="clear" w:color="auto" w:fill="auto"/>
            <w:vAlign w:val="center"/>
          </w:tcPr>
          <w:p w14:paraId="66412A1A"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10</w:t>
            </w:r>
          </w:p>
        </w:tc>
        <w:tc>
          <w:tcPr>
            <w:tcW w:w="2977" w:type="dxa"/>
            <w:tcBorders>
              <w:top w:val="nil"/>
              <w:left w:val="nil"/>
              <w:bottom w:val="single" w:sz="8" w:space="0" w:color="auto"/>
              <w:right w:val="single" w:sz="8" w:space="0" w:color="auto"/>
            </w:tcBorders>
            <w:shd w:val="clear" w:color="auto" w:fill="auto"/>
            <w:vAlign w:val="center"/>
          </w:tcPr>
          <w:p w14:paraId="6CF91DC1"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24</w:t>
            </w:r>
          </w:p>
        </w:tc>
        <w:tc>
          <w:tcPr>
            <w:tcW w:w="2268" w:type="dxa"/>
            <w:tcBorders>
              <w:top w:val="nil"/>
              <w:left w:val="nil"/>
              <w:bottom w:val="single" w:sz="8" w:space="0" w:color="auto"/>
              <w:right w:val="single" w:sz="8" w:space="0" w:color="auto"/>
            </w:tcBorders>
            <w:shd w:val="clear" w:color="auto" w:fill="auto"/>
            <w:vAlign w:val="center"/>
          </w:tcPr>
          <w:p w14:paraId="2BF76E0D" w14:textId="77777777" w:rsidR="00284822" w:rsidRDefault="00F77BF8">
            <w:pPr>
              <w:suppressAutoHyphens w:val="0"/>
              <w:autoSpaceDN/>
              <w:spacing w:before="60" w:after="60"/>
              <w:jc w:val="center"/>
              <w:textAlignment w:val="auto"/>
              <w:rPr>
                <w:rFonts w:ascii="Rockwell" w:hAnsi="Rockwell"/>
                <w:bCs/>
                <w:color w:val="000000"/>
                <w:szCs w:val="26"/>
              </w:rPr>
            </w:pPr>
            <w:r>
              <w:rPr>
                <w:rFonts w:ascii="Rockwell" w:hAnsi="Rockwell"/>
                <w:bCs/>
                <w:color w:val="000000"/>
                <w:szCs w:val="26"/>
              </w:rPr>
              <w:t>42%</w:t>
            </w:r>
          </w:p>
        </w:tc>
      </w:tr>
      <w:tr w:rsidR="00284822" w14:paraId="52BD2BE6" w14:textId="77777777">
        <w:trPr>
          <w:trHeight w:val="57"/>
          <w:jc w:val="center"/>
        </w:trPr>
        <w:tc>
          <w:tcPr>
            <w:tcW w:w="887" w:type="dxa"/>
            <w:tcBorders>
              <w:top w:val="nil"/>
              <w:left w:val="single" w:sz="8" w:space="0" w:color="auto"/>
              <w:bottom w:val="single" w:sz="8" w:space="0" w:color="auto"/>
              <w:right w:val="single" w:sz="8" w:space="0" w:color="auto"/>
            </w:tcBorders>
            <w:shd w:val="clear" w:color="auto" w:fill="auto"/>
            <w:vAlign w:val="center"/>
          </w:tcPr>
          <w:p w14:paraId="608316D1"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13</w:t>
            </w:r>
          </w:p>
        </w:tc>
        <w:tc>
          <w:tcPr>
            <w:tcW w:w="2931" w:type="dxa"/>
            <w:tcBorders>
              <w:top w:val="nil"/>
              <w:left w:val="nil"/>
              <w:bottom w:val="single" w:sz="8" w:space="0" w:color="auto"/>
              <w:right w:val="single" w:sz="8" w:space="0" w:color="auto"/>
            </w:tcBorders>
            <w:shd w:val="clear" w:color="auto" w:fill="auto"/>
            <w:vAlign w:val="center"/>
          </w:tcPr>
          <w:p w14:paraId="200F3E4C"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L'Evénement</w:t>
            </w:r>
          </w:p>
        </w:tc>
        <w:tc>
          <w:tcPr>
            <w:tcW w:w="2172" w:type="dxa"/>
            <w:vMerge/>
            <w:tcBorders>
              <w:top w:val="nil"/>
              <w:left w:val="single" w:sz="8" w:space="0" w:color="auto"/>
              <w:bottom w:val="single" w:sz="8" w:space="0" w:color="000000"/>
              <w:right w:val="single" w:sz="8" w:space="0" w:color="auto"/>
            </w:tcBorders>
            <w:vAlign w:val="center"/>
          </w:tcPr>
          <w:p w14:paraId="03D5B272" w14:textId="77777777" w:rsidR="00284822" w:rsidRDefault="00284822">
            <w:pPr>
              <w:suppressAutoHyphens w:val="0"/>
              <w:autoSpaceDN/>
              <w:spacing w:before="60" w:after="60"/>
              <w:jc w:val="center"/>
              <w:textAlignment w:val="auto"/>
              <w:rPr>
                <w:rFonts w:ascii="Rockwell" w:hAnsi="Rockwell"/>
                <w:bCs/>
                <w:color w:val="000000"/>
                <w:szCs w:val="26"/>
              </w:rPr>
            </w:pPr>
          </w:p>
        </w:tc>
        <w:tc>
          <w:tcPr>
            <w:tcW w:w="3214" w:type="dxa"/>
            <w:tcBorders>
              <w:top w:val="nil"/>
              <w:left w:val="nil"/>
              <w:bottom w:val="single" w:sz="8" w:space="0" w:color="auto"/>
              <w:right w:val="single" w:sz="8" w:space="0" w:color="auto"/>
            </w:tcBorders>
            <w:shd w:val="clear" w:color="auto" w:fill="auto"/>
            <w:vAlign w:val="center"/>
          </w:tcPr>
          <w:p w14:paraId="382B61CF"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18</w:t>
            </w:r>
          </w:p>
        </w:tc>
        <w:tc>
          <w:tcPr>
            <w:tcW w:w="2977" w:type="dxa"/>
            <w:tcBorders>
              <w:top w:val="nil"/>
              <w:left w:val="nil"/>
              <w:bottom w:val="single" w:sz="8" w:space="0" w:color="auto"/>
              <w:right w:val="single" w:sz="8" w:space="0" w:color="auto"/>
            </w:tcBorders>
            <w:shd w:val="clear" w:color="auto" w:fill="auto"/>
            <w:vAlign w:val="center"/>
          </w:tcPr>
          <w:p w14:paraId="735403FC"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24</w:t>
            </w:r>
          </w:p>
        </w:tc>
        <w:tc>
          <w:tcPr>
            <w:tcW w:w="2268" w:type="dxa"/>
            <w:tcBorders>
              <w:top w:val="nil"/>
              <w:left w:val="nil"/>
              <w:bottom w:val="single" w:sz="8" w:space="0" w:color="auto"/>
              <w:right w:val="single" w:sz="8" w:space="0" w:color="auto"/>
            </w:tcBorders>
            <w:shd w:val="clear" w:color="auto" w:fill="auto"/>
            <w:vAlign w:val="center"/>
          </w:tcPr>
          <w:p w14:paraId="7929C6D1" w14:textId="77777777" w:rsidR="00284822" w:rsidRDefault="00F77BF8">
            <w:pPr>
              <w:suppressAutoHyphens w:val="0"/>
              <w:autoSpaceDN/>
              <w:spacing w:before="60" w:after="60"/>
              <w:jc w:val="center"/>
              <w:textAlignment w:val="auto"/>
              <w:rPr>
                <w:rFonts w:ascii="Rockwell" w:hAnsi="Rockwell"/>
                <w:bCs/>
                <w:color w:val="000000"/>
                <w:szCs w:val="26"/>
              </w:rPr>
            </w:pPr>
            <w:r>
              <w:rPr>
                <w:rFonts w:ascii="Rockwell" w:hAnsi="Rockwell"/>
                <w:bCs/>
                <w:color w:val="000000"/>
                <w:szCs w:val="26"/>
              </w:rPr>
              <w:t>75%</w:t>
            </w:r>
          </w:p>
        </w:tc>
      </w:tr>
      <w:tr w:rsidR="00284822" w14:paraId="344CFE08" w14:textId="77777777">
        <w:trPr>
          <w:trHeight w:val="57"/>
          <w:jc w:val="center"/>
        </w:trPr>
        <w:tc>
          <w:tcPr>
            <w:tcW w:w="887" w:type="dxa"/>
            <w:tcBorders>
              <w:top w:val="single" w:sz="4" w:space="0" w:color="auto"/>
              <w:left w:val="single" w:sz="8" w:space="0" w:color="auto"/>
              <w:bottom w:val="single" w:sz="8" w:space="0" w:color="auto"/>
              <w:right w:val="single" w:sz="8" w:space="0" w:color="auto"/>
            </w:tcBorders>
            <w:shd w:val="clear" w:color="auto" w:fill="auto"/>
            <w:vAlign w:val="center"/>
          </w:tcPr>
          <w:p w14:paraId="3E49E6A7"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lastRenderedPageBreak/>
              <w:t>14</w:t>
            </w:r>
          </w:p>
        </w:tc>
        <w:tc>
          <w:tcPr>
            <w:tcW w:w="2931" w:type="dxa"/>
            <w:tcBorders>
              <w:top w:val="single" w:sz="4" w:space="0" w:color="auto"/>
              <w:left w:val="nil"/>
              <w:bottom w:val="single" w:sz="8" w:space="0" w:color="auto"/>
              <w:right w:val="single" w:sz="8" w:space="0" w:color="auto"/>
            </w:tcBorders>
            <w:shd w:val="clear" w:color="auto" w:fill="auto"/>
            <w:vAlign w:val="center"/>
          </w:tcPr>
          <w:p w14:paraId="3422752D"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Infos Sciences Culture</w:t>
            </w:r>
          </w:p>
        </w:tc>
        <w:tc>
          <w:tcPr>
            <w:tcW w:w="2172" w:type="dxa"/>
            <w:vMerge/>
            <w:tcBorders>
              <w:top w:val="single" w:sz="4" w:space="0" w:color="auto"/>
              <w:left w:val="single" w:sz="8" w:space="0" w:color="auto"/>
              <w:bottom w:val="single" w:sz="8" w:space="0" w:color="000000"/>
              <w:right w:val="single" w:sz="8" w:space="0" w:color="auto"/>
            </w:tcBorders>
            <w:vAlign w:val="center"/>
          </w:tcPr>
          <w:p w14:paraId="28F61764" w14:textId="77777777" w:rsidR="00284822" w:rsidRDefault="00284822">
            <w:pPr>
              <w:suppressAutoHyphens w:val="0"/>
              <w:autoSpaceDN/>
              <w:spacing w:before="60" w:after="60"/>
              <w:jc w:val="center"/>
              <w:textAlignment w:val="auto"/>
              <w:rPr>
                <w:rFonts w:ascii="Rockwell" w:hAnsi="Rockwell"/>
                <w:bCs/>
                <w:color w:val="000000"/>
                <w:szCs w:val="26"/>
              </w:rPr>
            </w:pPr>
          </w:p>
        </w:tc>
        <w:tc>
          <w:tcPr>
            <w:tcW w:w="3214" w:type="dxa"/>
            <w:tcBorders>
              <w:top w:val="single" w:sz="4" w:space="0" w:color="auto"/>
              <w:left w:val="nil"/>
              <w:bottom w:val="nil"/>
              <w:right w:val="single" w:sz="8" w:space="0" w:color="auto"/>
            </w:tcBorders>
            <w:shd w:val="clear" w:color="auto" w:fill="auto"/>
            <w:vAlign w:val="center"/>
          </w:tcPr>
          <w:p w14:paraId="03EC1B38"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6</w:t>
            </w:r>
          </w:p>
        </w:tc>
        <w:tc>
          <w:tcPr>
            <w:tcW w:w="2977" w:type="dxa"/>
            <w:tcBorders>
              <w:top w:val="single" w:sz="4" w:space="0" w:color="auto"/>
              <w:left w:val="nil"/>
              <w:bottom w:val="single" w:sz="8" w:space="0" w:color="auto"/>
              <w:right w:val="single" w:sz="8" w:space="0" w:color="auto"/>
            </w:tcBorders>
            <w:shd w:val="clear" w:color="auto" w:fill="auto"/>
            <w:vAlign w:val="center"/>
          </w:tcPr>
          <w:p w14:paraId="13DCD630"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24</w:t>
            </w:r>
          </w:p>
        </w:tc>
        <w:tc>
          <w:tcPr>
            <w:tcW w:w="2268" w:type="dxa"/>
            <w:tcBorders>
              <w:top w:val="single" w:sz="4" w:space="0" w:color="auto"/>
              <w:left w:val="nil"/>
              <w:bottom w:val="single" w:sz="8" w:space="0" w:color="auto"/>
              <w:right w:val="single" w:sz="8" w:space="0" w:color="auto"/>
            </w:tcBorders>
            <w:shd w:val="clear" w:color="auto" w:fill="auto"/>
            <w:vAlign w:val="center"/>
          </w:tcPr>
          <w:p w14:paraId="1A11B4AD" w14:textId="77777777" w:rsidR="00284822" w:rsidRDefault="00F77BF8">
            <w:pPr>
              <w:suppressAutoHyphens w:val="0"/>
              <w:autoSpaceDN/>
              <w:spacing w:before="60" w:after="60"/>
              <w:jc w:val="center"/>
              <w:textAlignment w:val="auto"/>
              <w:rPr>
                <w:rFonts w:ascii="Rockwell" w:hAnsi="Rockwell"/>
                <w:bCs/>
                <w:color w:val="000000"/>
                <w:szCs w:val="26"/>
              </w:rPr>
            </w:pPr>
            <w:r>
              <w:rPr>
                <w:rFonts w:ascii="Rockwell" w:hAnsi="Rockwell"/>
                <w:bCs/>
                <w:color w:val="000000"/>
                <w:szCs w:val="26"/>
              </w:rPr>
              <w:t>25%</w:t>
            </w:r>
          </w:p>
        </w:tc>
      </w:tr>
      <w:tr w:rsidR="00284822" w14:paraId="3BF267AD" w14:textId="77777777">
        <w:trPr>
          <w:trHeight w:val="57"/>
          <w:jc w:val="center"/>
        </w:trPr>
        <w:tc>
          <w:tcPr>
            <w:tcW w:w="887" w:type="dxa"/>
            <w:tcBorders>
              <w:top w:val="nil"/>
              <w:left w:val="single" w:sz="8" w:space="0" w:color="auto"/>
              <w:bottom w:val="single" w:sz="8" w:space="0" w:color="auto"/>
              <w:right w:val="single" w:sz="8" w:space="0" w:color="auto"/>
            </w:tcBorders>
            <w:shd w:val="clear" w:color="auto" w:fill="auto"/>
            <w:vAlign w:val="center"/>
          </w:tcPr>
          <w:p w14:paraId="08BA40B1"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15</w:t>
            </w:r>
          </w:p>
        </w:tc>
        <w:tc>
          <w:tcPr>
            <w:tcW w:w="2931" w:type="dxa"/>
            <w:tcBorders>
              <w:top w:val="nil"/>
              <w:left w:val="nil"/>
              <w:bottom w:val="single" w:sz="8" w:space="0" w:color="auto"/>
              <w:right w:val="single" w:sz="8" w:space="0" w:color="auto"/>
            </w:tcBorders>
            <w:shd w:val="clear" w:color="auto" w:fill="auto"/>
            <w:vAlign w:val="center"/>
          </w:tcPr>
          <w:p w14:paraId="6C507A39" w14:textId="36548C19"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Courrier Confidentiel</w:t>
            </w:r>
          </w:p>
        </w:tc>
        <w:tc>
          <w:tcPr>
            <w:tcW w:w="2172" w:type="dxa"/>
            <w:vMerge/>
            <w:tcBorders>
              <w:top w:val="nil"/>
              <w:left w:val="single" w:sz="8" w:space="0" w:color="auto"/>
              <w:bottom w:val="single" w:sz="8" w:space="0" w:color="000000"/>
              <w:right w:val="single" w:sz="8" w:space="0" w:color="auto"/>
            </w:tcBorders>
            <w:shd w:val="clear" w:color="auto" w:fill="auto"/>
            <w:vAlign w:val="center"/>
          </w:tcPr>
          <w:p w14:paraId="666DD830" w14:textId="77777777" w:rsidR="00284822" w:rsidRDefault="00284822">
            <w:pPr>
              <w:suppressAutoHyphens w:val="0"/>
              <w:autoSpaceDN/>
              <w:spacing w:before="60" w:after="60"/>
              <w:jc w:val="center"/>
              <w:textAlignment w:val="auto"/>
              <w:rPr>
                <w:rFonts w:ascii="Rockwell" w:hAnsi="Rockwell"/>
                <w:bCs/>
                <w:color w:val="000000"/>
                <w:szCs w:val="26"/>
              </w:rPr>
            </w:pPr>
          </w:p>
        </w:tc>
        <w:tc>
          <w:tcPr>
            <w:tcW w:w="3214" w:type="dxa"/>
            <w:tcBorders>
              <w:top w:val="single" w:sz="4" w:space="0" w:color="auto"/>
              <w:left w:val="single" w:sz="4" w:space="0" w:color="auto"/>
              <w:bottom w:val="single" w:sz="4" w:space="0" w:color="auto"/>
              <w:right w:val="single" w:sz="4" w:space="0" w:color="auto"/>
            </w:tcBorders>
            <w:shd w:val="clear" w:color="auto" w:fill="auto"/>
            <w:vAlign w:val="center"/>
          </w:tcPr>
          <w:p w14:paraId="1F0B9077"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13</w:t>
            </w:r>
          </w:p>
        </w:tc>
        <w:tc>
          <w:tcPr>
            <w:tcW w:w="2977" w:type="dxa"/>
            <w:tcBorders>
              <w:top w:val="nil"/>
              <w:left w:val="nil"/>
              <w:bottom w:val="single" w:sz="8" w:space="0" w:color="auto"/>
              <w:right w:val="single" w:sz="8" w:space="0" w:color="auto"/>
            </w:tcBorders>
            <w:shd w:val="clear" w:color="auto" w:fill="auto"/>
            <w:vAlign w:val="center"/>
          </w:tcPr>
          <w:p w14:paraId="19B1F5B5"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24</w:t>
            </w:r>
          </w:p>
        </w:tc>
        <w:tc>
          <w:tcPr>
            <w:tcW w:w="2268" w:type="dxa"/>
            <w:tcBorders>
              <w:top w:val="nil"/>
              <w:left w:val="nil"/>
              <w:bottom w:val="single" w:sz="8" w:space="0" w:color="auto"/>
              <w:right w:val="single" w:sz="8" w:space="0" w:color="auto"/>
            </w:tcBorders>
            <w:shd w:val="clear" w:color="auto" w:fill="auto"/>
            <w:vAlign w:val="center"/>
          </w:tcPr>
          <w:p w14:paraId="5B2BD760"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54%</w:t>
            </w:r>
          </w:p>
        </w:tc>
      </w:tr>
      <w:tr w:rsidR="00284822" w14:paraId="2C6DB90A" w14:textId="77777777">
        <w:trPr>
          <w:trHeight w:val="57"/>
          <w:jc w:val="center"/>
        </w:trPr>
        <w:tc>
          <w:tcPr>
            <w:tcW w:w="887" w:type="dxa"/>
            <w:tcBorders>
              <w:top w:val="nil"/>
              <w:left w:val="single" w:sz="8" w:space="0" w:color="auto"/>
              <w:bottom w:val="nil"/>
              <w:right w:val="single" w:sz="8" w:space="0" w:color="auto"/>
            </w:tcBorders>
            <w:shd w:val="clear" w:color="auto" w:fill="auto"/>
            <w:vAlign w:val="center"/>
          </w:tcPr>
          <w:p w14:paraId="5D801D9B"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16</w:t>
            </w:r>
          </w:p>
        </w:tc>
        <w:tc>
          <w:tcPr>
            <w:tcW w:w="2931" w:type="dxa"/>
            <w:tcBorders>
              <w:top w:val="nil"/>
              <w:left w:val="single" w:sz="4" w:space="0" w:color="auto"/>
              <w:bottom w:val="single" w:sz="8" w:space="0" w:color="auto"/>
              <w:right w:val="nil"/>
            </w:tcBorders>
            <w:shd w:val="clear" w:color="auto" w:fill="auto"/>
            <w:vAlign w:val="center"/>
          </w:tcPr>
          <w:p w14:paraId="16FCA146"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Votre santé</w:t>
            </w:r>
          </w:p>
        </w:tc>
        <w:tc>
          <w:tcPr>
            <w:tcW w:w="2172" w:type="dxa"/>
            <w:vMerge w:val="restart"/>
            <w:tcBorders>
              <w:top w:val="nil"/>
              <w:left w:val="single" w:sz="4" w:space="0" w:color="auto"/>
              <w:bottom w:val="single" w:sz="8" w:space="0" w:color="000000"/>
              <w:right w:val="single" w:sz="4" w:space="0" w:color="auto"/>
            </w:tcBorders>
            <w:shd w:val="clear" w:color="auto" w:fill="auto"/>
            <w:noWrap/>
            <w:vAlign w:val="center"/>
          </w:tcPr>
          <w:p w14:paraId="74C3A55C" w14:textId="77777777" w:rsidR="00284822" w:rsidRDefault="00F77BF8">
            <w:pPr>
              <w:suppressAutoHyphens w:val="0"/>
              <w:autoSpaceDN/>
              <w:spacing w:before="60" w:after="60"/>
              <w:jc w:val="center"/>
              <w:textAlignment w:val="auto"/>
              <w:rPr>
                <w:rFonts w:ascii="Rockwell" w:hAnsi="Rockwell"/>
                <w:bCs/>
                <w:color w:val="000000"/>
                <w:szCs w:val="26"/>
              </w:rPr>
            </w:pPr>
            <w:r>
              <w:rPr>
                <w:rFonts w:ascii="Rockwell" w:hAnsi="Rockwell"/>
                <w:bCs/>
                <w:color w:val="000000"/>
                <w:szCs w:val="26"/>
              </w:rPr>
              <w:t>Mensuel</w:t>
            </w:r>
          </w:p>
        </w:tc>
        <w:tc>
          <w:tcPr>
            <w:tcW w:w="3214" w:type="dxa"/>
            <w:tcBorders>
              <w:top w:val="nil"/>
              <w:left w:val="nil"/>
              <w:bottom w:val="single" w:sz="8" w:space="0" w:color="auto"/>
              <w:right w:val="single" w:sz="4" w:space="0" w:color="auto"/>
            </w:tcBorders>
            <w:shd w:val="clear" w:color="auto" w:fill="auto"/>
            <w:vAlign w:val="center"/>
          </w:tcPr>
          <w:p w14:paraId="10ABBDB3"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4</w:t>
            </w:r>
          </w:p>
        </w:tc>
        <w:tc>
          <w:tcPr>
            <w:tcW w:w="2977" w:type="dxa"/>
            <w:tcBorders>
              <w:top w:val="nil"/>
              <w:left w:val="nil"/>
              <w:bottom w:val="single" w:sz="8" w:space="0" w:color="auto"/>
              <w:right w:val="single" w:sz="4" w:space="0" w:color="auto"/>
            </w:tcBorders>
            <w:shd w:val="clear" w:color="auto" w:fill="auto"/>
            <w:vAlign w:val="center"/>
          </w:tcPr>
          <w:p w14:paraId="2799387F"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12</w:t>
            </w:r>
          </w:p>
        </w:tc>
        <w:tc>
          <w:tcPr>
            <w:tcW w:w="2268" w:type="dxa"/>
            <w:tcBorders>
              <w:top w:val="nil"/>
              <w:left w:val="nil"/>
              <w:bottom w:val="single" w:sz="8" w:space="0" w:color="auto"/>
              <w:right w:val="single" w:sz="8" w:space="0" w:color="auto"/>
            </w:tcBorders>
            <w:shd w:val="clear" w:color="auto" w:fill="auto"/>
            <w:vAlign w:val="center"/>
          </w:tcPr>
          <w:p w14:paraId="3C192A04" w14:textId="77777777" w:rsidR="00284822" w:rsidRDefault="00F77BF8">
            <w:pPr>
              <w:suppressAutoHyphens w:val="0"/>
              <w:autoSpaceDN/>
              <w:spacing w:before="60" w:after="60"/>
              <w:jc w:val="center"/>
              <w:textAlignment w:val="auto"/>
              <w:rPr>
                <w:rFonts w:ascii="Rockwell" w:hAnsi="Rockwell"/>
                <w:bCs/>
                <w:color w:val="000000"/>
                <w:szCs w:val="26"/>
              </w:rPr>
            </w:pPr>
            <w:r>
              <w:rPr>
                <w:rFonts w:ascii="Rockwell" w:hAnsi="Rockwell"/>
                <w:bCs/>
                <w:color w:val="000000"/>
                <w:szCs w:val="26"/>
              </w:rPr>
              <w:t>33%</w:t>
            </w:r>
          </w:p>
        </w:tc>
      </w:tr>
      <w:tr w:rsidR="00284822" w14:paraId="20510229" w14:textId="77777777">
        <w:trPr>
          <w:trHeight w:val="57"/>
          <w:jc w:val="center"/>
        </w:trPr>
        <w:tc>
          <w:tcPr>
            <w:tcW w:w="887" w:type="dxa"/>
            <w:tcBorders>
              <w:top w:val="single" w:sz="8" w:space="0" w:color="auto"/>
              <w:left w:val="single" w:sz="8" w:space="0" w:color="auto"/>
              <w:bottom w:val="single" w:sz="4" w:space="0" w:color="auto"/>
              <w:right w:val="single" w:sz="4" w:space="0" w:color="auto"/>
            </w:tcBorders>
            <w:shd w:val="clear" w:color="auto" w:fill="auto"/>
            <w:vAlign w:val="center"/>
          </w:tcPr>
          <w:p w14:paraId="08608975"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17</w:t>
            </w:r>
          </w:p>
        </w:tc>
        <w:tc>
          <w:tcPr>
            <w:tcW w:w="2931" w:type="dxa"/>
            <w:tcBorders>
              <w:top w:val="nil"/>
              <w:left w:val="nil"/>
              <w:bottom w:val="single" w:sz="4" w:space="0" w:color="auto"/>
              <w:right w:val="nil"/>
            </w:tcBorders>
            <w:shd w:val="clear" w:color="auto" w:fill="auto"/>
            <w:noWrap/>
            <w:vAlign w:val="bottom"/>
          </w:tcPr>
          <w:p w14:paraId="7A85F24A"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Carrefour Africain</w:t>
            </w:r>
          </w:p>
        </w:tc>
        <w:tc>
          <w:tcPr>
            <w:tcW w:w="2172" w:type="dxa"/>
            <w:vMerge/>
            <w:tcBorders>
              <w:top w:val="nil"/>
              <w:left w:val="single" w:sz="4" w:space="0" w:color="auto"/>
              <w:bottom w:val="single" w:sz="8" w:space="0" w:color="000000"/>
              <w:right w:val="single" w:sz="4" w:space="0" w:color="auto"/>
            </w:tcBorders>
            <w:shd w:val="clear" w:color="auto" w:fill="auto"/>
            <w:vAlign w:val="center"/>
          </w:tcPr>
          <w:p w14:paraId="7FAD0833" w14:textId="77777777" w:rsidR="00284822" w:rsidRDefault="00284822">
            <w:pPr>
              <w:suppressAutoHyphens w:val="0"/>
              <w:autoSpaceDN/>
              <w:spacing w:before="60" w:after="60"/>
              <w:jc w:val="center"/>
              <w:textAlignment w:val="auto"/>
              <w:rPr>
                <w:rFonts w:ascii="Rockwell" w:hAnsi="Rockwell"/>
                <w:bCs/>
                <w:color w:val="000000"/>
                <w:szCs w:val="26"/>
              </w:rPr>
            </w:pPr>
          </w:p>
        </w:tc>
        <w:tc>
          <w:tcPr>
            <w:tcW w:w="3214" w:type="dxa"/>
            <w:tcBorders>
              <w:top w:val="nil"/>
              <w:left w:val="nil"/>
              <w:bottom w:val="single" w:sz="4" w:space="0" w:color="auto"/>
              <w:right w:val="single" w:sz="4" w:space="0" w:color="auto"/>
            </w:tcBorders>
            <w:shd w:val="clear" w:color="auto" w:fill="auto"/>
            <w:noWrap/>
            <w:vAlign w:val="bottom"/>
          </w:tcPr>
          <w:p w14:paraId="2C208E88"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7</w:t>
            </w:r>
          </w:p>
        </w:tc>
        <w:tc>
          <w:tcPr>
            <w:tcW w:w="2977" w:type="dxa"/>
            <w:tcBorders>
              <w:top w:val="nil"/>
              <w:left w:val="nil"/>
              <w:bottom w:val="single" w:sz="4" w:space="0" w:color="auto"/>
              <w:right w:val="single" w:sz="4" w:space="0" w:color="auto"/>
            </w:tcBorders>
            <w:shd w:val="clear" w:color="auto" w:fill="auto"/>
            <w:noWrap/>
            <w:vAlign w:val="bottom"/>
          </w:tcPr>
          <w:p w14:paraId="7808B093"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12</w:t>
            </w:r>
          </w:p>
        </w:tc>
        <w:tc>
          <w:tcPr>
            <w:tcW w:w="2268" w:type="dxa"/>
            <w:tcBorders>
              <w:top w:val="nil"/>
              <w:left w:val="nil"/>
              <w:bottom w:val="single" w:sz="4" w:space="0" w:color="auto"/>
              <w:right w:val="single" w:sz="8" w:space="0" w:color="auto"/>
            </w:tcBorders>
            <w:shd w:val="clear" w:color="auto" w:fill="auto"/>
            <w:noWrap/>
            <w:vAlign w:val="bottom"/>
          </w:tcPr>
          <w:p w14:paraId="006AE7F3" w14:textId="77777777" w:rsidR="00284822" w:rsidRDefault="00F77BF8">
            <w:pPr>
              <w:suppressAutoHyphens w:val="0"/>
              <w:autoSpaceDN/>
              <w:spacing w:before="60" w:after="60"/>
              <w:jc w:val="center"/>
              <w:textAlignment w:val="auto"/>
              <w:rPr>
                <w:rFonts w:ascii="Rockwell" w:hAnsi="Rockwell"/>
                <w:bCs/>
                <w:color w:val="000000"/>
                <w:szCs w:val="26"/>
              </w:rPr>
            </w:pPr>
            <w:r>
              <w:rPr>
                <w:rFonts w:ascii="Rockwell" w:hAnsi="Rockwell"/>
                <w:bCs/>
                <w:color w:val="000000"/>
                <w:szCs w:val="26"/>
              </w:rPr>
              <w:t>58%</w:t>
            </w:r>
          </w:p>
        </w:tc>
      </w:tr>
      <w:tr w:rsidR="00284822" w14:paraId="6B078CD3" w14:textId="77777777">
        <w:trPr>
          <w:trHeight w:val="57"/>
          <w:jc w:val="center"/>
        </w:trPr>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ECCB12A"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18</w:t>
            </w:r>
          </w:p>
        </w:tc>
        <w:tc>
          <w:tcPr>
            <w:tcW w:w="2931" w:type="dxa"/>
            <w:tcBorders>
              <w:top w:val="nil"/>
              <w:left w:val="nil"/>
              <w:bottom w:val="single" w:sz="4" w:space="0" w:color="auto"/>
              <w:right w:val="nil"/>
            </w:tcBorders>
            <w:shd w:val="clear" w:color="auto" w:fill="auto"/>
            <w:noWrap/>
            <w:vAlign w:val="bottom"/>
          </w:tcPr>
          <w:p w14:paraId="6DB58E88"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Le Nouveau Monde</w:t>
            </w:r>
          </w:p>
        </w:tc>
        <w:tc>
          <w:tcPr>
            <w:tcW w:w="2172" w:type="dxa"/>
            <w:vMerge/>
            <w:tcBorders>
              <w:top w:val="nil"/>
              <w:left w:val="single" w:sz="4" w:space="0" w:color="auto"/>
              <w:bottom w:val="single" w:sz="8" w:space="0" w:color="000000"/>
              <w:right w:val="single" w:sz="4" w:space="0" w:color="auto"/>
            </w:tcBorders>
            <w:shd w:val="clear" w:color="auto" w:fill="auto"/>
            <w:vAlign w:val="center"/>
          </w:tcPr>
          <w:p w14:paraId="6929D9B6" w14:textId="77777777" w:rsidR="00284822" w:rsidRDefault="00284822">
            <w:pPr>
              <w:suppressAutoHyphens w:val="0"/>
              <w:autoSpaceDN/>
              <w:spacing w:before="60" w:after="60"/>
              <w:jc w:val="center"/>
              <w:textAlignment w:val="auto"/>
              <w:rPr>
                <w:rFonts w:ascii="Rockwell" w:hAnsi="Rockwell"/>
                <w:bCs/>
                <w:color w:val="000000"/>
                <w:szCs w:val="26"/>
              </w:rPr>
            </w:pPr>
          </w:p>
        </w:tc>
        <w:tc>
          <w:tcPr>
            <w:tcW w:w="3214" w:type="dxa"/>
            <w:tcBorders>
              <w:top w:val="nil"/>
              <w:left w:val="nil"/>
              <w:bottom w:val="single" w:sz="4" w:space="0" w:color="auto"/>
              <w:right w:val="single" w:sz="4" w:space="0" w:color="auto"/>
            </w:tcBorders>
            <w:shd w:val="clear" w:color="auto" w:fill="auto"/>
            <w:noWrap/>
            <w:vAlign w:val="bottom"/>
          </w:tcPr>
          <w:p w14:paraId="059200F3"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1</w:t>
            </w:r>
          </w:p>
        </w:tc>
        <w:tc>
          <w:tcPr>
            <w:tcW w:w="2977" w:type="dxa"/>
            <w:tcBorders>
              <w:top w:val="nil"/>
              <w:left w:val="nil"/>
              <w:bottom w:val="single" w:sz="4" w:space="0" w:color="auto"/>
              <w:right w:val="single" w:sz="4" w:space="0" w:color="auto"/>
            </w:tcBorders>
            <w:shd w:val="clear" w:color="auto" w:fill="auto"/>
            <w:noWrap/>
            <w:vAlign w:val="bottom"/>
          </w:tcPr>
          <w:p w14:paraId="4D3B17FC"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12</w:t>
            </w:r>
          </w:p>
        </w:tc>
        <w:tc>
          <w:tcPr>
            <w:tcW w:w="2268" w:type="dxa"/>
            <w:tcBorders>
              <w:top w:val="nil"/>
              <w:left w:val="nil"/>
              <w:bottom w:val="single" w:sz="4" w:space="0" w:color="auto"/>
              <w:right w:val="single" w:sz="4" w:space="0" w:color="auto"/>
            </w:tcBorders>
            <w:shd w:val="clear" w:color="auto" w:fill="auto"/>
            <w:noWrap/>
            <w:vAlign w:val="bottom"/>
          </w:tcPr>
          <w:p w14:paraId="6F13F0BE" w14:textId="77777777" w:rsidR="00284822" w:rsidRDefault="00F77BF8">
            <w:pPr>
              <w:suppressAutoHyphens w:val="0"/>
              <w:autoSpaceDN/>
              <w:spacing w:before="60" w:after="60"/>
              <w:jc w:val="center"/>
              <w:textAlignment w:val="auto"/>
              <w:rPr>
                <w:rFonts w:ascii="Rockwell" w:hAnsi="Rockwell"/>
                <w:bCs/>
                <w:color w:val="000000"/>
                <w:szCs w:val="26"/>
              </w:rPr>
            </w:pPr>
            <w:r>
              <w:rPr>
                <w:rFonts w:ascii="Rockwell" w:hAnsi="Rockwell"/>
                <w:bCs/>
                <w:color w:val="000000"/>
                <w:szCs w:val="26"/>
              </w:rPr>
              <w:t>8%</w:t>
            </w:r>
          </w:p>
        </w:tc>
      </w:tr>
      <w:tr w:rsidR="00284822" w14:paraId="795BACAD" w14:textId="77777777">
        <w:trPr>
          <w:trHeight w:val="57"/>
          <w:jc w:val="center"/>
        </w:trPr>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BB278C2"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19</w:t>
            </w:r>
          </w:p>
        </w:tc>
        <w:tc>
          <w:tcPr>
            <w:tcW w:w="2931" w:type="dxa"/>
            <w:tcBorders>
              <w:top w:val="nil"/>
              <w:left w:val="nil"/>
              <w:bottom w:val="single" w:sz="4" w:space="0" w:color="auto"/>
              <w:right w:val="nil"/>
            </w:tcBorders>
            <w:shd w:val="clear" w:color="auto" w:fill="auto"/>
            <w:noWrap/>
            <w:vAlign w:val="bottom"/>
          </w:tcPr>
          <w:p w14:paraId="28CF78EE"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La Tribune</w:t>
            </w:r>
          </w:p>
          <w:p w14:paraId="3A5EFCC1" w14:textId="77777777" w:rsidR="00284822" w:rsidRDefault="00F77BF8">
            <w:pPr>
              <w:suppressAutoHyphens w:val="0"/>
              <w:autoSpaceDN/>
              <w:spacing w:before="60" w:after="60"/>
              <w:jc w:val="left"/>
              <w:textAlignment w:val="auto"/>
              <w:rPr>
                <w:rFonts w:ascii="Rockwell" w:hAnsi="Rockwell"/>
                <w:bCs/>
                <w:color w:val="000000"/>
                <w:szCs w:val="26"/>
              </w:rPr>
            </w:pPr>
            <w:proofErr w:type="gramStart"/>
            <w:r>
              <w:rPr>
                <w:rFonts w:ascii="Rockwell" w:hAnsi="Rockwell"/>
                <w:bCs/>
                <w:color w:val="000000"/>
                <w:szCs w:val="26"/>
              </w:rPr>
              <w:t>du</w:t>
            </w:r>
            <w:proofErr w:type="gramEnd"/>
            <w:r>
              <w:rPr>
                <w:rFonts w:ascii="Rockwell" w:hAnsi="Rockwell"/>
                <w:bCs/>
                <w:color w:val="000000"/>
                <w:szCs w:val="26"/>
              </w:rPr>
              <w:t xml:space="preserve"> Sahel</w:t>
            </w:r>
          </w:p>
        </w:tc>
        <w:tc>
          <w:tcPr>
            <w:tcW w:w="2172" w:type="dxa"/>
            <w:vMerge/>
            <w:tcBorders>
              <w:top w:val="nil"/>
              <w:left w:val="single" w:sz="4" w:space="0" w:color="auto"/>
              <w:bottom w:val="single" w:sz="8" w:space="0" w:color="000000"/>
              <w:right w:val="single" w:sz="4" w:space="0" w:color="auto"/>
            </w:tcBorders>
            <w:shd w:val="clear" w:color="auto" w:fill="auto"/>
            <w:vAlign w:val="center"/>
          </w:tcPr>
          <w:p w14:paraId="69135E17" w14:textId="77777777" w:rsidR="00284822" w:rsidRDefault="00284822">
            <w:pPr>
              <w:suppressAutoHyphens w:val="0"/>
              <w:autoSpaceDN/>
              <w:spacing w:before="60" w:after="60"/>
              <w:jc w:val="center"/>
              <w:textAlignment w:val="auto"/>
              <w:rPr>
                <w:rFonts w:ascii="Rockwell" w:hAnsi="Rockwell"/>
                <w:bCs/>
                <w:color w:val="000000"/>
                <w:szCs w:val="26"/>
              </w:rPr>
            </w:pPr>
          </w:p>
        </w:tc>
        <w:tc>
          <w:tcPr>
            <w:tcW w:w="3214" w:type="dxa"/>
            <w:tcBorders>
              <w:top w:val="nil"/>
              <w:left w:val="nil"/>
              <w:bottom w:val="single" w:sz="4" w:space="0" w:color="auto"/>
              <w:right w:val="single" w:sz="4" w:space="0" w:color="auto"/>
            </w:tcBorders>
            <w:shd w:val="clear" w:color="auto" w:fill="auto"/>
            <w:noWrap/>
            <w:vAlign w:val="bottom"/>
          </w:tcPr>
          <w:p w14:paraId="270D7A5D"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3</w:t>
            </w:r>
          </w:p>
        </w:tc>
        <w:tc>
          <w:tcPr>
            <w:tcW w:w="2977" w:type="dxa"/>
            <w:tcBorders>
              <w:top w:val="nil"/>
              <w:left w:val="nil"/>
              <w:bottom w:val="single" w:sz="4" w:space="0" w:color="auto"/>
              <w:right w:val="single" w:sz="4" w:space="0" w:color="auto"/>
            </w:tcBorders>
            <w:shd w:val="clear" w:color="auto" w:fill="auto"/>
            <w:noWrap/>
            <w:vAlign w:val="bottom"/>
          </w:tcPr>
          <w:p w14:paraId="4B1C0BBD"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12</w:t>
            </w:r>
          </w:p>
        </w:tc>
        <w:tc>
          <w:tcPr>
            <w:tcW w:w="2268" w:type="dxa"/>
            <w:tcBorders>
              <w:top w:val="nil"/>
              <w:left w:val="nil"/>
              <w:bottom w:val="single" w:sz="4" w:space="0" w:color="auto"/>
              <w:right w:val="single" w:sz="4" w:space="0" w:color="auto"/>
            </w:tcBorders>
            <w:shd w:val="clear" w:color="auto" w:fill="auto"/>
            <w:noWrap/>
            <w:vAlign w:val="bottom"/>
          </w:tcPr>
          <w:p w14:paraId="0DFB3638" w14:textId="77777777" w:rsidR="00284822" w:rsidRDefault="00F77BF8">
            <w:pPr>
              <w:suppressAutoHyphens w:val="0"/>
              <w:autoSpaceDN/>
              <w:spacing w:before="60" w:after="60"/>
              <w:jc w:val="center"/>
              <w:textAlignment w:val="auto"/>
              <w:rPr>
                <w:rFonts w:ascii="Rockwell" w:hAnsi="Rockwell"/>
                <w:bCs/>
                <w:color w:val="000000"/>
                <w:szCs w:val="26"/>
              </w:rPr>
            </w:pPr>
            <w:r>
              <w:rPr>
                <w:rFonts w:ascii="Rockwell" w:hAnsi="Rockwell"/>
                <w:bCs/>
                <w:color w:val="000000"/>
                <w:szCs w:val="26"/>
              </w:rPr>
              <w:t>25%</w:t>
            </w:r>
          </w:p>
        </w:tc>
      </w:tr>
      <w:tr w:rsidR="00284822" w14:paraId="4F5FE6E7" w14:textId="77777777">
        <w:trPr>
          <w:trHeight w:val="57"/>
          <w:jc w:val="center"/>
        </w:trPr>
        <w:tc>
          <w:tcPr>
            <w:tcW w:w="887" w:type="dxa"/>
            <w:tcBorders>
              <w:top w:val="nil"/>
              <w:left w:val="single" w:sz="4" w:space="0" w:color="auto"/>
              <w:bottom w:val="single" w:sz="4" w:space="0" w:color="auto"/>
              <w:right w:val="single" w:sz="4" w:space="0" w:color="auto"/>
            </w:tcBorders>
            <w:shd w:val="clear" w:color="auto" w:fill="auto"/>
            <w:vAlign w:val="center"/>
          </w:tcPr>
          <w:p w14:paraId="4CFC5ABD"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20</w:t>
            </w:r>
          </w:p>
        </w:tc>
        <w:tc>
          <w:tcPr>
            <w:tcW w:w="2931" w:type="dxa"/>
            <w:tcBorders>
              <w:top w:val="nil"/>
              <w:left w:val="nil"/>
              <w:bottom w:val="single" w:sz="4" w:space="0" w:color="auto"/>
              <w:right w:val="nil"/>
            </w:tcBorders>
            <w:shd w:val="clear" w:color="auto" w:fill="auto"/>
            <w:noWrap/>
            <w:vAlign w:val="bottom"/>
          </w:tcPr>
          <w:p w14:paraId="0831E219" w14:textId="77777777" w:rsidR="00284822" w:rsidRDefault="00F77BF8">
            <w:pPr>
              <w:suppressAutoHyphens w:val="0"/>
              <w:autoSpaceDN/>
              <w:spacing w:before="60" w:after="60"/>
              <w:jc w:val="left"/>
              <w:textAlignment w:val="auto"/>
              <w:rPr>
                <w:rFonts w:ascii="Rockwell" w:hAnsi="Rockwell"/>
                <w:bCs/>
                <w:color w:val="000000"/>
                <w:szCs w:val="26"/>
              </w:rPr>
            </w:pPr>
            <w:r>
              <w:rPr>
                <w:rFonts w:ascii="Rockwell" w:hAnsi="Rockwell"/>
                <w:bCs/>
                <w:color w:val="000000"/>
                <w:szCs w:val="26"/>
              </w:rPr>
              <w:t>ENAREF Infos</w:t>
            </w:r>
          </w:p>
        </w:tc>
        <w:tc>
          <w:tcPr>
            <w:tcW w:w="2172" w:type="dxa"/>
            <w:tcBorders>
              <w:top w:val="nil"/>
              <w:left w:val="single" w:sz="4" w:space="0" w:color="auto"/>
              <w:bottom w:val="single" w:sz="4" w:space="0" w:color="auto"/>
              <w:right w:val="single" w:sz="4" w:space="0" w:color="auto"/>
            </w:tcBorders>
            <w:shd w:val="clear" w:color="auto" w:fill="auto"/>
            <w:noWrap/>
            <w:vAlign w:val="center"/>
          </w:tcPr>
          <w:p w14:paraId="7CBB9FF6" w14:textId="77777777" w:rsidR="00284822" w:rsidRDefault="00F77BF8">
            <w:pPr>
              <w:suppressAutoHyphens w:val="0"/>
              <w:autoSpaceDN/>
              <w:spacing w:before="60" w:after="60"/>
              <w:jc w:val="center"/>
              <w:textAlignment w:val="auto"/>
              <w:rPr>
                <w:rFonts w:ascii="Rockwell" w:hAnsi="Rockwell"/>
                <w:bCs/>
                <w:color w:val="000000"/>
                <w:szCs w:val="26"/>
              </w:rPr>
            </w:pPr>
            <w:r>
              <w:rPr>
                <w:rFonts w:ascii="Rockwell" w:hAnsi="Rockwell"/>
                <w:bCs/>
                <w:color w:val="000000"/>
                <w:szCs w:val="26"/>
              </w:rPr>
              <w:t>Trimestriel</w:t>
            </w:r>
          </w:p>
        </w:tc>
        <w:tc>
          <w:tcPr>
            <w:tcW w:w="3214" w:type="dxa"/>
            <w:tcBorders>
              <w:top w:val="nil"/>
              <w:left w:val="nil"/>
              <w:bottom w:val="single" w:sz="4" w:space="0" w:color="auto"/>
              <w:right w:val="single" w:sz="4" w:space="0" w:color="auto"/>
            </w:tcBorders>
            <w:shd w:val="clear" w:color="auto" w:fill="auto"/>
            <w:noWrap/>
            <w:vAlign w:val="bottom"/>
          </w:tcPr>
          <w:p w14:paraId="44F49A20"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1</w:t>
            </w:r>
          </w:p>
        </w:tc>
        <w:tc>
          <w:tcPr>
            <w:tcW w:w="2977" w:type="dxa"/>
            <w:tcBorders>
              <w:top w:val="nil"/>
              <w:left w:val="nil"/>
              <w:bottom w:val="single" w:sz="4" w:space="0" w:color="auto"/>
              <w:right w:val="single" w:sz="4" w:space="0" w:color="auto"/>
            </w:tcBorders>
            <w:shd w:val="clear" w:color="auto" w:fill="auto"/>
            <w:noWrap/>
            <w:vAlign w:val="bottom"/>
          </w:tcPr>
          <w:p w14:paraId="76C99DE8" w14:textId="77777777" w:rsidR="00284822" w:rsidRDefault="00F77BF8">
            <w:pPr>
              <w:suppressAutoHyphens w:val="0"/>
              <w:autoSpaceDN/>
              <w:spacing w:before="60" w:after="60"/>
              <w:jc w:val="center"/>
              <w:textAlignment w:val="auto"/>
              <w:rPr>
                <w:rFonts w:ascii="Rockwell" w:hAnsi="Rockwell"/>
                <w:bCs/>
                <w:szCs w:val="26"/>
              </w:rPr>
            </w:pPr>
            <w:r>
              <w:rPr>
                <w:rFonts w:ascii="Rockwell" w:hAnsi="Rockwell"/>
                <w:bCs/>
                <w:szCs w:val="26"/>
              </w:rPr>
              <w:t>4</w:t>
            </w:r>
          </w:p>
        </w:tc>
        <w:tc>
          <w:tcPr>
            <w:tcW w:w="2268" w:type="dxa"/>
            <w:tcBorders>
              <w:top w:val="nil"/>
              <w:left w:val="nil"/>
              <w:bottom w:val="single" w:sz="4" w:space="0" w:color="auto"/>
              <w:right w:val="single" w:sz="4" w:space="0" w:color="auto"/>
            </w:tcBorders>
            <w:shd w:val="clear" w:color="auto" w:fill="auto"/>
            <w:noWrap/>
            <w:vAlign w:val="bottom"/>
          </w:tcPr>
          <w:p w14:paraId="2FBBB6C8" w14:textId="77777777" w:rsidR="00284822" w:rsidRDefault="00F77BF8">
            <w:pPr>
              <w:suppressAutoHyphens w:val="0"/>
              <w:autoSpaceDN/>
              <w:spacing w:before="60" w:after="60"/>
              <w:jc w:val="center"/>
              <w:textAlignment w:val="auto"/>
              <w:rPr>
                <w:rFonts w:ascii="Rockwell" w:hAnsi="Rockwell"/>
                <w:bCs/>
                <w:color w:val="000000"/>
                <w:szCs w:val="26"/>
              </w:rPr>
            </w:pPr>
            <w:r>
              <w:rPr>
                <w:rFonts w:ascii="Rockwell" w:hAnsi="Rockwell"/>
                <w:bCs/>
                <w:color w:val="000000"/>
                <w:szCs w:val="26"/>
              </w:rPr>
              <w:t>25%</w:t>
            </w:r>
          </w:p>
        </w:tc>
      </w:tr>
      <w:tr w:rsidR="00284822" w14:paraId="4FFB6A8E" w14:textId="77777777">
        <w:trPr>
          <w:trHeight w:val="57"/>
          <w:jc w:val="center"/>
        </w:trPr>
        <w:tc>
          <w:tcPr>
            <w:tcW w:w="5990" w:type="dxa"/>
            <w:gridSpan w:val="3"/>
            <w:tcBorders>
              <w:top w:val="nil"/>
              <w:left w:val="single" w:sz="4" w:space="0" w:color="auto"/>
              <w:bottom w:val="single" w:sz="4" w:space="0" w:color="auto"/>
              <w:right w:val="single" w:sz="4" w:space="0" w:color="auto"/>
            </w:tcBorders>
            <w:shd w:val="clear" w:color="auto" w:fill="auto"/>
            <w:noWrap/>
            <w:vAlign w:val="center"/>
          </w:tcPr>
          <w:p w14:paraId="2D2A1A5D" w14:textId="77777777" w:rsidR="00284822" w:rsidRDefault="00F77BF8">
            <w:pPr>
              <w:suppressAutoHyphens w:val="0"/>
              <w:autoSpaceDN/>
              <w:spacing w:before="60" w:after="60"/>
              <w:jc w:val="left"/>
              <w:textAlignment w:val="auto"/>
              <w:rPr>
                <w:rFonts w:ascii="Rockwell" w:hAnsi="Rockwell"/>
                <w:b/>
                <w:bCs/>
                <w:color w:val="000000"/>
                <w:szCs w:val="26"/>
              </w:rPr>
            </w:pPr>
            <w:r>
              <w:rPr>
                <w:rFonts w:ascii="Rockwell" w:hAnsi="Rockwell"/>
                <w:b/>
                <w:bCs/>
                <w:color w:val="000000"/>
                <w:szCs w:val="26"/>
              </w:rPr>
              <w:t>TOTAL</w:t>
            </w:r>
          </w:p>
        </w:tc>
        <w:tc>
          <w:tcPr>
            <w:tcW w:w="3214" w:type="dxa"/>
            <w:tcBorders>
              <w:top w:val="nil"/>
              <w:left w:val="nil"/>
              <w:bottom w:val="single" w:sz="4" w:space="0" w:color="auto"/>
              <w:right w:val="single" w:sz="4" w:space="0" w:color="auto"/>
            </w:tcBorders>
            <w:shd w:val="clear" w:color="auto" w:fill="auto"/>
            <w:noWrap/>
          </w:tcPr>
          <w:p w14:paraId="43423195" w14:textId="77777777" w:rsidR="00284822" w:rsidRDefault="00F77BF8">
            <w:pPr>
              <w:suppressAutoHyphens w:val="0"/>
              <w:autoSpaceDN/>
              <w:spacing w:before="60" w:after="60"/>
              <w:jc w:val="center"/>
              <w:textAlignment w:val="auto"/>
              <w:rPr>
                <w:rFonts w:ascii="Rockwell" w:hAnsi="Rockwell"/>
                <w:b/>
                <w:bCs/>
                <w:color w:val="000000"/>
                <w:szCs w:val="26"/>
              </w:rPr>
            </w:pPr>
            <w:r>
              <w:rPr>
                <w:rFonts w:ascii="Rockwell" w:hAnsi="Rockwell"/>
                <w:b/>
                <w:bCs/>
                <w:color w:val="000000"/>
                <w:szCs w:val="26"/>
              </w:rPr>
              <w:t>722</w:t>
            </w:r>
          </w:p>
        </w:tc>
        <w:tc>
          <w:tcPr>
            <w:tcW w:w="2977" w:type="dxa"/>
            <w:tcBorders>
              <w:top w:val="nil"/>
              <w:left w:val="nil"/>
              <w:bottom w:val="single" w:sz="4" w:space="0" w:color="auto"/>
              <w:right w:val="single" w:sz="4" w:space="0" w:color="auto"/>
            </w:tcBorders>
            <w:shd w:val="clear" w:color="auto" w:fill="auto"/>
            <w:noWrap/>
          </w:tcPr>
          <w:p w14:paraId="5D750C20" w14:textId="77777777" w:rsidR="00284822" w:rsidRDefault="00F77BF8">
            <w:pPr>
              <w:suppressAutoHyphens w:val="0"/>
              <w:autoSpaceDN/>
              <w:spacing w:before="60" w:after="60"/>
              <w:jc w:val="center"/>
              <w:textAlignment w:val="auto"/>
              <w:rPr>
                <w:rFonts w:ascii="Rockwell" w:hAnsi="Rockwell"/>
                <w:b/>
                <w:bCs/>
                <w:color w:val="000000"/>
                <w:szCs w:val="26"/>
              </w:rPr>
            </w:pPr>
            <w:r>
              <w:rPr>
                <w:rFonts w:ascii="Rockwell" w:hAnsi="Rockwell"/>
                <w:b/>
                <w:bCs/>
                <w:color w:val="000000"/>
                <w:szCs w:val="26"/>
              </w:rPr>
              <w:t>1780</w:t>
            </w:r>
          </w:p>
        </w:tc>
        <w:tc>
          <w:tcPr>
            <w:tcW w:w="2268" w:type="dxa"/>
            <w:tcBorders>
              <w:top w:val="nil"/>
              <w:left w:val="nil"/>
              <w:bottom w:val="single" w:sz="4" w:space="0" w:color="auto"/>
              <w:right w:val="single" w:sz="4" w:space="0" w:color="auto"/>
            </w:tcBorders>
            <w:shd w:val="clear" w:color="auto" w:fill="auto"/>
            <w:noWrap/>
          </w:tcPr>
          <w:p w14:paraId="6E5F1026" w14:textId="77777777" w:rsidR="00284822" w:rsidRDefault="00F77BF8">
            <w:pPr>
              <w:suppressAutoHyphens w:val="0"/>
              <w:autoSpaceDN/>
              <w:spacing w:before="60" w:after="60"/>
              <w:jc w:val="center"/>
              <w:textAlignment w:val="auto"/>
              <w:rPr>
                <w:rFonts w:ascii="Rockwell" w:hAnsi="Rockwell"/>
                <w:b/>
                <w:bCs/>
                <w:color w:val="000000"/>
                <w:szCs w:val="26"/>
              </w:rPr>
            </w:pPr>
            <w:r>
              <w:rPr>
                <w:rFonts w:ascii="Rockwell" w:hAnsi="Rockwell"/>
                <w:b/>
                <w:bCs/>
                <w:color w:val="000000"/>
                <w:szCs w:val="26"/>
              </w:rPr>
              <w:t>41%</w:t>
            </w:r>
          </w:p>
        </w:tc>
      </w:tr>
    </w:tbl>
    <w:p w14:paraId="7B33A106" w14:textId="77777777" w:rsidR="00284822" w:rsidRDefault="00284822">
      <w:pPr>
        <w:suppressAutoHyphens w:val="0"/>
        <w:autoSpaceDN/>
        <w:spacing w:before="120" w:after="120"/>
        <w:jc w:val="center"/>
        <w:textAlignment w:val="auto"/>
        <w:rPr>
          <w:rFonts w:ascii="Rockwell" w:eastAsia="Calibri" w:hAnsi="Rockwell"/>
          <w:b/>
          <w:bCs/>
          <w:i/>
          <w:szCs w:val="26"/>
          <w:u w:val="single"/>
        </w:rPr>
      </w:pPr>
    </w:p>
    <w:p w14:paraId="06B56269" w14:textId="77777777" w:rsidR="00284822" w:rsidRDefault="00284822">
      <w:pPr>
        <w:suppressAutoHyphens w:val="0"/>
        <w:autoSpaceDN/>
        <w:spacing w:before="120" w:after="120"/>
        <w:jc w:val="center"/>
        <w:textAlignment w:val="auto"/>
        <w:rPr>
          <w:rFonts w:ascii="Rockwell" w:eastAsia="Calibri" w:hAnsi="Rockwell"/>
          <w:b/>
          <w:bCs/>
          <w:i/>
          <w:szCs w:val="26"/>
          <w:u w:val="single"/>
        </w:rPr>
      </w:pPr>
    </w:p>
    <w:p w14:paraId="778D1A1A" w14:textId="77777777" w:rsidR="00284822" w:rsidRDefault="00284822">
      <w:pPr>
        <w:suppressAutoHyphens w:val="0"/>
        <w:autoSpaceDN/>
        <w:spacing w:before="120" w:after="120"/>
        <w:jc w:val="center"/>
        <w:textAlignment w:val="auto"/>
        <w:rPr>
          <w:rFonts w:ascii="Rockwell" w:eastAsia="Calibri" w:hAnsi="Rockwell"/>
          <w:b/>
          <w:bCs/>
          <w:i/>
          <w:szCs w:val="26"/>
          <w:u w:val="single"/>
        </w:rPr>
      </w:pPr>
    </w:p>
    <w:p w14:paraId="7B2F4DFB" w14:textId="77777777" w:rsidR="00284822" w:rsidRDefault="00284822">
      <w:pPr>
        <w:suppressAutoHyphens w:val="0"/>
        <w:autoSpaceDN/>
        <w:spacing w:before="120" w:after="120"/>
        <w:jc w:val="center"/>
        <w:textAlignment w:val="auto"/>
        <w:rPr>
          <w:rFonts w:ascii="Rockwell" w:eastAsia="Calibri" w:hAnsi="Rockwell"/>
          <w:b/>
          <w:i/>
          <w:szCs w:val="26"/>
        </w:rPr>
      </w:pPr>
    </w:p>
    <w:p w14:paraId="0285180C" w14:textId="77777777" w:rsidR="00284822" w:rsidRDefault="00284822">
      <w:pPr>
        <w:pStyle w:val="Paragraphedeliste"/>
        <w:ind w:left="720"/>
        <w:rPr>
          <w:rFonts w:ascii="Rockwell" w:hAnsi="Rockwell"/>
        </w:rPr>
        <w:sectPr w:rsidR="00284822">
          <w:pgSz w:w="16838" w:h="11906" w:orient="landscape"/>
          <w:pgMar w:top="1418" w:right="1418" w:bottom="1418" w:left="1418" w:header="709" w:footer="709" w:gutter="0"/>
          <w:cols w:space="720"/>
        </w:sectPr>
      </w:pPr>
    </w:p>
    <w:p w14:paraId="131A5022" w14:textId="02A3AB2E" w:rsidR="00284822" w:rsidRDefault="000A1561">
      <w:pPr>
        <w:pStyle w:val="Titre5"/>
        <w:numPr>
          <w:ilvl w:val="1"/>
          <w:numId w:val="10"/>
        </w:numPr>
        <w:rPr>
          <w:rFonts w:ascii="Rockwell" w:hAnsi="Rockwell"/>
        </w:rPr>
      </w:pPr>
      <w:bookmarkStart w:id="118" w:name="_Toc175048654"/>
      <w:r>
        <w:rPr>
          <w:rFonts w:ascii="Rockwell" w:hAnsi="Rockwell"/>
        </w:rPr>
        <w:lastRenderedPageBreak/>
        <w:t>P</w:t>
      </w:r>
      <w:r w:rsidR="00F77BF8">
        <w:rPr>
          <w:rFonts w:ascii="Rockwell" w:hAnsi="Rockwell"/>
        </w:rPr>
        <w:t>resse écrite de l’Ouest</w:t>
      </w:r>
      <w:bookmarkEnd w:id="118"/>
    </w:p>
    <w:p w14:paraId="7380EB56" w14:textId="77777777" w:rsidR="00284822" w:rsidRDefault="00F77BF8">
      <w:pPr>
        <w:spacing w:before="120" w:after="120"/>
        <w:rPr>
          <w:rFonts w:ascii="Rockwell" w:hAnsi="Rockwell"/>
          <w:szCs w:val="26"/>
        </w:rPr>
      </w:pPr>
      <w:r>
        <w:rPr>
          <w:rFonts w:ascii="Rockwell" w:hAnsi="Rockwell"/>
          <w:szCs w:val="26"/>
        </w:rPr>
        <w:t>Au titre du contrôle du dépôt légal des médias relevant de la Délégation régionale de l’Ouest (DRO)</w:t>
      </w:r>
      <w:r>
        <w:rPr>
          <w:rStyle w:val="Appelnotedebasdep"/>
          <w:rFonts w:ascii="Rockwell" w:hAnsi="Rockwell"/>
          <w:szCs w:val="26"/>
        </w:rPr>
        <w:footnoteReference w:id="6"/>
      </w:r>
      <w:r>
        <w:rPr>
          <w:rFonts w:ascii="Rockwell" w:hAnsi="Rockwell"/>
          <w:szCs w:val="26"/>
        </w:rPr>
        <w:t>, on observe un faible respect de l’obligation y relative. En effet, sur six (06) médias, quatre</w:t>
      </w:r>
      <w:r>
        <w:rPr>
          <w:rFonts w:ascii="Rockwell" w:eastAsia="Calibri" w:hAnsi="Rockwell"/>
          <w:bCs/>
          <w:szCs w:val="26"/>
        </w:rPr>
        <w:t xml:space="preserve"> (04) ont transmis leurs publications au CSC.</w:t>
      </w:r>
      <w:r>
        <w:rPr>
          <w:rFonts w:ascii="Rockwell" w:hAnsi="Rockwell"/>
          <w:szCs w:val="26"/>
        </w:rPr>
        <w:t xml:space="preserve"> L’état des publications reçues se présente ainsi qu’il suit :</w:t>
      </w:r>
    </w:p>
    <w:p w14:paraId="33D12AEB" w14:textId="77777777" w:rsidR="00284822" w:rsidRDefault="00F77BF8">
      <w:pPr>
        <w:pStyle w:val="Paragraphedeliste"/>
        <w:numPr>
          <w:ilvl w:val="0"/>
          <w:numId w:val="11"/>
        </w:numPr>
        <w:rPr>
          <w:rFonts w:ascii="Rockwell" w:hAnsi="Rockwell"/>
          <w:b/>
        </w:rPr>
      </w:pPr>
      <w:r>
        <w:rPr>
          <w:rFonts w:ascii="Rockwell" w:eastAsia="Calibri" w:hAnsi="Rockwell"/>
          <w:bCs/>
          <w:i/>
        </w:rPr>
        <w:t>Lolo Hebdo (08)</w:t>
      </w:r>
      <w:r>
        <w:rPr>
          <w:rFonts w:ascii="Rockwell" w:eastAsia="Calibri" w:hAnsi="Rockwell"/>
          <w:bCs/>
        </w:rPr>
        <w:t xml:space="preserve">, </w:t>
      </w:r>
    </w:p>
    <w:p w14:paraId="7A6849C4" w14:textId="77777777" w:rsidR="00284822" w:rsidRDefault="00F77BF8">
      <w:pPr>
        <w:pStyle w:val="Paragraphedeliste"/>
        <w:numPr>
          <w:ilvl w:val="0"/>
          <w:numId w:val="11"/>
        </w:numPr>
        <w:rPr>
          <w:rFonts w:ascii="Rockwell" w:hAnsi="Rockwell"/>
          <w:b/>
        </w:rPr>
      </w:pPr>
      <w:r>
        <w:rPr>
          <w:rFonts w:ascii="Rockwell" w:eastAsia="Calibri" w:hAnsi="Rockwell"/>
          <w:bCs/>
          <w:i/>
        </w:rPr>
        <w:t>Le Réveil du Faso (03)</w:t>
      </w:r>
      <w:r>
        <w:rPr>
          <w:rFonts w:ascii="Rockwell" w:eastAsia="Calibri" w:hAnsi="Rockwell"/>
          <w:bCs/>
        </w:rPr>
        <w:t xml:space="preserve">, </w:t>
      </w:r>
    </w:p>
    <w:p w14:paraId="0DE2E096" w14:textId="77777777" w:rsidR="00284822" w:rsidRDefault="00F77BF8">
      <w:pPr>
        <w:pStyle w:val="Paragraphedeliste"/>
        <w:numPr>
          <w:ilvl w:val="0"/>
          <w:numId w:val="11"/>
        </w:numPr>
        <w:rPr>
          <w:rFonts w:ascii="Rockwell" w:hAnsi="Rockwell"/>
          <w:b/>
        </w:rPr>
      </w:pPr>
      <w:r>
        <w:rPr>
          <w:rFonts w:ascii="Rockwell" w:eastAsia="Calibri" w:hAnsi="Rockwell"/>
          <w:bCs/>
          <w:i/>
        </w:rPr>
        <w:t>Echos Culture du Faso</w:t>
      </w:r>
      <w:r>
        <w:rPr>
          <w:rFonts w:ascii="Rockwell" w:eastAsia="Calibri" w:hAnsi="Rockwell"/>
          <w:bCs/>
        </w:rPr>
        <w:t xml:space="preserve"> (01), </w:t>
      </w:r>
    </w:p>
    <w:p w14:paraId="53CEA20C" w14:textId="77777777" w:rsidR="00284822" w:rsidRDefault="00F77BF8">
      <w:pPr>
        <w:pStyle w:val="Paragraphedeliste"/>
        <w:numPr>
          <w:ilvl w:val="0"/>
          <w:numId w:val="11"/>
        </w:numPr>
        <w:rPr>
          <w:rFonts w:ascii="Rockwell" w:hAnsi="Rockwell"/>
          <w:b/>
        </w:rPr>
      </w:pPr>
      <w:r>
        <w:rPr>
          <w:rFonts w:ascii="Rockwell" w:eastAsia="Calibri" w:hAnsi="Rockwell"/>
          <w:bCs/>
          <w:i/>
        </w:rPr>
        <w:t>Le Messager</w:t>
      </w:r>
      <w:r>
        <w:rPr>
          <w:rFonts w:ascii="Rockwell" w:eastAsia="Calibri" w:hAnsi="Rockwell"/>
          <w:bCs/>
        </w:rPr>
        <w:t xml:space="preserve"> (01). </w:t>
      </w:r>
    </w:p>
    <w:p w14:paraId="392B921B" w14:textId="77777777" w:rsidR="00284822" w:rsidRDefault="00F77BF8">
      <w:pPr>
        <w:spacing w:before="120" w:after="120"/>
        <w:rPr>
          <w:rFonts w:ascii="Rockwell" w:hAnsi="Rockwell"/>
          <w:szCs w:val="26"/>
        </w:rPr>
      </w:pPr>
      <w:r>
        <w:rPr>
          <w:rFonts w:ascii="Rockwell" w:hAnsi="Rockwell"/>
          <w:szCs w:val="26"/>
        </w:rPr>
        <w:t xml:space="preserve">Il convient de signaler que pour des raisons diverses, une bonne partie de la presse écrite de l’Ouest a une parution irrégulière. Certains ont cessé de </w:t>
      </w:r>
      <w:commentRangeStart w:id="119"/>
      <w:r>
        <w:rPr>
          <w:rFonts w:ascii="Rockwell" w:hAnsi="Rockwell"/>
          <w:szCs w:val="26"/>
        </w:rPr>
        <w:t>paraître</w:t>
      </w:r>
      <w:commentRangeEnd w:id="119"/>
      <w:r>
        <w:rPr>
          <w:rStyle w:val="Marquedecommentaire"/>
        </w:rPr>
        <w:commentReference w:id="119"/>
      </w:r>
      <w:r>
        <w:rPr>
          <w:rFonts w:ascii="Rockwell" w:hAnsi="Rockwell"/>
          <w:szCs w:val="26"/>
        </w:rPr>
        <w:t xml:space="preserve">.  </w:t>
      </w:r>
    </w:p>
    <w:p w14:paraId="5790F74A" w14:textId="77777777" w:rsidR="00284822" w:rsidRDefault="00284822">
      <w:pPr>
        <w:spacing w:before="120" w:after="120"/>
        <w:rPr>
          <w:rFonts w:ascii="Rockwell" w:hAnsi="Rockwell"/>
          <w:szCs w:val="26"/>
        </w:rPr>
      </w:pPr>
    </w:p>
    <w:p w14:paraId="6F6BB7C8" w14:textId="6D0BB36A" w:rsidR="00284822" w:rsidRDefault="00F77BF8">
      <w:pPr>
        <w:pStyle w:val="Titre4"/>
        <w:spacing w:before="120" w:after="120"/>
        <w:ind w:hanging="1418"/>
        <w:rPr>
          <w:rFonts w:ascii="Rockwell" w:hAnsi="Rockwell"/>
          <w:sz w:val="28"/>
          <w:szCs w:val="28"/>
        </w:rPr>
      </w:pPr>
      <w:bookmarkStart w:id="120" w:name="_Toc175048655"/>
      <w:r>
        <w:rPr>
          <w:rFonts w:ascii="Rockwell" w:hAnsi="Rockwell"/>
          <w:sz w:val="28"/>
          <w:szCs w:val="28"/>
        </w:rPr>
        <w:t xml:space="preserve">Paragraphe 3 : </w:t>
      </w:r>
      <w:r w:rsidR="000A1561">
        <w:rPr>
          <w:rFonts w:ascii="Rockwell" w:hAnsi="Rockwell"/>
          <w:sz w:val="28"/>
          <w:szCs w:val="28"/>
        </w:rPr>
        <w:t>P</w:t>
      </w:r>
      <w:r>
        <w:rPr>
          <w:rFonts w:ascii="Rockwell" w:hAnsi="Rockwell"/>
          <w:sz w:val="28"/>
          <w:szCs w:val="28"/>
        </w:rPr>
        <w:t xml:space="preserve">resse en ligne </w:t>
      </w:r>
      <w:bookmarkEnd w:id="120"/>
    </w:p>
    <w:p w14:paraId="1276750F" w14:textId="77777777" w:rsidR="00284822" w:rsidRDefault="00284822">
      <w:pPr>
        <w:spacing w:before="120" w:after="120"/>
        <w:rPr>
          <w:sz w:val="6"/>
          <w:szCs w:val="6"/>
        </w:rPr>
      </w:pPr>
    </w:p>
    <w:p w14:paraId="65758E99" w14:textId="0C1DC498" w:rsidR="00284822" w:rsidRDefault="000A1561">
      <w:pPr>
        <w:pStyle w:val="Titre5"/>
        <w:numPr>
          <w:ilvl w:val="1"/>
          <w:numId w:val="12"/>
        </w:numPr>
        <w:ind w:firstLine="338"/>
        <w:rPr>
          <w:rFonts w:ascii="Rockwell" w:hAnsi="Rockwell"/>
        </w:rPr>
      </w:pPr>
      <w:bookmarkStart w:id="121" w:name="_Toc175048656"/>
      <w:bookmarkStart w:id="122" w:name="_Hlk161839221"/>
      <w:r>
        <w:rPr>
          <w:rFonts w:ascii="Rockwell" w:hAnsi="Rockwell"/>
        </w:rPr>
        <w:t>P</w:t>
      </w:r>
      <w:r w:rsidR="00F77BF8">
        <w:rPr>
          <w:rFonts w:ascii="Rockwell" w:hAnsi="Rockwell"/>
        </w:rPr>
        <w:t>resse en ligne du Centre</w:t>
      </w:r>
      <w:bookmarkEnd w:id="121"/>
    </w:p>
    <w:bookmarkEnd w:id="122"/>
    <w:p w14:paraId="69EC6EBA" w14:textId="77777777" w:rsidR="00284822" w:rsidRDefault="00F77BF8">
      <w:pPr>
        <w:spacing w:before="120" w:after="120"/>
        <w:rPr>
          <w:rFonts w:ascii="Rockwell" w:hAnsi="Rockwell"/>
          <w:szCs w:val="26"/>
        </w:rPr>
      </w:pPr>
      <w:r>
        <w:rPr>
          <w:rFonts w:ascii="Rockwell" w:hAnsi="Rockwell"/>
          <w:szCs w:val="26"/>
        </w:rPr>
        <w:t xml:space="preserve">Sur la base du répertoire des médias déclarés au CSC, on dénombre, en 2022, deux-cent treize (213) médias en ligne dont soixante-six (66) non fonctionnels. Sur les cent quarante-sept (147) médias en ligne fonctionnels, vingt (20) n’ont pas eu un fonctionnement régulier. En effet, ils n’ont pas fait de publication pendant au moins 90 jours continus. </w:t>
      </w:r>
    </w:p>
    <w:p w14:paraId="08EFE8D2" w14:textId="77777777" w:rsidR="00284822" w:rsidRDefault="00284822">
      <w:pPr>
        <w:spacing w:before="120" w:after="120"/>
        <w:rPr>
          <w:rFonts w:ascii="Rockwell" w:hAnsi="Rockwell"/>
          <w:szCs w:val="26"/>
        </w:rPr>
        <w:sectPr w:rsidR="00284822">
          <w:pgSz w:w="11906" w:h="16838"/>
          <w:pgMar w:top="1418" w:right="1274" w:bottom="1418" w:left="1418" w:header="709" w:footer="709" w:gutter="0"/>
          <w:cols w:space="720"/>
        </w:sectPr>
      </w:pPr>
    </w:p>
    <w:p w14:paraId="0DFB8F46" w14:textId="0B8E4C2F" w:rsidR="00284822" w:rsidRDefault="000A1561">
      <w:pPr>
        <w:pStyle w:val="Titre5"/>
        <w:numPr>
          <w:ilvl w:val="1"/>
          <w:numId w:val="12"/>
        </w:numPr>
        <w:jc w:val="center"/>
        <w:rPr>
          <w:rFonts w:ascii="Rockwell" w:hAnsi="Rockwell"/>
        </w:rPr>
      </w:pPr>
      <w:bookmarkStart w:id="123" w:name="_Toc175048657"/>
      <w:r>
        <w:rPr>
          <w:rFonts w:ascii="Rockwell" w:hAnsi="Rockwell"/>
        </w:rPr>
        <w:lastRenderedPageBreak/>
        <w:t>P</w:t>
      </w:r>
      <w:r w:rsidR="00F77BF8">
        <w:rPr>
          <w:rFonts w:ascii="Rockwell" w:hAnsi="Rockwell"/>
        </w:rPr>
        <w:t>resse en ligne relevant de la Délégation Régionale</w:t>
      </w:r>
      <w:bookmarkEnd w:id="123"/>
    </w:p>
    <w:p w14:paraId="52802F6A" w14:textId="77777777" w:rsidR="00284822" w:rsidRDefault="00F77BF8">
      <w:pPr>
        <w:pStyle w:val="Titre5"/>
        <w:numPr>
          <w:ilvl w:val="0"/>
          <w:numId w:val="0"/>
        </w:numPr>
        <w:ind w:left="1080"/>
        <w:jc w:val="center"/>
        <w:rPr>
          <w:rFonts w:ascii="Rockwell" w:hAnsi="Rockwell"/>
        </w:rPr>
      </w:pPr>
      <w:bookmarkStart w:id="124" w:name="_Toc175048658"/>
      <w:proofErr w:type="gramStart"/>
      <w:r>
        <w:rPr>
          <w:rFonts w:ascii="Rockwell" w:hAnsi="Rockwell"/>
        </w:rPr>
        <w:t>de</w:t>
      </w:r>
      <w:proofErr w:type="gramEnd"/>
      <w:r>
        <w:rPr>
          <w:rFonts w:ascii="Rockwell" w:hAnsi="Rockwell"/>
        </w:rPr>
        <w:t xml:space="preserve"> l’Ouest</w:t>
      </w:r>
      <w:bookmarkEnd w:id="124"/>
    </w:p>
    <w:p w14:paraId="1AA7CD8D" w14:textId="77777777" w:rsidR="00284822" w:rsidRDefault="00F77BF8">
      <w:pPr>
        <w:spacing w:before="120" w:after="120"/>
        <w:rPr>
          <w:rFonts w:ascii="Rockwell" w:hAnsi="Rockwell"/>
          <w:color w:val="000000" w:themeColor="text1"/>
          <w:szCs w:val="26"/>
        </w:rPr>
      </w:pPr>
      <w:r>
        <w:rPr>
          <w:rFonts w:ascii="Rockwell" w:hAnsi="Rockwell"/>
          <w:color w:val="000000" w:themeColor="text1"/>
          <w:szCs w:val="26"/>
        </w:rPr>
        <w:t xml:space="preserve">En 2022, le paysage médiatique de l’Ouest compte onze (11) médias en ligne déclarés auprès du CSC. </w:t>
      </w:r>
      <w:r>
        <w:rPr>
          <w:rFonts w:ascii="Rockwell" w:hAnsi="Rockwell"/>
          <w:szCs w:val="26"/>
        </w:rPr>
        <w:t>Sept (07) d’entre eux ont une parution régulière. Ce sont :</w:t>
      </w:r>
      <w:r>
        <w:rPr>
          <w:rFonts w:ascii="Rockwell" w:hAnsi="Rockwell"/>
          <w:color w:val="FF0000"/>
          <w:szCs w:val="26"/>
        </w:rPr>
        <w:t xml:space="preserve"> </w:t>
      </w:r>
    </w:p>
    <w:p w14:paraId="32855E1C" w14:textId="77777777" w:rsidR="00284822" w:rsidRDefault="00F77BF8">
      <w:pPr>
        <w:numPr>
          <w:ilvl w:val="0"/>
          <w:numId w:val="13"/>
        </w:numPr>
        <w:suppressAutoHyphens w:val="0"/>
        <w:spacing w:before="120" w:after="120"/>
        <w:textAlignment w:val="auto"/>
        <w:rPr>
          <w:rFonts w:ascii="Rockwell" w:hAnsi="Rockwell"/>
          <w:color w:val="000000" w:themeColor="text1"/>
          <w:szCs w:val="26"/>
        </w:rPr>
      </w:pPr>
      <w:r>
        <w:rPr>
          <w:rFonts w:ascii="Rockwell" w:hAnsi="Rockwell"/>
          <w:color w:val="000000" w:themeColor="text1"/>
          <w:szCs w:val="26"/>
        </w:rPr>
        <w:t xml:space="preserve">Radio Web </w:t>
      </w:r>
      <w:proofErr w:type="spellStart"/>
      <w:r>
        <w:rPr>
          <w:rFonts w:ascii="Rockwell" w:hAnsi="Rockwell"/>
          <w:color w:val="000000" w:themeColor="text1"/>
          <w:szCs w:val="26"/>
        </w:rPr>
        <w:t>Tankonnon</w:t>
      </w:r>
      <w:proofErr w:type="spellEnd"/>
      <w:r>
        <w:rPr>
          <w:rFonts w:ascii="Rockwell" w:hAnsi="Rockwell"/>
          <w:color w:val="000000" w:themeColor="text1"/>
          <w:szCs w:val="26"/>
        </w:rPr>
        <w:t xml:space="preserve"> : </w:t>
      </w:r>
      <w:r>
        <w:rPr>
          <w:rFonts w:ascii="Rockwell" w:hAnsi="Rockwell"/>
          <w:i/>
          <w:color w:val="000000" w:themeColor="text1"/>
          <w:szCs w:val="26"/>
        </w:rPr>
        <w:t>www.tankonnon.net ;</w:t>
      </w:r>
    </w:p>
    <w:p w14:paraId="41782161" w14:textId="77777777" w:rsidR="00284822" w:rsidRDefault="00F77BF8">
      <w:pPr>
        <w:numPr>
          <w:ilvl w:val="0"/>
          <w:numId w:val="13"/>
        </w:numPr>
        <w:suppressAutoHyphens w:val="0"/>
        <w:spacing w:before="120" w:after="120"/>
        <w:textAlignment w:val="auto"/>
        <w:rPr>
          <w:rFonts w:ascii="Rockwell" w:hAnsi="Rockwell"/>
          <w:color w:val="000000" w:themeColor="text1"/>
          <w:szCs w:val="26"/>
        </w:rPr>
      </w:pPr>
      <w:r>
        <w:rPr>
          <w:rFonts w:ascii="Rockwell" w:hAnsi="Rockwell"/>
          <w:color w:val="000000" w:themeColor="text1"/>
          <w:szCs w:val="26"/>
        </w:rPr>
        <w:t xml:space="preserve">Faso environnement : </w:t>
      </w:r>
      <w:r>
        <w:rPr>
          <w:rFonts w:ascii="Rockwell" w:hAnsi="Rockwell"/>
          <w:i/>
          <w:color w:val="000000" w:themeColor="text1"/>
          <w:szCs w:val="26"/>
        </w:rPr>
        <w:t>www</w:t>
      </w:r>
      <w:r>
        <w:rPr>
          <w:rFonts w:ascii="Rockwell" w:hAnsi="Rockwell"/>
          <w:color w:val="000000" w:themeColor="text1"/>
          <w:szCs w:val="26"/>
        </w:rPr>
        <w:t>.</w:t>
      </w:r>
      <w:r>
        <w:rPr>
          <w:rFonts w:ascii="Rockwell" w:hAnsi="Rockwell"/>
          <w:i/>
          <w:color w:val="000000" w:themeColor="text1"/>
          <w:szCs w:val="26"/>
        </w:rPr>
        <w:t>faso environnement.com ;</w:t>
      </w:r>
    </w:p>
    <w:p w14:paraId="38A54B79" w14:textId="77777777" w:rsidR="00284822" w:rsidRDefault="00F77BF8">
      <w:pPr>
        <w:numPr>
          <w:ilvl w:val="0"/>
          <w:numId w:val="13"/>
        </w:numPr>
        <w:suppressAutoHyphens w:val="0"/>
        <w:spacing w:before="120" w:after="120"/>
        <w:textAlignment w:val="auto"/>
        <w:rPr>
          <w:rFonts w:ascii="Rockwell" w:hAnsi="Rockwell"/>
          <w:color w:val="000000" w:themeColor="text1"/>
          <w:szCs w:val="26"/>
        </w:rPr>
      </w:pPr>
      <w:r>
        <w:rPr>
          <w:rFonts w:ascii="Rockwell" w:hAnsi="Rockwell"/>
          <w:color w:val="000000" w:themeColor="text1"/>
          <w:szCs w:val="26"/>
        </w:rPr>
        <w:t xml:space="preserve">Ouest info : </w:t>
      </w:r>
      <w:r>
        <w:rPr>
          <w:rFonts w:ascii="Rockwell" w:hAnsi="Rockwell"/>
          <w:i/>
          <w:color w:val="000000" w:themeColor="text1"/>
          <w:szCs w:val="26"/>
        </w:rPr>
        <w:t>www.ouestinfo.net ;</w:t>
      </w:r>
    </w:p>
    <w:p w14:paraId="384D3481" w14:textId="77777777" w:rsidR="00284822" w:rsidRDefault="00F77BF8">
      <w:pPr>
        <w:numPr>
          <w:ilvl w:val="0"/>
          <w:numId w:val="13"/>
        </w:numPr>
        <w:suppressAutoHyphens w:val="0"/>
        <w:spacing w:before="120" w:after="120"/>
        <w:textAlignment w:val="auto"/>
        <w:rPr>
          <w:rFonts w:ascii="Rockwell" w:hAnsi="Rockwell"/>
          <w:color w:val="000000" w:themeColor="text1"/>
          <w:szCs w:val="26"/>
        </w:rPr>
      </w:pPr>
      <w:r>
        <w:rPr>
          <w:rFonts w:ascii="Rockwell" w:hAnsi="Rockwell"/>
          <w:color w:val="000000" w:themeColor="text1"/>
          <w:szCs w:val="26"/>
        </w:rPr>
        <w:t xml:space="preserve">Ouest actu : </w:t>
      </w:r>
      <w:r>
        <w:rPr>
          <w:rFonts w:ascii="Rockwell" w:hAnsi="Rockwell"/>
          <w:i/>
          <w:color w:val="000000" w:themeColor="text1"/>
          <w:szCs w:val="26"/>
        </w:rPr>
        <w:t>www.ouestactu.net ;</w:t>
      </w:r>
    </w:p>
    <w:p w14:paraId="04E400A6" w14:textId="77777777" w:rsidR="00284822" w:rsidRDefault="00F77BF8">
      <w:pPr>
        <w:numPr>
          <w:ilvl w:val="0"/>
          <w:numId w:val="13"/>
        </w:numPr>
        <w:suppressAutoHyphens w:val="0"/>
        <w:spacing w:before="120" w:after="120"/>
        <w:textAlignment w:val="auto"/>
        <w:rPr>
          <w:rFonts w:ascii="Rockwell" w:hAnsi="Rockwell"/>
          <w:color w:val="000000" w:themeColor="text1"/>
          <w:szCs w:val="26"/>
        </w:rPr>
      </w:pPr>
      <w:proofErr w:type="spellStart"/>
      <w:r>
        <w:rPr>
          <w:rFonts w:ascii="Rockwell" w:hAnsi="Rockwell"/>
          <w:color w:val="000000" w:themeColor="text1"/>
          <w:szCs w:val="26"/>
        </w:rPr>
        <w:t>Wouninfo</w:t>
      </w:r>
      <w:proofErr w:type="spellEnd"/>
      <w:r>
        <w:rPr>
          <w:rFonts w:ascii="Rockwell" w:hAnsi="Rockwell"/>
          <w:color w:val="000000" w:themeColor="text1"/>
          <w:szCs w:val="26"/>
        </w:rPr>
        <w:t xml:space="preserve"> : </w:t>
      </w:r>
      <w:r>
        <w:rPr>
          <w:rFonts w:ascii="Rockwell" w:hAnsi="Rockwell"/>
          <w:i/>
          <w:color w:val="000000" w:themeColor="text1"/>
          <w:szCs w:val="26"/>
        </w:rPr>
        <w:t>www</w:t>
      </w:r>
      <w:r>
        <w:rPr>
          <w:rFonts w:ascii="Rockwell" w:hAnsi="Rockwell"/>
          <w:color w:val="000000" w:themeColor="text1"/>
          <w:szCs w:val="26"/>
        </w:rPr>
        <w:t>.</w:t>
      </w:r>
      <w:r>
        <w:rPr>
          <w:rFonts w:ascii="Rockwell" w:hAnsi="Rockwell"/>
          <w:i/>
          <w:color w:val="000000" w:themeColor="text1"/>
          <w:szCs w:val="26"/>
        </w:rPr>
        <w:t>wouninfo.net ;</w:t>
      </w:r>
    </w:p>
    <w:p w14:paraId="39F9943B" w14:textId="77777777" w:rsidR="00284822" w:rsidRDefault="00F77BF8">
      <w:pPr>
        <w:numPr>
          <w:ilvl w:val="0"/>
          <w:numId w:val="13"/>
        </w:numPr>
        <w:suppressAutoHyphens w:val="0"/>
        <w:spacing w:before="120" w:after="120"/>
        <w:textAlignment w:val="auto"/>
        <w:rPr>
          <w:rFonts w:ascii="Rockwell" w:hAnsi="Rockwell"/>
          <w:color w:val="000000" w:themeColor="text1"/>
          <w:szCs w:val="26"/>
        </w:rPr>
      </w:pPr>
      <w:proofErr w:type="spellStart"/>
      <w:r>
        <w:rPr>
          <w:rFonts w:ascii="Rockwell" w:hAnsi="Rockwell"/>
          <w:color w:val="000000" w:themeColor="text1"/>
          <w:szCs w:val="26"/>
        </w:rPr>
        <w:t>Bafujiinfos</w:t>
      </w:r>
      <w:proofErr w:type="spellEnd"/>
      <w:r>
        <w:rPr>
          <w:rFonts w:ascii="Rockwell" w:hAnsi="Rockwell"/>
          <w:color w:val="000000" w:themeColor="text1"/>
          <w:szCs w:val="26"/>
        </w:rPr>
        <w:t xml:space="preserve"> : </w:t>
      </w:r>
      <w:r>
        <w:rPr>
          <w:rFonts w:ascii="Rockwell" w:hAnsi="Rockwell"/>
          <w:i/>
          <w:color w:val="000000" w:themeColor="text1"/>
          <w:szCs w:val="26"/>
        </w:rPr>
        <w:t>www.bafujiinfos.com ;</w:t>
      </w:r>
    </w:p>
    <w:p w14:paraId="36B8708E" w14:textId="77777777" w:rsidR="00284822" w:rsidRDefault="00F77BF8">
      <w:pPr>
        <w:numPr>
          <w:ilvl w:val="0"/>
          <w:numId w:val="13"/>
        </w:numPr>
        <w:tabs>
          <w:tab w:val="center" w:pos="-11043"/>
        </w:tabs>
        <w:suppressAutoHyphens w:val="0"/>
        <w:spacing w:before="120" w:after="120"/>
        <w:textAlignment w:val="auto"/>
        <w:rPr>
          <w:rFonts w:ascii="Rockwell" w:hAnsi="Rockwell"/>
          <w:color w:val="000000" w:themeColor="text1"/>
          <w:szCs w:val="26"/>
        </w:rPr>
      </w:pPr>
      <w:r>
        <w:rPr>
          <w:rFonts w:ascii="Rockwell" w:hAnsi="Rockwell"/>
          <w:color w:val="000000" w:themeColor="text1"/>
          <w:szCs w:val="26"/>
        </w:rPr>
        <w:t xml:space="preserve">Le Miroir de l’Info : </w:t>
      </w:r>
      <w:hyperlink r:id="rId37" w:history="1">
        <w:r>
          <w:rPr>
            <w:rFonts w:ascii="Rockwell" w:hAnsi="Rockwell"/>
            <w:i/>
            <w:color w:val="000000" w:themeColor="text1"/>
            <w:szCs w:val="26"/>
          </w:rPr>
          <w:t>www.lemiroirdelinfo.com</w:t>
        </w:r>
      </w:hyperlink>
      <w:r>
        <w:rPr>
          <w:rFonts w:ascii="Rockwell" w:hAnsi="Rockwell"/>
          <w:i/>
          <w:color w:val="000000" w:themeColor="text1"/>
          <w:szCs w:val="26"/>
        </w:rPr>
        <w:t>.</w:t>
      </w:r>
    </w:p>
    <w:p w14:paraId="5CC2B83F" w14:textId="77777777" w:rsidR="00284822" w:rsidRDefault="00F77BF8">
      <w:pPr>
        <w:suppressAutoHyphens w:val="0"/>
        <w:spacing w:before="120" w:after="120"/>
        <w:ind w:firstLine="11"/>
        <w:textAlignment w:val="auto"/>
        <w:rPr>
          <w:rFonts w:ascii="Rockwell" w:hAnsi="Rockwell"/>
          <w:color w:val="000000" w:themeColor="text1"/>
          <w:szCs w:val="26"/>
        </w:rPr>
      </w:pPr>
      <w:r>
        <w:rPr>
          <w:rFonts w:ascii="Rockwell" w:hAnsi="Rockwell"/>
          <w:color w:val="000000" w:themeColor="text1"/>
          <w:szCs w:val="26"/>
        </w:rPr>
        <w:t xml:space="preserve">On note cependant que les quatre (04) autres n’ont pas publié d’articles </w:t>
      </w:r>
    </w:p>
    <w:p w14:paraId="35233FB9" w14:textId="77777777" w:rsidR="00284822" w:rsidRDefault="00F77BF8">
      <w:pPr>
        <w:suppressAutoHyphens w:val="0"/>
        <w:spacing w:before="120" w:after="120"/>
        <w:ind w:firstLine="11"/>
        <w:textAlignment w:val="auto"/>
        <w:rPr>
          <w:rFonts w:ascii="Rockwell" w:hAnsi="Rockwell"/>
          <w:color w:val="000000" w:themeColor="text1"/>
          <w:szCs w:val="26"/>
        </w:rPr>
      </w:pPr>
      <w:proofErr w:type="gramStart"/>
      <w:r>
        <w:rPr>
          <w:rFonts w:ascii="Rockwell" w:hAnsi="Rockwell"/>
          <w:color w:val="000000" w:themeColor="text1"/>
          <w:szCs w:val="26"/>
        </w:rPr>
        <w:t>depuis</w:t>
      </w:r>
      <w:proofErr w:type="gramEnd"/>
      <w:r>
        <w:rPr>
          <w:rFonts w:ascii="Rockwell" w:hAnsi="Rockwell"/>
          <w:color w:val="000000" w:themeColor="text1"/>
          <w:szCs w:val="26"/>
        </w:rPr>
        <w:t xml:space="preserve"> leur création. Il s’agit de : </w:t>
      </w:r>
    </w:p>
    <w:p w14:paraId="24507932" w14:textId="77777777" w:rsidR="00284822" w:rsidRDefault="00F77BF8">
      <w:pPr>
        <w:numPr>
          <w:ilvl w:val="0"/>
          <w:numId w:val="14"/>
        </w:numPr>
        <w:suppressAutoHyphens w:val="0"/>
        <w:spacing w:before="120" w:after="120"/>
        <w:textAlignment w:val="auto"/>
        <w:rPr>
          <w:rFonts w:ascii="Rockwell" w:hAnsi="Rockwell"/>
          <w:color w:val="000000" w:themeColor="text1"/>
          <w:szCs w:val="26"/>
        </w:rPr>
      </w:pPr>
      <w:r>
        <w:rPr>
          <w:rFonts w:ascii="Rockwell" w:hAnsi="Rockwell"/>
          <w:color w:val="000000" w:themeColor="text1"/>
          <w:szCs w:val="26"/>
        </w:rPr>
        <w:t xml:space="preserve">Oracleinfos24 : </w:t>
      </w:r>
      <w:r>
        <w:rPr>
          <w:rFonts w:ascii="Rockwell" w:hAnsi="Rockwell"/>
          <w:i/>
          <w:color w:val="000000" w:themeColor="text1"/>
          <w:szCs w:val="26"/>
        </w:rPr>
        <w:t>www.oracleinfos24.com</w:t>
      </w:r>
    </w:p>
    <w:p w14:paraId="3E46369A" w14:textId="77777777" w:rsidR="00284822" w:rsidRDefault="00F77BF8">
      <w:pPr>
        <w:numPr>
          <w:ilvl w:val="0"/>
          <w:numId w:val="14"/>
        </w:numPr>
        <w:suppressAutoHyphens w:val="0"/>
        <w:spacing w:before="120" w:after="120"/>
        <w:textAlignment w:val="auto"/>
        <w:rPr>
          <w:rFonts w:ascii="Rockwell" w:hAnsi="Rockwell"/>
          <w:color w:val="000000" w:themeColor="text1"/>
          <w:szCs w:val="26"/>
        </w:rPr>
      </w:pPr>
      <w:proofErr w:type="spellStart"/>
      <w:r>
        <w:rPr>
          <w:rFonts w:ascii="Rockwell" w:hAnsi="Rockwell"/>
          <w:color w:val="000000" w:themeColor="text1"/>
          <w:szCs w:val="26"/>
        </w:rPr>
        <w:t>Nel</w:t>
      </w:r>
      <w:proofErr w:type="spellEnd"/>
      <w:r>
        <w:rPr>
          <w:rFonts w:ascii="Rockwell" w:hAnsi="Rockwell"/>
          <w:color w:val="000000" w:themeColor="text1"/>
          <w:szCs w:val="26"/>
        </w:rPr>
        <w:t xml:space="preserve"> Actu : </w:t>
      </w:r>
      <w:hyperlink r:id="rId38" w:history="1">
        <w:r>
          <w:rPr>
            <w:rFonts w:ascii="Rockwell" w:hAnsi="Rockwell"/>
            <w:i/>
            <w:color w:val="000000" w:themeColor="text1"/>
            <w:szCs w:val="26"/>
          </w:rPr>
          <w:t>www.nelactu-burkina.com</w:t>
        </w:r>
      </w:hyperlink>
    </w:p>
    <w:p w14:paraId="26A977B5" w14:textId="77777777" w:rsidR="00284822" w:rsidRDefault="00F77BF8">
      <w:pPr>
        <w:numPr>
          <w:ilvl w:val="0"/>
          <w:numId w:val="14"/>
        </w:numPr>
        <w:tabs>
          <w:tab w:val="center" w:pos="-15027"/>
        </w:tabs>
        <w:suppressAutoHyphens w:val="0"/>
        <w:spacing w:before="120" w:after="120"/>
        <w:textAlignment w:val="auto"/>
        <w:rPr>
          <w:rFonts w:ascii="Rockwell" w:hAnsi="Rockwell"/>
          <w:color w:val="000000" w:themeColor="text1"/>
          <w:szCs w:val="26"/>
        </w:rPr>
      </w:pPr>
      <w:r>
        <w:rPr>
          <w:rFonts w:ascii="Rockwell" w:hAnsi="Rockwell"/>
          <w:color w:val="000000" w:themeColor="text1"/>
          <w:szCs w:val="26"/>
        </w:rPr>
        <w:t xml:space="preserve">Liberté info : </w:t>
      </w:r>
      <w:r>
        <w:rPr>
          <w:rFonts w:ascii="Rockwell" w:hAnsi="Rockwell"/>
          <w:i/>
          <w:iCs/>
          <w:color w:val="000000" w:themeColor="text1"/>
          <w:szCs w:val="26"/>
        </w:rPr>
        <w:t>www. liberteinfo</w:t>
      </w:r>
      <w:r>
        <w:rPr>
          <w:rFonts w:ascii="Rockwell" w:hAnsi="Rockwell"/>
          <w:i/>
          <w:color w:val="000000" w:themeColor="text1"/>
          <w:szCs w:val="26"/>
        </w:rPr>
        <w:t>.net</w:t>
      </w:r>
    </w:p>
    <w:p w14:paraId="4E62125A" w14:textId="77777777" w:rsidR="00284822" w:rsidRDefault="00F77BF8">
      <w:pPr>
        <w:numPr>
          <w:ilvl w:val="0"/>
          <w:numId w:val="14"/>
        </w:numPr>
        <w:tabs>
          <w:tab w:val="center" w:pos="-15027"/>
        </w:tabs>
        <w:suppressAutoHyphens w:val="0"/>
        <w:spacing w:before="120" w:after="120"/>
        <w:textAlignment w:val="auto"/>
        <w:rPr>
          <w:rFonts w:ascii="Rockwell" w:hAnsi="Rockwell"/>
          <w:color w:val="000000" w:themeColor="text1"/>
          <w:szCs w:val="26"/>
        </w:rPr>
      </w:pPr>
      <w:proofErr w:type="spellStart"/>
      <w:r>
        <w:rPr>
          <w:rFonts w:ascii="Rockwell" w:hAnsi="Rockwell"/>
          <w:color w:val="000000" w:themeColor="text1"/>
          <w:szCs w:val="26"/>
        </w:rPr>
        <w:t>Culturosportinfos</w:t>
      </w:r>
      <w:proofErr w:type="spellEnd"/>
      <w:r>
        <w:rPr>
          <w:rFonts w:ascii="Rockwell" w:hAnsi="Rockwell"/>
          <w:color w:val="000000" w:themeColor="text1"/>
          <w:szCs w:val="26"/>
        </w:rPr>
        <w:t xml:space="preserve"> : </w:t>
      </w:r>
      <w:hyperlink r:id="rId39" w:history="1">
        <w:r>
          <w:rPr>
            <w:rFonts w:ascii="Rockwell" w:hAnsi="Rockwell"/>
            <w:i/>
            <w:color w:val="000000" w:themeColor="text1"/>
            <w:szCs w:val="26"/>
          </w:rPr>
          <w:t>www.culturosportinfos.net</w:t>
        </w:r>
      </w:hyperlink>
    </w:p>
    <w:p w14:paraId="2366D7FF" w14:textId="77777777" w:rsidR="00284822" w:rsidRDefault="00284822">
      <w:pPr>
        <w:spacing w:before="120" w:after="120"/>
        <w:rPr>
          <w:rFonts w:ascii="Rockwell" w:hAnsi="Rockwell"/>
          <w:sz w:val="10"/>
          <w:szCs w:val="10"/>
        </w:rPr>
      </w:pPr>
    </w:p>
    <w:p w14:paraId="3B79082F" w14:textId="324C7C6F" w:rsidR="00284822" w:rsidRDefault="00F77BF8">
      <w:pPr>
        <w:pStyle w:val="Titre4"/>
        <w:spacing w:before="120" w:after="120"/>
        <w:rPr>
          <w:rFonts w:ascii="Rockwell" w:eastAsia="Calibri" w:hAnsi="Rockwell"/>
          <w:sz w:val="28"/>
          <w:szCs w:val="28"/>
        </w:rPr>
      </w:pPr>
      <w:bookmarkStart w:id="125" w:name="_Toc175048659"/>
      <w:r>
        <w:rPr>
          <w:rFonts w:ascii="Rockwell" w:eastAsia="Calibri" w:hAnsi="Rockwell"/>
          <w:sz w:val="28"/>
          <w:szCs w:val="28"/>
        </w:rPr>
        <w:t xml:space="preserve">Paragraphe 4 : </w:t>
      </w:r>
      <w:r w:rsidR="000A1561">
        <w:rPr>
          <w:rFonts w:ascii="Rockwell" w:eastAsia="Calibri" w:hAnsi="Rockwell"/>
          <w:sz w:val="28"/>
          <w:szCs w:val="28"/>
        </w:rPr>
        <w:t>D</w:t>
      </w:r>
      <w:r>
        <w:rPr>
          <w:rFonts w:ascii="Rockwell" w:eastAsia="Calibri" w:hAnsi="Rockwell"/>
          <w:sz w:val="28"/>
          <w:szCs w:val="28"/>
        </w:rPr>
        <w:t>élivrance des attestations de parution ou de diffusion régulière</w:t>
      </w:r>
      <w:bookmarkEnd w:id="125"/>
    </w:p>
    <w:p w14:paraId="2D3BD5E8" w14:textId="77777777" w:rsidR="00284822" w:rsidRDefault="00F77BF8">
      <w:pPr>
        <w:tabs>
          <w:tab w:val="left" w:pos="1215"/>
        </w:tabs>
        <w:spacing w:before="120" w:after="120"/>
        <w:ind w:left="-142"/>
        <w:rPr>
          <w:rFonts w:ascii="Rockwell" w:hAnsi="Rockwell"/>
          <w:szCs w:val="26"/>
        </w:rPr>
      </w:pPr>
      <w:r>
        <w:rPr>
          <w:rFonts w:ascii="Rockwell" w:hAnsi="Rockwell"/>
          <w:szCs w:val="26"/>
        </w:rPr>
        <w:t>A la demande des médias privés, le CSC leur délivre des attestations de parution ou de diffusion régulière.</w:t>
      </w:r>
    </w:p>
    <w:p w14:paraId="6B89EF29" w14:textId="77777777" w:rsidR="00284822" w:rsidRDefault="00F77BF8">
      <w:pPr>
        <w:tabs>
          <w:tab w:val="left" w:pos="1215"/>
        </w:tabs>
        <w:spacing w:before="120" w:after="120"/>
        <w:ind w:left="-142"/>
        <w:rPr>
          <w:rFonts w:ascii="Rockwell" w:hAnsi="Rockwell"/>
          <w:szCs w:val="26"/>
        </w:rPr>
      </w:pPr>
      <w:r>
        <w:rPr>
          <w:rFonts w:ascii="Rockwell" w:hAnsi="Rockwell"/>
          <w:szCs w:val="26"/>
        </w:rPr>
        <w:t>En 2022, à la suite de l’ouverture des dépôts des dossiers de candidature à la subvention de l’Etat à la presse privée, l’Institution a enregistré soixante-</w:t>
      </w:r>
      <w:r>
        <w:rPr>
          <w:rFonts w:ascii="Rockwell" w:hAnsi="Rockwell"/>
          <w:szCs w:val="26"/>
        </w:rPr>
        <w:lastRenderedPageBreak/>
        <w:t>quinze (75) demandes de la part de médias audiovisuels, trente-sept (37) demandes de médias en ligne et une (01) demande d’une presse écrite.</w:t>
      </w:r>
    </w:p>
    <w:p w14:paraId="25A8D57B" w14:textId="77777777" w:rsidR="00284822" w:rsidRDefault="00F77BF8">
      <w:pPr>
        <w:tabs>
          <w:tab w:val="left" w:pos="1215"/>
        </w:tabs>
        <w:spacing w:before="120" w:after="120"/>
        <w:ind w:left="-142"/>
        <w:rPr>
          <w:rFonts w:ascii="Rockwell" w:hAnsi="Rockwell"/>
          <w:szCs w:val="26"/>
        </w:rPr>
      </w:pPr>
      <w:r>
        <w:rPr>
          <w:rFonts w:ascii="Rockwell" w:hAnsi="Rockwell"/>
          <w:szCs w:val="26"/>
        </w:rPr>
        <w:t>A l’examen des dossiers et conformément à l’arrêté N</w:t>
      </w:r>
      <w:r>
        <w:rPr>
          <w:rFonts w:ascii="Rockwell" w:hAnsi="Rockwell"/>
          <w:szCs w:val="26"/>
          <w:vertAlign w:val="superscript"/>
        </w:rPr>
        <w:t>o</w:t>
      </w:r>
      <w:r>
        <w:rPr>
          <w:rFonts w:ascii="Rockwell" w:hAnsi="Rockwell"/>
          <w:szCs w:val="26"/>
        </w:rPr>
        <w:t>2021-047/CSC portant définition des critères de délivrance de l’attestation de parution ou de diffusion régulière des organes de presse écrite, en ligne et des médias audiovisuels, soixante-sept (67) attestations ont été délivrées aux radios, sept (07) au profit des télévisions et trente-cinq (35) aux médias en ligne. Quatre demandes ont été rejetées pour non-respect de la condition d’une année de diffusion ou de parution régulière.</w:t>
      </w:r>
    </w:p>
    <w:p w14:paraId="5912A493" w14:textId="77777777" w:rsidR="00284822" w:rsidRDefault="00284822">
      <w:pPr>
        <w:tabs>
          <w:tab w:val="left" w:pos="1215"/>
        </w:tabs>
        <w:spacing w:before="120" w:after="120"/>
        <w:ind w:left="-142"/>
        <w:rPr>
          <w:rFonts w:ascii="Rockwell" w:hAnsi="Rockwell"/>
          <w:sz w:val="10"/>
          <w:szCs w:val="10"/>
        </w:rPr>
      </w:pPr>
    </w:p>
    <w:p w14:paraId="3B4093E3" w14:textId="77777777" w:rsidR="00284822" w:rsidRDefault="00F77BF8">
      <w:pPr>
        <w:pStyle w:val="Titre4"/>
        <w:spacing w:before="120" w:after="120"/>
        <w:rPr>
          <w:rFonts w:ascii="Rockwell" w:hAnsi="Rockwell"/>
          <w:sz w:val="28"/>
          <w:szCs w:val="28"/>
        </w:rPr>
      </w:pPr>
      <w:bookmarkStart w:id="126" w:name="_Toc175048660"/>
      <w:bookmarkStart w:id="127" w:name="_Toc122608642"/>
      <w:r>
        <w:rPr>
          <w:rFonts w:ascii="Rockwell" w:hAnsi="Rockwell"/>
          <w:sz w:val="28"/>
          <w:szCs w:val="28"/>
        </w:rPr>
        <w:t>Paragraphe 5 : Contrôle des normes techniques</w:t>
      </w:r>
      <w:bookmarkEnd w:id="126"/>
      <w:bookmarkEnd w:id="127"/>
    </w:p>
    <w:p w14:paraId="3776484D" w14:textId="77777777" w:rsidR="00284822" w:rsidRDefault="00F77BF8">
      <w:pPr>
        <w:spacing w:before="120" w:after="120"/>
        <w:rPr>
          <w:rFonts w:ascii="Rockwell" w:hAnsi="Rockwell"/>
          <w:szCs w:val="26"/>
        </w:rPr>
      </w:pPr>
      <w:r>
        <w:rPr>
          <w:rFonts w:ascii="Rockwell" w:hAnsi="Rockwell"/>
          <w:szCs w:val="26"/>
        </w:rPr>
        <w:t xml:space="preserve">Le suivi du fonctionnement des médias porte également sur le contrôle des normes techniques. </w:t>
      </w:r>
    </w:p>
    <w:p w14:paraId="4FC08DD6" w14:textId="77777777" w:rsidR="00284822" w:rsidRDefault="00F77BF8">
      <w:pPr>
        <w:spacing w:before="120" w:after="120"/>
        <w:rPr>
          <w:rFonts w:ascii="Rockwell" w:hAnsi="Rockwell"/>
          <w:szCs w:val="26"/>
        </w:rPr>
      </w:pPr>
      <w:bookmarkStart w:id="128" w:name="_Hlk162511366"/>
      <w:r>
        <w:rPr>
          <w:rFonts w:ascii="Rockwell" w:hAnsi="Rockwell"/>
          <w:szCs w:val="26"/>
        </w:rPr>
        <w:t>Dans le cadre de ses missions, le CSC procède, sur saisine ou auto saisine, au contrôle des équipements, du spectre et du rayonnement des fréquences en vue de détecter les éventuelles anomalies pouvant entraîner des dysfonctionnements dans l’activité médiatique.</w:t>
      </w:r>
    </w:p>
    <w:bookmarkEnd w:id="128"/>
    <w:p w14:paraId="290E18BF" w14:textId="77777777" w:rsidR="00284822" w:rsidRDefault="00F77BF8">
      <w:pPr>
        <w:spacing w:before="120" w:after="120"/>
        <w:rPr>
          <w:rFonts w:ascii="Rockwell" w:hAnsi="Rockwell"/>
          <w:szCs w:val="26"/>
        </w:rPr>
      </w:pPr>
      <w:r>
        <w:rPr>
          <w:rFonts w:ascii="Rockwell" w:hAnsi="Rockwell"/>
          <w:szCs w:val="26"/>
        </w:rPr>
        <w:t>Toutefois, au cours de l’année 2022, le CSC n’a pu effectuer de missions de contrôle en raison de la situation sécuritaire difficile que connait le pays et des contraintes budgétaires.</w:t>
      </w:r>
    </w:p>
    <w:p w14:paraId="3087D928" w14:textId="77777777" w:rsidR="00284822" w:rsidRDefault="00284822">
      <w:pPr>
        <w:spacing w:before="120" w:after="120"/>
        <w:rPr>
          <w:rFonts w:ascii="Rockwell" w:hAnsi="Rockwell"/>
          <w:szCs w:val="26"/>
        </w:rPr>
        <w:sectPr w:rsidR="00284822">
          <w:pgSz w:w="11906" w:h="16838"/>
          <w:pgMar w:top="1418" w:right="1418" w:bottom="1418" w:left="1418" w:header="709" w:footer="709" w:gutter="0"/>
          <w:cols w:space="720"/>
        </w:sectPr>
      </w:pPr>
    </w:p>
    <w:p w14:paraId="27A6EC24" w14:textId="77777777" w:rsidR="00284822" w:rsidRDefault="00F77BF8">
      <w:pPr>
        <w:pStyle w:val="Titre2"/>
        <w:spacing w:before="120" w:after="120"/>
        <w:rPr>
          <w:rFonts w:ascii="Rockwell" w:hAnsi="Rockwell"/>
          <w:sz w:val="30"/>
          <w:szCs w:val="30"/>
        </w:rPr>
      </w:pPr>
      <w:bookmarkStart w:id="129" w:name="_Toc73183932"/>
      <w:bookmarkStart w:id="130" w:name="_Toc175048661"/>
      <w:bookmarkStart w:id="131" w:name="_Toc122608643"/>
      <w:bookmarkStart w:id="132" w:name="_Toc119511777"/>
      <w:bookmarkStart w:id="133" w:name="_Toc170304751"/>
      <w:bookmarkStart w:id="134" w:name="_Toc73184058"/>
      <w:bookmarkEnd w:id="2"/>
      <w:bookmarkEnd w:id="3"/>
      <w:bookmarkEnd w:id="4"/>
      <w:bookmarkEnd w:id="5"/>
      <w:bookmarkEnd w:id="6"/>
      <w:bookmarkEnd w:id="7"/>
      <w:bookmarkEnd w:id="8"/>
      <w:bookmarkEnd w:id="9"/>
      <w:bookmarkEnd w:id="10"/>
      <w:bookmarkEnd w:id="11"/>
      <w:r>
        <w:rPr>
          <w:rFonts w:ascii="Rockwell" w:hAnsi="Rockwell"/>
          <w:sz w:val="30"/>
          <w:szCs w:val="30"/>
        </w:rPr>
        <w:lastRenderedPageBreak/>
        <w:t>CHAPITRE II : MONITORING DE LA PRESSE ECRITE, DE LA PRESSE EN LIGNE ET DES MEDIAS AUDIOVISUELS</w:t>
      </w:r>
      <w:bookmarkEnd w:id="129"/>
      <w:bookmarkEnd w:id="130"/>
      <w:bookmarkEnd w:id="131"/>
      <w:bookmarkEnd w:id="132"/>
      <w:bookmarkEnd w:id="133"/>
      <w:bookmarkEnd w:id="134"/>
    </w:p>
    <w:p w14:paraId="49BDDA79" w14:textId="77777777" w:rsidR="00284822" w:rsidRDefault="00F77BF8">
      <w:pPr>
        <w:spacing w:before="120" w:after="120"/>
        <w:rPr>
          <w:rFonts w:ascii="Rockwell" w:hAnsi="Rockwell"/>
          <w:color w:val="000000" w:themeColor="text1"/>
          <w:szCs w:val="26"/>
        </w:rPr>
      </w:pPr>
      <w:r>
        <w:rPr>
          <w:rFonts w:ascii="Rockwell" w:hAnsi="Rockwell"/>
          <w:color w:val="000000" w:themeColor="text1"/>
          <w:szCs w:val="26"/>
        </w:rPr>
        <w:t xml:space="preserve">L’observation des médias ou monitoring permet de collecter, traiter et analyser quotidiennement les données en vue, d’une part, de contrôler le respect du pluralisme et de l’équilibre de l’information et, d’autre part, de vérifier le respect de la loi, de l’éthique et de la déontologie. </w:t>
      </w:r>
    </w:p>
    <w:p w14:paraId="1373330B" w14:textId="77777777" w:rsidR="00284822" w:rsidRDefault="00F77BF8">
      <w:pPr>
        <w:spacing w:before="120" w:after="120"/>
        <w:rPr>
          <w:rFonts w:ascii="Rockwell" w:hAnsi="Rockwell"/>
          <w:szCs w:val="26"/>
        </w:rPr>
      </w:pPr>
      <w:r>
        <w:rPr>
          <w:rFonts w:ascii="Rockwell" w:hAnsi="Rockwell"/>
          <w:szCs w:val="26"/>
        </w:rPr>
        <w:t>Trois (03) catégories de médias sont observées : la presse écrite, la presse en ligne et les médias audiovisuels.</w:t>
      </w:r>
    </w:p>
    <w:p w14:paraId="4579F3BA" w14:textId="77777777" w:rsidR="00284822" w:rsidRDefault="00F77BF8">
      <w:pPr>
        <w:spacing w:before="120" w:after="120"/>
        <w:rPr>
          <w:rFonts w:ascii="Rockwell" w:hAnsi="Rockwell"/>
          <w:color w:val="000000" w:themeColor="text1"/>
          <w:szCs w:val="26"/>
        </w:rPr>
      </w:pPr>
      <w:r>
        <w:rPr>
          <w:rFonts w:ascii="Rockwell" w:hAnsi="Rockwell"/>
          <w:color w:val="000000" w:themeColor="text1"/>
          <w:szCs w:val="26"/>
        </w:rPr>
        <w:t xml:space="preserve">Le monitoring effectué en 2022 concerne aussi bien les médias de la Région du Centre que ceux de l’Ouest. </w:t>
      </w:r>
      <w:bookmarkStart w:id="135" w:name="_Hlk161915439"/>
    </w:p>
    <w:p w14:paraId="72881264" w14:textId="77777777" w:rsidR="00284822" w:rsidRDefault="00284822">
      <w:pPr>
        <w:spacing w:before="120" w:after="120"/>
        <w:rPr>
          <w:rFonts w:ascii="Rockwell" w:hAnsi="Rockwell"/>
          <w:color w:val="000000" w:themeColor="text1"/>
          <w:szCs w:val="26"/>
        </w:rPr>
      </w:pPr>
    </w:p>
    <w:p w14:paraId="69366EC7" w14:textId="77777777" w:rsidR="00284822" w:rsidRDefault="00F77BF8">
      <w:pPr>
        <w:pStyle w:val="Titre3"/>
        <w:spacing w:before="120" w:after="120"/>
        <w:rPr>
          <w:rFonts w:ascii="Rockwell" w:hAnsi="Rockwell"/>
          <w:i w:val="0"/>
          <w:szCs w:val="28"/>
        </w:rPr>
      </w:pPr>
      <w:bookmarkStart w:id="136" w:name="_Toc175048662"/>
      <w:bookmarkStart w:id="137" w:name="_Toc170304752"/>
      <w:bookmarkStart w:id="138" w:name="_Hlk161926569"/>
      <w:r>
        <w:rPr>
          <w:rFonts w:ascii="Rockwell" w:hAnsi="Rockwell"/>
          <w:i w:val="0"/>
          <w:szCs w:val="28"/>
        </w:rPr>
        <w:t>SECTION 1 : PRESSE ECRITE DE LA REGION DU CENTRE</w:t>
      </w:r>
      <w:bookmarkEnd w:id="136"/>
      <w:bookmarkEnd w:id="137"/>
    </w:p>
    <w:bookmarkEnd w:id="135"/>
    <w:p w14:paraId="6844AA39" w14:textId="77777777" w:rsidR="00284822" w:rsidRDefault="00F77BF8">
      <w:pPr>
        <w:spacing w:before="120" w:after="120"/>
        <w:ind w:right="-284"/>
        <w:rPr>
          <w:rFonts w:ascii="Rockwell" w:hAnsi="Rockwell"/>
          <w:i/>
          <w:szCs w:val="26"/>
        </w:rPr>
      </w:pPr>
      <w:r>
        <w:rPr>
          <w:rFonts w:ascii="Rockwell" w:hAnsi="Rockwell"/>
          <w:szCs w:val="26"/>
        </w:rPr>
        <w:t>L’observation a concerné six (06) quotidiens (</w:t>
      </w:r>
      <w:proofErr w:type="spellStart"/>
      <w:r>
        <w:rPr>
          <w:rFonts w:ascii="Rockwell" w:hAnsi="Rockwell"/>
          <w:i/>
          <w:szCs w:val="26"/>
        </w:rPr>
        <w:t>Sidwaya</w:t>
      </w:r>
      <w:proofErr w:type="spellEnd"/>
      <w:r>
        <w:rPr>
          <w:rFonts w:ascii="Rockwell" w:hAnsi="Rockwell"/>
          <w:i/>
          <w:szCs w:val="26"/>
        </w:rPr>
        <w:t xml:space="preserve">, L’Observateur </w:t>
      </w:r>
      <w:proofErr w:type="spellStart"/>
      <w:r>
        <w:rPr>
          <w:rFonts w:ascii="Rockwell" w:hAnsi="Rockwell"/>
          <w:i/>
          <w:szCs w:val="26"/>
        </w:rPr>
        <w:t>Paalga</w:t>
      </w:r>
      <w:proofErr w:type="spellEnd"/>
      <w:r>
        <w:rPr>
          <w:rFonts w:ascii="Rockwell" w:hAnsi="Rockwell"/>
          <w:i/>
          <w:szCs w:val="26"/>
        </w:rPr>
        <w:t xml:space="preserve">, Le Pays, L’Express du Faso, Aujourd’hui au Faso et Le Quotidien), </w:t>
      </w:r>
      <w:r>
        <w:rPr>
          <w:rFonts w:ascii="Rockwell" w:hAnsi="Rockwell"/>
          <w:szCs w:val="26"/>
        </w:rPr>
        <w:t>deux (02) hebdomadaires (</w:t>
      </w:r>
      <w:r>
        <w:rPr>
          <w:rFonts w:ascii="Rockwell" w:hAnsi="Rockwell"/>
          <w:i/>
          <w:szCs w:val="26"/>
        </w:rPr>
        <w:t>La Lettre du Faso et L’Economiste du Faso) et</w:t>
      </w:r>
      <w:r>
        <w:rPr>
          <w:rFonts w:ascii="Rockwell" w:hAnsi="Rockwell"/>
          <w:szCs w:val="26"/>
        </w:rPr>
        <w:t xml:space="preserve"> deux (02) bimensuels (</w:t>
      </w:r>
      <w:r>
        <w:rPr>
          <w:rFonts w:ascii="Rockwell" w:hAnsi="Rockwell"/>
          <w:i/>
          <w:szCs w:val="26"/>
        </w:rPr>
        <w:t>Mutations et L’Evènement).</w:t>
      </w:r>
    </w:p>
    <w:p w14:paraId="2D43360F" w14:textId="77777777" w:rsidR="00284822" w:rsidRDefault="00284822">
      <w:pPr>
        <w:spacing w:before="120" w:after="120"/>
        <w:ind w:right="-284"/>
        <w:rPr>
          <w:rFonts w:ascii="Rockwell" w:hAnsi="Rockwell"/>
          <w:i/>
          <w:szCs w:val="26"/>
        </w:rPr>
      </w:pPr>
    </w:p>
    <w:p w14:paraId="067D9FC4" w14:textId="4C242373" w:rsidR="00284822" w:rsidRDefault="00F77BF8">
      <w:pPr>
        <w:pStyle w:val="Titre4"/>
        <w:spacing w:before="120" w:after="120"/>
        <w:rPr>
          <w:rFonts w:ascii="Rockwell" w:hAnsi="Rockwell"/>
          <w:sz w:val="28"/>
          <w:szCs w:val="28"/>
        </w:rPr>
      </w:pPr>
      <w:bookmarkStart w:id="139" w:name="_Toc175048663"/>
      <w:bookmarkEnd w:id="138"/>
      <w:r>
        <w:rPr>
          <w:rFonts w:ascii="Rockwell" w:hAnsi="Rockwell"/>
          <w:bCs/>
          <w:sz w:val="28"/>
          <w:szCs w:val="28"/>
        </w:rPr>
        <w:t xml:space="preserve">Paragraphe 1 : </w:t>
      </w:r>
      <w:r w:rsidR="000A1561">
        <w:rPr>
          <w:rFonts w:ascii="Rockwell" w:hAnsi="Rockwell"/>
          <w:sz w:val="28"/>
          <w:szCs w:val="28"/>
        </w:rPr>
        <w:t>O</w:t>
      </w:r>
      <w:r>
        <w:rPr>
          <w:rFonts w:ascii="Rockwell" w:hAnsi="Rockwell"/>
          <w:sz w:val="28"/>
          <w:szCs w:val="28"/>
        </w:rPr>
        <w:t>bservation du respect du pluralisme et de l’équilibre de l’information dans les quotidiens</w:t>
      </w:r>
      <w:bookmarkEnd w:id="139"/>
    </w:p>
    <w:p w14:paraId="1C66CC2A" w14:textId="77777777" w:rsidR="00284822" w:rsidRDefault="00F77BF8">
      <w:pPr>
        <w:pStyle w:val="Titre6"/>
        <w:numPr>
          <w:ilvl w:val="1"/>
          <w:numId w:val="15"/>
        </w:numPr>
        <w:jc w:val="both"/>
        <w:rPr>
          <w:rFonts w:ascii="Rockwell" w:hAnsi="Rockwell"/>
          <w:i w:val="0"/>
        </w:rPr>
      </w:pPr>
      <w:proofErr w:type="spellStart"/>
      <w:r>
        <w:rPr>
          <w:rFonts w:ascii="Rockwell" w:hAnsi="Rockwell"/>
          <w:i w:val="0"/>
        </w:rPr>
        <w:t>Sidwaya</w:t>
      </w:r>
      <w:proofErr w:type="spellEnd"/>
    </w:p>
    <w:p w14:paraId="2EB3364F" w14:textId="77777777" w:rsidR="00284822" w:rsidRDefault="00F77BF8">
      <w:pPr>
        <w:spacing w:before="120" w:after="120"/>
        <w:rPr>
          <w:rFonts w:ascii="Rockwell" w:hAnsi="Rockwell"/>
          <w:szCs w:val="26"/>
        </w:rPr>
      </w:pPr>
      <w:proofErr w:type="spellStart"/>
      <w:r>
        <w:rPr>
          <w:rFonts w:ascii="Rockwell" w:hAnsi="Rockwell"/>
          <w:iCs/>
          <w:szCs w:val="26"/>
        </w:rPr>
        <w:t>Sidwaya</w:t>
      </w:r>
      <w:proofErr w:type="spellEnd"/>
      <w:r>
        <w:rPr>
          <w:rFonts w:ascii="Rockwell" w:hAnsi="Rockwell"/>
          <w:szCs w:val="26"/>
        </w:rPr>
        <w:t xml:space="preserve"> a ouvert ses colonnes à vingt-deux (22) partis politiques, avec un total de </w:t>
      </w:r>
      <w:r>
        <w:rPr>
          <w:rFonts w:ascii="Rockwell" w:hAnsi="Rockwell"/>
          <w:color w:val="000000"/>
          <w:szCs w:val="26"/>
        </w:rPr>
        <w:t xml:space="preserve">31 </w:t>
      </w:r>
      <w:r>
        <w:rPr>
          <w:rFonts w:ascii="Rockwell" w:hAnsi="Rockwell"/>
          <w:szCs w:val="26"/>
        </w:rPr>
        <w:t xml:space="preserve">pages </w:t>
      </w:r>
      <w:r>
        <w:rPr>
          <w:rFonts w:ascii="Rockwell" w:hAnsi="Rockwell"/>
          <w:color w:val="000000"/>
          <w:szCs w:val="26"/>
        </w:rPr>
        <w:t>2/3</w:t>
      </w:r>
      <w:r>
        <w:rPr>
          <w:rFonts w:ascii="Rockwell" w:hAnsi="Rockwell"/>
          <w:szCs w:val="26"/>
        </w:rPr>
        <w:t xml:space="preserve"> et </w:t>
      </w:r>
      <w:r>
        <w:rPr>
          <w:rFonts w:ascii="Rockwell" w:hAnsi="Rockwell"/>
          <w:color w:val="000000"/>
          <w:szCs w:val="26"/>
        </w:rPr>
        <w:t>62</w:t>
      </w:r>
      <w:r>
        <w:rPr>
          <w:rFonts w:ascii="Rockwell" w:hAnsi="Rockwell"/>
          <w:szCs w:val="26"/>
        </w:rPr>
        <w:t xml:space="preserve"> illustrations. Le rang occupé par les 10 premiers partis politiques est présenté dans le tableau ci-dessous :</w:t>
      </w:r>
    </w:p>
    <w:p w14:paraId="3CB3548F" w14:textId="77777777" w:rsidR="00284822" w:rsidRDefault="00284822">
      <w:pPr>
        <w:spacing w:before="120" w:after="120"/>
        <w:rPr>
          <w:rFonts w:ascii="Rockwell" w:hAnsi="Rockwell"/>
          <w:sz w:val="10"/>
          <w:szCs w:val="10"/>
          <w:u w:val="single"/>
        </w:rPr>
        <w:sectPr w:rsidR="00284822">
          <w:pgSz w:w="11906" w:h="16838"/>
          <w:pgMar w:top="1418" w:right="1418" w:bottom="1418" w:left="1418" w:header="709" w:footer="709" w:gutter="0"/>
          <w:cols w:space="720"/>
        </w:sectPr>
      </w:pPr>
    </w:p>
    <w:p w14:paraId="5EAD8E3F" w14:textId="77777777" w:rsidR="00284822" w:rsidRDefault="00F77BF8">
      <w:pPr>
        <w:suppressAutoHyphens w:val="0"/>
        <w:autoSpaceDN/>
        <w:spacing w:before="120" w:after="120"/>
        <w:jc w:val="center"/>
        <w:textAlignment w:val="auto"/>
        <w:rPr>
          <w:rFonts w:ascii="Rockwell" w:eastAsia="Calibri" w:hAnsi="Rockwell"/>
          <w:i/>
          <w:sz w:val="20"/>
          <w:szCs w:val="20"/>
        </w:rPr>
      </w:pPr>
      <w:r>
        <w:rPr>
          <w:rFonts w:ascii="Rockwell" w:eastAsia="Calibri" w:hAnsi="Rockwell"/>
          <w:b/>
          <w:sz w:val="20"/>
          <w:szCs w:val="20"/>
          <w:u w:val="single"/>
        </w:rPr>
        <w:lastRenderedPageBreak/>
        <w:t>Tableau 2</w:t>
      </w:r>
      <w:r>
        <w:rPr>
          <w:rFonts w:ascii="Rockwell" w:eastAsia="Calibri" w:hAnsi="Rockwell"/>
          <w:sz w:val="20"/>
          <w:szCs w:val="20"/>
        </w:rPr>
        <w:t xml:space="preserve"> : </w:t>
      </w:r>
      <w:r>
        <w:rPr>
          <w:rFonts w:ascii="Rockwell" w:hAnsi="Rockwell"/>
          <w:i/>
          <w:sz w:val="20"/>
          <w:szCs w:val="20"/>
        </w:rPr>
        <w:t>Classement des dix premiers partis politiques selon le NP et le NI publiés dans SIDWAYA</w:t>
      </w:r>
    </w:p>
    <w:tbl>
      <w:tblPr>
        <w:tblW w:w="58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11"/>
        <w:gridCol w:w="2359"/>
        <w:gridCol w:w="1470"/>
        <w:gridCol w:w="1728"/>
        <w:gridCol w:w="1446"/>
        <w:gridCol w:w="2413"/>
      </w:tblGrid>
      <w:tr w:rsidR="00284822" w14:paraId="2D045DF9" w14:textId="77777777">
        <w:trPr>
          <w:trHeight w:val="610"/>
          <w:jc w:val="center"/>
        </w:trPr>
        <w:tc>
          <w:tcPr>
            <w:tcW w:w="10627" w:type="dxa"/>
            <w:gridSpan w:val="6"/>
            <w:shd w:val="clear" w:color="auto" w:fill="auto"/>
            <w:tcMar>
              <w:top w:w="0" w:type="dxa"/>
              <w:left w:w="108" w:type="dxa"/>
              <w:bottom w:w="0" w:type="dxa"/>
              <w:right w:w="108" w:type="dxa"/>
            </w:tcMar>
          </w:tcPr>
          <w:p w14:paraId="4336EBE4" w14:textId="77777777" w:rsidR="00284822" w:rsidRDefault="00F77BF8">
            <w:pPr>
              <w:spacing w:before="120" w:after="120"/>
              <w:jc w:val="center"/>
              <w:rPr>
                <w:rFonts w:ascii="Rockwell" w:hAnsi="Rockwell"/>
                <w:b/>
                <w:bCs/>
                <w:i/>
                <w:szCs w:val="26"/>
                <w:u w:val="single"/>
              </w:rPr>
            </w:pPr>
            <w:r>
              <w:rPr>
                <w:rFonts w:ascii="Rockwell" w:hAnsi="Rockwell"/>
                <w:b/>
                <w:bCs/>
                <w:i/>
                <w:szCs w:val="26"/>
                <w:u w:val="single"/>
              </w:rPr>
              <w:t>SIDWAYA</w:t>
            </w:r>
          </w:p>
        </w:tc>
      </w:tr>
      <w:tr w:rsidR="00284822" w14:paraId="55E6D7BD" w14:textId="77777777">
        <w:trPr>
          <w:trHeight w:val="610"/>
          <w:jc w:val="center"/>
        </w:trPr>
        <w:tc>
          <w:tcPr>
            <w:tcW w:w="1211" w:type="dxa"/>
            <w:shd w:val="clear" w:color="auto" w:fill="auto"/>
            <w:tcMar>
              <w:top w:w="0" w:type="dxa"/>
              <w:left w:w="108" w:type="dxa"/>
              <w:bottom w:w="0" w:type="dxa"/>
              <w:right w:w="108" w:type="dxa"/>
            </w:tcMar>
          </w:tcPr>
          <w:p w14:paraId="1B95F2A0" w14:textId="77777777" w:rsidR="00284822" w:rsidRDefault="00F77BF8">
            <w:pPr>
              <w:spacing w:before="120" w:after="120"/>
              <w:jc w:val="center"/>
              <w:rPr>
                <w:rFonts w:ascii="Rockwell" w:hAnsi="Rockwell"/>
                <w:b/>
                <w:bCs/>
                <w:color w:val="000000"/>
                <w:szCs w:val="26"/>
              </w:rPr>
            </w:pPr>
            <w:r>
              <w:rPr>
                <w:rFonts w:ascii="Rockwell" w:hAnsi="Rockwell"/>
                <w:b/>
                <w:bCs/>
                <w:color w:val="000000"/>
                <w:szCs w:val="26"/>
              </w:rPr>
              <w:t>RANG</w:t>
            </w:r>
          </w:p>
        </w:tc>
        <w:tc>
          <w:tcPr>
            <w:tcW w:w="2359" w:type="dxa"/>
            <w:shd w:val="clear" w:color="auto" w:fill="auto"/>
            <w:tcMar>
              <w:top w:w="0" w:type="dxa"/>
              <w:left w:w="108" w:type="dxa"/>
              <w:bottom w:w="0" w:type="dxa"/>
              <w:right w:w="108" w:type="dxa"/>
            </w:tcMar>
          </w:tcPr>
          <w:p w14:paraId="62899D72" w14:textId="77777777" w:rsidR="00284822" w:rsidRDefault="00F77BF8">
            <w:pPr>
              <w:spacing w:before="120" w:after="120"/>
              <w:jc w:val="center"/>
              <w:rPr>
                <w:rFonts w:ascii="Rockwell" w:hAnsi="Rockwell"/>
                <w:szCs w:val="26"/>
              </w:rPr>
            </w:pPr>
            <w:r>
              <w:rPr>
                <w:rFonts w:ascii="Rockwell" w:hAnsi="Rockwell"/>
                <w:b/>
                <w:bCs/>
                <w:color w:val="000000"/>
                <w:szCs w:val="26"/>
              </w:rPr>
              <w:t>ACTEURS POLITIQUES</w:t>
            </w:r>
          </w:p>
        </w:tc>
        <w:tc>
          <w:tcPr>
            <w:tcW w:w="1470" w:type="dxa"/>
            <w:shd w:val="clear" w:color="auto" w:fill="auto"/>
            <w:tcMar>
              <w:top w:w="0" w:type="dxa"/>
              <w:left w:w="108" w:type="dxa"/>
              <w:bottom w:w="0" w:type="dxa"/>
              <w:right w:w="108" w:type="dxa"/>
            </w:tcMar>
          </w:tcPr>
          <w:p w14:paraId="5469F687" w14:textId="77777777" w:rsidR="00284822" w:rsidRDefault="00F77BF8">
            <w:pPr>
              <w:spacing w:before="120" w:after="120"/>
              <w:jc w:val="center"/>
              <w:rPr>
                <w:rFonts w:ascii="Rockwell" w:hAnsi="Rockwell"/>
                <w:b/>
                <w:color w:val="000000"/>
                <w:szCs w:val="26"/>
              </w:rPr>
            </w:pPr>
            <w:r>
              <w:rPr>
                <w:rFonts w:ascii="Rockwell" w:hAnsi="Rockwell"/>
                <w:b/>
                <w:color w:val="000000"/>
                <w:szCs w:val="26"/>
              </w:rPr>
              <w:t>NP</w:t>
            </w:r>
          </w:p>
        </w:tc>
        <w:tc>
          <w:tcPr>
            <w:tcW w:w="1728" w:type="dxa"/>
            <w:shd w:val="clear" w:color="auto" w:fill="auto"/>
            <w:tcMar>
              <w:top w:w="0" w:type="dxa"/>
              <w:left w:w="108" w:type="dxa"/>
              <w:bottom w:w="0" w:type="dxa"/>
              <w:right w:w="108" w:type="dxa"/>
            </w:tcMar>
          </w:tcPr>
          <w:p w14:paraId="00238A44" w14:textId="77777777" w:rsidR="00284822" w:rsidRDefault="00F77BF8">
            <w:pPr>
              <w:spacing w:before="120" w:after="120"/>
              <w:jc w:val="center"/>
              <w:rPr>
                <w:rFonts w:ascii="Rockwell" w:hAnsi="Rockwell"/>
                <w:b/>
                <w:color w:val="000000"/>
                <w:szCs w:val="26"/>
              </w:rPr>
            </w:pPr>
            <w:r>
              <w:rPr>
                <w:rFonts w:ascii="Rockwell" w:hAnsi="Rockwell"/>
                <w:b/>
                <w:color w:val="000000"/>
                <w:szCs w:val="26"/>
              </w:rPr>
              <w:t>% NP</w:t>
            </w:r>
          </w:p>
        </w:tc>
        <w:tc>
          <w:tcPr>
            <w:tcW w:w="1446" w:type="dxa"/>
            <w:shd w:val="clear" w:color="auto" w:fill="auto"/>
            <w:tcMar>
              <w:top w:w="0" w:type="dxa"/>
              <w:left w:w="108" w:type="dxa"/>
              <w:bottom w:w="0" w:type="dxa"/>
              <w:right w:w="108" w:type="dxa"/>
            </w:tcMar>
          </w:tcPr>
          <w:p w14:paraId="6E7BF16C" w14:textId="77777777" w:rsidR="00284822" w:rsidRDefault="00F77BF8">
            <w:pPr>
              <w:spacing w:before="120" w:after="120"/>
              <w:jc w:val="center"/>
              <w:rPr>
                <w:rFonts w:ascii="Rockwell" w:hAnsi="Rockwell"/>
                <w:b/>
                <w:color w:val="000000"/>
                <w:szCs w:val="26"/>
              </w:rPr>
            </w:pPr>
            <w:r>
              <w:rPr>
                <w:rFonts w:ascii="Rockwell" w:hAnsi="Rockwell"/>
                <w:b/>
                <w:color w:val="000000"/>
                <w:szCs w:val="26"/>
              </w:rPr>
              <w:t>NI</w:t>
            </w:r>
          </w:p>
        </w:tc>
        <w:tc>
          <w:tcPr>
            <w:tcW w:w="2413" w:type="dxa"/>
            <w:shd w:val="clear" w:color="auto" w:fill="auto"/>
            <w:tcMar>
              <w:top w:w="0" w:type="dxa"/>
              <w:left w:w="108" w:type="dxa"/>
              <w:bottom w:w="0" w:type="dxa"/>
              <w:right w:w="108" w:type="dxa"/>
            </w:tcMar>
          </w:tcPr>
          <w:p w14:paraId="23E9A836" w14:textId="77777777" w:rsidR="00284822" w:rsidRDefault="00F77BF8">
            <w:pPr>
              <w:spacing w:before="120" w:after="120"/>
              <w:jc w:val="center"/>
              <w:rPr>
                <w:rFonts w:ascii="Rockwell" w:hAnsi="Rockwell"/>
                <w:b/>
                <w:color w:val="000000"/>
                <w:szCs w:val="26"/>
              </w:rPr>
            </w:pPr>
            <w:r>
              <w:rPr>
                <w:rFonts w:ascii="Rockwell" w:hAnsi="Rockwell"/>
                <w:b/>
                <w:color w:val="000000"/>
                <w:szCs w:val="26"/>
              </w:rPr>
              <w:t>% NI</w:t>
            </w:r>
          </w:p>
        </w:tc>
      </w:tr>
      <w:tr w:rsidR="00284822" w14:paraId="32CFC79C" w14:textId="77777777">
        <w:trPr>
          <w:trHeight w:val="610"/>
          <w:jc w:val="center"/>
        </w:trPr>
        <w:tc>
          <w:tcPr>
            <w:tcW w:w="1211" w:type="dxa"/>
            <w:shd w:val="clear" w:color="auto" w:fill="auto"/>
            <w:tcMar>
              <w:top w:w="0" w:type="dxa"/>
              <w:left w:w="108" w:type="dxa"/>
              <w:bottom w:w="0" w:type="dxa"/>
              <w:right w:w="108" w:type="dxa"/>
            </w:tcMar>
          </w:tcPr>
          <w:p w14:paraId="13EF4960" w14:textId="77777777" w:rsidR="00284822" w:rsidRDefault="00F77BF8">
            <w:pPr>
              <w:spacing w:before="120" w:after="120"/>
              <w:jc w:val="left"/>
              <w:rPr>
                <w:rFonts w:ascii="Rockwell" w:hAnsi="Rockwell"/>
                <w:szCs w:val="26"/>
              </w:rPr>
            </w:pPr>
            <w:r>
              <w:rPr>
                <w:rFonts w:ascii="Rockwell" w:hAnsi="Rockwell"/>
                <w:bCs/>
                <w:szCs w:val="26"/>
              </w:rPr>
              <w:t>1</w:t>
            </w:r>
            <w:r>
              <w:rPr>
                <w:rFonts w:ascii="Rockwell" w:hAnsi="Rockwell"/>
                <w:bCs/>
                <w:szCs w:val="26"/>
                <w:vertAlign w:val="superscript"/>
              </w:rPr>
              <w:t>er</w:t>
            </w:r>
          </w:p>
        </w:tc>
        <w:tc>
          <w:tcPr>
            <w:tcW w:w="2359" w:type="dxa"/>
            <w:shd w:val="clear" w:color="auto" w:fill="auto"/>
            <w:tcMar>
              <w:top w:w="0" w:type="dxa"/>
              <w:left w:w="108" w:type="dxa"/>
              <w:bottom w:w="0" w:type="dxa"/>
              <w:right w:w="108" w:type="dxa"/>
            </w:tcMar>
          </w:tcPr>
          <w:p w14:paraId="5DDEA7F0" w14:textId="77777777" w:rsidR="00284822" w:rsidRDefault="00F77BF8">
            <w:pPr>
              <w:spacing w:before="120" w:after="120"/>
              <w:jc w:val="center"/>
              <w:rPr>
                <w:rFonts w:ascii="Rockwell" w:hAnsi="Rockwell"/>
                <w:b/>
                <w:color w:val="000000"/>
                <w:szCs w:val="26"/>
              </w:rPr>
            </w:pPr>
            <w:r>
              <w:rPr>
                <w:rFonts w:ascii="Rockwell" w:hAnsi="Rockwell"/>
                <w:b/>
                <w:color w:val="000000"/>
                <w:szCs w:val="26"/>
              </w:rPr>
              <w:t>MPP</w:t>
            </w:r>
          </w:p>
        </w:tc>
        <w:tc>
          <w:tcPr>
            <w:tcW w:w="1470" w:type="dxa"/>
            <w:shd w:val="clear" w:color="auto" w:fill="auto"/>
            <w:tcMar>
              <w:top w:w="0" w:type="dxa"/>
              <w:left w:w="108" w:type="dxa"/>
              <w:bottom w:w="0" w:type="dxa"/>
              <w:right w:w="108" w:type="dxa"/>
            </w:tcMar>
          </w:tcPr>
          <w:p w14:paraId="41DD87A4" w14:textId="77777777" w:rsidR="00284822" w:rsidRDefault="00F77BF8">
            <w:pPr>
              <w:spacing w:before="120" w:after="120"/>
              <w:jc w:val="center"/>
              <w:rPr>
                <w:rFonts w:ascii="Rockwell" w:hAnsi="Rockwell"/>
                <w:color w:val="000000"/>
                <w:szCs w:val="26"/>
              </w:rPr>
            </w:pPr>
            <w:r>
              <w:rPr>
                <w:rFonts w:ascii="Rockwell" w:hAnsi="Rockwell"/>
                <w:color w:val="000000"/>
                <w:szCs w:val="26"/>
              </w:rPr>
              <w:t>6 et ¾</w:t>
            </w:r>
          </w:p>
        </w:tc>
        <w:tc>
          <w:tcPr>
            <w:tcW w:w="1728" w:type="dxa"/>
            <w:shd w:val="clear" w:color="auto" w:fill="auto"/>
            <w:tcMar>
              <w:top w:w="0" w:type="dxa"/>
              <w:left w:w="108" w:type="dxa"/>
              <w:bottom w:w="0" w:type="dxa"/>
              <w:right w:w="108" w:type="dxa"/>
            </w:tcMar>
          </w:tcPr>
          <w:p w14:paraId="6AA9762B" w14:textId="77777777" w:rsidR="00284822" w:rsidRDefault="00F77BF8">
            <w:pPr>
              <w:spacing w:before="120" w:after="120"/>
              <w:jc w:val="center"/>
              <w:rPr>
                <w:rFonts w:ascii="Rockwell" w:hAnsi="Rockwell"/>
                <w:color w:val="000000"/>
                <w:szCs w:val="26"/>
              </w:rPr>
            </w:pPr>
            <w:r>
              <w:rPr>
                <w:rFonts w:ascii="Rockwell" w:hAnsi="Rockwell"/>
                <w:color w:val="000000"/>
                <w:szCs w:val="26"/>
              </w:rPr>
              <w:t>21,33%</w:t>
            </w:r>
          </w:p>
        </w:tc>
        <w:tc>
          <w:tcPr>
            <w:tcW w:w="1446" w:type="dxa"/>
            <w:shd w:val="clear" w:color="auto" w:fill="auto"/>
            <w:tcMar>
              <w:top w:w="0" w:type="dxa"/>
              <w:left w:w="108" w:type="dxa"/>
              <w:bottom w:w="0" w:type="dxa"/>
              <w:right w:w="108" w:type="dxa"/>
            </w:tcMar>
          </w:tcPr>
          <w:p w14:paraId="0227366D" w14:textId="77777777" w:rsidR="00284822" w:rsidRDefault="00F77BF8">
            <w:pPr>
              <w:spacing w:before="120" w:after="120"/>
              <w:jc w:val="center"/>
              <w:rPr>
                <w:rFonts w:ascii="Rockwell" w:hAnsi="Rockwell"/>
                <w:color w:val="000000"/>
                <w:szCs w:val="26"/>
              </w:rPr>
            </w:pPr>
            <w:r>
              <w:rPr>
                <w:rFonts w:ascii="Rockwell" w:hAnsi="Rockwell"/>
                <w:color w:val="000000"/>
                <w:szCs w:val="26"/>
              </w:rPr>
              <w:t>12</w:t>
            </w:r>
          </w:p>
        </w:tc>
        <w:tc>
          <w:tcPr>
            <w:tcW w:w="2413" w:type="dxa"/>
            <w:shd w:val="clear" w:color="auto" w:fill="auto"/>
            <w:tcMar>
              <w:top w:w="0" w:type="dxa"/>
              <w:left w:w="108" w:type="dxa"/>
              <w:bottom w:w="0" w:type="dxa"/>
              <w:right w:w="108" w:type="dxa"/>
            </w:tcMar>
          </w:tcPr>
          <w:p w14:paraId="355FAF2B" w14:textId="77777777" w:rsidR="00284822" w:rsidRDefault="00F77BF8">
            <w:pPr>
              <w:spacing w:before="120" w:after="120"/>
              <w:jc w:val="center"/>
              <w:rPr>
                <w:rFonts w:ascii="Rockwell" w:hAnsi="Rockwell"/>
                <w:color w:val="000000"/>
                <w:szCs w:val="26"/>
              </w:rPr>
            </w:pPr>
            <w:r>
              <w:rPr>
                <w:rFonts w:ascii="Rockwell" w:hAnsi="Rockwell"/>
                <w:color w:val="000000"/>
                <w:szCs w:val="26"/>
              </w:rPr>
              <w:t>19,35%</w:t>
            </w:r>
          </w:p>
        </w:tc>
      </w:tr>
      <w:tr w:rsidR="00284822" w14:paraId="661FAAD9" w14:textId="77777777">
        <w:trPr>
          <w:trHeight w:val="610"/>
          <w:jc w:val="center"/>
        </w:trPr>
        <w:tc>
          <w:tcPr>
            <w:tcW w:w="1211" w:type="dxa"/>
            <w:shd w:val="clear" w:color="auto" w:fill="auto"/>
            <w:tcMar>
              <w:top w:w="0" w:type="dxa"/>
              <w:left w:w="108" w:type="dxa"/>
              <w:bottom w:w="0" w:type="dxa"/>
              <w:right w:w="108" w:type="dxa"/>
            </w:tcMar>
          </w:tcPr>
          <w:p w14:paraId="682984FC" w14:textId="77777777" w:rsidR="00284822" w:rsidRDefault="00F77BF8">
            <w:pPr>
              <w:spacing w:before="120" w:after="120"/>
              <w:jc w:val="left"/>
              <w:rPr>
                <w:rFonts w:ascii="Rockwell" w:hAnsi="Rockwell"/>
                <w:szCs w:val="26"/>
              </w:rPr>
            </w:pPr>
            <w:r>
              <w:rPr>
                <w:rFonts w:ascii="Rockwell" w:hAnsi="Rockwell"/>
                <w:bCs/>
                <w:szCs w:val="26"/>
              </w:rPr>
              <w:t>2</w:t>
            </w:r>
            <w:r>
              <w:rPr>
                <w:rFonts w:ascii="Rockwell" w:hAnsi="Rockwell"/>
                <w:bCs/>
                <w:szCs w:val="26"/>
                <w:vertAlign w:val="superscript"/>
              </w:rPr>
              <w:t>e</w:t>
            </w:r>
          </w:p>
        </w:tc>
        <w:tc>
          <w:tcPr>
            <w:tcW w:w="2359" w:type="dxa"/>
            <w:shd w:val="clear" w:color="auto" w:fill="auto"/>
            <w:tcMar>
              <w:top w:w="0" w:type="dxa"/>
              <w:left w:w="108" w:type="dxa"/>
              <w:bottom w:w="0" w:type="dxa"/>
              <w:right w:w="108" w:type="dxa"/>
            </w:tcMar>
          </w:tcPr>
          <w:p w14:paraId="1BDFA52B" w14:textId="77777777" w:rsidR="00284822" w:rsidRDefault="00F77BF8">
            <w:pPr>
              <w:spacing w:before="120" w:after="120"/>
              <w:jc w:val="center"/>
              <w:rPr>
                <w:rFonts w:ascii="Rockwell" w:hAnsi="Rockwell"/>
                <w:b/>
                <w:color w:val="000000"/>
                <w:szCs w:val="26"/>
              </w:rPr>
            </w:pPr>
            <w:r>
              <w:rPr>
                <w:rFonts w:ascii="Rockwell" w:hAnsi="Rockwell"/>
                <w:b/>
                <w:color w:val="000000"/>
                <w:szCs w:val="26"/>
              </w:rPr>
              <w:t>CDP</w:t>
            </w:r>
          </w:p>
        </w:tc>
        <w:tc>
          <w:tcPr>
            <w:tcW w:w="1470" w:type="dxa"/>
            <w:shd w:val="clear" w:color="auto" w:fill="auto"/>
            <w:tcMar>
              <w:top w:w="0" w:type="dxa"/>
              <w:left w:w="108" w:type="dxa"/>
              <w:bottom w:w="0" w:type="dxa"/>
              <w:right w:w="108" w:type="dxa"/>
            </w:tcMar>
          </w:tcPr>
          <w:p w14:paraId="6DD0327E" w14:textId="77777777" w:rsidR="00284822" w:rsidRDefault="00F77BF8">
            <w:pPr>
              <w:spacing w:before="120" w:after="120"/>
              <w:jc w:val="center"/>
              <w:rPr>
                <w:rFonts w:ascii="Rockwell" w:hAnsi="Rockwell"/>
                <w:color w:val="000000"/>
                <w:szCs w:val="26"/>
              </w:rPr>
            </w:pPr>
            <w:r>
              <w:rPr>
                <w:rFonts w:ascii="Rockwell" w:hAnsi="Rockwell"/>
                <w:color w:val="000000"/>
                <w:szCs w:val="26"/>
              </w:rPr>
              <w:t>4 et 5/6</w:t>
            </w:r>
          </w:p>
        </w:tc>
        <w:tc>
          <w:tcPr>
            <w:tcW w:w="1728" w:type="dxa"/>
            <w:shd w:val="clear" w:color="auto" w:fill="auto"/>
            <w:tcMar>
              <w:top w:w="0" w:type="dxa"/>
              <w:left w:w="108" w:type="dxa"/>
              <w:bottom w:w="0" w:type="dxa"/>
              <w:right w:w="108" w:type="dxa"/>
            </w:tcMar>
          </w:tcPr>
          <w:p w14:paraId="672DFDBD" w14:textId="77777777" w:rsidR="00284822" w:rsidRDefault="00F77BF8">
            <w:pPr>
              <w:spacing w:before="120" w:after="120"/>
              <w:jc w:val="center"/>
              <w:rPr>
                <w:rFonts w:ascii="Rockwell" w:hAnsi="Rockwell"/>
                <w:color w:val="000000"/>
                <w:szCs w:val="26"/>
              </w:rPr>
            </w:pPr>
            <w:r>
              <w:rPr>
                <w:rFonts w:ascii="Rockwell" w:hAnsi="Rockwell"/>
                <w:color w:val="000000"/>
                <w:szCs w:val="26"/>
              </w:rPr>
              <w:t>15,27%</w:t>
            </w:r>
          </w:p>
        </w:tc>
        <w:tc>
          <w:tcPr>
            <w:tcW w:w="1446" w:type="dxa"/>
            <w:shd w:val="clear" w:color="auto" w:fill="auto"/>
            <w:tcMar>
              <w:top w:w="0" w:type="dxa"/>
              <w:left w:w="108" w:type="dxa"/>
              <w:bottom w:w="0" w:type="dxa"/>
              <w:right w:w="108" w:type="dxa"/>
            </w:tcMar>
          </w:tcPr>
          <w:p w14:paraId="6A6C2023" w14:textId="77777777" w:rsidR="00284822" w:rsidRDefault="00F77BF8">
            <w:pPr>
              <w:spacing w:before="120" w:after="120"/>
              <w:jc w:val="center"/>
              <w:rPr>
                <w:rFonts w:ascii="Rockwell" w:hAnsi="Rockwell"/>
                <w:color w:val="000000"/>
                <w:szCs w:val="26"/>
              </w:rPr>
            </w:pPr>
            <w:r>
              <w:rPr>
                <w:rFonts w:ascii="Rockwell" w:hAnsi="Rockwell"/>
                <w:color w:val="000000"/>
                <w:szCs w:val="26"/>
              </w:rPr>
              <w:t>8</w:t>
            </w:r>
          </w:p>
        </w:tc>
        <w:tc>
          <w:tcPr>
            <w:tcW w:w="2413" w:type="dxa"/>
            <w:shd w:val="clear" w:color="auto" w:fill="auto"/>
            <w:tcMar>
              <w:top w:w="0" w:type="dxa"/>
              <w:left w:w="108" w:type="dxa"/>
              <w:bottom w:w="0" w:type="dxa"/>
              <w:right w:w="108" w:type="dxa"/>
            </w:tcMar>
          </w:tcPr>
          <w:p w14:paraId="5119CECF" w14:textId="77777777" w:rsidR="00284822" w:rsidRDefault="00F77BF8">
            <w:pPr>
              <w:spacing w:before="120" w:after="120"/>
              <w:jc w:val="center"/>
              <w:rPr>
                <w:rFonts w:ascii="Rockwell" w:hAnsi="Rockwell"/>
                <w:color w:val="000000"/>
                <w:szCs w:val="26"/>
              </w:rPr>
            </w:pPr>
            <w:r>
              <w:rPr>
                <w:rFonts w:ascii="Rockwell" w:hAnsi="Rockwell"/>
                <w:color w:val="000000"/>
                <w:szCs w:val="26"/>
              </w:rPr>
              <w:t>12,90%</w:t>
            </w:r>
          </w:p>
        </w:tc>
      </w:tr>
      <w:tr w:rsidR="00284822" w14:paraId="42143FAF" w14:textId="77777777">
        <w:trPr>
          <w:trHeight w:val="610"/>
          <w:jc w:val="center"/>
        </w:trPr>
        <w:tc>
          <w:tcPr>
            <w:tcW w:w="1211" w:type="dxa"/>
            <w:shd w:val="clear" w:color="auto" w:fill="auto"/>
            <w:tcMar>
              <w:top w:w="0" w:type="dxa"/>
              <w:left w:w="108" w:type="dxa"/>
              <w:bottom w:w="0" w:type="dxa"/>
              <w:right w:w="108" w:type="dxa"/>
            </w:tcMar>
          </w:tcPr>
          <w:p w14:paraId="67EA23E4" w14:textId="77777777" w:rsidR="00284822" w:rsidRDefault="00F77BF8">
            <w:pPr>
              <w:spacing w:before="120" w:after="120"/>
              <w:jc w:val="left"/>
              <w:rPr>
                <w:rFonts w:ascii="Rockwell" w:hAnsi="Rockwell"/>
                <w:szCs w:val="26"/>
              </w:rPr>
            </w:pPr>
            <w:r>
              <w:rPr>
                <w:rFonts w:ascii="Rockwell" w:hAnsi="Rockwell"/>
                <w:bCs/>
                <w:szCs w:val="26"/>
              </w:rPr>
              <w:t>3</w:t>
            </w:r>
            <w:r>
              <w:rPr>
                <w:rFonts w:ascii="Rockwell" w:hAnsi="Rockwell"/>
                <w:bCs/>
                <w:szCs w:val="26"/>
                <w:vertAlign w:val="superscript"/>
              </w:rPr>
              <w:t>e</w:t>
            </w:r>
          </w:p>
        </w:tc>
        <w:tc>
          <w:tcPr>
            <w:tcW w:w="2359" w:type="dxa"/>
            <w:shd w:val="clear" w:color="auto" w:fill="auto"/>
            <w:tcMar>
              <w:top w:w="0" w:type="dxa"/>
              <w:left w:w="108" w:type="dxa"/>
              <w:bottom w:w="0" w:type="dxa"/>
              <w:right w:w="108" w:type="dxa"/>
            </w:tcMar>
          </w:tcPr>
          <w:p w14:paraId="1C6FD299" w14:textId="77777777" w:rsidR="00284822" w:rsidRDefault="00F77BF8">
            <w:pPr>
              <w:spacing w:before="120" w:after="120"/>
              <w:jc w:val="center"/>
              <w:rPr>
                <w:rFonts w:ascii="Rockwell" w:hAnsi="Rockwell"/>
                <w:b/>
                <w:color w:val="000000"/>
                <w:szCs w:val="26"/>
              </w:rPr>
            </w:pPr>
            <w:r>
              <w:rPr>
                <w:rFonts w:ascii="Rockwell" w:hAnsi="Rockwell"/>
                <w:b/>
                <w:color w:val="000000"/>
                <w:szCs w:val="26"/>
              </w:rPr>
              <w:t>PPS</w:t>
            </w:r>
          </w:p>
        </w:tc>
        <w:tc>
          <w:tcPr>
            <w:tcW w:w="1470" w:type="dxa"/>
            <w:shd w:val="clear" w:color="auto" w:fill="auto"/>
            <w:tcMar>
              <w:top w:w="0" w:type="dxa"/>
              <w:left w:w="108" w:type="dxa"/>
              <w:bottom w:w="0" w:type="dxa"/>
              <w:right w:w="108" w:type="dxa"/>
            </w:tcMar>
          </w:tcPr>
          <w:p w14:paraId="08EEF939" w14:textId="77777777" w:rsidR="00284822" w:rsidRDefault="00F77BF8">
            <w:pPr>
              <w:spacing w:before="120" w:after="120"/>
              <w:jc w:val="center"/>
              <w:rPr>
                <w:rFonts w:ascii="Rockwell" w:hAnsi="Rockwell"/>
                <w:color w:val="000000"/>
                <w:szCs w:val="26"/>
              </w:rPr>
            </w:pPr>
            <w:r>
              <w:rPr>
                <w:rFonts w:ascii="Rockwell" w:hAnsi="Rockwell"/>
                <w:color w:val="000000"/>
                <w:szCs w:val="26"/>
              </w:rPr>
              <w:t>4 et 3/7</w:t>
            </w:r>
          </w:p>
        </w:tc>
        <w:tc>
          <w:tcPr>
            <w:tcW w:w="1728" w:type="dxa"/>
            <w:shd w:val="clear" w:color="auto" w:fill="auto"/>
            <w:tcMar>
              <w:top w:w="0" w:type="dxa"/>
              <w:left w:w="108" w:type="dxa"/>
              <w:bottom w:w="0" w:type="dxa"/>
              <w:right w:w="108" w:type="dxa"/>
            </w:tcMar>
          </w:tcPr>
          <w:p w14:paraId="52DBB7AD" w14:textId="77777777" w:rsidR="00284822" w:rsidRDefault="00F77BF8">
            <w:pPr>
              <w:spacing w:before="120" w:after="120"/>
              <w:jc w:val="center"/>
              <w:rPr>
                <w:rFonts w:ascii="Rockwell" w:hAnsi="Rockwell"/>
                <w:color w:val="000000"/>
                <w:szCs w:val="26"/>
              </w:rPr>
            </w:pPr>
            <w:r>
              <w:rPr>
                <w:rFonts w:ascii="Rockwell" w:hAnsi="Rockwell"/>
                <w:color w:val="000000"/>
                <w:szCs w:val="26"/>
              </w:rPr>
              <w:t>13,95%</w:t>
            </w:r>
          </w:p>
        </w:tc>
        <w:tc>
          <w:tcPr>
            <w:tcW w:w="1446" w:type="dxa"/>
            <w:shd w:val="clear" w:color="auto" w:fill="auto"/>
            <w:tcMar>
              <w:top w:w="0" w:type="dxa"/>
              <w:left w:w="108" w:type="dxa"/>
              <w:bottom w:w="0" w:type="dxa"/>
              <w:right w:w="108" w:type="dxa"/>
            </w:tcMar>
          </w:tcPr>
          <w:p w14:paraId="52225BFC" w14:textId="77777777" w:rsidR="00284822" w:rsidRDefault="00F77BF8">
            <w:pPr>
              <w:spacing w:before="120" w:after="120"/>
              <w:jc w:val="center"/>
              <w:rPr>
                <w:rFonts w:ascii="Rockwell" w:hAnsi="Rockwell"/>
                <w:color w:val="000000"/>
                <w:szCs w:val="26"/>
              </w:rPr>
            </w:pPr>
            <w:r>
              <w:rPr>
                <w:rFonts w:ascii="Rockwell" w:hAnsi="Rockwell"/>
                <w:color w:val="000000"/>
                <w:szCs w:val="26"/>
              </w:rPr>
              <w:t>12</w:t>
            </w:r>
          </w:p>
        </w:tc>
        <w:tc>
          <w:tcPr>
            <w:tcW w:w="2413" w:type="dxa"/>
            <w:shd w:val="clear" w:color="auto" w:fill="auto"/>
            <w:tcMar>
              <w:top w:w="0" w:type="dxa"/>
              <w:left w:w="108" w:type="dxa"/>
              <w:bottom w:w="0" w:type="dxa"/>
              <w:right w:w="108" w:type="dxa"/>
            </w:tcMar>
          </w:tcPr>
          <w:p w14:paraId="0B2FC138" w14:textId="77777777" w:rsidR="00284822" w:rsidRDefault="00F77BF8">
            <w:pPr>
              <w:spacing w:before="120" w:after="120"/>
              <w:jc w:val="center"/>
              <w:rPr>
                <w:rFonts w:ascii="Rockwell" w:hAnsi="Rockwell"/>
                <w:color w:val="000000"/>
                <w:szCs w:val="26"/>
              </w:rPr>
            </w:pPr>
            <w:r>
              <w:rPr>
                <w:rFonts w:ascii="Rockwell" w:hAnsi="Rockwell"/>
                <w:color w:val="000000"/>
                <w:szCs w:val="26"/>
              </w:rPr>
              <w:t>19,35%</w:t>
            </w:r>
          </w:p>
        </w:tc>
      </w:tr>
      <w:tr w:rsidR="00284822" w14:paraId="10C6427C" w14:textId="77777777">
        <w:trPr>
          <w:trHeight w:val="610"/>
          <w:jc w:val="center"/>
        </w:trPr>
        <w:tc>
          <w:tcPr>
            <w:tcW w:w="1211" w:type="dxa"/>
            <w:shd w:val="clear" w:color="auto" w:fill="auto"/>
            <w:tcMar>
              <w:top w:w="0" w:type="dxa"/>
              <w:left w:w="108" w:type="dxa"/>
              <w:bottom w:w="0" w:type="dxa"/>
              <w:right w:w="108" w:type="dxa"/>
            </w:tcMar>
          </w:tcPr>
          <w:p w14:paraId="1DDBFB36" w14:textId="77777777" w:rsidR="00284822" w:rsidRDefault="00F77BF8">
            <w:pPr>
              <w:spacing w:before="120" w:after="120"/>
              <w:jc w:val="left"/>
              <w:rPr>
                <w:rFonts w:ascii="Rockwell" w:hAnsi="Rockwell"/>
                <w:szCs w:val="26"/>
              </w:rPr>
            </w:pPr>
            <w:r>
              <w:rPr>
                <w:rFonts w:ascii="Rockwell" w:hAnsi="Rockwell"/>
                <w:bCs/>
                <w:szCs w:val="26"/>
              </w:rPr>
              <w:t>4</w:t>
            </w:r>
            <w:r>
              <w:rPr>
                <w:rFonts w:ascii="Rockwell" w:hAnsi="Rockwell"/>
                <w:bCs/>
                <w:szCs w:val="26"/>
                <w:vertAlign w:val="superscript"/>
              </w:rPr>
              <w:t>e</w:t>
            </w:r>
          </w:p>
        </w:tc>
        <w:tc>
          <w:tcPr>
            <w:tcW w:w="2359" w:type="dxa"/>
            <w:shd w:val="clear" w:color="auto" w:fill="auto"/>
            <w:tcMar>
              <w:top w:w="0" w:type="dxa"/>
              <w:left w:w="108" w:type="dxa"/>
              <w:bottom w:w="0" w:type="dxa"/>
              <w:right w:w="108" w:type="dxa"/>
            </w:tcMar>
          </w:tcPr>
          <w:p w14:paraId="1B4109E8" w14:textId="77777777" w:rsidR="00284822" w:rsidRDefault="00F77BF8">
            <w:pPr>
              <w:spacing w:before="120" w:after="120"/>
              <w:jc w:val="center"/>
              <w:rPr>
                <w:rFonts w:ascii="Rockwell" w:hAnsi="Rockwell"/>
                <w:b/>
                <w:color w:val="000000"/>
                <w:szCs w:val="26"/>
              </w:rPr>
            </w:pPr>
            <w:r>
              <w:rPr>
                <w:rFonts w:ascii="Rockwell" w:hAnsi="Rockwell"/>
                <w:b/>
                <w:color w:val="000000"/>
                <w:szCs w:val="26"/>
              </w:rPr>
              <w:t>PAREN</w:t>
            </w:r>
          </w:p>
        </w:tc>
        <w:tc>
          <w:tcPr>
            <w:tcW w:w="1470" w:type="dxa"/>
            <w:shd w:val="clear" w:color="auto" w:fill="auto"/>
            <w:tcMar>
              <w:top w:w="0" w:type="dxa"/>
              <w:left w:w="108" w:type="dxa"/>
              <w:bottom w:w="0" w:type="dxa"/>
              <w:right w:w="108" w:type="dxa"/>
            </w:tcMar>
          </w:tcPr>
          <w:p w14:paraId="2925C11B" w14:textId="77777777" w:rsidR="00284822" w:rsidRDefault="00F77BF8">
            <w:pPr>
              <w:spacing w:before="120" w:after="120"/>
              <w:jc w:val="center"/>
              <w:rPr>
                <w:rFonts w:ascii="Rockwell" w:hAnsi="Rockwell"/>
                <w:color w:val="000000"/>
                <w:szCs w:val="26"/>
              </w:rPr>
            </w:pPr>
            <w:r>
              <w:rPr>
                <w:rFonts w:ascii="Rockwell" w:hAnsi="Rockwell"/>
                <w:color w:val="000000"/>
                <w:szCs w:val="26"/>
              </w:rPr>
              <w:t>2</w:t>
            </w:r>
          </w:p>
        </w:tc>
        <w:tc>
          <w:tcPr>
            <w:tcW w:w="1728" w:type="dxa"/>
            <w:shd w:val="clear" w:color="auto" w:fill="auto"/>
            <w:tcMar>
              <w:top w:w="0" w:type="dxa"/>
              <w:left w:w="108" w:type="dxa"/>
              <w:bottom w:w="0" w:type="dxa"/>
              <w:right w:w="108" w:type="dxa"/>
            </w:tcMar>
          </w:tcPr>
          <w:p w14:paraId="286DE8A6" w14:textId="77777777" w:rsidR="00284822" w:rsidRDefault="00F77BF8">
            <w:pPr>
              <w:spacing w:before="120" w:after="120"/>
              <w:jc w:val="center"/>
              <w:rPr>
                <w:rFonts w:ascii="Rockwell" w:hAnsi="Rockwell"/>
                <w:color w:val="000000"/>
                <w:szCs w:val="26"/>
              </w:rPr>
            </w:pPr>
            <w:r>
              <w:rPr>
                <w:rFonts w:ascii="Rockwell" w:hAnsi="Rockwell"/>
                <w:color w:val="000000"/>
                <w:szCs w:val="26"/>
              </w:rPr>
              <w:t>6,32%</w:t>
            </w:r>
          </w:p>
        </w:tc>
        <w:tc>
          <w:tcPr>
            <w:tcW w:w="1446" w:type="dxa"/>
            <w:shd w:val="clear" w:color="auto" w:fill="auto"/>
            <w:tcMar>
              <w:top w:w="0" w:type="dxa"/>
              <w:left w:w="108" w:type="dxa"/>
              <w:bottom w:w="0" w:type="dxa"/>
              <w:right w:w="108" w:type="dxa"/>
            </w:tcMar>
          </w:tcPr>
          <w:p w14:paraId="1B82F8DB" w14:textId="77777777" w:rsidR="00284822" w:rsidRDefault="00F77BF8">
            <w:pPr>
              <w:spacing w:before="120" w:after="120"/>
              <w:jc w:val="center"/>
              <w:rPr>
                <w:rFonts w:ascii="Rockwell" w:hAnsi="Rockwell"/>
                <w:color w:val="000000"/>
                <w:szCs w:val="26"/>
              </w:rPr>
            </w:pPr>
            <w:r>
              <w:rPr>
                <w:rFonts w:ascii="Rockwell" w:hAnsi="Rockwell"/>
                <w:color w:val="000000"/>
                <w:szCs w:val="26"/>
              </w:rPr>
              <w:t>6</w:t>
            </w:r>
          </w:p>
        </w:tc>
        <w:tc>
          <w:tcPr>
            <w:tcW w:w="2413" w:type="dxa"/>
            <w:shd w:val="clear" w:color="auto" w:fill="auto"/>
            <w:tcMar>
              <w:top w:w="0" w:type="dxa"/>
              <w:left w:w="108" w:type="dxa"/>
              <w:bottom w:w="0" w:type="dxa"/>
              <w:right w:w="108" w:type="dxa"/>
            </w:tcMar>
          </w:tcPr>
          <w:p w14:paraId="0A91A727" w14:textId="77777777" w:rsidR="00284822" w:rsidRDefault="00F77BF8">
            <w:pPr>
              <w:spacing w:before="120" w:after="120"/>
              <w:jc w:val="center"/>
              <w:rPr>
                <w:rFonts w:ascii="Rockwell" w:hAnsi="Rockwell"/>
                <w:color w:val="000000"/>
                <w:szCs w:val="26"/>
              </w:rPr>
            </w:pPr>
            <w:r>
              <w:rPr>
                <w:rFonts w:ascii="Rockwell" w:hAnsi="Rockwell"/>
                <w:color w:val="000000"/>
                <w:szCs w:val="26"/>
              </w:rPr>
              <w:t>9,68%</w:t>
            </w:r>
          </w:p>
        </w:tc>
      </w:tr>
      <w:tr w:rsidR="00284822" w14:paraId="783C4DCA" w14:textId="77777777">
        <w:trPr>
          <w:trHeight w:val="610"/>
          <w:jc w:val="center"/>
        </w:trPr>
        <w:tc>
          <w:tcPr>
            <w:tcW w:w="1211" w:type="dxa"/>
            <w:shd w:val="clear" w:color="auto" w:fill="auto"/>
            <w:tcMar>
              <w:top w:w="0" w:type="dxa"/>
              <w:left w:w="108" w:type="dxa"/>
              <w:bottom w:w="0" w:type="dxa"/>
              <w:right w:w="108" w:type="dxa"/>
            </w:tcMar>
          </w:tcPr>
          <w:p w14:paraId="20F1552F" w14:textId="77777777" w:rsidR="00284822" w:rsidRDefault="00F77BF8">
            <w:pPr>
              <w:spacing w:before="120" w:after="120"/>
              <w:jc w:val="left"/>
              <w:rPr>
                <w:rFonts w:ascii="Rockwell" w:hAnsi="Rockwell"/>
                <w:szCs w:val="26"/>
              </w:rPr>
            </w:pPr>
            <w:r>
              <w:rPr>
                <w:rFonts w:ascii="Rockwell" w:hAnsi="Rockwell"/>
                <w:bCs/>
                <w:szCs w:val="26"/>
              </w:rPr>
              <w:t>5</w:t>
            </w:r>
            <w:r>
              <w:rPr>
                <w:rFonts w:ascii="Rockwell" w:hAnsi="Rockwell"/>
                <w:bCs/>
                <w:szCs w:val="26"/>
                <w:vertAlign w:val="superscript"/>
              </w:rPr>
              <w:t>e</w:t>
            </w:r>
          </w:p>
        </w:tc>
        <w:tc>
          <w:tcPr>
            <w:tcW w:w="2359" w:type="dxa"/>
            <w:shd w:val="clear" w:color="auto" w:fill="auto"/>
            <w:tcMar>
              <w:top w:w="0" w:type="dxa"/>
              <w:left w:w="108" w:type="dxa"/>
              <w:bottom w:w="0" w:type="dxa"/>
              <w:right w:w="108" w:type="dxa"/>
            </w:tcMar>
          </w:tcPr>
          <w:p w14:paraId="655DA026" w14:textId="77777777" w:rsidR="00284822" w:rsidRDefault="00F77BF8">
            <w:pPr>
              <w:spacing w:before="120" w:after="120"/>
              <w:jc w:val="center"/>
              <w:rPr>
                <w:rFonts w:ascii="Rockwell" w:hAnsi="Rockwell"/>
                <w:b/>
                <w:color w:val="000000"/>
                <w:szCs w:val="26"/>
              </w:rPr>
            </w:pPr>
            <w:r>
              <w:rPr>
                <w:rFonts w:ascii="Rockwell" w:hAnsi="Rockwell"/>
                <w:b/>
                <w:color w:val="000000"/>
                <w:szCs w:val="26"/>
              </w:rPr>
              <w:t>UPC</w:t>
            </w:r>
          </w:p>
        </w:tc>
        <w:tc>
          <w:tcPr>
            <w:tcW w:w="1470" w:type="dxa"/>
            <w:shd w:val="clear" w:color="auto" w:fill="auto"/>
            <w:tcMar>
              <w:top w:w="0" w:type="dxa"/>
              <w:left w:w="108" w:type="dxa"/>
              <w:bottom w:w="0" w:type="dxa"/>
              <w:right w:w="108" w:type="dxa"/>
            </w:tcMar>
          </w:tcPr>
          <w:p w14:paraId="53D5B4DC" w14:textId="77777777" w:rsidR="00284822" w:rsidRDefault="00F77BF8">
            <w:pPr>
              <w:spacing w:before="120" w:after="120"/>
              <w:jc w:val="center"/>
              <w:rPr>
                <w:rFonts w:ascii="Rockwell" w:hAnsi="Rockwell"/>
                <w:color w:val="000000"/>
                <w:szCs w:val="26"/>
              </w:rPr>
            </w:pPr>
            <w:r>
              <w:rPr>
                <w:rFonts w:ascii="Rockwell" w:hAnsi="Rockwell"/>
                <w:color w:val="000000"/>
                <w:szCs w:val="26"/>
              </w:rPr>
              <w:t>1 et 5/6</w:t>
            </w:r>
          </w:p>
        </w:tc>
        <w:tc>
          <w:tcPr>
            <w:tcW w:w="1728" w:type="dxa"/>
            <w:shd w:val="clear" w:color="auto" w:fill="auto"/>
            <w:tcMar>
              <w:top w:w="0" w:type="dxa"/>
              <w:left w:w="108" w:type="dxa"/>
              <w:bottom w:w="0" w:type="dxa"/>
              <w:right w:w="108" w:type="dxa"/>
            </w:tcMar>
          </w:tcPr>
          <w:p w14:paraId="48883AB5" w14:textId="77777777" w:rsidR="00284822" w:rsidRDefault="00F77BF8">
            <w:pPr>
              <w:spacing w:before="120" w:after="120"/>
              <w:jc w:val="center"/>
              <w:rPr>
                <w:rFonts w:ascii="Rockwell" w:hAnsi="Rockwell"/>
                <w:color w:val="000000"/>
                <w:szCs w:val="26"/>
              </w:rPr>
            </w:pPr>
            <w:r>
              <w:rPr>
                <w:rFonts w:ascii="Rockwell" w:hAnsi="Rockwell"/>
                <w:color w:val="000000"/>
                <w:szCs w:val="26"/>
              </w:rPr>
              <w:t>5,79%</w:t>
            </w:r>
          </w:p>
        </w:tc>
        <w:tc>
          <w:tcPr>
            <w:tcW w:w="1446" w:type="dxa"/>
            <w:shd w:val="clear" w:color="auto" w:fill="auto"/>
            <w:tcMar>
              <w:top w:w="0" w:type="dxa"/>
              <w:left w:w="108" w:type="dxa"/>
              <w:bottom w:w="0" w:type="dxa"/>
              <w:right w:w="108" w:type="dxa"/>
            </w:tcMar>
          </w:tcPr>
          <w:p w14:paraId="2D4102FA" w14:textId="77777777" w:rsidR="00284822" w:rsidRDefault="00F77BF8">
            <w:pPr>
              <w:spacing w:before="120" w:after="120"/>
              <w:jc w:val="center"/>
              <w:rPr>
                <w:rFonts w:ascii="Rockwell" w:hAnsi="Rockwell"/>
                <w:color w:val="000000"/>
                <w:szCs w:val="26"/>
              </w:rPr>
            </w:pPr>
            <w:r>
              <w:rPr>
                <w:rFonts w:ascii="Rockwell" w:hAnsi="Rockwell"/>
                <w:color w:val="000000"/>
                <w:szCs w:val="26"/>
              </w:rPr>
              <w:t>5</w:t>
            </w:r>
          </w:p>
        </w:tc>
        <w:tc>
          <w:tcPr>
            <w:tcW w:w="2413" w:type="dxa"/>
            <w:shd w:val="clear" w:color="auto" w:fill="auto"/>
            <w:tcMar>
              <w:top w:w="0" w:type="dxa"/>
              <w:left w:w="108" w:type="dxa"/>
              <w:bottom w:w="0" w:type="dxa"/>
              <w:right w:w="108" w:type="dxa"/>
            </w:tcMar>
          </w:tcPr>
          <w:p w14:paraId="321C06C4" w14:textId="77777777" w:rsidR="00284822" w:rsidRDefault="00F77BF8">
            <w:pPr>
              <w:spacing w:before="120" w:after="120"/>
              <w:jc w:val="center"/>
              <w:rPr>
                <w:rFonts w:ascii="Rockwell" w:hAnsi="Rockwell"/>
                <w:color w:val="000000"/>
                <w:szCs w:val="26"/>
              </w:rPr>
            </w:pPr>
            <w:r>
              <w:rPr>
                <w:rFonts w:ascii="Rockwell" w:hAnsi="Rockwell"/>
                <w:color w:val="000000"/>
                <w:szCs w:val="26"/>
              </w:rPr>
              <w:t>8,06%</w:t>
            </w:r>
          </w:p>
        </w:tc>
      </w:tr>
      <w:tr w:rsidR="00284822" w14:paraId="0A3B1006" w14:textId="77777777">
        <w:trPr>
          <w:trHeight w:val="610"/>
          <w:jc w:val="center"/>
        </w:trPr>
        <w:tc>
          <w:tcPr>
            <w:tcW w:w="1211" w:type="dxa"/>
            <w:shd w:val="clear" w:color="auto" w:fill="auto"/>
            <w:tcMar>
              <w:top w:w="0" w:type="dxa"/>
              <w:left w:w="108" w:type="dxa"/>
              <w:bottom w:w="0" w:type="dxa"/>
              <w:right w:w="108" w:type="dxa"/>
            </w:tcMar>
          </w:tcPr>
          <w:p w14:paraId="3C812E40" w14:textId="77777777" w:rsidR="00284822" w:rsidRDefault="00F77BF8">
            <w:pPr>
              <w:spacing w:before="120" w:after="120"/>
              <w:jc w:val="left"/>
              <w:rPr>
                <w:rFonts w:ascii="Rockwell" w:hAnsi="Rockwell"/>
                <w:szCs w:val="26"/>
              </w:rPr>
            </w:pPr>
            <w:r>
              <w:rPr>
                <w:rFonts w:ascii="Rockwell" w:hAnsi="Rockwell"/>
                <w:bCs/>
                <w:szCs w:val="26"/>
              </w:rPr>
              <w:t>6</w:t>
            </w:r>
            <w:r>
              <w:rPr>
                <w:rFonts w:ascii="Rockwell" w:hAnsi="Rockwell"/>
                <w:bCs/>
                <w:szCs w:val="26"/>
                <w:vertAlign w:val="superscript"/>
              </w:rPr>
              <w:t>e</w:t>
            </w:r>
          </w:p>
        </w:tc>
        <w:tc>
          <w:tcPr>
            <w:tcW w:w="2359" w:type="dxa"/>
            <w:shd w:val="clear" w:color="auto" w:fill="auto"/>
            <w:tcMar>
              <w:top w:w="0" w:type="dxa"/>
              <w:left w:w="108" w:type="dxa"/>
              <w:bottom w:w="0" w:type="dxa"/>
              <w:right w:w="108" w:type="dxa"/>
            </w:tcMar>
          </w:tcPr>
          <w:p w14:paraId="42D82E6F" w14:textId="77777777" w:rsidR="00284822" w:rsidRDefault="00F77BF8">
            <w:pPr>
              <w:spacing w:before="120" w:after="120"/>
              <w:jc w:val="center"/>
              <w:rPr>
                <w:rFonts w:ascii="Rockwell" w:hAnsi="Rockwell"/>
                <w:b/>
                <w:color w:val="000000"/>
                <w:szCs w:val="26"/>
              </w:rPr>
            </w:pPr>
            <w:r>
              <w:rPr>
                <w:rFonts w:ascii="Rockwell" w:hAnsi="Rockwell"/>
                <w:b/>
                <w:color w:val="000000"/>
                <w:szCs w:val="26"/>
              </w:rPr>
              <w:t>ADF/RDA</w:t>
            </w:r>
          </w:p>
        </w:tc>
        <w:tc>
          <w:tcPr>
            <w:tcW w:w="1470" w:type="dxa"/>
            <w:shd w:val="clear" w:color="auto" w:fill="auto"/>
            <w:tcMar>
              <w:top w:w="0" w:type="dxa"/>
              <w:left w:w="108" w:type="dxa"/>
              <w:bottom w:w="0" w:type="dxa"/>
              <w:right w:w="108" w:type="dxa"/>
            </w:tcMar>
          </w:tcPr>
          <w:p w14:paraId="7A7A225A" w14:textId="77777777" w:rsidR="00284822" w:rsidRDefault="00F77BF8">
            <w:pPr>
              <w:spacing w:before="120" w:after="120"/>
              <w:jc w:val="center"/>
              <w:rPr>
                <w:rFonts w:ascii="Rockwell" w:hAnsi="Rockwell"/>
                <w:color w:val="000000"/>
                <w:szCs w:val="26"/>
              </w:rPr>
            </w:pPr>
            <w:r>
              <w:rPr>
                <w:rFonts w:ascii="Rockwell" w:hAnsi="Rockwell"/>
                <w:color w:val="000000"/>
                <w:szCs w:val="26"/>
              </w:rPr>
              <w:t>1 et ½</w:t>
            </w:r>
          </w:p>
        </w:tc>
        <w:tc>
          <w:tcPr>
            <w:tcW w:w="1728" w:type="dxa"/>
            <w:shd w:val="clear" w:color="auto" w:fill="auto"/>
            <w:tcMar>
              <w:top w:w="0" w:type="dxa"/>
              <w:left w:w="108" w:type="dxa"/>
              <w:bottom w:w="0" w:type="dxa"/>
              <w:right w:w="108" w:type="dxa"/>
            </w:tcMar>
          </w:tcPr>
          <w:p w14:paraId="3A84C238" w14:textId="77777777" w:rsidR="00284822" w:rsidRDefault="00F77BF8">
            <w:pPr>
              <w:spacing w:before="120" w:after="120"/>
              <w:jc w:val="center"/>
              <w:rPr>
                <w:rFonts w:ascii="Rockwell" w:hAnsi="Rockwell"/>
                <w:color w:val="000000"/>
                <w:szCs w:val="26"/>
              </w:rPr>
            </w:pPr>
            <w:r>
              <w:rPr>
                <w:rFonts w:ascii="Rockwell" w:hAnsi="Rockwell"/>
                <w:color w:val="000000"/>
                <w:szCs w:val="26"/>
              </w:rPr>
              <w:t>4,74%</w:t>
            </w:r>
          </w:p>
        </w:tc>
        <w:tc>
          <w:tcPr>
            <w:tcW w:w="1446" w:type="dxa"/>
            <w:shd w:val="clear" w:color="auto" w:fill="auto"/>
            <w:tcMar>
              <w:top w:w="0" w:type="dxa"/>
              <w:left w:w="108" w:type="dxa"/>
              <w:bottom w:w="0" w:type="dxa"/>
              <w:right w:w="108" w:type="dxa"/>
            </w:tcMar>
          </w:tcPr>
          <w:p w14:paraId="121BAB00" w14:textId="77777777" w:rsidR="00284822" w:rsidRDefault="00F77BF8">
            <w:pPr>
              <w:spacing w:before="120" w:after="120"/>
              <w:jc w:val="center"/>
              <w:rPr>
                <w:rFonts w:ascii="Rockwell" w:hAnsi="Rockwell"/>
                <w:color w:val="000000"/>
                <w:szCs w:val="26"/>
              </w:rPr>
            </w:pPr>
            <w:r>
              <w:rPr>
                <w:rFonts w:ascii="Rockwell" w:hAnsi="Rockwell"/>
                <w:color w:val="000000"/>
                <w:szCs w:val="26"/>
              </w:rPr>
              <w:t>3</w:t>
            </w:r>
          </w:p>
        </w:tc>
        <w:tc>
          <w:tcPr>
            <w:tcW w:w="2413" w:type="dxa"/>
            <w:shd w:val="clear" w:color="auto" w:fill="auto"/>
            <w:tcMar>
              <w:top w:w="0" w:type="dxa"/>
              <w:left w:w="108" w:type="dxa"/>
              <w:bottom w:w="0" w:type="dxa"/>
              <w:right w:w="108" w:type="dxa"/>
            </w:tcMar>
          </w:tcPr>
          <w:p w14:paraId="4A7BCB82" w14:textId="77777777" w:rsidR="00284822" w:rsidRDefault="00F77BF8">
            <w:pPr>
              <w:spacing w:before="120" w:after="120"/>
              <w:jc w:val="center"/>
              <w:rPr>
                <w:rFonts w:ascii="Rockwell" w:hAnsi="Rockwell"/>
                <w:color w:val="000000"/>
                <w:szCs w:val="26"/>
              </w:rPr>
            </w:pPr>
            <w:r>
              <w:rPr>
                <w:rFonts w:ascii="Rockwell" w:hAnsi="Rockwell"/>
                <w:color w:val="000000"/>
                <w:szCs w:val="26"/>
              </w:rPr>
              <w:t>4,84%</w:t>
            </w:r>
          </w:p>
        </w:tc>
      </w:tr>
      <w:tr w:rsidR="00284822" w14:paraId="582B97F4" w14:textId="77777777">
        <w:trPr>
          <w:trHeight w:val="610"/>
          <w:jc w:val="center"/>
        </w:trPr>
        <w:tc>
          <w:tcPr>
            <w:tcW w:w="1211" w:type="dxa"/>
            <w:shd w:val="clear" w:color="auto" w:fill="auto"/>
            <w:tcMar>
              <w:top w:w="0" w:type="dxa"/>
              <w:left w:w="108" w:type="dxa"/>
              <w:bottom w:w="0" w:type="dxa"/>
              <w:right w:w="108" w:type="dxa"/>
            </w:tcMar>
          </w:tcPr>
          <w:p w14:paraId="16E268D6" w14:textId="77777777" w:rsidR="00284822" w:rsidRDefault="00F77BF8">
            <w:pPr>
              <w:spacing w:before="120" w:after="120"/>
              <w:jc w:val="left"/>
              <w:rPr>
                <w:rFonts w:ascii="Rockwell" w:hAnsi="Rockwell"/>
                <w:szCs w:val="26"/>
              </w:rPr>
            </w:pPr>
            <w:r>
              <w:rPr>
                <w:rFonts w:ascii="Rockwell" w:hAnsi="Rockwell"/>
                <w:bCs/>
                <w:szCs w:val="26"/>
              </w:rPr>
              <w:t>7</w:t>
            </w:r>
            <w:r>
              <w:rPr>
                <w:rFonts w:ascii="Rockwell" w:hAnsi="Rockwell"/>
                <w:bCs/>
                <w:szCs w:val="26"/>
                <w:vertAlign w:val="superscript"/>
              </w:rPr>
              <w:t>e</w:t>
            </w:r>
          </w:p>
        </w:tc>
        <w:tc>
          <w:tcPr>
            <w:tcW w:w="2359" w:type="dxa"/>
            <w:shd w:val="clear" w:color="auto" w:fill="auto"/>
            <w:tcMar>
              <w:top w:w="0" w:type="dxa"/>
              <w:left w:w="108" w:type="dxa"/>
              <w:bottom w:w="0" w:type="dxa"/>
              <w:right w:w="108" w:type="dxa"/>
            </w:tcMar>
          </w:tcPr>
          <w:p w14:paraId="06DC8521" w14:textId="77777777" w:rsidR="00284822" w:rsidRDefault="00F77BF8">
            <w:pPr>
              <w:spacing w:before="120" w:after="120"/>
              <w:jc w:val="center"/>
              <w:rPr>
                <w:rFonts w:ascii="Rockwell" w:hAnsi="Rockwell"/>
                <w:b/>
                <w:color w:val="000000"/>
                <w:szCs w:val="26"/>
              </w:rPr>
            </w:pPr>
            <w:r>
              <w:rPr>
                <w:rFonts w:ascii="Rockwell" w:hAnsi="Rockwell"/>
                <w:b/>
                <w:color w:val="000000"/>
                <w:szCs w:val="26"/>
              </w:rPr>
              <w:t>PDP-PS</w:t>
            </w:r>
          </w:p>
        </w:tc>
        <w:tc>
          <w:tcPr>
            <w:tcW w:w="1470" w:type="dxa"/>
            <w:shd w:val="clear" w:color="auto" w:fill="auto"/>
            <w:tcMar>
              <w:top w:w="0" w:type="dxa"/>
              <w:left w:w="108" w:type="dxa"/>
              <w:bottom w:w="0" w:type="dxa"/>
              <w:right w:w="108" w:type="dxa"/>
            </w:tcMar>
          </w:tcPr>
          <w:p w14:paraId="54EBFCFB" w14:textId="77777777" w:rsidR="00284822" w:rsidRDefault="00F77BF8">
            <w:pPr>
              <w:spacing w:before="120" w:after="120"/>
              <w:jc w:val="center"/>
              <w:rPr>
                <w:rFonts w:ascii="Rockwell" w:hAnsi="Rockwell"/>
                <w:color w:val="000000"/>
                <w:szCs w:val="26"/>
              </w:rPr>
            </w:pPr>
            <w:r>
              <w:rPr>
                <w:rFonts w:ascii="Rockwell" w:hAnsi="Rockwell"/>
                <w:color w:val="000000"/>
                <w:szCs w:val="26"/>
              </w:rPr>
              <w:t>1 et 2/5</w:t>
            </w:r>
          </w:p>
        </w:tc>
        <w:tc>
          <w:tcPr>
            <w:tcW w:w="1728" w:type="dxa"/>
            <w:shd w:val="clear" w:color="auto" w:fill="auto"/>
            <w:tcMar>
              <w:top w:w="0" w:type="dxa"/>
              <w:left w:w="108" w:type="dxa"/>
              <w:bottom w:w="0" w:type="dxa"/>
              <w:right w:w="108" w:type="dxa"/>
            </w:tcMar>
          </w:tcPr>
          <w:p w14:paraId="7C5519A6" w14:textId="77777777" w:rsidR="00284822" w:rsidRDefault="00F77BF8">
            <w:pPr>
              <w:spacing w:before="120" w:after="120"/>
              <w:jc w:val="center"/>
              <w:rPr>
                <w:rFonts w:ascii="Rockwell" w:hAnsi="Rockwell"/>
                <w:color w:val="000000"/>
                <w:szCs w:val="26"/>
              </w:rPr>
            </w:pPr>
            <w:r>
              <w:rPr>
                <w:rFonts w:ascii="Rockwell" w:hAnsi="Rockwell"/>
                <w:color w:val="000000"/>
                <w:szCs w:val="26"/>
              </w:rPr>
              <w:t>4,42%</w:t>
            </w:r>
          </w:p>
        </w:tc>
        <w:tc>
          <w:tcPr>
            <w:tcW w:w="1446" w:type="dxa"/>
            <w:shd w:val="clear" w:color="auto" w:fill="auto"/>
            <w:tcMar>
              <w:top w:w="0" w:type="dxa"/>
              <w:left w:w="108" w:type="dxa"/>
              <w:bottom w:w="0" w:type="dxa"/>
              <w:right w:w="108" w:type="dxa"/>
            </w:tcMar>
          </w:tcPr>
          <w:p w14:paraId="67C5E7CB" w14:textId="77777777" w:rsidR="00284822" w:rsidRDefault="00F77BF8">
            <w:pPr>
              <w:spacing w:before="120" w:after="120"/>
              <w:jc w:val="center"/>
              <w:rPr>
                <w:rFonts w:ascii="Rockwell" w:hAnsi="Rockwell"/>
                <w:color w:val="000000"/>
                <w:szCs w:val="26"/>
              </w:rPr>
            </w:pPr>
            <w:r>
              <w:rPr>
                <w:rFonts w:ascii="Rockwell" w:hAnsi="Rockwell"/>
                <w:color w:val="000000"/>
                <w:szCs w:val="26"/>
              </w:rPr>
              <w:t>3</w:t>
            </w:r>
          </w:p>
        </w:tc>
        <w:tc>
          <w:tcPr>
            <w:tcW w:w="2413" w:type="dxa"/>
            <w:shd w:val="clear" w:color="auto" w:fill="auto"/>
            <w:tcMar>
              <w:top w:w="0" w:type="dxa"/>
              <w:left w:w="108" w:type="dxa"/>
              <w:bottom w:w="0" w:type="dxa"/>
              <w:right w:w="108" w:type="dxa"/>
            </w:tcMar>
          </w:tcPr>
          <w:p w14:paraId="2E5A4591" w14:textId="77777777" w:rsidR="00284822" w:rsidRDefault="00F77BF8">
            <w:pPr>
              <w:spacing w:before="120" w:after="120"/>
              <w:jc w:val="center"/>
              <w:rPr>
                <w:rFonts w:ascii="Rockwell" w:hAnsi="Rockwell"/>
                <w:color w:val="000000"/>
                <w:szCs w:val="26"/>
              </w:rPr>
            </w:pPr>
            <w:r>
              <w:rPr>
                <w:rFonts w:ascii="Rockwell" w:hAnsi="Rockwell"/>
                <w:color w:val="000000"/>
                <w:szCs w:val="26"/>
              </w:rPr>
              <w:t>4,84%</w:t>
            </w:r>
          </w:p>
        </w:tc>
      </w:tr>
      <w:tr w:rsidR="00284822" w14:paraId="3E100DEF" w14:textId="77777777">
        <w:trPr>
          <w:trHeight w:val="610"/>
          <w:jc w:val="center"/>
        </w:trPr>
        <w:tc>
          <w:tcPr>
            <w:tcW w:w="1211" w:type="dxa"/>
            <w:shd w:val="clear" w:color="auto" w:fill="auto"/>
            <w:tcMar>
              <w:top w:w="0" w:type="dxa"/>
              <w:left w:w="108" w:type="dxa"/>
              <w:bottom w:w="0" w:type="dxa"/>
              <w:right w:w="108" w:type="dxa"/>
            </w:tcMar>
          </w:tcPr>
          <w:p w14:paraId="1B714209" w14:textId="77777777" w:rsidR="00284822" w:rsidRDefault="00F77BF8">
            <w:pPr>
              <w:spacing w:before="120" w:after="120"/>
              <w:jc w:val="left"/>
              <w:rPr>
                <w:rFonts w:ascii="Rockwell" w:hAnsi="Rockwell"/>
                <w:szCs w:val="26"/>
              </w:rPr>
            </w:pPr>
            <w:r>
              <w:rPr>
                <w:rFonts w:ascii="Rockwell" w:hAnsi="Rockwell"/>
                <w:bCs/>
                <w:szCs w:val="26"/>
              </w:rPr>
              <w:t>8</w:t>
            </w:r>
            <w:r>
              <w:rPr>
                <w:rFonts w:ascii="Rockwell" w:hAnsi="Rockwell"/>
                <w:bCs/>
                <w:szCs w:val="26"/>
                <w:vertAlign w:val="superscript"/>
              </w:rPr>
              <w:t>e</w:t>
            </w:r>
          </w:p>
        </w:tc>
        <w:tc>
          <w:tcPr>
            <w:tcW w:w="2359" w:type="dxa"/>
            <w:shd w:val="clear" w:color="auto" w:fill="auto"/>
            <w:tcMar>
              <w:top w:w="0" w:type="dxa"/>
              <w:left w:w="108" w:type="dxa"/>
              <w:bottom w:w="0" w:type="dxa"/>
              <w:right w:w="108" w:type="dxa"/>
            </w:tcMar>
          </w:tcPr>
          <w:p w14:paraId="62FF174D" w14:textId="77777777" w:rsidR="00284822" w:rsidRDefault="00F77BF8">
            <w:pPr>
              <w:spacing w:before="120" w:after="120"/>
              <w:jc w:val="center"/>
              <w:rPr>
                <w:rFonts w:ascii="Rockwell" w:hAnsi="Rockwell"/>
                <w:b/>
                <w:color w:val="000000"/>
                <w:szCs w:val="26"/>
              </w:rPr>
            </w:pPr>
            <w:r>
              <w:rPr>
                <w:rFonts w:ascii="Rockwell" w:hAnsi="Rockwell"/>
                <w:b/>
                <w:color w:val="000000"/>
                <w:szCs w:val="26"/>
              </w:rPr>
              <w:t>CRP</w:t>
            </w:r>
          </w:p>
        </w:tc>
        <w:tc>
          <w:tcPr>
            <w:tcW w:w="1470" w:type="dxa"/>
            <w:shd w:val="clear" w:color="auto" w:fill="auto"/>
            <w:tcMar>
              <w:top w:w="0" w:type="dxa"/>
              <w:left w:w="108" w:type="dxa"/>
              <w:bottom w:w="0" w:type="dxa"/>
              <w:right w:w="108" w:type="dxa"/>
            </w:tcMar>
          </w:tcPr>
          <w:p w14:paraId="6F2DE27A" w14:textId="77777777" w:rsidR="00284822" w:rsidRDefault="00F77BF8">
            <w:pPr>
              <w:spacing w:before="120" w:after="120"/>
              <w:jc w:val="center"/>
              <w:rPr>
                <w:rFonts w:ascii="Rockwell" w:hAnsi="Rockwell"/>
                <w:color w:val="000000"/>
                <w:szCs w:val="26"/>
              </w:rPr>
            </w:pPr>
            <w:r>
              <w:rPr>
                <w:rFonts w:ascii="Rockwell" w:hAnsi="Rockwell"/>
                <w:color w:val="000000"/>
                <w:szCs w:val="26"/>
              </w:rPr>
              <w:t xml:space="preserve">1 </w:t>
            </w:r>
            <w:proofErr w:type="gramStart"/>
            <w:r>
              <w:rPr>
                <w:rFonts w:ascii="Rockwell" w:hAnsi="Rockwell"/>
                <w:color w:val="000000"/>
                <w:szCs w:val="26"/>
              </w:rPr>
              <w:t>et  ¼</w:t>
            </w:r>
            <w:proofErr w:type="gramEnd"/>
          </w:p>
        </w:tc>
        <w:tc>
          <w:tcPr>
            <w:tcW w:w="1728" w:type="dxa"/>
            <w:shd w:val="clear" w:color="auto" w:fill="auto"/>
            <w:tcMar>
              <w:top w:w="0" w:type="dxa"/>
              <w:left w:w="108" w:type="dxa"/>
              <w:bottom w:w="0" w:type="dxa"/>
              <w:right w:w="108" w:type="dxa"/>
            </w:tcMar>
          </w:tcPr>
          <w:p w14:paraId="4E5645AD" w14:textId="77777777" w:rsidR="00284822" w:rsidRDefault="00F77BF8">
            <w:pPr>
              <w:spacing w:before="120" w:after="120"/>
              <w:jc w:val="center"/>
              <w:rPr>
                <w:rFonts w:ascii="Rockwell" w:hAnsi="Rockwell"/>
                <w:color w:val="000000"/>
                <w:szCs w:val="26"/>
              </w:rPr>
            </w:pPr>
            <w:r>
              <w:rPr>
                <w:rFonts w:ascii="Rockwell" w:hAnsi="Rockwell"/>
                <w:color w:val="000000"/>
                <w:szCs w:val="26"/>
              </w:rPr>
              <w:t>3,95%</w:t>
            </w:r>
          </w:p>
        </w:tc>
        <w:tc>
          <w:tcPr>
            <w:tcW w:w="1446" w:type="dxa"/>
            <w:shd w:val="clear" w:color="auto" w:fill="auto"/>
            <w:tcMar>
              <w:top w:w="0" w:type="dxa"/>
              <w:left w:w="108" w:type="dxa"/>
              <w:bottom w:w="0" w:type="dxa"/>
              <w:right w:w="108" w:type="dxa"/>
            </w:tcMar>
          </w:tcPr>
          <w:p w14:paraId="5EBBD24A" w14:textId="77777777" w:rsidR="00284822" w:rsidRDefault="00F77BF8">
            <w:pPr>
              <w:spacing w:before="120" w:after="120"/>
              <w:jc w:val="center"/>
              <w:rPr>
                <w:rFonts w:ascii="Rockwell" w:hAnsi="Rockwell"/>
                <w:color w:val="000000"/>
                <w:szCs w:val="26"/>
              </w:rPr>
            </w:pPr>
            <w:r>
              <w:rPr>
                <w:rFonts w:ascii="Rockwell" w:hAnsi="Rockwell"/>
                <w:color w:val="000000"/>
                <w:szCs w:val="26"/>
              </w:rPr>
              <w:t>2</w:t>
            </w:r>
          </w:p>
        </w:tc>
        <w:tc>
          <w:tcPr>
            <w:tcW w:w="2413" w:type="dxa"/>
            <w:shd w:val="clear" w:color="auto" w:fill="auto"/>
            <w:tcMar>
              <w:top w:w="0" w:type="dxa"/>
              <w:left w:w="108" w:type="dxa"/>
              <w:bottom w:w="0" w:type="dxa"/>
              <w:right w:w="108" w:type="dxa"/>
            </w:tcMar>
          </w:tcPr>
          <w:p w14:paraId="667F55EB" w14:textId="77777777" w:rsidR="00284822" w:rsidRDefault="00F77BF8">
            <w:pPr>
              <w:spacing w:before="120" w:after="120"/>
              <w:jc w:val="center"/>
              <w:rPr>
                <w:rFonts w:ascii="Rockwell" w:hAnsi="Rockwell"/>
                <w:color w:val="000000"/>
                <w:szCs w:val="26"/>
              </w:rPr>
            </w:pPr>
            <w:r>
              <w:rPr>
                <w:rFonts w:ascii="Rockwell" w:hAnsi="Rockwell"/>
                <w:color w:val="000000"/>
                <w:szCs w:val="26"/>
              </w:rPr>
              <w:t>3,23%</w:t>
            </w:r>
          </w:p>
        </w:tc>
      </w:tr>
      <w:tr w:rsidR="00284822" w14:paraId="0F84ADB0" w14:textId="77777777">
        <w:trPr>
          <w:trHeight w:val="610"/>
          <w:jc w:val="center"/>
        </w:trPr>
        <w:tc>
          <w:tcPr>
            <w:tcW w:w="1211" w:type="dxa"/>
            <w:shd w:val="clear" w:color="auto" w:fill="auto"/>
            <w:tcMar>
              <w:top w:w="0" w:type="dxa"/>
              <w:left w:w="108" w:type="dxa"/>
              <w:bottom w:w="0" w:type="dxa"/>
              <w:right w:w="108" w:type="dxa"/>
            </w:tcMar>
          </w:tcPr>
          <w:p w14:paraId="08F36371" w14:textId="77777777" w:rsidR="00284822" w:rsidRDefault="00F77BF8">
            <w:pPr>
              <w:spacing w:before="120" w:after="120"/>
              <w:jc w:val="left"/>
              <w:rPr>
                <w:rFonts w:ascii="Rockwell" w:hAnsi="Rockwell"/>
                <w:szCs w:val="26"/>
              </w:rPr>
            </w:pPr>
            <w:r>
              <w:rPr>
                <w:rFonts w:ascii="Rockwell" w:hAnsi="Rockwell"/>
                <w:bCs/>
                <w:szCs w:val="26"/>
              </w:rPr>
              <w:t>9</w:t>
            </w:r>
            <w:r>
              <w:rPr>
                <w:rFonts w:ascii="Rockwell" w:hAnsi="Rockwell"/>
                <w:bCs/>
                <w:szCs w:val="26"/>
                <w:vertAlign w:val="superscript"/>
              </w:rPr>
              <w:t>e</w:t>
            </w:r>
          </w:p>
        </w:tc>
        <w:tc>
          <w:tcPr>
            <w:tcW w:w="2359" w:type="dxa"/>
            <w:shd w:val="clear" w:color="auto" w:fill="auto"/>
            <w:tcMar>
              <w:top w:w="0" w:type="dxa"/>
              <w:left w:w="108" w:type="dxa"/>
              <w:bottom w:w="0" w:type="dxa"/>
              <w:right w:w="108" w:type="dxa"/>
            </w:tcMar>
          </w:tcPr>
          <w:p w14:paraId="7C3AA2D0" w14:textId="77777777" w:rsidR="00284822" w:rsidRDefault="00F77BF8">
            <w:pPr>
              <w:spacing w:before="120" w:after="120"/>
              <w:jc w:val="center"/>
              <w:rPr>
                <w:rFonts w:ascii="Rockwell" w:hAnsi="Rockwell"/>
                <w:b/>
                <w:color w:val="000000"/>
                <w:szCs w:val="26"/>
              </w:rPr>
            </w:pPr>
            <w:r>
              <w:rPr>
                <w:rFonts w:ascii="Rockwell" w:hAnsi="Rockwell"/>
                <w:b/>
                <w:color w:val="000000"/>
                <w:szCs w:val="26"/>
              </w:rPr>
              <w:t>FP</w:t>
            </w:r>
          </w:p>
        </w:tc>
        <w:tc>
          <w:tcPr>
            <w:tcW w:w="1470" w:type="dxa"/>
            <w:shd w:val="clear" w:color="auto" w:fill="auto"/>
            <w:tcMar>
              <w:top w:w="0" w:type="dxa"/>
              <w:left w:w="108" w:type="dxa"/>
              <w:bottom w:w="0" w:type="dxa"/>
              <w:right w:w="108" w:type="dxa"/>
            </w:tcMar>
          </w:tcPr>
          <w:p w14:paraId="708511AD" w14:textId="77777777" w:rsidR="00284822" w:rsidRDefault="00F77BF8">
            <w:pPr>
              <w:spacing w:before="120" w:after="120"/>
              <w:jc w:val="center"/>
              <w:rPr>
                <w:rFonts w:ascii="Rockwell" w:hAnsi="Rockwell"/>
                <w:color w:val="000000"/>
                <w:szCs w:val="26"/>
              </w:rPr>
            </w:pPr>
            <w:r>
              <w:rPr>
                <w:rFonts w:ascii="Rockwell" w:hAnsi="Rockwell"/>
                <w:color w:val="000000"/>
                <w:szCs w:val="26"/>
              </w:rPr>
              <w:t>1</w:t>
            </w:r>
          </w:p>
        </w:tc>
        <w:tc>
          <w:tcPr>
            <w:tcW w:w="1728" w:type="dxa"/>
            <w:shd w:val="clear" w:color="auto" w:fill="auto"/>
            <w:tcMar>
              <w:top w:w="0" w:type="dxa"/>
              <w:left w:w="108" w:type="dxa"/>
              <w:bottom w:w="0" w:type="dxa"/>
              <w:right w:w="108" w:type="dxa"/>
            </w:tcMar>
          </w:tcPr>
          <w:p w14:paraId="3C040D76" w14:textId="77777777" w:rsidR="00284822" w:rsidRDefault="00F77BF8">
            <w:pPr>
              <w:spacing w:before="120" w:after="120"/>
              <w:jc w:val="center"/>
              <w:rPr>
                <w:rFonts w:ascii="Rockwell" w:hAnsi="Rockwell"/>
                <w:color w:val="000000"/>
                <w:szCs w:val="26"/>
              </w:rPr>
            </w:pPr>
            <w:r>
              <w:rPr>
                <w:rFonts w:ascii="Rockwell" w:hAnsi="Rockwell"/>
                <w:color w:val="000000"/>
                <w:szCs w:val="26"/>
              </w:rPr>
              <w:t>3,16%</w:t>
            </w:r>
          </w:p>
        </w:tc>
        <w:tc>
          <w:tcPr>
            <w:tcW w:w="1446" w:type="dxa"/>
            <w:shd w:val="clear" w:color="auto" w:fill="auto"/>
            <w:tcMar>
              <w:top w:w="0" w:type="dxa"/>
              <w:left w:w="108" w:type="dxa"/>
              <w:bottom w:w="0" w:type="dxa"/>
              <w:right w:w="108" w:type="dxa"/>
            </w:tcMar>
          </w:tcPr>
          <w:p w14:paraId="02854C33" w14:textId="77777777" w:rsidR="00284822" w:rsidRDefault="00F77BF8">
            <w:pPr>
              <w:spacing w:before="120" w:after="120"/>
              <w:jc w:val="center"/>
              <w:rPr>
                <w:rFonts w:ascii="Rockwell" w:hAnsi="Rockwell"/>
                <w:color w:val="000000"/>
                <w:szCs w:val="26"/>
              </w:rPr>
            </w:pPr>
            <w:r>
              <w:rPr>
                <w:rFonts w:ascii="Rockwell" w:hAnsi="Rockwell"/>
                <w:color w:val="000000"/>
                <w:szCs w:val="26"/>
              </w:rPr>
              <w:t>1</w:t>
            </w:r>
          </w:p>
        </w:tc>
        <w:tc>
          <w:tcPr>
            <w:tcW w:w="2413" w:type="dxa"/>
            <w:shd w:val="clear" w:color="auto" w:fill="auto"/>
            <w:tcMar>
              <w:top w:w="0" w:type="dxa"/>
              <w:left w:w="108" w:type="dxa"/>
              <w:bottom w:w="0" w:type="dxa"/>
              <w:right w:w="108" w:type="dxa"/>
            </w:tcMar>
          </w:tcPr>
          <w:p w14:paraId="4EC8FC52" w14:textId="77777777" w:rsidR="00284822" w:rsidRDefault="00F77BF8">
            <w:pPr>
              <w:spacing w:before="120" w:after="120"/>
              <w:jc w:val="center"/>
              <w:rPr>
                <w:rFonts w:ascii="Rockwell" w:hAnsi="Rockwell"/>
                <w:color w:val="000000"/>
                <w:szCs w:val="26"/>
              </w:rPr>
            </w:pPr>
            <w:r>
              <w:rPr>
                <w:rFonts w:ascii="Rockwell" w:hAnsi="Rockwell"/>
                <w:color w:val="000000"/>
                <w:szCs w:val="26"/>
              </w:rPr>
              <w:t>1,61%</w:t>
            </w:r>
          </w:p>
        </w:tc>
      </w:tr>
      <w:tr w:rsidR="00284822" w14:paraId="365E22F9" w14:textId="77777777">
        <w:trPr>
          <w:trHeight w:val="610"/>
          <w:jc w:val="center"/>
        </w:trPr>
        <w:tc>
          <w:tcPr>
            <w:tcW w:w="1211" w:type="dxa"/>
            <w:shd w:val="clear" w:color="auto" w:fill="auto"/>
            <w:tcMar>
              <w:top w:w="0" w:type="dxa"/>
              <w:left w:w="108" w:type="dxa"/>
              <w:bottom w:w="0" w:type="dxa"/>
              <w:right w:w="108" w:type="dxa"/>
            </w:tcMar>
          </w:tcPr>
          <w:p w14:paraId="7007DF86" w14:textId="77777777" w:rsidR="00284822" w:rsidRDefault="00F77BF8">
            <w:pPr>
              <w:spacing w:before="120" w:after="120"/>
              <w:jc w:val="left"/>
              <w:rPr>
                <w:rFonts w:ascii="Rockwell" w:hAnsi="Rockwell"/>
                <w:szCs w:val="26"/>
              </w:rPr>
            </w:pPr>
            <w:r>
              <w:rPr>
                <w:rFonts w:ascii="Rockwell" w:hAnsi="Rockwell"/>
                <w:bCs/>
                <w:szCs w:val="26"/>
              </w:rPr>
              <w:t>10</w:t>
            </w:r>
            <w:r>
              <w:rPr>
                <w:rFonts w:ascii="Rockwell" w:hAnsi="Rockwell"/>
                <w:bCs/>
                <w:szCs w:val="26"/>
                <w:vertAlign w:val="superscript"/>
              </w:rPr>
              <w:t>e</w:t>
            </w:r>
          </w:p>
        </w:tc>
        <w:tc>
          <w:tcPr>
            <w:tcW w:w="2359" w:type="dxa"/>
            <w:shd w:val="clear" w:color="auto" w:fill="auto"/>
            <w:tcMar>
              <w:top w:w="0" w:type="dxa"/>
              <w:left w:w="108" w:type="dxa"/>
              <w:bottom w:w="0" w:type="dxa"/>
              <w:right w:w="108" w:type="dxa"/>
            </w:tcMar>
          </w:tcPr>
          <w:p w14:paraId="7917066C" w14:textId="77777777" w:rsidR="00284822" w:rsidRDefault="00F77BF8">
            <w:pPr>
              <w:spacing w:before="120" w:after="120"/>
              <w:jc w:val="center"/>
              <w:rPr>
                <w:rFonts w:ascii="Rockwell" w:hAnsi="Rockwell"/>
                <w:b/>
                <w:color w:val="000000"/>
                <w:szCs w:val="26"/>
              </w:rPr>
            </w:pPr>
            <w:r>
              <w:rPr>
                <w:rFonts w:ascii="Rockwell" w:hAnsi="Rockwell"/>
                <w:b/>
                <w:color w:val="000000"/>
                <w:szCs w:val="26"/>
              </w:rPr>
              <w:t>RPD</w:t>
            </w:r>
          </w:p>
        </w:tc>
        <w:tc>
          <w:tcPr>
            <w:tcW w:w="1470" w:type="dxa"/>
            <w:shd w:val="clear" w:color="auto" w:fill="auto"/>
            <w:tcMar>
              <w:top w:w="0" w:type="dxa"/>
              <w:left w:w="108" w:type="dxa"/>
              <w:bottom w:w="0" w:type="dxa"/>
              <w:right w:w="108" w:type="dxa"/>
            </w:tcMar>
          </w:tcPr>
          <w:p w14:paraId="035E490F" w14:textId="77777777" w:rsidR="00284822" w:rsidRDefault="00F77BF8">
            <w:pPr>
              <w:spacing w:before="120" w:after="120"/>
              <w:jc w:val="center"/>
              <w:rPr>
                <w:rFonts w:ascii="Rockwell" w:hAnsi="Rockwell"/>
                <w:color w:val="000000"/>
                <w:szCs w:val="26"/>
              </w:rPr>
            </w:pPr>
            <w:r>
              <w:rPr>
                <w:rFonts w:ascii="Rockwell" w:hAnsi="Rockwell"/>
                <w:color w:val="000000"/>
                <w:szCs w:val="26"/>
              </w:rPr>
              <w:t>1</w:t>
            </w:r>
          </w:p>
        </w:tc>
        <w:tc>
          <w:tcPr>
            <w:tcW w:w="1728" w:type="dxa"/>
            <w:shd w:val="clear" w:color="auto" w:fill="auto"/>
            <w:tcMar>
              <w:top w:w="0" w:type="dxa"/>
              <w:left w:w="108" w:type="dxa"/>
              <w:bottom w:w="0" w:type="dxa"/>
              <w:right w:w="108" w:type="dxa"/>
            </w:tcMar>
          </w:tcPr>
          <w:p w14:paraId="5325869C" w14:textId="77777777" w:rsidR="00284822" w:rsidRDefault="00F77BF8">
            <w:pPr>
              <w:spacing w:before="120" w:after="120"/>
              <w:jc w:val="center"/>
              <w:rPr>
                <w:rFonts w:ascii="Rockwell" w:hAnsi="Rockwell"/>
                <w:color w:val="000000"/>
                <w:szCs w:val="26"/>
              </w:rPr>
            </w:pPr>
            <w:r>
              <w:rPr>
                <w:rFonts w:ascii="Rockwell" w:hAnsi="Rockwell"/>
                <w:color w:val="000000"/>
                <w:szCs w:val="26"/>
              </w:rPr>
              <w:t>3,16%</w:t>
            </w:r>
          </w:p>
        </w:tc>
        <w:tc>
          <w:tcPr>
            <w:tcW w:w="1446" w:type="dxa"/>
            <w:shd w:val="clear" w:color="auto" w:fill="auto"/>
            <w:tcMar>
              <w:top w:w="0" w:type="dxa"/>
              <w:left w:w="108" w:type="dxa"/>
              <w:bottom w:w="0" w:type="dxa"/>
              <w:right w:w="108" w:type="dxa"/>
            </w:tcMar>
          </w:tcPr>
          <w:p w14:paraId="61A9F76B" w14:textId="77777777" w:rsidR="00284822" w:rsidRDefault="00F77BF8">
            <w:pPr>
              <w:spacing w:before="120" w:after="120"/>
              <w:jc w:val="center"/>
              <w:rPr>
                <w:rFonts w:ascii="Rockwell" w:hAnsi="Rockwell"/>
                <w:color w:val="000000"/>
                <w:szCs w:val="26"/>
              </w:rPr>
            </w:pPr>
            <w:r>
              <w:rPr>
                <w:rFonts w:ascii="Rockwell" w:hAnsi="Rockwell"/>
                <w:color w:val="000000"/>
                <w:szCs w:val="26"/>
              </w:rPr>
              <w:t>0</w:t>
            </w:r>
          </w:p>
        </w:tc>
        <w:tc>
          <w:tcPr>
            <w:tcW w:w="2413" w:type="dxa"/>
            <w:shd w:val="clear" w:color="auto" w:fill="auto"/>
            <w:tcMar>
              <w:top w:w="0" w:type="dxa"/>
              <w:left w:w="108" w:type="dxa"/>
              <w:bottom w:w="0" w:type="dxa"/>
              <w:right w:w="108" w:type="dxa"/>
            </w:tcMar>
          </w:tcPr>
          <w:p w14:paraId="5085C186" w14:textId="77777777" w:rsidR="00284822" w:rsidRDefault="00F77BF8">
            <w:pPr>
              <w:spacing w:before="120" w:after="120"/>
              <w:jc w:val="center"/>
              <w:rPr>
                <w:rFonts w:ascii="Rockwell" w:hAnsi="Rockwell"/>
                <w:color w:val="000000"/>
                <w:szCs w:val="26"/>
              </w:rPr>
            </w:pPr>
            <w:r>
              <w:rPr>
                <w:rFonts w:ascii="Rockwell" w:hAnsi="Rockwell"/>
                <w:color w:val="000000"/>
                <w:szCs w:val="26"/>
              </w:rPr>
              <w:t>0,00%</w:t>
            </w:r>
          </w:p>
        </w:tc>
      </w:tr>
    </w:tbl>
    <w:p w14:paraId="54707682" w14:textId="77777777" w:rsidR="00284822" w:rsidRDefault="00F77BF8">
      <w:pPr>
        <w:tabs>
          <w:tab w:val="left" w:pos="895"/>
        </w:tabs>
        <w:spacing w:before="120" w:after="120"/>
        <w:ind w:left="-709"/>
        <w:rPr>
          <w:rFonts w:ascii="Rockwell" w:hAnsi="Rockwell"/>
          <w:i/>
          <w:sz w:val="20"/>
          <w:szCs w:val="20"/>
        </w:rPr>
      </w:pPr>
      <w:r>
        <w:rPr>
          <w:rFonts w:ascii="Rockwell" w:hAnsi="Rockwell"/>
          <w:i/>
          <w:sz w:val="20"/>
          <w:szCs w:val="20"/>
          <w:u w:val="single"/>
        </w:rPr>
        <w:t>Source</w:t>
      </w:r>
      <w:r>
        <w:rPr>
          <w:rFonts w:ascii="Rockwell" w:hAnsi="Rockwell"/>
          <w:i/>
          <w:sz w:val="20"/>
          <w:szCs w:val="20"/>
        </w:rPr>
        <w:t> : Monitoring CSC</w:t>
      </w:r>
    </w:p>
    <w:p w14:paraId="76F2EF86" w14:textId="77777777" w:rsidR="00284822" w:rsidRDefault="00284822">
      <w:pPr>
        <w:tabs>
          <w:tab w:val="left" w:pos="895"/>
        </w:tabs>
        <w:spacing w:before="120" w:after="120"/>
        <w:ind w:left="-709"/>
        <w:rPr>
          <w:rFonts w:ascii="Rockwell" w:hAnsi="Rockwell"/>
          <w:i/>
          <w:sz w:val="20"/>
          <w:szCs w:val="20"/>
        </w:rPr>
        <w:sectPr w:rsidR="00284822">
          <w:pgSz w:w="11906" w:h="16838"/>
          <w:pgMar w:top="1418" w:right="1418" w:bottom="1418" w:left="1418" w:header="709" w:footer="709" w:gutter="0"/>
          <w:cols w:space="720"/>
        </w:sectPr>
      </w:pPr>
    </w:p>
    <w:p w14:paraId="21F06CAA" w14:textId="77777777" w:rsidR="00284822" w:rsidRDefault="00F77BF8">
      <w:pPr>
        <w:suppressAutoHyphens w:val="0"/>
        <w:autoSpaceDN/>
        <w:spacing w:before="120" w:after="120"/>
        <w:jc w:val="center"/>
        <w:textAlignment w:val="auto"/>
        <w:rPr>
          <w:rFonts w:ascii="Rockwell" w:eastAsia="Calibri" w:hAnsi="Rockwell"/>
          <w:i/>
          <w:sz w:val="20"/>
          <w:szCs w:val="20"/>
          <w:u w:val="single"/>
        </w:rPr>
      </w:pPr>
      <w:r>
        <w:rPr>
          <w:rFonts w:ascii="Rockwell" w:hAnsi="Rockwell"/>
          <w:i/>
          <w:sz w:val="20"/>
          <w:szCs w:val="20"/>
          <w:u w:val="single"/>
        </w:rPr>
        <w:lastRenderedPageBreak/>
        <w:t>Représentation graphique des NP et des NI obtenus par les dix premiers</w:t>
      </w:r>
    </w:p>
    <w:p w14:paraId="1F858BDA" w14:textId="77777777" w:rsidR="00284822" w:rsidRDefault="00F77BF8">
      <w:pPr>
        <w:tabs>
          <w:tab w:val="left" w:pos="1230"/>
        </w:tabs>
        <w:spacing w:before="120" w:after="120"/>
        <w:jc w:val="center"/>
        <w:rPr>
          <w:rFonts w:ascii="Rockwell" w:hAnsi="Rockwell"/>
          <w:i/>
          <w:sz w:val="20"/>
          <w:szCs w:val="20"/>
          <w:u w:val="single"/>
        </w:rPr>
      </w:pPr>
      <w:proofErr w:type="gramStart"/>
      <w:r>
        <w:rPr>
          <w:rFonts w:ascii="Rockwell" w:hAnsi="Rockwell"/>
          <w:i/>
          <w:sz w:val="20"/>
          <w:szCs w:val="20"/>
          <w:u w:val="single"/>
        </w:rPr>
        <w:t>partis</w:t>
      </w:r>
      <w:proofErr w:type="gramEnd"/>
      <w:r>
        <w:rPr>
          <w:rFonts w:ascii="Rockwell" w:hAnsi="Rockwell"/>
          <w:i/>
          <w:sz w:val="20"/>
          <w:szCs w:val="20"/>
          <w:u w:val="single"/>
        </w:rPr>
        <w:t xml:space="preserve"> politiques dans SIDWAYA</w:t>
      </w:r>
    </w:p>
    <w:p w14:paraId="6152F8B8" w14:textId="77777777" w:rsidR="00284822" w:rsidRDefault="00F77BF8">
      <w:pPr>
        <w:tabs>
          <w:tab w:val="left" w:pos="1230"/>
        </w:tabs>
        <w:spacing w:before="120" w:after="120"/>
        <w:jc w:val="center"/>
        <w:rPr>
          <w:rFonts w:ascii="Rockwell" w:hAnsi="Rockwell"/>
          <w:szCs w:val="26"/>
        </w:rPr>
      </w:pPr>
      <w:r>
        <w:rPr>
          <w:rFonts w:ascii="Rockwell" w:hAnsi="Rockwell"/>
          <w:noProof/>
          <w:szCs w:val="26"/>
        </w:rPr>
        <w:drawing>
          <wp:inline distT="0" distB="0" distL="0" distR="0" wp14:anchorId="0D3A13DA" wp14:editId="08185110">
            <wp:extent cx="5857875" cy="3275965"/>
            <wp:effectExtent l="0" t="0" r="0" b="0"/>
            <wp:docPr id="17" name="Graphique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471C9278" w14:textId="77777777" w:rsidR="00284822" w:rsidRDefault="00284822">
      <w:pPr>
        <w:tabs>
          <w:tab w:val="left" w:pos="1230"/>
        </w:tabs>
        <w:spacing w:before="120" w:after="120"/>
        <w:rPr>
          <w:rFonts w:ascii="Rockwell" w:hAnsi="Rockwell"/>
          <w:sz w:val="6"/>
          <w:szCs w:val="6"/>
        </w:rPr>
      </w:pPr>
    </w:p>
    <w:p w14:paraId="2E2BE774" w14:textId="77777777" w:rsidR="00284822" w:rsidRPr="000A1561" w:rsidRDefault="00F77BF8">
      <w:pPr>
        <w:pStyle w:val="Titre6"/>
        <w:numPr>
          <w:ilvl w:val="1"/>
          <w:numId w:val="15"/>
        </w:numPr>
        <w:jc w:val="both"/>
        <w:rPr>
          <w:rFonts w:ascii="Rockwell" w:hAnsi="Rockwell"/>
          <w:i w:val="0"/>
        </w:rPr>
      </w:pPr>
      <w:r w:rsidRPr="000A1561">
        <w:rPr>
          <w:rFonts w:ascii="Rockwell" w:hAnsi="Rockwell"/>
          <w:i w:val="0"/>
        </w:rPr>
        <w:t xml:space="preserve">L’Observateur </w:t>
      </w:r>
      <w:proofErr w:type="spellStart"/>
      <w:r w:rsidRPr="000A1561">
        <w:rPr>
          <w:rFonts w:ascii="Rockwell" w:hAnsi="Rockwell"/>
          <w:i w:val="0"/>
        </w:rPr>
        <w:t>Paalga</w:t>
      </w:r>
      <w:proofErr w:type="spellEnd"/>
    </w:p>
    <w:p w14:paraId="655B0928" w14:textId="77777777" w:rsidR="00284822" w:rsidRDefault="00F77BF8">
      <w:pPr>
        <w:tabs>
          <w:tab w:val="left" w:pos="10257"/>
        </w:tabs>
        <w:spacing w:before="120" w:after="120"/>
        <w:rPr>
          <w:rFonts w:ascii="Rockwell" w:hAnsi="Rockwell"/>
          <w:szCs w:val="26"/>
        </w:rPr>
      </w:pPr>
      <w:r>
        <w:rPr>
          <w:rFonts w:ascii="Rockwell" w:hAnsi="Rockwell"/>
          <w:szCs w:val="26"/>
        </w:rPr>
        <w:t xml:space="preserve">Vingt-six (26) partis politiques ont bénéficié de </w:t>
      </w:r>
      <w:r>
        <w:rPr>
          <w:rFonts w:ascii="Rockwell" w:hAnsi="Rockwell"/>
          <w:color w:val="000000"/>
          <w:szCs w:val="26"/>
        </w:rPr>
        <w:t xml:space="preserve">65 </w:t>
      </w:r>
      <w:r>
        <w:rPr>
          <w:rFonts w:ascii="Rockwell" w:hAnsi="Rockwell"/>
          <w:szCs w:val="26"/>
        </w:rPr>
        <w:t xml:space="preserve">pages </w:t>
      </w:r>
      <w:r>
        <w:rPr>
          <w:rFonts w:ascii="Rockwell" w:hAnsi="Rockwell"/>
          <w:color w:val="000000"/>
          <w:szCs w:val="26"/>
        </w:rPr>
        <w:t>1/6</w:t>
      </w:r>
      <w:r>
        <w:rPr>
          <w:rFonts w:ascii="Rockwell" w:hAnsi="Rockwell"/>
          <w:szCs w:val="26"/>
        </w:rPr>
        <w:t xml:space="preserve"> et </w:t>
      </w:r>
      <w:r>
        <w:rPr>
          <w:rFonts w:ascii="Rockwell" w:hAnsi="Rockwell"/>
          <w:color w:val="000000"/>
          <w:szCs w:val="26"/>
        </w:rPr>
        <w:t>116</w:t>
      </w:r>
      <w:r>
        <w:rPr>
          <w:rFonts w:ascii="Rockwell" w:hAnsi="Rockwell"/>
          <w:szCs w:val="26"/>
        </w:rPr>
        <w:t xml:space="preserve"> illustrations du quotidien d’information </w:t>
      </w:r>
      <w:r>
        <w:rPr>
          <w:rFonts w:ascii="Rockwell" w:hAnsi="Rockwell"/>
          <w:bCs/>
          <w:i/>
          <w:color w:val="000000"/>
          <w:szCs w:val="26"/>
        </w:rPr>
        <w:t xml:space="preserve">L'Observateur </w:t>
      </w:r>
      <w:proofErr w:type="spellStart"/>
      <w:r>
        <w:rPr>
          <w:rFonts w:ascii="Rockwell" w:hAnsi="Rockwell"/>
          <w:bCs/>
          <w:i/>
          <w:color w:val="000000"/>
          <w:szCs w:val="26"/>
        </w:rPr>
        <w:t>Paalga</w:t>
      </w:r>
      <w:proofErr w:type="spellEnd"/>
      <w:r>
        <w:rPr>
          <w:rFonts w:ascii="Rockwell" w:hAnsi="Rockwell"/>
          <w:szCs w:val="26"/>
        </w:rPr>
        <w:t xml:space="preserve">. Le tableau suivant présente le classement des 10 premiers partis politiques. </w:t>
      </w:r>
    </w:p>
    <w:p w14:paraId="707B3053" w14:textId="77777777" w:rsidR="00284822" w:rsidRDefault="00284822">
      <w:pPr>
        <w:tabs>
          <w:tab w:val="left" w:pos="10257"/>
        </w:tabs>
        <w:spacing w:before="120" w:after="120"/>
        <w:rPr>
          <w:rFonts w:ascii="Rockwell" w:hAnsi="Rockwell"/>
          <w:szCs w:val="26"/>
        </w:rPr>
      </w:pPr>
    </w:p>
    <w:p w14:paraId="40F9D677" w14:textId="77777777" w:rsidR="00284822" w:rsidRDefault="00284822">
      <w:pPr>
        <w:tabs>
          <w:tab w:val="left" w:pos="10257"/>
        </w:tabs>
        <w:spacing w:before="120" w:after="120"/>
        <w:rPr>
          <w:rFonts w:ascii="Rockwell" w:hAnsi="Rockwell"/>
          <w:szCs w:val="26"/>
        </w:rPr>
      </w:pPr>
    </w:p>
    <w:p w14:paraId="4BA565E0" w14:textId="77777777" w:rsidR="00284822" w:rsidRDefault="00284822">
      <w:pPr>
        <w:tabs>
          <w:tab w:val="left" w:pos="10257"/>
        </w:tabs>
        <w:spacing w:before="120" w:after="120"/>
        <w:rPr>
          <w:rFonts w:ascii="Rockwell" w:hAnsi="Rockwell"/>
          <w:szCs w:val="26"/>
        </w:rPr>
      </w:pPr>
    </w:p>
    <w:p w14:paraId="234229A1" w14:textId="77777777" w:rsidR="00284822" w:rsidRDefault="00284822">
      <w:pPr>
        <w:tabs>
          <w:tab w:val="left" w:pos="10257"/>
        </w:tabs>
        <w:spacing w:before="120" w:after="120"/>
        <w:rPr>
          <w:rFonts w:ascii="Rockwell" w:hAnsi="Rockwell"/>
          <w:szCs w:val="26"/>
        </w:rPr>
      </w:pPr>
    </w:p>
    <w:p w14:paraId="3C43C481" w14:textId="77777777" w:rsidR="00284822" w:rsidRDefault="00284822">
      <w:pPr>
        <w:tabs>
          <w:tab w:val="left" w:pos="10257"/>
        </w:tabs>
        <w:spacing w:before="120" w:after="120"/>
        <w:rPr>
          <w:rFonts w:ascii="Rockwell" w:hAnsi="Rockwell"/>
          <w:szCs w:val="26"/>
        </w:rPr>
      </w:pPr>
    </w:p>
    <w:p w14:paraId="0ED6597D" w14:textId="77777777" w:rsidR="00284822" w:rsidRDefault="00284822">
      <w:pPr>
        <w:tabs>
          <w:tab w:val="left" w:pos="10257"/>
        </w:tabs>
        <w:spacing w:before="120" w:after="120"/>
        <w:rPr>
          <w:rFonts w:ascii="Rockwell" w:hAnsi="Rockwell"/>
          <w:szCs w:val="26"/>
        </w:rPr>
      </w:pPr>
    </w:p>
    <w:p w14:paraId="09F024EB" w14:textId="77777777" w:rsidR="00284822" w:rsidRDefault="00284822">
      <w:pPr>
        <w:tabs>
          <w:tab w:val="left" w:pos="10257"/>
        </w:tabs>
        <w:spacing w:before="120" w:after="120"/>
        <w:rPr>
          <w:rFonts w:ascii="Rockwell" w:hAnsi="Rockwell"/>
          <w:szCs w:val="26"/>
        </w:rPr>
        <w:sectPr w:rsidR="00284822">
          <w:pgSz w:w="11906" w:h="16838"/>
          <w:pgMar w:top="1418" w:right="1418" w:bottom="1418" w:left="1418" w:header="709" w:footer="709" w:gutter="0"/>
          <w:cols w:space="720"/>
        </w:sectPr>
      </w:pPr>
    </w:p>
    <w:p w14:paraId="5BCBAA87" w14:textId="77777777" w:rsidR="00284822" w:rsidRDefault="00F77BF8">
      <w:pPr>
        <w:suppressAutoHyphens w:val="0"/>
        <w:autoSpaceDN/>
        <w:spacing w:before="120" w:after="120"/>
        <w:jc w:val="center"/>
        <w:textAlignment w:val="auto"/>
        <w:rPr>
          <w:rFonts w:ascii="Rockwell" w:hAnsi="Rockwell"/>
          <w:i/>
          <w:sz w:val="20"/>
          <w:szCs w:val="20"/>
        </w:rPr>
      </w:pPr>
      <w:r>
        <w:rPr>
          <w:rFonts w:ascii="Rockwell" w:eastAsia="Calibri" w:hAnsi="Rockwell"/>
          <w:b/>
          <w:sz w:val="20"/>
          <w:szCs w:val="20"/>
          <w:u w:val="single"/>
        </w:rPr>
        <w:lastRenderedPageBreak/>
        <w:t>Tableau 3</w:t>
      </w:r>
      <w:r>
        <w:rPr>
          <w:rFonts w:ascii="Rockwell" w:eastAsia="Calibri" w:hAnsi="Rockwell"/>
          <w:b/>
          <w:sz w:val="20"/>
          <w:szCs w:val="20"/>
        </w:rPr>
        <w:t xml:space="preserve"> : </w:t>
      </w:r>
      <w:r>
        <w:rPr>
          <w:rFonts w:ascii="Rockwell" w:hAnsi="Rockwell"/>
          <w:i/>
          <w:sz w:val="20"/>
          <w:szCs w:val="20"/>
        </w:rPr>
        <w:t>Classement des dix premiers partis politiques selon le NP et le NI</w:t>
      </w:r>
      <w:r>
        <w:rPr>
          <w:rFonts w:ascii="Rockwell" w:eastAsia="Calibri" w:hAnsi="Rockwell"/>
          <w:i/>
          <w:sz w:val="20"/>
          <w:szCs w:val="20"/>
        </w:rPr>
        <w:t xml:space="preserve"> </w:t>
      </w:r>
      <w:r>
        <w:rPr>
          <w:rFonts w:ascii="Rockwell" w:hAnsi="Rockwell"/>
          <w:i/>
          <w:sz w:val="20"/>
          <w:szCs w:val="20"/>
        </w:rPr>
        <w:t xml:space="preserve">publiés </w:t>
      </w:r>
    </w:p>
    <w:p w14:paraId="6F7E0FA6" w14:textId="77777777" w:rsidR="00284822" w:rsidRDefault="00F77BF8">
      <w:pPr>
        <w:suppressAutoHyphens w:val="0"/>
        <w:autoSpaceDN/>
        <w:spacing w:before="120" w:after="120"/>
        <w:jc w:val="center"/>
        <w:textAlignment w:val="auto"/>
        <w:rPr>
          <w:rFonts w:ascii="Rockwell" w:eastAsia="Calibri" w:hAnsi="Rockwell"/>
          <w:i/>
          <w:sz w:val="20"/>
          <w:szCs w:val="20"/>
        </w:rPr>
      </w:pPr>
      <w:proofErr w:type="gramStart"/>
      <w:r>
        <w:rPr>
          <w:rFonts w:ascii="Rockwell" w:hAnsi="Rockwell"/>
          <w:i/>
          <w:sz w:val="20"/>
          <w:szCs w:val="20"/>
        </w:rPr>
        <w:t>dans</w:t>
      </w:r>
      <w:proofErr w:type="gramEnd"/>
      <w:r>
        <w:rPr>
          <w:rFonts w:ascii="Rockwell" w:hAnsi="Rockwell"/>
          <w:i/>
          <w:sz w:val="20"/>
          <w:szCs w:val="20"/>
        </w:rPr>
        <w:t xml:space="preserve"> L’Observateur -</w:t>
      </w:r>
      <w:proofErr w:type="spellStart"/>
      <w:r>
        <w:rPr>
          <w:rFonts w:ascii="Rockwell" w:hAnsi="Rockwell"/>
          <w:i/>
          <w:sz w:val="20"/>
          <w:szCs w:val="20"/>
        </w:rPr>
        <w:t>Paalga</w:t>
      </w:r>
      <w:proofErr w:type="spellEnd"/>
    </w:p>
    <w:tbl>
      <w:tblPr>
        <w:tblW w:w="53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87"/>
        <w:gridCol w:w="3377"/>
        <w:gridCol w:w="1442"/>
        <w:gridCol w:w="1276"/>
        <w:gridCol w:w="1701"/>
        <w:gridCol w:w="1701"/>
      </w:tblGrid>
      <w:tr w:rsidR="00284822" w14:paraId="6049D556" w14:textId="77777777">
        <w:trPr>
          <w:trHeight w:val="609"/>
          <w:jc w:val="center"/>
        </w:trPr>
        <w:tc>
          <w:tcPr>
            <w:tcW w:w="10485" w:type="dxa"/>
            <w:gridSpan w:val="6"/>
            <w:shd w:val="clear" w:color="auto" w:fill="auto"/>
            <w:tcMar>
              <w:top w:w="0" w:type="dxa"/>
              <w:left w:w="108" w:type="dxa"/>
              <w:bottom w:w="0" w:type="dxa"/>
              <w:right w:w="108" w:type="dxa"/>
            </w:tcMar>
            <w:vAlign w:val="center"/>
          </w:tcPr>
          <w:p w14:paraId="522B402D" w14:textId="77777777" w:rsidR="00284822" w:rsidRDefault="00F77BF8">
            <w:pPr>
              <w:spacing w:before="120" w:after="120"/>
              <w:jc w:val="center"/>
              <w:rPr>
                <w:rFonts w:ascii="Rockwell" w:hAnsi="Rockwell"/>
                <w:b/>
                <w:bCs/>
                <w:color w:val="000000"/>
                <w:szCs w:val="26"/>
              </w:rPr>
            </w:pPr>
            <w:r>
              <w:rPr>
                <w:rFonts w:ascii="Rockwell" w:hAnsi="Rockwell"/>
                <w:b/>
                <w:bCs/>
                <w:color w:val="000000"/>
                <w:szCs w:val="26"/>
              </w:rPr>
              <w:t>L'OBSERVATEUR PAALGA</w:t>
            </w:r>
          </w:p>
        </w:tc>
      </w:tr>
      <w:tr w:rsidR="00284822" w14:paraId="2D620E44" w14:textId="77777777">
        <w:trPr>
          <w:trHeight w:val="609"/>
          <w:jc w:val="center"/>
        </w:trPr>
        <w:tc>
          <w:tcPr>
            <w:tcW w:w="988" w:type="dxa"/>
            <w:shd w:val="clear" w:color="auto" w:fill="auto"/>
            <w:tcMar>
              <w:top w:w="0" w:type="dxa"/>
              <w:left w:w="108" w:type="dxa"/>
              <w:bottom w:w="0" w:type="dxa"/>
              <w:right w:w="108" w:type="dxa"/>
            </w:tcMar>
            <w:vAlign w:val="center"/>
          </w:tcPr>
          <w:p w14:paraId="0B8A4007" w14:textId="77777777" w:rsidR="00284822" w:rsidRDefault="00F77BF8">
            <w:pPr>
              <w:spacing w:before="120" w:after="120"/>
              <w:jc w:val="left"/>
              <w:rPr>
                <w:rFonts w:ascii="Rockwell" w:hAnsi="Rockwell"/>
                <w:b/>
                <w:bCs/>
                <w:color w:val="000000"/>
                <w:szCs w:val="26"/>
              </w:rPr>
            </w:pPr>
            <w:r>
              <w:rPr>
                <w:rFonts w:ascii="Rockwell" w:hAnsi="Rockwell"/>
                <w:b/>
                <w:bCs/>
                <w:color w:val="000000"/>
                <w:szCs w:val="26"/>
              </w:rPr>
              <w:t>RANG</w:t>
            </w:r>
          </w:p>
        </w:tc>
        <w:tc>
          <w:tcPr>
            <w:tcW w:w="3377" w:type="dxa"/>
            <w:shd w:val="clear" w:color="auto" w:fill="auto"/>
            <w:tcMar>
              <w:top w:w="0" w:type="dxa"/>
              <w:left w:w="108" w:type="dxa"/>
              <w:bottom w:w="0" w:type="dxa"/>
              <w:right w:w="108" w:type="dxa"/>
            </w:tcMar>
            <w:vAlign w:val="center"/>
          </w:tcPr>
          <w:p w14:paraId="51C702B7" w14:textId="77777777" w:rsidR="00284822" w:rsidRDefault="00F77BF8">
            <w:pPr>
              <w:spacing w:before="120" w:after="120"/>
              <w:jc w:val="left"/>
              <w:rPr>
                <w:rFonts w:ascii="Rockwell" w:hAnsi="Rockwell"/>
                <w:szCs w:val="26"/>
              </w:rPr>
            </w:pPr>
            <w:r>
              <w:rPr>
                <w:rFonts w:ascii="Rockwell" w:hAnsi="Rockwell"/>
                <w:b/>
                <w:bCs/>
                <w:color w:val="000000"/>
                <w:szCs w:val="26"/>
              </w:rPr>
              <w:t>ACTEURS POLITIQUES</w:t>
            </w:r>
          </w:p>
        </w:tc>
        <w:tc>
          <w:tcPr>
            <w:tcW w:w="1442" w:type="dxa"/>
            <w:shd w:val="clear" w:color="auto" w:fill="auto"/>
            <w:tcMar>
              <w:top w:w="0" w:type="dxa"/>
              <w:left w:w="108" w:type="dxa"/>
              <w:bottom w:w="0" w:type="dxa"/>
              <w:right w:w="108" w:type="dxa"/>
            </w:tcMar>
            <w:vAlign w:val="center"/>
          </w:tcPr>
          <w:p w14:paraId="5AC00CD5" w14:textId="77777777" w:rsidR="00284822" w:rsidRDefault="00F77BF8">
            <w:pPr>
              <w:spacing w:before="120" w:after="120"/>
              <w:jc w:val="left"/>
              <w:rPr>
                <w:rFonts w:ascii="Rockwell" w:hAnsi="Rockwell"/>
                <w:b/>
                <w:color w:val="000000"/>
                <w:szCs w:val="26"/>
              </w:rPr>
            </w:pPr>
            <w:r>
              <w:rPr>
                <w:rFonts w:ascii="Rockwell" w:hAnsi="Rockwell"/>
                <w:b/>
                <w:color w:val="000000"/>
                <w:szCs w:val="26"/>
              </w:rPr>
              <w:t>NP</w:t>
            </w:r>
          </w:p>
        </w:tc>
        <w:tc>
          <w:tcPr>
            <w:tcW w:w="1276" w:type="dxa"/>
            <w:shd w:val="clear" w:color="auto" w:fill="auto"/>
            <w:tcMar>
              <w:top w:w="0" w:type="dxa"/>
              <w:left w:w="108" w:type="dxa"/>
              <w:bottom w:w="0" w:type="dxa"/>
              <w:right w:w="108" w:type="dxa"/>
            </w:tcMar>
            <w:vAlign w:val="center"/>
          </w:tcPr>
          <w:p w14:paraId="14B925DE" w14:textId="77777777" w:rsidR="00284822" w:rsidRDefault="00F77BF8">
            <w:pPr>
              <w:spacing w:before="120" w:after="120"/>
              <w:jc w:val="left"/>
              <w:rPr>
                <w:rFonts w:ascii="Rockwell" w:hAnsi="Rockwell"/>
                <w:b/>
                <w:color w:val="000000"/>
                <w:szCs w:val="26"/>
              </w:rPr>
            </w:pPr>
            <w:r>
              <w:rPr>
                <w:rFonts w:ascii="Rockwell" w:hAnsi="Rockwell"/>
                <w:b/>
                <w:color w:val="000000"/>
                <w:szCs w:val="26"/>
              </w:rPr>
              <w:t>% NP</w:t>
            </w:r>
          </w:p>
        </w:tc>
        <w:tc>
          <w:tcPr>
            <w:tcW w:w="1701" w:type="dxa"/>
            <w:shd w:val="clear" w:color="auto" w:fill="auto"/>
            <w:tcMar>
              <w:top w:w="0" w:type="dxa"/>
              <w:left w:w="108" w:type="dxa"/>
              <w:bottom w:w="0" w:type="dxa"/>
              <w:right w:w="108" w:type="dxa"/>
            </w:tcMar>
            <w:vAlign w:val="center"/>
          </w:tcPr>
          <w:p w14:paraId="1DEE6B00" w14:textId="77777777" w:rsidR="00284822" w:rsidRDefault="00F77BF8">
            <w:pPr>
              <w:spacing w:before="120" w:after="120"/>
              <w:jc w:val="left"/>
              <w:rPr>
                <w:rFonts w:ascii="Rockwell" w:hAnsi="Rockwell"/>
                <w:b/>
                <w:color w:val="000000"/>
                <w:szCs w:val="26"/>
              </w:rPr>
            </w:pPr>
            <w:r>
              <w:rPr>
                <w:rFonts w:ascii="Rockwell" w:hAnsi="Rockwell"/>
                <w:b/>
                <w:color w:val="000000"/>
                <w:szCs w:val="26"/>
              </w:rPr>
              <w:t>NI</w:t>
            </w:r>
          </w:p>
        </w:tc>
        <w:tc>
          <w:tcPr>
            <w:tcW w:w="1701" w:type="dxa"/>
            <w:shd w:val="clear" w:color="auto" w:fill="auto"/>
            <w:tcMar>
              <w:top w:w="0" w:type="dxa"/>
              <w:left w:w="108" w:type="dxa"/>
              <w:bottom w:w="0" w:type="dxa"/>
              <w:right w:w="108" w:type="dxa"/>
            </w:tcMar>
            <w:vAlign w:val="center"/>
          </w:tcPr>
          <w:p w14:paraId="5E8B9F10" w14:textId="77777777" w:rsidR="00284822" w:rsidRDefault="00F77BF8">
            <w:pPr>
              <w:spacing w:before="120" w:after="120"/>
              <w:jc w:val="left"/>
              <w:rPr>
                <w:rFonts w:ascii="Rockwell" w:hAnsi="Rockwell"/>
                <w:b/>
                <w:color w:val="000000"/>
                <w:szCs w:val="26"/>
              </w:rPr>
            </w:pPr>
            <w:r>
              <w:rPr>
                <w:rFonts w:ascii="Rockwell" w:hAnsi="Rockwell"/>
                <w:b/>
                <w:color w:val="000000"/>
                <w:szCs w:val="26"/>
              </w:rPr>
              <w:t>% NI</w:t>
            </w:r>
          </w:p>
        </w:tc>
      </w:tr>
      <w:tr w:rsidR="00284822" w14:paraId="56CC810E" w14:textId="77777777">
        <w:trPr>
          <w:trHeight w:val="609"/>
          <w:jc w:val="center"/>
        </w:trPr>
        <w:tc>
          <w:tcPr>
            <w:tcW w:w="988" w:type="dxa"/>
            <w:shd w:val="clear" w:color="auto" w:fill="auto"/>
            <w:tcMar>
              <w:top w:w="0" w:type="dxa"/>
              <w:left w:w="108" w:type="dxa"/>
              <w:bottom w:w="0" w:type="dxa"/>
              <w:right w:w="108" w:type="dxa"/>
            </w:tcMar>
            <w:vAlign w:val="center"/>
          </w:tcPr>
          <w:p w14:paraId="25CA1E4C" w14:textId="77777777" w:rsidR="00284822" w:rsidRDefault="00F77BF8">
            <w:pPr>
              <w:spacing w:before="120" w:after="120"/>
              <w:jc w:val="left"/>
              <w:rPr>
                <w:rFonts w:ascii="Rockwell" w:hAnsi="Rockwell"/>
                <w:szCs w:val="26"/>
              </w:rPr>
            </w:pPr>
            <w:r>
              <w:rPr>
                <w:rFonts w:ascii="Rockwell" w:hAnsi="Rockwell"/>
                <w:bCs/>
                <w:szCs w:val="26"/>
              </w:rPr>
              <w:t>1</w:t>
            </w:r>
            <w:r>
              <w:rPr>
                <w:rFonts w:ascii="Rockwell" w:hAnsi="Rockwell"/>
                <w:bCs/>
                <w:szCs w:val="26"/>
                <w:vertAlign w:val="superscript"/>
              </w:rPr>
              <w:t>er</w:t>
            </w:r>
          </w:p>
        </w:tc>
        <w:tc>
          <w:tcPr>
            <w:tcW w:w="3377" w:type="dxa"/>
            <w:shd w:val="clear" w:color="auto" w:fill="auto"/>
            <w:tcMar>
              <w:top w:w="0" w:type="dxa"/>
              <w:left w:w="108" w:type="dxa"/>
              <w:bottom w:w="0" w:type="dxa"/>
              <w:right w:w="108" w:type="dxa"/>
            </w:tcMar>
            <w:vAlign w:val="center"/>
          </w:tcPr>
          <w:p w14:paraId="55F90A0C" w14:textId="77777777" w:rsidR="00284822" w:rsidRDefault="00F77BF8">
            <w:pPr>
              <w:spacing w:before="120" w:after="120"/>
              <w:jc w:val="left"/>
              <w:rPr>
                <w:rFonts w:ascii="Rockwell" w:hAnsi="Rockwell"/>
                <w:b/>
                <w:color w:val="000000"/>
                <w:szCs w:val="26"/>
              </w:rPr>
            </w:pPr>
            <w:r>
              <w:rPr>
                <w:rFonts w:ascii="Rockwell" w:hAnsi="Rockwell"/>
                <w:b/>
                <w:color w:val="000000"/>
                <w:szCs w:val="26"/>
              </w:rPr>
              <w:t>CDP</w:t>
            </w:r>
          </w:p>
        </w:tc>
        <w:tc>
          <w:tcPr>
            <w:tcW w:w="1442" w:type="dxa"/>
            <w:shd w:val="clear" w:color="auto" w:fill="auto"/>
            <w:tcMar>
              <w:top w:w="0" w:type="dxa"/>
              <w:left w:w="108" w:type="dxa"/>
              <w:bottom w:w="0" w:type="dxa"/>
              <w:right w:w="108" w:type="dxa"/>
            </w:tcMar>
            <w:vAlign w:val="center"/>
          </w:tcPr>
          <w:p w14:paraId="4E03504A" w14:textId="77777777" w:rsidR="00284822" w:rsidRDefault="00F77BF8">
            <w:pPr>
              <w:spacing w:before="120" w:after="120"/>
              <w:jc w:val="left"/>
              <w:rPr>
                <w:rFonts w:ascii="Rockwell" w:hAnsi="Rockwell"/>
                <w:color w:val="000000"/>
                <w:szCs w:val="26"/>
              </w:rPr>
            </w:pPr>
            <w:r>
              <w:rPr>
                <w:rFonts w:ascii="Rockwell" w:hAnsi="Rockwell"/>
                <w:color w:val="000000"/>
                <w:szCs w:val="26"/>
              </w:rPr>
              <w:t xml:space="preserve">16 </w:t>
            </w:r>
            <w:proofErr w:type="gramStart"/>
            <w:r>
              <w:rPr>
                <w:rFonts w:ascii="Rockwell" w:hAnsi="Rockwell"/>
                <w:color w:val="000000"/>
                <w:szCs w:val="26"/>
              </w:rPr>
              <w:t>et  1</w:t>
            </w:r>
            <w:proofErr w:type="gramEnd"/>
            <w:r>
              <w:rPr>
                <w:rFonts w:ascii="Rockwell" w:hAnsi="Rockwell"/>
                <w:color w:val="000000"/>
                <w:szCs w:val="26"/>
              </w:rPr>
              <w:t>/2</w:t>
            </w:r>
          </w:p>
        </w:tc>
        <w:tc>
          <w:tcPr>
            <w:tcW w:w="1276" w:type="dxa"/>
            <w:shd w:val="clear" w:color="auto" w:fill="auto"/>
            <w:tcMar>
              <w:top w:w="0" w:type="dxa"/>
              <w:left w:w="108" w:type="dxa"/>
              <w:bottom w:w="0" w:type="dxa"/>
              <w:right w:w="108" w:type="dxa"/>
            </w:tcMar>
            <w:vAlign w:val="center"/>
          </w:tcPr>
          <w:p w14:paraId="702C103B" w14:textId="77777777" w:rsidR="00284822" w:rsidRDefault="00F77BF8">
            <w:pPr>
              <w:spacing w:before="120" w:after="120"/>
              <w:jc w:val="left"/>
              <w:rPr>
                <w:rFonts w:ascii="Rockwell" w:hAnsi="Rockwell"/>
                <w:color w:val="000000"/>
                <w:szCs w:val="26"/>
              </w:rPr>
            </w:pPr>
            <w:r>
              <w:rPr>
                <w:rFonts w:ascii="Rockwell" w:hAnsi="Rockwell"/>
                <w:color w:val="000000"/>
                <w:szCs w:val="26"/>
              </w:rPr>
              <w:t>25,32%</w:t>
            </w:r>
          </w:p>
        </w:tc>
        <w:tc>
          <w:tcPr>
            <w:tcW w:w="1701" w:type="dxa"/>
            <w:shd w:val="clear" w:color="auto" w:fill="auto"/>
            <w:tcMar>
              <w:top w:w="0" w:type="dxa"/>
              <w:left w:w="108" w:type="dxa"/>
              <w:bottom w:w="0" w:type="dxa"/>
              <w:right w:w="108" w:type="dxa"/>
            </w:tcMar>
            <w:vAlign w:val="center"/>
          </w:tcPr>
          <w:p w14:paraId="6577901B" w14:textId="77777777" w:rsidR="00284822" w:rsidRDefault="00F77BF8">
            <w:pPr>
              <w:spacing w:before="120" w:after="120"/>
              <w:jc w:val="left"/>
              <w:rPr>
                <w:rFonts w:ascii="Rockwell" w:hAnsi="Rockwell"/>
                <w:color w:val="000000"/>
                <w:szCs w:val="26"/>
              </w:rPr>
            </w:pPr>
            <w:r>
              <w:rPr>
                <w:rFonts w:ascii="Rockwell" w:hAnsi="Rockwell"/>
                <w:color w:val="000000"/>
                <w:szCs w:val="26"/>
              </w:rPr>
              <w:t>21</w:t>
            </w:r>
          </w:p>
        </w:tc>
        <w:tc>
          <w:tcPr>
            <w:tcW w:w="1701" w:type="dxa"/>
            <w:shd w:val="clear" w:color="auto" w:fill="auto"/>
            <w:tcMar>
              <w:top w:w="0" w:type="dxa"/>
              <w:left w:w="108" w:type="dxa"/>
              <w:bottom w:w="0" w:type="dxa"/>
              <w:right w:w="108" w:type="dxa"/>
            </w:tcMar>
            <w:vAlign w:val="center"/>
          </w:tcPr>
          <w:p w14:paraId="36E05292" w14:textId="77777777" w:rsidR="00284822" w:rsidRDefault="00F77BF8">
            <w:pPr>
              <w:spacing w:before="120" w:after="120"/>
              <w:jc w:val="left"/>
              <w:rPr>
                <w:rFonts w:ascii="Rockwell" w:hAnsi="Rockwell"/>
                <w:color w:val="000000"/>
                <w:szCs w:val="26"/>
              </w:rPr>
            </w:pPr>
            <w:r>
              <w:rPr>
                <w:rFonts w:ascii="Rockwell" w:hAnsi="Rockwell"/>
                <w:color w:val="000000"/>
                <w:szCs w:val="26"/>
              </w:rPr>
              <w:t>18,10%</w:t>
            </w:r>
          </w:p>
        </w:tc>
      </w:tr>
      <w:tr w:rsidR="00284822" w14:paraId="285ABE86" w14:textId="77777777">
        <w:trPr>
          <w:trHeight w:val="609"/>
          <w:jc w:val="center"/>
        </w:trPr>
        <w:tc>
          <w:tcPr>
            <w:tcW w:w="988" w:type="dxa"/>
            <w:shd w:val="clear" w:color="auto" w:fill="auto"/>
            <w:tcMar>
              <w:top w:w="0" w:type="dxa"/>
              <w:left w:w="108" w:type="dxa"/>
              <w:bottom w:w="0" w:type="dxa"/>
              <w:right w:w="108" w:type="dxa"/>
            </w:tcMar>
            <w:vAlign w:val="center"/>
          </w:tcPr>
          <w:p w14:paraId="7E7FE401" w14:textId="77777777" w:rsidR="00284822" w:rsidRDefault="00F77BF8">
            <w:pPr>
              <w:spacing w:before="120" w:after="120"/>
              <w:jc w:val="left"/>
              <w:rPr>
                <w:rFonts w:ascii="Rockwell" w:hAnsi="Rockwell"/>
                <w:szCs w:val="26"/>
              </w:rPr>
            </w:pPr>
            <w:r>
              <w:rPr>
                <w:rFonts w:ascii="Rockwell" w:hAnsi="Rockwell"/>
                <w:bCs/>
                <w:szCs w:val="26"/>
              </w:rPr>
              <w:t>2</w:t>
            </w:r>
            <w:r>
              <w:rPr>
                <w:rFonts w:ascii="Rockwell" w:hAnsi="Rockwell"/>
                <w:bCs/>
                <w:szCs w:val="26"/>
                <w:vertAlign w:val="superscript"/>
              </w:rPr>
              <w:t>e</w:t>
            </w:r>
          </w:p>
        </w:tc>
        <w:tc>
          <w:tcPr>
            <w:tcW w:w="3377" w:type="dxa"/>
            <w:shd w:val="clear" w:color="auto" w:fill="auto"/>
            <w:tcMar>
              <w:top w:w="0" w:type="dxa"/>
              <w:left w:w="108" w:type="dxa"/>
              <w:bottom w:w="0" w:type="dxa"/>
              <w:right w:w="108" w:type="dxa"/>
            </w:tcMar>
            <w:vAlign w:val="center"/>
          </w:tcPr>
          <w:p w14:paraId="0B5AE61D" w14:textId="77777777" w:rsidR="00284822" w:rsidRDefault="00F77BF8">
            <w:pPr>
              <w:spacing w:before="120" w:after="120"/>
              <w:jc w:val="left"/>
              <w:rPr>
                <w:rFonts w:ascii="Rockwell" w:hAnsi="Rockwell"/>
                <w:b/>
                <w:color w:val="000000"/>
                <w:szCs w:val="26"/>
              </w:rPr>
            </w:pPr>
            <w:r>
              <w:rPr>
                <w:rFonts w:ascii="Rockwell" w:hAnsi="Rockwell"/>
                <w:b/>
                <w:color w:val="000000"/>
                <w:szCs w:val="26"/>
              </w:rPr>
              <w:t>MPP</w:t>
            </w:r>
          </w:p>
        </w:tc>
        <w:tc>
          <w:tcPr>
            <w:tcW w:w="1442" w:type="dxa"/>
            <w:shd w:val="clear" w:color="auto" w:fill="auto"/>
            <w:tcMar>
              <w:top w:w="0" w:type="dxa"/>
              <w:left w:w="108" w:type="dxa"/>
              <w:bottom w:w="0" w:type="dxa"/>
              <w:right w:w="108" w:type="dxa"/>
            </w:tcMar>
            <w:vAlign w:val="center"/>
          </w:tcPr>
          <w:p w14:paraId="393AA1CE" w14:textId="77777777" w:rsidR="00284822" w:rsidRDefault="00F77BF8">
            <w:pPr>
              <w:spacing w:before="120" w:after="120"/>
              <w:jc w:val="left"/>
              <w:rPr>
                <w:rFonts w:ascii="Rockwell" w:hAnsi="Rockwell"/>
                <w:color w:val="000000"/>
                <w:szCs w:val="26"/>
              </w:rPr>
            </w:pPr>
            <w:r>
              <w:rPr>
                <w:rFonts w:ascii="Rockwell" w:hAnsi="Rockwell"/>
                <w:color w:val="000000"/>
                <w:szCs w:val="26"/>
              </w:rPr>
              <w:t>14 et 1/3</w:t>
            </w:r>
          </w:p>
        </w:tc>
        <w:tc>
          <w:tcPr>
            <w:tcW w:w="1276" w:type="dxa"/>
            <w:shd w:val="clear" w:color="auto" w:fill="auto"/>
            <w:tcMar>
              <w:top w:w="0" w:type="dxa"/>
              <w:left w:w="108" w:type="dxa"/>
              <w:bottom w:w="0" w:type="dxa"/>
              <w:right w:w="108" w:type="dxa"/>
            </w:tcMar>
            <w:vAlign w:val="center"/>
          </w:tcPr>
          <w:p w14:paraId="195E2951" w14:textId="77777777" w:rsidR="00284822" w:rsidRDefault="00F77BF8">
            <w:pPr>
              <w:spacing w:before="120" w:after="120"/>
              <w:jc w:val="left"/>
              <w:rPr>
                <w:rFonts w:ascii="Rockwell" w:hAnsi="Rockwell"/>
                <w:color w:val="000000"/>
                <w:szCs w:val="26"/>
              </w:rPr>
            </w:pPr>
            <w:r>
              <w:rPr>
                <w:rFonts w:ascii="Rockwell" w:hAnsi="Rockwell"/>
                <w:color w:val="000000"/>
                <w:szCs w:val="26"/>
              </w:rPr>
              <w:t>21,99%</w:t>
            </w:r>
          </w:p>
        </w:tc>
        <w:tc>
          <w:tcPr>
            <w:tcW w:w="1701" w:type="dxa"/>
            <w:shd w:val="clear" w:color="auto" w:fill="auto"/>
            <w:tcMar>
              <w:top w:w="0" w:type="dxa"/>
              <w:left w:w="108" w:type="dxa"/>
              <w:bottom w:w="0" w:type="dxa"/>
              <w:right w:w="108" w:type="dxa"/>
            </w:tcMar>
            <w:vAlign w:val="center"/>
          </w:tcPr>
          <w:p w14:paraId="4C63B4DC" w14:textId="77777777" w:rsidR="00284822" w:rsidRDefault="00F77BF8">
            <w:pPr>
              <w:spacing w:before="120" w:after="120"/>
              <w:jc w:val="left"/>
              <w:rPr>
                <w:rFonts w:ascii="Rockwell" w:hAnsi="Rockwell"/>
                <w:color w:val="000000"/>
                <w:szCs w:val="26"/>
              </w:rPr>
            </w:pPr>
            <w:r>
              <w:rPr>
                <w:rFonts w:ascii="Rockwell" w:hAnsi="Rockwell"/>
                <w:color w:val="000000"/>
                <w:szCs w:val="26"/>
              </w:rPr>
              <w:t>29</w:t>
            </w:r>
          </w:p>
        </w:tc>
        <w:tc>
          <w:tcPr>
            <w:tcW w:w="1701" w:type="dxa"/>
            <w:shd w:val="clear" w:color="auto" w:fill="auto"/>
            <w:tcMar>
              <w:top w:w="0" w:type="dxa"/>
              <w:left w:w="108" w:type="dxa"/>
              <w:bottom w:w="0" w:type="dxa"/>
              <w:right w:w="108" w:type="dxa"/>
            </w:tcMar>
            <w:vAlign w:val="center"/>
          </w:tcPr>
          <w:p w14:paraId="281E2AC0" w14:textId="77777777" w:rsidR="00284822" w:rsidRDefault="00F77BF8">
            <w:pPr>
              <w:spacing w:before="120" w:after="120"/>
              <w:jc w:val="left"/>
              <w:rPr>
                <w:rFonts w:ascii="Rockwell" w:hAnsi="Rockwell"/>
                <w:color w:val="000000"/>
                <w:szCs w:val="26"/>
              </w:rPr>
            </w:pPr>
            <w:r>
              <w:rPr>
                <w:rFonts w:ascii="Rockwell" w:hAnsi="Rockwell"/>
                <w:color w:val="000000"/>
                <w:szCs w:val="26"/>
              </w:rPr>
              <w:t>25,00%</w:t>
            </w:r>
          </w:p>
        </w:tc>
      </w:tr>
      <w:tr w:rsidR="00284822" w14:paraId="76DA27C7" w14:textId="77777777">
        <w:trPr>
          <w:trHeight w:val="609"/>
          <w:jc w:val="center"/>
        </w:trPr>
        <w:tc>
          <w:tcPr>
            <w:tcW w:w="988" w:type="dxa"/>
            <w:shd w:val="clear" w:color="auto" w:fill="auto"/>
            <w:tcMar>
              <w:top w:w="0" w:type="dxa"/>
              <w:left w:w="108" w:type="dxa"/>
              <w:bottom w:w="0" w:type="dxa"/>
              <w:right w:w="108" w:type="dxa"/>
            </w:tcMar>
            <w:vAlign w:val="center"/>
          </w:tcPr>
          <w:p w14:paraId="3C4BEC0D" w14:textId="77777777" w:rsidR="00284822" w:rsidRDefault="00F77BF8">
            <w:pPr>
              <w:spacing w:before="120" w:after="120"/>
              <w:jc w:val="left"/>
              <w:rPr>
                <w:rFonts w:ascii="Rockwell" w:hAnsi="Rockwell"/>
                <w:szCs w:val="26"/>
              </w:rPr>
            </w:pPr>
            <w:r>
              <w:rPr>
                <w:rFonts w:ascii="Rockwell" w:hAnsi="Rockwell"/>
                <w:bCs/>
                <w:szCs w:val="26"/>
              </w:rPr>
              <w:t>3</w:t>
            </w:r>
            <w:r>
              <w:rPr>
                <w:rFonts w:ascii="Rockwell" w:hAnsi="Rockwell"/>
                <w:bCs/>
                <w:szCs w:val="26"/>
                <w:vertAlign w:val="superscript"/>
              </w:rPr>
              <w:t>e</w:t>
            </w:r>
          </w:p>
        </w:tc>
        <w:tc>
          <w:tcPr>
            <w:tcW w:w="3377" w:type="dxa"/>
            <w:shd w:val="clear" w:color="auto" w:fill="auto"/>
            <w:tcMar>
              <w:top w:w="0" w:type="dxa"/>
              <w:left w:w="108" w:type="dxa"/>
              <w:bottom w:w="0" w:type="dxa"/>
              <w:right w:w="108" w:type="dxa"/>
            </w:tcMar>
            <w:vAlign w:val="center"/>
          </w:tcPr>
          <w:p w14:paraId="47AB929A" w14:textId="77777777" w:rsidR="00284822" w:rsidRDefault="00F77BF8">
            <w:pPr>
              <w:spacing w:before="120" w:after="120"/>
              <w:jc w:val="left"/>
              <w:rPr>
                <w:rFonts w:ascii="Rockwell" w:hAnsi="Rockwell"/>
                <w:b/>
                <w:color w:val="000000"/>
                <w:szCs w:val="26"/>
              </w:rPr>
            </w:pPr>
            <w:r>
              <w:rPr>
                <w:rFonts w:ascii="Rockwell" w:hAnsi="Rockwell"/>
                <w:b/>
                <w:color w:val="000000"/>
                <w:szCs w:val="26"/>
              </w:rPr>
              <w:t>UNIR/MPS</w:t>
            </w:r>
          </w:p>
        </w:tc>
        <w:tc>
          <w:tcPr>
            <w:tcW w:w="1442" w:type="dxa"/>
            <w:shd w:val="clear" w:color="auto" w:fill="auto"/>
            <w:tcMar>
              <w:top w:w="0" w:type="dxa"/>
              <w:left w:w="108" w:type="dxa"/>
              <w:bottom w:w="0" w:type="dxa"/>
              <w:right w:w="108" w:type="dxa"/>
            </w:tcMar>
            <w:vAlign w:val="center"/>
          </w:tcPr>
          <w:p w14:paraId="1C23FCA8" w14:textId="77777777" w:rsidR="00284822" w:rsidRDefault="00F77BF8">
            <w:pPr>
              <w:spacing w:before="120" w:after="120"/>
              <w:jc w:val="left"/>
              <w:rPr>
                <w:rFonts w:ascii="Rockwell" w:hAnsi="Rockwell"/>
                <w:color w:val="000000"/>
                <w:szCs w:val="26"/>
              </w:rPr>
            </w:pPr>
            <w:r>
              <w:rPr>
                <w:rFonts w:ascii="Rockwell" w:hAnsi="Rockwell"/>
                <w:color w:val="000000"/>
                <w:szCs w:val="26"/>
              </w:rPr>
              <w:t>8</w:t>
            </w:r>
          </w:p>
        </w:tc>
        <w:tc>
          <w:tcPr>
            <w:tcW w:w="1276" w:type="dxa"/>
            <w:shd w:val="clear" w:color="auto" w:fill="auto"/>
            <w:tcMar>
              <w:top w:w="0" w:type="dxa"/>
              <w:left w:w="108" w:type="dxa"/>
              <w:bottom w:w="0" w:type="dxa"/>
              <w:right w:w="108" w:type="dxa"/>
            </w:tcMar>
            <w:vAlign w:val="center"/>
          </w:tcPr>
          <w:p w14:paraId="2BA08349" w14:textId="77777777" w:rsidR="00284822" w:rsidRDefault="00F77BF8">
            <w:pPr>
              <w:spacing w:before="120" w:after="120"/>
              <w:jc w:val="left"/>
              <w:rPr>
                <w:rFonts w:ascii="Rockwell" w:hAnsi="Rockwell"/>
                <w:color w:val="000000"/>
                <w:szCs w:val="26"/>
              </w:rPr>
            </w:pPr>
            <w:r>
              <w:rPr>
                <w:rFonts w:ascii="Rockwell" w:hAnsi="Rockwell"/>
                <w:color w:val="000000"/>
                <w:szCs w:val="26"/>
              </w:rPr>
              <w:t>12,15%</w:t>
            </w:r>
          </w:p>
        </w:tc>
        <w:tc>
          <w:tcPr>
            <w:tcW w:w="1701" w:type="dxa"/>
            <w:shd w:val="clear" w:color="auto" w:fill="auto"/>
            <w:tcMar>
              <w:top w:w="0" w:type="dxa"/>
              <w:left w:w="108" w:type="dxa"/>
              <w:bottom w:w="0" w:type="dxa"/>
              <w:right w:w="108" w:type="dxa"/>
            </w:tcMar>
            <w:vAlign w:val="center"/>
          </w:tcPr>
          <w:p w14:paraId="47D96195" w14:textId="77777777" w:rsidR="00284822" w:rsidRDefault="00F77BF8">
            <w:pPr>
              <w:spacing w:before="120" w:after="120"/>
              <w:jc w:val="left"/>
              <w:rPr>
                <w:rFonts w:ascii="Rockwell" w:hAnsi="Rockwell"/>
                <w:color w:val="000000"/>
                <w:szCs w:val="26"/>
              </w:rPr>
            </w:pPr>
            <w:r>
              <w:rPr>
                <w:rFonts w:ascii="Rockwell" w:hAnsi="Rockwell"/>
                <w:color w:val="000000"/>
                <w:szCs w:val="26"/>
              </w:rPr>
              <w:t>8</w:t>
            </w:r>
          </w:p>
        </w:tc>
        <w:tc>
          <w:tcPr>
            <w:tcW w:w="1701" w:type="dxa"/>
            <w:shd w:val="clear" w:color="auto" w:fill="auto"/>
            <w:tcMar>
              <w:top w:w="0" w:type="dxa"/>
              <w:left w:w="108" w:type="dxa"/>
              <w:bottom w:w="0" w:type="dxa"/>
              <w:right w:w="108" w:type="dxa"/>
            </w:tcMar>
            <w:vAlign w:val="center"/>
          </w:tcPr>
          <w:p w14:paraId="798177B4" w14:textId="77777777" w:rsidR="00284822" w:rsidRDefault="00F77BF8">
            <w:pPr>
              <w:spacing w:before="120" w:after="120"/>
              <w:jc w:val="left"/>
              <w:rPr>
                <w:rFonts w:ascii="Rockwell" w:hAnsi="Rockwell"/>
                <w:color w:val="000000"/>
                <w:szCs w:val="26"/>
              </w:rPr>
            </w:pPr>
            <w:r>
              <w:rPr>
                <w:rFonts w:ascii="Rockwell" w:hAnsi="Rockwell"/>
                <w:color w:val="000000"/>
                <w:szCs w:val="26"/>
              </w:rPr>
              <w:t>6,90%</w:t>
            </w:r>
          </w:p>
        </w:tc>
      </w:tr>
      <w:tr w:rsidR="00284822" w14:paraId="38FF26EE" w14:textId="77777777">
        <w:trPr>
          <w:trHeight w:val="609"/>
          <w:jc w:val="center"/>
        </w:trPr>
        <w:tc>
          <w:tcPr>
            <w:tcW w:w="988" w:type="dxa"/>
            <w:shd w:val="clear" w:color="auto" w:fill="auto"/>
            <w:tcMar>
              <w:top w:w="0" w:type="dxa"/>
              <w:left w:w="108" w:type="dxa"/>
              <w:bottom w:w="0" w:type="dxa"/>
              <w:right w:w="108" w:type="dxa"/>
            </w:tcMar>
            <w:vAlign w:val="center"/>
          </w:tcPr>
          <w:p w14:paraId="2A34F302" w14:textId="77777777" w:rsidR="00284822" w:rsidRDefault="00F77BF8">
            <w:pPr>
              <w:spacing w:before="120" w:after="120"/>
              <w:jc w:val="left"/>
              <w:rPr>
                <w:rFonts w:ascii="Rockwell" w:hAnsi="Rockwell"/>
                <w:szCs w:val="26"/>
              </w:rPr>
            </w:pPr>
            <w:r>
              <w:rPr>
                <w:rFonts w:ascii="Rockwell" w:hAnsi="Rockwell"/>
                <w:bCs/>
                <w:szCs w:val="26"/>
              </w:rPr>
              <w:t>4</w:t>
            </w:r>
            <w:r>
              <w:rPr>
                <w:rFonts w:ascii="Rockwell" w:hAnsi="Rockwell"/>
                <w:bCs/>
                <w:szCs w:val="26"/>
                <w:vertAlign w:val="superscript"/>
              </w:rPr>
              <w:t>e</w:t>
            </w:r>
          </w:p>
        </w:tc>
        <w:tc>
          <w:tcPr>
            <w:tcW w:w="3377" w:type="dxa"/>
            <w:shd w:val="clear" w:color="auto" w:fill="auto"/>
            <w:tcMar>
              <w:top w:w="0" w:type="dxa"/>
              <w:left w:w="108" w:type="dxa"/>
              <w:bottom w:w="0" w:type="dxa"/>
              <w:right w:w="108" w:type="dxa"/>
            </w:tcMar>
            <w:vAlign w:val="center"/>
          </w:tcPr>
          <w:p w14:paraId="4C5B54FD" w14:textId="77777777" w:rsidR="00284822" w:rsidRDefault="00F77BF8">
            <w:pPr>
              <w:spacing w:before="120" w:after="120"/>
              <w:jc w:val="left"/>
              <w:rPr>
                <w:rFonts w:ascii="Rockwell" w:hAnsi="Rockwell"/>
                <w:b/>
                <w:color w:val="000000"/>
                <w:szCs w:val="26"/>
              </w:rPr>
            </w:pPr>
            <w:r>
              <w:rPr>
                <w:rFonts w:ascii="Rockwell" w:hAnsi="Rockwell"/>
                <w:b/>
                <w:color w:val="000000"/>
                <w:szCs w:val="26"/>
              </w:rPr>
              <w:t>SA</w:t>
            </w:r>
          </w:p>
        </w:tc>
        <w:tc>
          <w:tcPr>
            <w:tcW w:w="1442" w:type="dxa"/>
            <w:shd w:val="clear" w:color="auto" w:fill="auto"/>
            <w:tcMar>
              <w:top w:w="0" w:type="dxa"/>
              <w:left w:w="108" w:type="dxa"/>
              <w:bottom w:w="0" w:type="dxa"/>
              <w:right w:w="108" w:type="dxa"/>
            </w:tcMar>
            <w:vAlign w:val="center"/>
          </w:tcPr>
          <w:p w14:paraId="66D84FC4" w14:textId="77777777" w:rsidR="00284822" w:rsidRDefault="00F77BF8">
            <w:pPr>
              <w:spacing w:before="120" w:after="120"/>
              <w:jc w:val="left"/>
              <w:rPr>
                <w:rFonts w:ascii="Rockwell" w:hAnsi="Rockwell"/>
                <w:color w:val="000000"/>
                <w:szCs w:val="26"/>
              </w:rPr>
            </w:pPr>
            <w:r>
              <w:rPr>
                <w:rFonts w:ascii="Rockwell" w:hAnsi="Rockwell"/>
                <w:color w:val="000000"/>
                <w:szCs w:val="26"/>
              </w:rPr>
              <w:t>4</w:t>
            </w:r>
          </w:p>
        </w:tc>
        <w:tc>
          <w:tcPr>
            <w:tcW w:w="1276" w:type="dxa"/>
            <w:shd w:val="clear" w:color="auto" w:fill="auto"/>
            <w:tcMar>
              <w:top w:w="0" w:type="dxa"/>
              <w:left w:w="108" w:type="dxa"/>
              <w:bottom w:w="0" w:type="dxa"/>
              <w:right w:w="108" w:type="dxa"/>
            </w:tcMar>
            <w:vAlign w:val="center"/>
          </w:tcPr>
          <w:p w14:paraId="1378F496" w14:textId="77777777" w:rsidR="00284822" w:rsidRDefault="00F77BF8">
            <w:pPr>
              <w:spacing w:before="120" w:after="120"/>
              <w:jc w:val="left"/>
              <w:rPr>
                <w:rFonts w:ascii="Rockwell" w:hAnsi="Rockwell"/>
                <w:color w:val="000000"/>
                <w:szCs w:val="26"/>
              </w:rPr>
            </w:pPr>
            <w:r>
              <w:rPr>
                <w:rFonts w:ascii="Rockwell" w:hAnsi="Rockwell"/>
                <w:color w:val="000000"/>
                <w:szCs w:val="26"/>
              </w:rPr>
              <w:t>6,14%</w:t>
            </w:r>
          </w:p>
        </w:tc>
        <w:tc>
          <w:tcPr>
            <w:tcW w:w="1701" w:type="dxa"/>
            <w:shd w:val="clear" w:color="auto" w:fill="auto"/>
            <w:tcMar>
              <w:top w:w="0" w:type="dxa"/>
              <w:left w:w="108" w:type="dxa"/>
              <w:bottom w:w="0" w:type="dxa"/>
              <w:right w:w="108" w:type="dxa"/>
            </w:tcMar>
            <w:vAlign w:val="center"/>
          </w:tcPr>
          <w:p w14:paraId="224BE4ED" w14:textId="77777777" w:rsidR="00284822" w:rsidRDefault="00F77BF8">
            <w:pPr>
              <w:spacing w:before="120" w:after="120"/>
              <w:jc w:val="left"/>
              <w:rPr>
                <w:rFonts w:ascii="Rockwell" w:hAnsi="Rockwell"/>
                <w:color w:val="000000"/>
                <w:szCs w:val="26"/>
              </w:rPr>
            </w:pPr>
            <w:r>
              <w:rPr>
                <w:rFonts w:ascii="Rockwell" w:hAnsi="Rockwell"/>
                <w:color w:val="000000"/>
                <w:szCs w:val="26"/>
              </w:rPr>
              <w:t>8</w:t>
            </w:r>
          </w:p>
        </w:tc>
        <w:tc>
          <w:tcPr>
            <w:tcW w:w="1701" w:type="dxa"/>
            <w:shd w:val="clear" w:color="auto" w:fill="auto"/>
            <w:tcMar>
              <w:top w:w="0" w:type="dxa"/>
              <w:left w:w="108" w:type="dxa"/>
              <w:bottom w:w="0" w:type="dxa"/>
              <w:right w:w="108" w:type="dxa"/>
            </w:tcMar>
            <w:vAlign w:val="center"/>
          </w:tcPr>
          <w:p w14:paraId="549A280C" w14:textId="77777777" w:rsidR="00284822" w:rsidRDefault="00F77BF8">
            <w:pPr>
              <w:spacing w:before="120" w:after="120"/>
              <w:jc w:val="left"/>
              <w:rPr>
                <w:rFonts w:ascii="Rockwell" w:hAnsi="Rockwell"/>
                <w:color w:val="000000"/>
                <w:szCs w:val="26"/>
              </w:rPr>
            </w:pPr>
            <w:r>
              <w:rPr>
                <w:rFonts w:ascii="Rockwell" w:hAnsi="Rockwell"/>
                <w:color w:val="000000"/>
                <w:szCs w:val="26"/>
              </w:rPr>
              <w:t>6,90%</w:t>
            </w:r>
          </w:p>
        </w:tc>
      </w:tr>
      <w:tr w:rsidR="00284822" w14:paraId="19B30EFF" w14:textId="77777777">
        <w:trPr>
          <w:trHeight w:val="609"/>
          <w:jc w:val="center"/>
        </w:trPr>
        <w:tc>
          <w:tcPr>
            <w:tcW w:w="988" w:type="dxa"/>
            <w:shd w:val="clear" w:color="auto" w:fill="auto"/>
            <w:tcMar>
              <w:top w:w="0" w:type="dxa"/>
              <w:left w:w="108" w:type="dxa"/>
              <w:bottom w:w="0" w:type="dxa"/>
              <w:right w:w="108" w:type="dxa"/>
            </w:tcMar>
            <w:vAlign w:val="center"/>
          </w:tcPr>
          <w:p w14:paraId="2F8558BF" w14:textId="77777777" w:rsidR="00284822" w:rsidRDefault="00F77BF8">
            <w:pPr>
              <w:spacing w:before="120" w:after="120"/>
              <w:jc w:val="left"/>
              <w:rPr>
                <w:rFonts w:ascii="Rockwell" w:hAnsi="Rockwell"/>
                <w:szCs w:val="26"/>
              </w:rPr>
            </w:pPr>
            <w:r>
              <w:rPr>
                <w:rFonts w:ascii="Rockwell" w:hAnsi="Rockwell"/>
                <w:bCs/>
                <w:szCs w:val="26"/>
              </w:rPr>
              <w:t>5</w:t>
            </w:r>
            <w:r>
              <w:rPr>
                <w:rFonts w:ascii="Rockwell" w:hAnsi="Rockwell"/>
                <w:bCs/>
                <w:szCs w:val="26"/>
                <w:vertAlign w:val="superscript"/>
              </w:rPr>
              <w:t>e</w:t>
            </w:r>
          </w:p>
        </w:tc>
        <w:tc>
          <w:tcPr>
            <w:tcW w:w="3377" w:type="dxa"/>
            <w:shd w:val="clear" w:color="auto" w:fill="auto"/>
            <w:tcMar>
              <w:top w:w="0" w:type="dxa"/>
              <w:left w:w="108" w:type="dxa"/>
              <w:bottom w:w="0" w:type="dxa"/>
              <w:right w:w="108" w:type="dxa"/>
            </w:tcMar>
            <w:vAlign w:val="center"/>
          </w:tcPr>
          <w:p w14:paraId="29AA5A86" w14:textId="77777777" w:rsidR="00284822" w:rsidRDefault="00F77BF8">
            <w:pPr>
              <w:spacing w:before="120" w:after="120"/>
              <w:jc w:val="left"/>
              <w:rPr>
                <w:rFonts w:ascii="Rockwell" w:hAnsi="Rockwell"/>
                <w:b/>
                <w:color w:val="000000"/>
                <w:szCs w:val="26"/>
              </w:rPr>
            </w:pPr>
            <w:r>
              <w:rPr>
                <w:rFonts w:ascii="Rockwell" w:hAnsi="Rockwell"/>
                <w:b/>
                <w:color w:val="000000"/>
                <w:szCs w:val="26"/>
              </w:rPr>
              <w:t>UPC</w:t>
            </w:r>
          </w:p>
        </w:tc>
        <w:tc>
          <w:tcPr>
            <w:tcW w:w="1442" w:type="dxa"/>
            <w:shd w:val="clear" w:color="auto" w:fill="auto"/>
            <w:tcMar>
              <w:top w:w="0" w:type="dxa"/>
              <w:left w:w="108" w:type="dxa"/>
              <w:bottom w:w="0" w:type="dxa"/>
              <w:right w:w="108" w:type="dxa"/>
            </w:tcMar>
            <w:vAlign w:val="center"/>
          </w:tcPr>
          <w:p w14:paraId="075F96EF" w14:textId="77777777" w:rsidR="00284822" w:rsidRDefault="00F77BF8">
            <w:pPr>
              <w:spacing w:before="120" w:after="120"/>
              <w:jc w:val="left"/>
              <w:rPr>
                <w:rFonts w:ascii="Rockwell" w:hAnsi="Rockwell"/>
                <w:color w:val="000000"/>
                <w:szCs w:val="26"/>
              </w:rPr>
            </w:pPr>
            <w:r>
              <w:rPr>
                <w:rFonts w:ascii="Rockwell" w:hAnsi="Rockwell"/>
                <w:color w:val="000000"/>
                <w:szCs w:val="26"/>
              </w:rPr>
              <w:t>3 et 3/5</w:t>
            </w:r>
          </w:p>
        </w:tc>
        <w:tc>
          <w:tcPr>
            <w:tcW w:w="1276" w:type="dxa"/>
            <w:shd w:val="clear" w:color="auto" w:fill="auto"/>
            <w:tcMar>
              <w:top w:w="0" w:type="dxa"/>
              <w:left w:w="108" w:type="dxa"/>
              <w:bottom w:w="0" w:type="dxa"/>
              <w:right w:w="108" w:type="dxa"/>
            </w:tcMar>
            <w:vAlign w:val="center"/>
          </w:tcPr>
          <w:p w14:paraId="792DF08A" w14:textId="77777777" w:rsidR="00284822" w:rsidRDefault="00F77BF8">
            <w:pPr>
              <w:spacing w:before="120" w:after="120"/>
              <w:jc w:val="left"/>
              <w:rPr>
                <w:rFonts w:ascii="Rockwell" w:hAnsi="Rockwell"/>
                <w:color w:val="000000"/>
                <w:szCs w:val="26"/>
              </w:rPr>
            </w:pPr>
            <w:r>
              <w:rPr>
                <w:rFonts w:ascii="Rockwell" w:hAnsi="Rockwell"/>
                <w:color w:val="000000"/>
                <w:szCs w:val="26"/>
              </w:rPr>
              <w:t>5,50%</w:t>
            </w:r>
          </w:p>
        </w:tc>
        <w:tc>
          <w:tcPr>
            <w:tcW w:w="1701" w:type="dxa"/>
            <w:shd w:val="clear" w:color="auto" w:fill="auto"/>
            <w:tcMar>
              <w:top w:w="0" w:type="dxa"/>
              <w:left w:w="108" w:type="dxa"/>
              <w:bottom w:w="0" w:type="dxa"/>
              <w:right w:w="108" w:type="dxa"/>
            </w:tcMar>
            <w:vAlign w:val="center"/>
          </w:tcPr>
          <w:p w14:paraId="7271D44B" w14:textId="77777777" w:rsidR="00284822" w:rsidRDefault="00F77BF8">
            <w:pPr>
              <w:spacing w:before="120" w:after="120"/>
              <w:jc w:val="left"/>
              <w:rPr>
                <w:rFonts w:ascii="Rockwell" w:hAnsi="Rockwell"/>
                <w:color w:val="000000"/>
                <w:szCs w:val="26"/>
              </w:rPr>
            </w:pPr>
            <w:r>
              <w:rPr>
                <w:rFonts w:ascii="Rockwell" w:hAnsi="Rockwell"/>
                <w:color w:val="000000"/>
                <w:szCs w:val="26"/>
              </w:rPr>
              <w:t>7</w:t>
            </w:r>
          </w:p>
        </w:tc>
        <w:tc>
          <w:tcPr>
            <w:tcW w:w="1701" w:type="dxa"/>
            <w:shd w:val="clear" w:color="auto" w:fill="auto"/>
            <w:tcMar>
              <w:top w:w="0" w:type="dxa"/>
              <w:left w:w="108" w:type="dxa"/>
              <w:bottom w:w="0" w:type="dxa"/>
              <w:right w:w="108" w:type="dxa"/>
            </w:tcMar>
            <w:vAlign w:val="center"/>
          </w:tcPr>
          <w:p w14:paraId="13EA2C52" w14:textId="77777777" w:rsidR="00284822" w:rsidRDefault="00F77BF8">
            <w:pPr>
              <w:spacing w:before="120" w:after="120"/>
              <w:jc w:val="left"/>
              <w:rPr>
                <w:rFonts w:ascii="Rockwell" w:hAnsi="Rockwell"/>
                <w:color w:val="000000"/>
                <w:szCs w:val="26"/>
              </w:rPr>
            </w:pPr>
            <w:r>
              <w:rPr>
                <w:rFonts w:ascii="Rockwell" w:hAnsi="Rockwell"/>
                <w:color w:val="000000"/>
                <w:szCs w:val="26"/>
              </w:rPr>
              <w:t>6,03%</w:t>
            </w:r>
          </w:p>
        </w:tc>
      </w:tr>
      <w:tr w:rsidR="00284822" w14:paraId="3E4C7FAF" w14:textId="77777777">
        <w:trPr>
          <w:trHeight w:val="609"/>
          <w:jc w:val="center"/>
        </w:trPr>
        <w:tc>
          <w:tcPr>
            <w:tcW w:w="988" w:type="dxa"/>
            <w:shd w:val="clear" w:color="auto" w:fill="auto"/>
            <w:tcMar>
              <w:top w:w="0" w:type="dxa"/>
              <w:left w:w="108" w:type="dxa"/>
              <w:bottom w:w="0" w:type="dxa"/>
              <w:right w:w="108" w:type="dxa"/>
            </w:tcMar>
            <w:vAlign w:val="center"/>
          </w:tcPr>
          <w:p w14:paraId="055311E0" w14:textId="77777777" w:rsidR="00284822" w:rsidRDefault="00F77BF8">
            <w:pPr>
              <w:spacing w:before="120" w:after="120"/>
              <w:jc w:val="left"/>
              <w:rPr>
                <w:rFonts w:ascii="Rockwell" w:hAnsi="Rockwell"/>
                <w:szCs w:val="26"/>
              </w:rPr>
            </w:pPr>
            <w:r>
              <w:rPr>
                <w:rFonts w:ascii="Rockwell" w:hAnsi="Rockwell"/>
                <w:bCs/>
                <w:szCs w:val="26"/>
              </w:rPr>
              <w:t>6</w:t>
            </w:r>
            <w:r>
              <w:rPr>
                <w:rFonts w:ascii="Rockwell" w:hAnsi="Rockwell"/>
                <w:bCs/>
                <w:szCs w:val="26"/>
                <w:vertAlign w:val="superscript"/>
              </w:rPr>
              <w:t>e</w:t>
            </w:r>
          </w:p>
        </w:tc>
        <w:tc>
          <w:tcPr>
            <w:tcW w:w="3377" w:type="dxa"/>
            <w:shd w:val="clear" w:color="auto" w:fill="auto"/>
            <w:tcMar>
              <w:top w:w="0" w:type="dxa"/>
              <w:left w:w="108" w:type="dxa"/>
              <w:bottom w:w="0" w:type="dxa"/>
              <w:right w:w="108" w:type="dxa"/>
            </w:tcMar>
            <w:vAlign w:val="center"/>
          </w:tcPr>
          <w:p w14:paraId="5EE16B8E" w14:textId="77777777" w:rsidR="00284822" w:rsidRDefault="00F77BF8">
            <w:pPr>
              <w:spacing w:before="120" w:after="120"/>
              <w:jc w:val="left"/>
              <w:rPr>
                <w:rFonts w:ascii="Rockwell" w:hAnsi="Rockwell"/>
                <w:b/>
                <w:color w:val="000000"/>
                <w:szCs w:val="26"/>
              </w:rPr>
            </w:pPr>
            <w:r>
              <w:rPr>
                <w:rFonts w:ascii="Rockwell" w:hAnsi="Rockwell"/>
                <w:b/>
                <w:color w:val="000000"/>
                <w:szCs w:val="26"/>
              </w:rPr>
              <w:t>BURKINA YIRWA</w:t>
            </w:r>
          </w:p>
        </w:tc>
        <w:tc>
          <w:tcPr>
            <w:tcW w:w="1442" w:type="dxa"/>
            <w:shd w:val="clear" w:color="auto" w:fill="auto"/>
            <w:tcMar>
              <w:top w:w="0" w:type="dxa"/>
              <w:left w:w="108" w:type="dxa"/>
              <w:bottom w:w="0" w:type="dxa"/>
              <w:right w:w="108" w:type="dxa"/>
            </w:tcMar>
            <w:vAlign w:val="center"/>
          </w:tcPr>
          <w:p w14:paraId="08E814BC" w14:textId="77777777" w:rsidR="00284822" w:rsidRDefault="00F77BF8">
            <w:pPr>
              <w:spacing w:before="120" w:after="120"/>
              <w:jc w:val="left"/>
              <w:rPr>
                <w:rFonts w:ascii="Rockwell" w:hAnsi="Rockwell"/>
                <w:color w:val="000000"/>
                <w:szCs w:val="26"/>
              </w:rPr>
            </w:pPr>
            <w:r>
              <w:rPr>
                <w:rFonts w:ascii="Rockwell" w:hAnsi="Rockwell"/>
                <w:color w:val="000000"/>
                <w:szCs w:val="26"/>
              </w:rPr>
              <w:t>3</w:t>
            </w:r>
          </w:p>
        </w:tc>
        <w:tc>
          <w:tcPr>
            <w:tcW w:w="1276" w:type="dxa"/>
            <w:shd w:val="clear" w:color="auto" w:fill="auto"/>
            <w:tcMar>
              <w:top w:w="0" w:type="dxa"/>
              <w:left w:w="108" w:type="dxa"/>
              <w:bottom w:w="0" w:type="dxa"/>
              <w:right w:w="108" w:type="dxa"/>
            </w:tcMar>
            <w:vAlign w:val="center"/>
          </w:tcPr>
          <w:p w14:paraId="4A702439" w14:textId="77777777" w:rsidR="00284822" w:rsidRDefault="00F77BF8">
            <w:pPr>
              <w:spacing w:before="120" w:after="120"/>
              <w:jc w:val="left"/>
              <w:rPr>
                <w:rFonts w:ascii="Rockwell" w:hAnsi="Rockwell"/>
                <w:color w:val="000000"/>
                <w:szCs w:val="26"/>
              </w:rPr>
            </w:pPr>
            <w:r>
              <w:rPr>
                <w:rFonts w:ascii="Rockwell" w:hAnsi="Rockwell"/>
                <w:color w:val="000000"/>
                <w:szCs w:val="26"/>
              </w:rPr>
              <w:t>4,60%</w:t>
            </w:r>
          </w:p>
        </w:tc>
        <w:tc>
          <w:tcPr>
            <w:tcW w:w="1701" w:type="dxa"/>
            <w:shd w:val="clear" w:color="auto" w:fill="auto"/>
            <w:tcMar>
              <w:top w:w="0" w:type="dxa"/>
              <w:left w:w="108" w:type="dxa"/>
              <w:bottom w:w="0" w:type="dxa"/>
              <w:right w:w="108" w:type="dxa"/>
            </w:tcMar>
            <w:vAlign w:val="center"/>
          </w:tcPr>
          <w:p w14:paraId="4B2A73D3" w14:textId="77777777" w:rsidR="00284822" w:rsidRDefault="00F77BF8">
            <w:pPr>
              <w:spacing w:before="120" w:after="120"/>
              <w:jc w:val="left"/>
              <w:rPr>
                <w:rFonts w:ascii="Rockwell" w:hAnsi="Rockwell"/>
                <w:color w:val="000000"/>
                <w:szCs w:val="26"/>
              </w:rPr>
            </w:pPr>
            <w:r>
              <w:rPr>
                <w:rFonts w:ascii="Rockwell" w:hAnsi="Rockwell"/>
                <w:color w:val="000000"/>
                <w:szCs w:val="26"/>
              </w:rPr>
              <w:t>7</w:t>
            </w:r>
          </w:p>
        </w:tc>
        <w:tc>
          <w:tcPr>
            <w:tcW w:w="1701" w:type="dxa"/>
            <w:shd w:val="clear" w:color="auto" w:fill="auto"/>
            <w:tcMar>
              <w:top w:w="0" w:type="dxa"/>
              <w:left w:w="108" w:type="dxa"/>
              <w:bottom w:w="0" w:type="dxa"/>
              <w:right w:w="108" w:type="dxa"/>
            </w:tcMar>
            <w:vAlign w:val="center"/>
          </w:tcPr>
          <w:p w14:paraId="36AA4CAE" w14:textId="77777777" w:rsidR="00284822" w:rsidRDefault="00F77BF8">
            <w:pPr>
              <w:spacing w:before="120" w:after="120"/>
              <w:jc w:val="left"/>
              <w:rPr>
                <w:rFonts w:ascii="Rockwell" w:hAnsi="Rockwell"/>
                <w:color w:val="000000"/>
                <w:szCs w:val="26"/>
              </w:rPr>
            </w:pPr>
            <w:r>
              <w:rPr>
                <w:rFonts w:ascii="Rockwell" w:hAnsi="Rockwell"/>
                <w:color w:val="000000"/>
                <w:szCs w:val="26"/>
              </w:rPr>
              <w:t>6,03%</w:t>
            </w:r>
          </w:p>
        </w:tc>
      </w:tr>
      <w:tr w:rsidR="00284822" w14:paraId="095DDEF5" w14:textId="77777777">
        <w:trPr>
          <w:trHeight w:val="609"/>
          <w:jc w:val="center"/>
        </w:trPr>
        <w:tc>
          <w:tcPr>
            <w:tcW w:w="988" w:type="dxa"/>
            <w:shd w:val="clear" w:color="auto" w:fill="auto"/>
            <w:tcMar>
              <w:top w:w="0" w:type="dxa"/>
              <w:left w:w="108" w:type="dxa"/>
              <w:bottom w:w="0" w:type="dxa"/>
              <w:right w:w="108" w:type="dxa"/>
            </w:tcMar>
            <w:vAlign w:val="center"/>
          </w:tcPr>
          <w:p w14:paraId="17CB3990" w14:textId="77777777" w:rsidR="00284822" w:rsidRDefault="00F77BF8">
            <w:pPr>
              <w:spacing w:before="120" w:after="120"/>
              <w:jc w:val="left"/>
              <w:rPr>
                <w:rFonts w:ascii="Rockwell" w:hAnsi="Rockwell"/>
                <w:szCs w:val="26"/>
              </w:rPr>
            </w:pPr>
            <w:r>
              <w:rPr>
                <w:rFonts w:ascii="Rockwell" w:hAnsi="Rockwell"/>
                <w:bCs/>
                <w:szCs w:val="26"/>
              </w:rPr>
              <w:t>7</w:t>
            </w:r>
            <w:r>
              <w:rPr>
                <w:rFonts w:ascii="Rockwell" w:hAnsi="Rockwell"/>
                <w:bCs/>
                <w:szCs w:val="26"/>
                <w:vertAlign w:val="superscript"/>
              </w:rPr>
              <w:t>e</w:t>
            </w:r>
          </w:p>
        </w:tc>
        <w:tc>
          <w:tcPr>
            <w:tcW w:w="3377" w:type="dxa"/>
            <w:shd w:val="clear" w:color="auto" w:fill="auto"/>
            <w:tcMar>
              <w:top w:w="0" w:type="dxa"/>
              <w:left w:w="108" w:type="dxa"/>
              <w:bottom w:w="0" w:type="dxa"/>
              <w:right w:w="108" w:type="dxa"/>
            </w:tcMar>
            <w:vAlign w:val="center"/>
          </w:tcPr>
          <w:p w14:paraId="6A6C0CBF" w14:textId="77777777" w:rsidR="00284822" w:rsidRDefault="00F77BF8">
            <w:pPr>
              <w:spacing w:before="120" w:after="120"/>
              <w:jc w:val="left"/>
              <w:rPr>
                <w:rFonts w:ascii="Rockwell" w:hAnsi="Rockwell"/>
                <w:b/>
                <w:color w:val="000000"/>
                <w:szCs w:val="26"/>
              </w:rPr>
            </w:pPr>
            <w:r>
              <w:rPr>
                <w:rFonts w:ascii="Rockwell" w:hAnsi="Rockwell"/>
                <w:b/>
                <w:color w:val="000000"/>
                <w:szCs w:val="26"/>
              </w:rPr>
              <w:t>PPS</w:t>
            </w:r>
          </w:p>
        </w:tc>
        <w:tc>
          <w:tcPr>
            <w:tcW w:w="1442" w:type="dxa"/>
            <w:shd w:val="clear" w:color="auto" w:fill="auto"/>
            <w:tcMar>
              <w:top w:w="0" w:type="dxa"/>
              <w:left w:w="108" w:type="dxa"/>
              <w:bottom w:w="0" w:type="dxa"/>
              <w:right w:w="108" w:type="dxa"/>
            </w:tcMar>
            <w:vAlign w:val="center"/>
          </w:tcPr>
          <w:p w14:paraId="4E31E782" w14:textId="77777777" w:rsidR="00284822" w:rsidRDefault="00F77BF8">
            <w:pPr>
              <w:spacing w:before="120" w:after="120"/>
              <w:jc w:val="left"/>
              <w:rPr>
                <w:rFonts w:ascii="Rockwell" w:hAnsi="Rockwell"/>
                <w:color w:val="000000"/>
                <w:szCs w:val="26"/>
              </w:rPr>
            </w:pPr>
            <w:r>
              <w:rPr>
                <w:rFonts w:ascii="Rockwell" w:hAnsi="Rockwell"/>
                <w:color w:val="000000"/>
                <w:szCs w:val="26"/>
              </w:rPr>
              <w:t>2 et 1/4</w:t>
            </w:r>
          </w:p>
        </w:tc>
        <w:tc>
          <w:tcPr>
            <w:tcW w:w="1276" w:type="dxa"/>
            <w:shd w:val="clear" w:color="auto" w:fill="auto"/>
            <w:tcMar>
              <w:top w:w="0" w:type="dxa"/>
              <w:left w:w="108" w:type="dxa"/>
              <w:bottom w:w="0" w:type="dxa"/>
              <w:right w:w="108" w:type="dxa"/>
            </w:tcMar>
            <w:vAlign w:val="center"/>
          </w:tcPr>
          <w:p w14:paraId="6B8B442F" w14:textId="77777777" w:rsidR="00284822" w:rsidRDefault="00F77BF8">
            <w:pPr>
              <w:spacing w:before="120" w:after="120"/>
              <w:jc w:val="left"/>
              <w:rPr>
                <w:rFonts w:ascii="Rockwell" w:hAnsi="Rockwell"/>
                <w:color w:val="000000"/>
                <w:szCs w:val="26"/>
              </w:rPr>
            </w:pPr>
            <w:r>
              <w:rPr>
                <w:rFonts w:ascii="Rockwell" w:hAnsi="Rockwell"/>
                <w:color w:val="000000"/>
                <w:szCs w:val="26"/>
              </w:rPr>
              <w:t>3,45%</w:t>
            </w:r>
          </w:p>
        </w:tc>
        <w:tc>
          <w:tcPr>
            <w:tcW w:w="1701" w:type="dxa"/>
            <w:shd w:val="clear" w:color="auto" w:fill="auto"/>
            <w:tcMar>
              <w:top w:w="0" w:type="dxa"/>
              <w:left w:w="108" w:type="dxa"/>
              <w:bottom w:w="0" w:type="dxa"/>
              <w:right w:w="108" w:type="dxa"/>
            </w:tcMar>
            <w:vAlign w:val="center"/>
          </w:tcPr>
          <w:p w14:paraId="58C3B6BC" w14:textId="77777777" w:rsidR="00284822" w:rsidRDefault="00F77BF8">
            <w:pPr>
              <w:spacing w:before="120" w:after="120"/>
              <w:jc w:val="left"/>
              <w:rPr>
                <w:rFonts w:ascii="Rockwell" w:hAnsi="Rockwell"/>
                <w:color w:val="000000"/>
                <w:szCs w:val="26"/>
              </w:rPr>
            </w:pPr>
            <w:r>
              <w:rPr>
                <w:rFonts w:ascii="Rockwell" w:hAnsi="Rockwell"/>
                <w:color w:val="000000"/>
                <w:szCs w:val="26"/>
              </w:rPr>
              <w:t>3</w:t>
            </w:r>
          </w:p>
        </w:tc>
        <w:tc>
          <w:tcPr>
            <w:tcW w:w="1701" w:type="dxa"/>
            <w:shd w:val="clear" w:color="auto" w:fill="auto"/>
            <w:tcMar>
              <w:top w:w="0" w:type="dxa"/>
              <w:left w:w="108" w:type="dxa"/>
              <w:bottom w:w="0" w:type="dxa"/>
              <w:right w:w="108" w:type="dxa"/>
            </w:tcMar>
            <w:vAlign w:val="center"/>
          </w:tcPr>
          <w:p w14:paraId="67462748" w14:textId="77777777" w:rsidR="00284822" w:rsidRDefault="00F77BF8">
            <w:pPr>
              <w:spacing w:before="120" w:after="120"/>
              <w:jc w:val="left"/>
              <w:rPr>
                <w:rFonts w:ascii="Rockwell" w:hAnsi="Rockwell"/>
                <w:color w:val="000000"/>
                <w:szCs w:val="26"/>
              </w:rPr>
            </w:pPr>
            <w:r>
              <w:rPr>
                <w:rFonts w:ascii="Rockwell" w:hAnsi="Rockwell"/>
                <w:color w:val="000000"/>
                <w:szCs w:val="26"/>
              </w:rPr>
              <w:t>2,59%</w:t>
            </w:r>
          </w:p>
        </w:tc>
      </w:tr>
      <w:tr w:rsidR="00284822" w14:paraId="694F68AE" w14:textId="77777777">
        <w:trPr>
          <w:trHeight w:val="609"/>
          <w:jc w:val="center"/>
        </w:trPr>
        <w:tc>
          <w:tcPr>
            <w:tcW w:w="988" w:type="dxa"/>
            <w:shd w:val="clear" w:color="auto" w:fill="auto"/>
            <w:tcMar>
              <w:top w:w="0" w:type="dxa"/>
              <w:left w:w="108" w:type="dxa"/>
              <w:bottom w:w="0" w:type="dxa"/>
              <w:right w:w="108" w:type="dxa"/>
            </w:tcMar>
            <w:vAlign w:val="center"/>
          </w:tcPr>
          <w:p w14:paraId="713F22C2" w14:textId="77777777" w:rsidR="00284822" w:rsidRDefault="00F77BF8">
            <w:pPr>
              <w:spacing w:before="120" w:after="120"/>
              <w:jc w:val="left"/>
              <w:rPr>
                <w:rFonts w:ascii="Rockwell" w:hAnsi="Rockwell"/>
                <w:szCs w:val="26"/>
              </w:rPr>
            </w:pPr>
            <w:r>
              <w:rPr>
                <w:rFonts w:ascii="Rockwell" w:hAnsi="Rockwell"/>
                <w:bCs/>
                <w:szCs w:val="26"/>
              </w:rPr>
              <w:t>8</w:t>
            </w:r>
            <w:r>
              <w:rPr>
                <w:rFonts w:ascii="Rockwell" w:hAnsi="Rockwell"/>
                <w:bCs/>
                <w:szCs w:val="26"/>
                <w:vertAlign w:val="superscript"/>
              </w:rPr>
              <w:t>e</w:t>
            </w:r>
          </w:p>
        </w:tc>
        <w:tc>
          <w:tcPr>
            <w:tcW w:w="3377" w:type="dxa"/>
            <w:shd w:val="clear" w:color="auto" w:fill="auto"/>
            <w:tcMar>
              <w:top w:w="0" w:type="dxa"/>
              <w:left w:w="108" w:type="dxa"/>
              <w:bottom w:w="0" w:type="dxa"/>
              <w:right w:w="108" w:type="dxa"/>
            </w:tcMar>
            <w:vAlign w:val="center"/>
          </w:tcPr>
          <w:p w14:paraId="1E2570CD" w14:textId="77777777" w:rsidR="00284822" w:rsidRDefault="00F77BF8">
            <w:pPr>
              <w:spacing w:before="120" w:after="120"/>
              <w:jc w:val="left"/>
              <w:rPr>
                <w:rFonts w:ascii="Rockwell" w:hAnsi="Rockwell"/>
                <w:b/>
                <w:color w:val="000000"/>
                <w:szCs w:val="26"/>
              </w:rPr>
            </w:pPr>
            <w:r>
              <w:rPr>
                <w:rFonts w:ascii="Rockwell" w:hAnsi="Rockwell"/>
                <w:b/>
                <w:color w:val="000000"/>
                <w:szCs w:val="26"/>
              </w:rPr>
              <w:t>UNDD</w:t>
            </w:r>
          </w:p>
        </w:tc>
        <w:tc>
          <w:tcPr>
            <w:tcW w:w="1442" w:type="dxa"/>
            <w:shd w:val="clear" w:color="auto" w:fill="auto"/>
            <w:tcMar>
              <w:top w:w="0" w:type="dxa"/>
              <w:left w:w="108" w:type="dxa"/>
              <w:bottom w:w="0" w:type="dxa"/>
              <w:right w:w="108" w:type="dxa"/>
            </w:tcMar>
            <w:vAlign w:val="center"/>
          </w:tcPr>
          <w:p w14:paraId="1D6539EC" w14:textId="77777777" w:rsidR="00284822" w:rsidRDefault="00F77BF8">
            <w:pPr>
              <w:spacing w:before="120" w:after="120"/>
              <w:jc w:val="left"/>
              <w:rPr>
                <w:rFonts w:ascii="Rockwell" w:hAnsi="Rockwell"/>
                <w:color w:val="000000"/>
                <w:szCs w:val="26"/>
              </w:rPr>
            </w:pPr>
            <w:r>
              <w:rPr>
                <w:rFonts w:ascii="Rockwell" w:hAnsi="Rockwell"/>
                <w:color w:val="000000"/>
                <w:szCs w:val="26"/>
              </w:rPr>
              <w:t>2</w:t>
            </w:r>
          </w:p>
        </w:tc>
        <w:tc>
          <w:tcPr>
            <w:tcW w:w="1276" w:type="dxa"/>
            <w:shd w:val="clear" w:color="auto" w:fill="auto"/>
            <w:tcMar>
              <w:top w:w="0" w:type="dxa"/>
              <w:left w:w="108" w:type="dxa"/>
              <w:bottom w:w="0" w:type="dxa"/>
              <w:right w:w="108" w:type="dxa"/>
            </w:tcMar>
            <w:vAlign w:val="center"/>
          </w:tcPr>
          <w:p w14:paraId="4F6BD738" w14:textId="77777777" w:rsidR="00284822" w:rsidRDefault="00F77BF8">
            <w:pPr>
              <w:spacing w:before="120" w:after="120"/>
              <w:jc w:val="left"/>
              <w:rPr>
                <w:rFonts w:ascii="Rockwell" w:hAnsi="Rockwell"/>
                <w:color w:val="000000"/>
                <w:szCs w:val="26"/>
              </w:rPr>
            </w:pPr>
            <w:r>
              <w:rPr>
                <w:rFonts w:ascii="Rockwell" w:hAnsi="Rockwell"/>
                <w:color w:val="000000"/>
                <w:szCs w:val="26"/>
              </w:rPr>
              <w:t>3,07%</w:t>
            </w:r>
          </w:p>
        </w:tc>
        <w:tc>
          <w:tcPr>
            <w:tcW w:w="1701" w:type="dxa"/>
            <w:shd w:val="clear" w:color="auto" w:fill="auto"/>
            <w:tcMar>
              <w:top w:w="0" w:type="dxa"/>
              <w:left w:w="108" w:type="dxa"/>
              <w:bottom w:w="0" w:type="dxa"/>
              <w:right w:w="108" w:type="dxa"/>
            </w:tcMar>
            <w:vAlign w:val="center"/>
          </w:tcPr>
          <w:p w14:paraId="772C59EE" w14:textId="77777777" w:rsidR="00284822" w:rsidRDefault="00F77BF8">
            <w:pPr>
              <w:spacing w:before="120" w:after="120"/>
              <w:jc w:val="left"/>
              <w:rPr>
                <w:rFonts w:ascii="Rockwell" w:hAnsi="Rockwell"/>
                <w:color w:val="000000"/>
                <w:szCs w:val="26"/>
              </w:rPr>
            </w:pPr>
            <w:r>
              <w:rPr>
                <w:rFonts w:ascii="Rockwell" w:hAnsi="Rockwell"/>
                <w:color w:val="000000"/>
                <w:szCs w:val="26"/>
              </w:rPr>
              <w:t>6</w:t>
            </w:r>
          </w:p>
        </w:tc>
        <w:tc>
          <w:tcPr>
            <w:tcW w:w="1701" w:type="dxa"/>
            <w:shd w:val="clear" w:color="auto" w:fill="auto"/>
            <w:tcMar>
              <w:top w:w="0" w:type="dxa"/>
              <w:left w:w="108" w:type="dxa"/>
              <w:bottom w:w="0" w:type="dxa"/>
              <w:right w:w="108" w:type="dxa"/>
            </w:tcMar>
            <w:vAlign w:val="center"/>
          </w:tcPr>
          <w:p w14:paraId="7B82F073" w14:textId="77777777" w:rsidR="00284822" w:rsidRDefault="00F77BF8">
            <w:pPr>
              <w:spacing w:before="120" w:after="120"/>
              <w:jc w:val="left"/>
              <w:rPr>
                <w:rFonts w:ascii="Rockwell" w:hAnsi="Rockwell"/>
                <w:color w:val="000000"/>
                <w:szCs w:val="26"/>
              </w:rPr>
            </w:pPr>
            <w:r>
              <w:rPr>
                <w:rFonts w:ascii="Rockwell" w:hAnsi="Rockwell"/>
                <w:color w:val="000000"/>
                <w:szCs w:val="26"/>
              </w:rPr>
              <w:t>5,17%</w:t>
            </w:r>
          </w:p>
        </w:tc>
      </w:tr>
      <w:tr w:rsidR="00284822" w14:paraId="44AC6568" w14:textId="77777777">
        <w:trPr>
          <w:trHeight w:val="609"/>
          <w:jc w:val="center"/>
        </w:trPr>
        <w:tc>
          <w:tcPr>
            <w:tcW w:w="988" w:type="dxa"/>
            <w:shd w:val="clear" w:color="auto" w:fill="auto"/>
            <w:tcMar>
              <w:top w:w="0" w:type="dxa"/>
              <w:left w:w="108" w:type="dxa"/>
              <w:bottom w:w="0" w:type="dxa"/>
              <w:right w:w="108" w:type="dxa"/>
            </w:tcMar>
            <w:vAlign w:val="center"/>
          </w:tcPr>
          <w:p w14:paraId="266FD39F" w14:textId="77777777" w:rsidR="00284822" w:rsidRDefault="00F77BF8">
            <w:pPr>
              <w:spacing w:before="120" w:after="120"/>
              <w:jc w:val="left"/>
              <w:rPr>
                <w:rFonts w:ascii="Rockwell" w:hAnsi="Rockwell"/>
                <w:szCs w:val="26"/>
              </w:rPr>
            </w:pPr>
            <w:r>
              <w:rPr>
                <w:rFonts w:ascii="Rockwell" w:hAnsi="Rockwell"/>
                <w:bCs/>
                <w:szCs w:val="26"/>
              </w:rPr>
              <w:t>8</w:t>
            </w:r>
            <w:r>
              <w:rPr>
                <w:rFonts w:ascii="Rockwell" w:hAnsi="Rockwell"/>
                <w:bCs/>
                <w:szCs w:val="26"/>
                <w:vertAlign w:val="superscript"/>
              </w:rPr>
              <w:t>e</w:t>
            </w:r>
            <w:r>
              <w:rPr>
                <w:rFonts w:ascii="Rockwell" w:hAnsi="Rockwell"/>
                <w:bCs/>
                <w:szCs w:val="26"/>
              </w:rPr>
              <w:t xml:space="preserve"> ex</w:t>
            </w:r>
          </w:p>
        </w:tc>
        <w:tc>
          <w:tcPr>
            <w:tcW w:w="3377" w:type="dxa"/>
            <w:shd w:val="clear" w:color="auto" w:fill="auto"/>
            <w:tcMar>
              <w:top w:w="0" w:type="dxa"/>
              <w:left w:w="108" w:type="dxa"/>
              <w:bottom w:w="0" w:type="dxa"/>
              <w:right w:w="108" w:type="dxa"/>
            </w:tcMar>
            <w:vAlign w:val="center"/>
          </w:tcPr>
          <w:p w14:paraId="2B1650A2" w14:textId="77777777" w:rsidR="00284822" w:rsidRDefault="00F77BF8">
            <w:pPr>
              <w:spacing w:before="120" w:after="120"/>
              <w:jc w:val="left"/>
              <w:rPr>
                <w:rFonts w:ascii="Rockwell" w:hAnsi="Rockwell"/>
                <w:b/>
                <w:color w:val="000000"/>
                <w:szCs w:val="26"/>
              </w:rPr>
            </w:pPr>
            <w:r>
              <w:rPr>
                <w:rFonts w:ascii="Rockwell" w:hAnsi="Rockwell"/>
                <w:b/>
                <w:color w:val="000000"/>
                <w:szCs w:val="26"/>
              </w:rPr>
              <w:t>RDR</w:t>
            </w:r>
          </w:p>
        </w:tc>
        <w:tc>
          <w:tcPr>
            <w:tcW w:w="1442" w:type="dxa"/>
            <w:shd w:val="clear" w:color="auto" w:fill="auto"/>
            <w:tcMar>
              <w:top w:w="0" w:type="dxa"/>
              <w:left w:w="108" w:type="dxa"/>
              <w:bottom w:w="0" w:type="dxa"/>
              <w:right w:w="108" w:type="dxa"/>
            </w:tcMar>
            <w:vAlign w:val="center"/>
          </w:tcPr>
          <w:p w14:paraId="12201079" w14:textId="77777777" w:rsidR="00284822" w:rsidRDefault="00F77BF8">
            <w:pPr>
              <w:spacing w:before="120" w:after="120"/>
              <w:jc w:val="left"/>
              <w:rPr>
                <w:rFonts w:ascii="Rockwell" w:hAnsi="Rockwell"/>
                <w:color w:val="000000"/>
                <w:szCs w:val="26"/>
              </w:rPr>
            </w:pPr>
            <w:r>
              <w:rPr>
                <w:rFonts w:ascii="Rockwell" w:hAnsi="Rockwell"/>
                <w:color w:val="000000"/>
                <w:szCs w:val="26"/>
              </w:rPr>
              <w:t>2</w:t>
            </w:r>
          </w:p>
        </w:tc>
        <w:tc>
          <w:tcPr>
            <w:tcW w:w="1276" w:type="dxa"/>
            <w:shd w:val="clear" w:color="auto" w:fill="auto"/>
            <w:tcMar>
              <w:top w:w="0" w:type="dxa"/>
              <w:left w:w="108" w:type="dxa"/>
              <w:bottom w:w="0" w:type="dxa"/>
              <w:right w:w="108" w:type="dxa"/>
            </w:tcMar>
            <w:vAlign w:val="center"/>
          </w:tcPr>
          <w:p w14:paraId="7324BF94" w14:textId="77777777" w:rsidR="00284822" w:rsidRDefault="00F77BF8">
            <w:pPr>
              <w:spacing w:before="120" w:after="120"/>
              <w:jc w:val="left"/>
              <w:rPr>
                <w:rFonts w:ascii="Rockwell" w:hAnsi="Rockwell"/>
                <w:color w:val="000000"/>
                <w:szCs w:val="26"/>
              </w:rPr>
            </w:pPr>
            <w:r>
              <w:rPr>
                <w:rFonts w:ascii="Rockwell" w:hAnsi="Rockwell"/>
                <w:color w:val="000000"/>
                <w:szCs w:val="26"/>
              </w:rPr>
              <w:t>3,07%</w:t>
            </w:r>
          </w:p>
        </w:tc>
        <w:tc>
          <w:tcPr>
            <w:tcW w:w="1701" w:type="dxa"/>
            <w:shd w:val="clear" w:color="auto" w:fill="auto"/>
            <w:tcMar>
              <w:top w:w="0" w:type="dxa"/>
              <w:left w:w="108" w:type="dxa"/>
              <w:bottom w:w="0" w:type="dxa"/>
              <w:right w:w="108" w:type="dxa"/>
            </w:tcMar>
            <w:vAlign w:val="center"/>
          </w:tcPr>
          <w:p w14:paraId="63D697DC" w14:textId="77777777" w:rsidR="00284822" w:rsidRDefault="00F77BF8">
            <w:pPr>
              <w:spacing w:before="120" w:after="120"/>
              <w:jc w:val="left"/>
              <w:rPr>
                <w:rFonts w:ascii="Rockwell" w:hAnsi="Rockwell"/>
                <w:color w:val="000000"/>
                <w:szCs w:val="26"/>
              </w:rPr>
            </w:pPr>
            <w:r>
              <w:rPr>
                <w:rFonts w:ascii="Rockwell" w:hAnsi="Rockwell"/>
                <w:color w:val="000000"/>
                <w:szCs w:val="26"/>
              </w:rPr>
              <w:t>3</w:t>
            </w:r>
          </w:p>
        </w:tc>
        <w:tc>
          <w:tcPr>
            <w:tcW w:w="1701" w:type="dxa"/>
            <w:shd w:val="clear" w:color="auto" w:fill="auto"/>
            <w:tcMar>
              <w:top w:w="0" w:type="dxa"/>
              <w:left w:w="108" w:type="dxa"/>
              <w:bottom w:w="0" w:type="dxa"/>
              <w:right w:w="108" w:type="dxa"/>
            </w:tcMar>
            <w:vAlign w:val="center"/>
          </w:tcPr>
          <w:p w14:paraId="3A8CBFF1" w14:textId="77777777" w:rsidR="00284822" w:rsidRDefault="00F77BF8">
            <w:pPr>
              <w:spacing w:before="120" w:after="120"/>
              <w:jc w:val="left"/>
              <w:rPr>
                <w:rFonts w:ascii="Rockwell" w:hAnsi="Rockwell"/>
                <w:color w:val="000000"/>
                <w:szCs w:val="26"/>
              </w:rPr>
            </w:pPr>
            <w:r>
              <w:rPr>
                <w:rFonts w:ascii="Rockwell" w:hAnsi="Rockwell"/>
                <w:color w:val="000000"/>
                <w:szCs w:val="26"/>
              </w:rPr>
              <w:t>2,59%</w:t>
            </w:r>
          </w:p>
        </w:tc>
      </w:tr>
      <w:tr w:rsidR="00284822" w14:paraId="7BF8BF4D" w14:textId="77777777">
        <w:trPr>
          <w:trHeight w:val="609"/>
          <w:jc w:val="center"/>
        </w:trPr>
        <w:tc>
          <w:tcPr>
            <w:tcW w:w="988" w:type="dxa"/>
            <w:shd w:val="clear" w:color="auto" w:fill="auto"/>
            <w:tcMar>
              <w:top w:w="0" w:type="dxa"/>
              <w:left w:w="108" w:type="dxa"/>
              <w:bottom w:w="0" w:type="dxa"/>
              <w:right w:w="108" w:type="dxa"/>
            </w:tcMar>
            <w:vAlign w:val="center"/>
          </w:tcPr>
          <w:p w14:paraId="24BB0CFE" w14:textId="77777777" w:rsidR="00284822" w:rsidRDefault="00F77BF8">
            <w:pPr>
              <w:spacing w:before="120" w:after="120"/>
              <w:jc w:val="left"/>
              <w:rPr>
                <w:rFonts w:ascii="Rockwell" w:hAnsi="Rockwell"/>
                <w:szCs w:val="26"/>
              </w:rPr>
            </w:pPr>
            <w:r>
              <w:rPr>
                <w:rFonts w:ascii="Rockwell" w:hAnsi="Rockwell"/>
                <w:bCs/>
                <w:szCs w:val="26"/>
              </w:rPr>
              <w:t>10</w:t>
            </w:r>
            <w:r>
              <w:rPr>
                <w:rFonts w:ascii="Rockwell" w:hAnsi="Rockwell"/>
                <w:bCs/>
                <w:szCs w:val="26"/>
                <w:vertAlign w:val="superscript"/>
              </w:rPr>
              <w:t>e</w:t>
            </w:r>
          </w:p>
        </w:tc>
        <w:tc>
          <w:tcPr>
            <w:tcW w:w="3377" w:type="dxa"/>
            <w:shd w:val="clear" w:color="auto" w:fill="auto"/>
            <w:tcMar>
              <w:top w:w="0" w:type="dxa"/>
              <w:left w:w="108" w:type="dxa"/>
              <w:bottom w:w="0" w:type="dxa"/>
              <w:right w:w="108" w:type="dxa"/>
            </w:tcMar>
            <w:vAlign w:val="center"/>
          </w:tcPr>
          <w:p w14:paraId="36EE2751" w14:textId="77777777" w:rsidR="00284822" w:rsidRDefault="00F77BF8">
            <w:pPr>
              <w:spacing w:before="120" w:after="120"/>
              <w:jc w:val="left"/>
              <w:rPr>
                <w:rFonts w:ascii="Rockwell" w:hAnsi="Rockwell"/>
                <w:b/>
                <w:color w:val="000000"/>
                <w:szCs w:val="26"/>
              </w:rPr>
            </w:pPr>
            <w:r>
              <w:rPr>
                <w:rFonts w:ascii="Rockwell" w:hAnsi="Rockwell"/>
                <w:b/>
                <w:color w:val="000000"/>
                <w:szCs w:val="26"/>
              </w:rPr>
              <w:t>LES DEMOCRATES</w:t>
            </w:r>
          </w:p>
        </w:tc>
        <w:tc>
          <w:tcPr>
            <w:tcW w:w="1442" w:type="dxa"/>
            <w:shd w:val="clear" w:color="auto" w:fill="auto"/>
            <w:tcMar>
              <w:top w:w="0" w:type="dxa"/>
              <w:left w:w="108" w:type="dxa"/>
              <w:bottom w:w="0" w:type="dxa"/>
              <w:right w:w="108" w:type="dxa"/>
            </w:tcMar>
            <w:vAlign w:val="center"/>
          </w:tcPr>
          <w:p w14:paraId="69672D5C" w14:textId="77777777" w:rsidR="00284822" w:rsidRDefault="00F77BF8">
            <w:pPr>
              <w:spacing w:before="120" w:after="120"/>
              <w:jc w:val="left"/>
              <w:rPr>
                <w:rFonts w:ascii="Rockwell" w:hAnsi="Rockwell"/>
                <w:color w:val="000000"/>
                <w:szCs w:val="26"/>
              </w:rPr>
            </w:pPr>
            <w:r>
              <w:rPr>
                <w:rFonts w:ascii="Rockwell" w:hAnsi="Rockwell"/>
                <w:color w:val="000000"/>
                <w:szCs w:val="26"/>
              </w:rPr>
              <w:t>1</w:t>
            </w:r>
          </w:p>
        </w:tc>
        <w:tc>
          <w:tcPr>
            <w:tcW w:w="1276" w:type="dxa"/>
            <w:shd w:val="clear" w:color="auto" w:fill="auto"/>
            <w:tcMar>
              <w:top w:w="0" w:type="dxa"/>
              <w:left w:w="108" w:type="dxa"/>
              <w:bottom w:w="0" w:type="dxa"/>
              <w:right w:w="108" w:type="dxa"/>
            </w:tcMar>
            <w:vAlign w:val="center"/>
          </w:tcPr>
          <w:p w14:paraId="36440195" w14:textId="77777777" w:rsidR="00284822" w:rsidRDefault="00F77BF8">
            <w:pPr>
              <w:spacing w:before="120" w:after="120"/>
              <w:jc w:val="left"/>
              <w:rPr>
                <w:rFonts w:ascii="Rockwell" w:hAnsi="Rockwell"/>
                <w:color w:val="000000"/>
                <w:szCs w:val="26"/>
              </w:rPr>
            </w:pPr>
            <w:r>
              <w:rPr>
                <w:rFonts w:ascii="Rockwell" w:hAnsi="Rockwell"/>
                <w:color w:val="000000"/>
                <w:szCs w:val="26"/>
              </w:rPr>
              <w:t>1,53%</w:t>
            </w:r>
          </w:p>
        </w:tc>
        <w:tc>
          <w:tcPr>
            <w:tcW w:w="1701" w:type="dxa"/>
            <w:shd w:val="clear" w:color="auto" w:fill="auto"/>
            <w:tcMar>
              <w:top w:w="0" w:type="dxa"/>
              <w:left w:w="108" w:type="dxa"/>
              <w:bottom w:w="0" w:type="dxa"/>
              <w:right w:w="108" w:type="dxa"/>
            </w:tcMar>
            <w:vAlign w:val="center"/>
          </w:tcPr>
          <w:p w14:paraId="69FD7ED4" w14:textId="77777777" w:rsidR="00284822" w:rsidRDefault="00F77BF8">
            <w:pPr>
              <w:spacing w:before="120" w:after="120"/>
              <w:jc w:val="left"/>
              <w:rPr>
                <w:rFonts w:ascii="Rockwell" w:hAnsi="Rockwell"/>
                <w:color w:val="000000"/>
                <w:szCs w:val="26"/>
              </w:rPr>
            </w:pPr>
            <w:r>
              <w:rPr>
                <w:rFonts w:ascii="Rockwell" w:hAnsi="Rockwell"/>
                <w:color w:val="000000"/>
                <w:szCs w:val="26"/>
              </w:rPr>
              <w:t>3</w:t>
            </w:r>
          </w:p>
        </w:tc>
        <w:tc>
          <w:tcPr>
            <w:tcW w:w="1701" w:type="dxa"/>
            <w:shd w:val="clear" w:color="auto" w:fill="auto"/>
            <w:tcMar>
              <w:top w:w="0" w:type="dxa"/>
              <w:left w:w="108" w:type="dxa"/>
              <w:bottom w:w="0" w:type="dxa"/>
              <w:right w:w="108" w:type="dxa"/>
            </w:tcMar>
            <w:vAlign w:val="center"/>
          </w:tcPr>
          <w:p w14:paraId="3CF772B8" w14:textId="77777777" w:rsidR="00284822" w:rsidRDefault="00F77BF8">
            <w:pPr>
              <w:spacing w:before="120" w:after="120"/>
              <w:jc w:val="left"/>
              <w:rPr>
                <w:rFonts w:ascii="Rockwell" w:hAnsi="Rockwell"/>
                <w:color w:val="000000"/>
                <w:szCs w:val="26"/>
              </w:rPr>
            </w:pPr>
            <w:r>
              <w:rPr>
                <w:rFonts w:ascii="Rockwell" w:hAnsi="Rockwell"/>
                <w:color w:val="000000"/>
                <w:szCs w:val="26"/>
              </w:rPr>
              <w:t>2,59%</w:t>
            </w:r>
          </w:p>
        </w:tc>
      </w:tr>
    </w:tbl>
    <w:p w14:paraId="10CFF199" w14:textId="77777777" w:rsidR="00284822" w:rsidRDefault="00F77BF8">
      <w:pPr>
        <w:tabs>
          <w:tab w:val="left" w:pos="895"/>
        </w:tabs>
        <w:spacing w:before="120" w:after="120"/>
        <w:ind w:left="-709"/>
        <w:rPr>
          <w:rFonts w:ascii="Rockwell" w:hAnsi="Rockwell"/>
          <w:i/>
          <w:sz w:val="20"/>
          <w:szCs w:val="20"/>
        </w:rPr>
      </w:pPr>
      <w:r>
        <w:rPr>
          <w:rFonts w:ascii="Rockwell" w:hAnsi="Rockwell"/>
          <w:i/>
          <w:sz w:val="20"/>
          <w:szCs w:val="20"/>
        </w:rPr>
        <w:t xml:space="preserve">        </w:t>
      </w:r>
      <w:r>
        <w:rPr>
          <w:rFonts w:ascii="Rockwell" w:hAnsi="Rockwell"/>
          <w:i/>
          <w:sz w:val="20"/>
          <w:szCs w:val="20"/>
          <w:u w:val="single"/>
        </w:rPr>
        <w:t>Source</w:t>
      </w:r>
      <w:r>
        <w:rPr>
          <w:rFonts w:ascii="Rockwell" w:hAnsi="Rockwell"/>
          <w:i/>
          <w:sz w:val="20"/>
          <w:szCs w:val="20"/>
        </w:rPr>
        <w:t> : Monitoring CSC</w:t>
      </w:r>
    </w:p>
    <w:p w14:paraId="03B45FE8" w14:textId="77777777" w:rsidR="00284822" w:rsidRDefault="00284822">
      <w:pPr>
        <w:spacing w:before="120" w:after="120"/>
        <w:rPr>
          <w:rFonts w:ascii="Rockwell" w:hAnsi="Rockwell"/>
          <w:color w:val="FF0000"/>
          <w:szCs w:val="26"/>
        </w:rPr>
        <w:sectPr w:rsidR="00284822">
          <w:pgSz w:w="11906" w:h="16838"/>
          <w:pgMar w:top="1418" w:right="707" w:bottom="1418" w:left="1418" w:header="709" w:footer="709" w:gutter="0"/>
          <w:cols w:space="720"/>
        </w:sectPr>
      </w:pPr>
    </w:p>
    <w:p w14:paraId="4B03257F" w14:textId="77777777" w:rsidR="00284822" w:rsidRDefault="00F77BF8">
      <w:pPr>
        <w:spacing w:before="120" w:after="120"/>
        <w:jc w:val="center"/>
        <w:rPr>
          <w:rFonts w:ascii="Rockwell" w:hAnsi="Rockwell"/>
          <w:i/>
          <w:sz w:val="20"/>
          <w:szCs w:val="20"/>
        </w:rPr>
      </w:pPr>
      <w:r>
        <w:rPr>
          <w:rFonts w:ascii="Rockwell" w:hAnsi="Rockwell"/>
          <w:i/>
          <w:sz w:val="20"/>
          <w:szCs w:val="20"/>
          <w:u w:val="single"/>
        </w:rPr>
        <w:lastRenderedPageBreak/>
        <w:t xml:space="preserve">Représentation graphique des NP et des NI obtenus par les dix premiers partis politiques dans L’Observateur </w:t>
      </w:r>
      <w:proofErr w:type="spellStart"/>
      <w:r>
        <w:rPr>
          <w:rFonts w:ascii="Rockwell" w:hAnsi="Rockwell"/>
          <w:i/>
          <w:sz w:val="20"/>
          <w:szCs w:val="20"/>
          <w:u w:val="single"/>
        </w:rPr>
        <w:t>Paalga</w:t>
      </w:r>
      <w:proofErr w:type="spellEnd"/>
    </w:p>
    <w:p w14:paraId="52C25539" w14:textId="77777777" w:rsidR="00284822" w:rsidRDefault="00F77BF8">
      <w:pPr>
        <w:spacing w:before="120" w:after="120"/>
        <w:rPr>
          <w:rFonts w:ascii="Rockwell" w:hAnsi="Rockwell"/>
          <w:szCs w:val="26"/>
        </w:rPr>
      </w:pPr>
      <w:r>
        <w:rPr>
          <w:rFonts w:ascii="Rockwell" w:hAnsi="Rockwell"/>
          <w:noProof/>
          <w:szCs w:val="26"/>
        </w:rPr>
        <w:drawing>
          <wp:inline distT="0" distB="0" distL="0" distR="0" wp14:anchorId="27EA9580" wp14:editId="6D761C4D">
            <wp:extent cx="6067425" cy="3257550"/>
            <wp:effectExtent l="0" t="0" r="9525" b="0"/>
            <wp:docPr id="18" name="Graphique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044C4E9E" w14:textId="77777777" w:rsidR="00284822" w:rsidRDefault="00284822">
      <w:pPr>
        <w:spacing w:before="120" w:after="120"/>
        <w:rPr>
          <w:rFonts w:ascii="Rockwell" w:hAnsi="Rockwell"/>
          <w:sz w:val="10"/>
          <w:szCs w:val="10"/>
        </w:rPr>
      </w:pPr>
    </w:p>
    <w:p w14:paraId="7E70ADE1" w14:textId="77777777" w:rsidR="00284822" w:rsidRDefault="00F77BF8">
      <w:pPr>
        <w:pStyle w:val="Titre5"/>
        <w:numPr>
          <w:ilvl w:val="1"/>
          <w:numId w:val="15"/>
        </w:numPr>
        <w:rPr>
          <w:rFonts w:ascii="Rockwell" w:hAnsi="Rockwell"/>
        </w:rPr>
      </w:pPr>
      <w:bookmarkStart w:id="140" w:name="_Toc175048664"/>
      <w:r>
        <w:rPr>
          <w:rFonts w:ascii="Rockwell" w:hAnsi="Rockwell"/>
        </w:rPr>
        <w:t>Le Pays</w:t>
      </w:r>
      <w:bookmarkEnd w:id="140"/>
    </w:p>
    <w:p w14:paraId="43CB9091" w14:textId="77777777" w:rsidR="00284822" w:rsidRDefault="00F77BF8">
      <w:pPr>
        <w:spacing w:before="120" w:after="120"/>
        <w:rPr>
          <w:rFonts w:ascii="Rockwell" w:hAnsi="Rockwell"/>
          <w:szCs w:val="26"/>
        </w:rPr>
      </w:pPr>
      <w:r>
        <w:rPr>
          <w:rFonts w:ascii="Rockwell" w:hAnsi="Rockwell"/>
          <w:i/>
          <w:szCs w:val="26"/>
        </w:rPr>
        <w:t>Le Pays</w:t>
      </w:r>
      <w:r>
        <w:rPr>
          <w:rFonts w:ascii="Rockwell" w:hAnsi="Rockwell"/>
          <w:szCs w:val="26"/>
        </w:rPr>
        <w:t xml:space="preserve"> a couvert l’actualité politique de 41 partis avec </w:t>
      </w:r>
      <w:r>
        <w:rPr>
          <w:rFonts w:ascii="Rockwell" w:hAnsi="Rockwell"/>
          <w:color w:val="000000"/>
          <w:szCs w:val="26"/>
        </w:rPr>
        <w:t xml:space="preserve">141 </w:t>
      </w:r>
      <w:r>
        <w:rPr>
          <w:rFonts w:ascii="Rockwell" w:hAnsi="Rockwell"/>
          <w:szCs w:val="26"/>
        </w:rPr>
        <w:t xml:space="preserve">pages </w:t>
      </w:r>
      <w:r>
        <w:rPr>
          <w:rFonts w:ascii="Rockwell" w:hAnsi="Rockwell"/>
          <w:color w:val="000000"/>
          <w:szCs w:val="26"/>
        </w:rPr>
        <w:t>7/8</w:t>
      </w:r>
      <w:r>
        <w:rPr>
          <w:rFonts w:ascii="Rockwell" w:hAnsi="Rockwell"/>
          <w:szCs w:val="26"/>
        </w:rPr>
        <w:t xml:space="preserve"> et 237 illustrations. Les 10 premiers partis politiques sont classés dans le tableau suivant :</w:t>
      </w:r>
    </w:p>
    <w:p w14:paraId="108966BB" w14:textId="77777777" w:rsidR="00284822" w:rsidRDefault="00284822">
      <w:pPr>
        <w:spacing w:before="120" w:after="120"/>
        <w:jc w:val="center"/>
        <w:rPr>
          <w:rFonts w:ascii="Rockwell" w:hAnsi="Rockwell"/>
          <w:szCs w:val="26"/>
        </w:rPr>
        <w:sectPr w:rsidR="00284822">
          <w:pgSz w:w="11906" w:h="16838"/>
          <w:pgMar w:top="1418" w:right="1418" w:bottom="1418" w:left="1418" w:header="709" w:footer="709" w:gutter="0"/>
          <w:cols w:space="720"/>
        </w:sectPr>
      </w:pPr>
    </w:p>
    <w:p w14:paraId="0C1FF563" w14:textId="77777777" w:rsidR="00284822" w:rsidRDefault="00F77BF8">
      <w:pPr>
        <w:spacing w:before="120" w:after="120"/>
        <w:jc w:val="center"/>
        <w:rPr>
          <w:rFonts w:ascii="Rockwell" w:hAnsi="Rockwell"/>
          <w:i/>
          <w:sz w:val="20"/>
          <w:szCs w:val="20"/>
        </w:rPr>
      </w:pPr>
      <w:r>
        <w:rPr>
          <w:rFonts w:ascii="Rockwell" w:hAnsi="Rockwell"/>
          <w:b/>
          <w:sz w:val="20"/>
          <w:szCs w:val="20"/>
          <w:u w:val="single"/>
        </w:rPr>
        <w:lastRenderedPageBreak/>
        <w:t>Tableau 4</w:t>
      </w:r>
      <w:r>
        <w:rPr>
          <w:rFonts w:ascii="Rockwell" w:hAnsi="Rockwell"/>
          <w:sz w:val="20"/>
          <w:szCs w:val="20"/>
        </w:rPr>
        <w:t xml:space="preserve"> : </w:t>
      </w:r>
      <w:r>
        <w:rPr>
          <w:rFonts w:ascii="Rockwell" w:hAnsi="Rockwell"/>
          <w:i/>
          <w:sz w:val="20"/>
          <w:szCs w:val="20"/>
        </w:rPr>
        <w:t>Classement des dix premiers partis politiques selon le NP et le NI publiés dans Le Pays</w:t>
      </w:r>
    </w:p>
    <w:tbl>
      <w:tblPr>
        <w:tblW w:w="578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08"/>
        <w:gridCol w:w="2771"/>
        <w:gridCol w:w="1504"/>
        <w:gridCol w:w="1770"/>
        <w:gridCol w:w="1482"/>
        <w:gridCol w:w="1746"/>
      </w:tblGrid>
      <w:tr w:rsidR="00284822" w14:paraId="74F0C5C0" w14:textId="77777777">
        <w:trPr>
          <w:trHeight w:val="744"/>
        </w:trPr>
        <w:tc>
          <w:tcPr>
            <w:tcW w:w="10481" w:type="dxa"/>
            <w:gridSpan w:val="6"/>
            <w:shd w:val="clear" w:color="auto" w:fill="auto"/>
            <w:tcMar>
              <w:top w:w="0" w:type="dxa"/>
              <w:left w:w="108" w:type="dxa"/>
              <w:bottom w:w="0" w:type="dxa"/>
              <w:right w:w="108" w:type="dxa"/>
            </w:tcMar>
            <w:vAlign w:val="center"/>
          </w:tcPr>
          <w:p w14:paraId="41159B3A" w14:textId="77777777" w:rsidR="00284822" w:rsidRDefault="00F77BF8">
            <w:pPr>
              <w:spacing w:before="120" w:after="120"/>
              <w:jc w:val="center"/>
              <w:rPr>
                <w:rFonts w:ascii="Rockwell" w:hAnsi="Rockwell"/>
                <w:b/>
                <w:bCs/>
                <w:color w:val="000000"/>
                <w:szCs w:val="26"/>
              </w:rPr>
            </w:pPr>
            <w:r>
              <w:rPr>
                <w:rFonts w:ascii="Rockwell" w:hAnsi="Rockwell"/>
                <w:b/>
                <w:bCs/>
                <w:color w:val="000000"/>
                <w:szCs w:val="26"/>
              </w:rPr>
              <w:t>LE PAYS</w:t>
            </w:r>
          </w:p>
        </w:tc>
      </w:tr>
      <w:tr w:rsidR="00284822" w14:paraId="735E8E92" w14:textId="77777777">
        <w:trPr>
          <w:trHeight w:val="908"/>
        </w:trPr>
        <w:tc>
          <w:tcPr>
            <w:tcW w:w="1208" w:type="dxa"/>
            <w:shd w:val="clear" w:color="auto" w:fill="auto"/>
            <w:tcMar>
              <w:top w:w="0" w:type="dxa"/>
              <w:left w:w="108" w:type="dxa"/>
              <w:bottom w:w="0" w:type="dxa"/>
              <w:right w:w="108" w:type="dxa"/>
            </w:tcMar>
            <w:vAlign w:val="center"/>
          </w:tcPr>
          <w:p w14:paraId="53DF541B" w14:textId="77777777" w:rsidR="00284822" w:rsidRDefault="00F77BF8">
            <w:pPr>
              <w:spacing w:before="120" w:after="120"/>
              <w:rPr>
                <w:rFonts w:ascii="Rockwell" w:hAnsi="Rockwell"/>
                <w:b/>
                <w:bCs/>
                <w:color w:val="000000"/>
                <w:szCs w:val="26"/>
              </w:rPr>
            </w:pPr>
            <w:r>
              <w:rPr>
                <w:rFonts w:ascii="Rockwell" w:hAnsi="Rockwell"/>
                <w:b/>
                <w:bCs/>
                <w:color w:val="000000"/>
                <w:szCs w:val="26"/>
              </w:rPr>
              <w:t>RANG</w:t>
            </w:r>
          </w:p>
        </w:tc>
        <w:tc>
          <w:tcPr>
            <w:tcW w:w="2771" w:type="dxa"/>
            <w:shd w:val="clear" w:color="auto" w:fill="auto"/>
            <w:tcMar>
              <w:top w:w="0" w:type="dxa"/>
              <w:left w:w="108" w:type="dxa"/>
              <w:bottom w:w="0" w:type="dxa"/>
              <w:right w:w="108" w:type="dxa"/>
            </w:tcMar>
            <w:vAlign w:val="center"/>
          </w:tcPr>
          <w:p w14:paraId="39AA654D" w14:textId="77777777" w:rsidR="00284822" w:rsidRDefault="00F77BF8">
            <w:pPr>
              <w:spacing w:before="120" w:after="120"/>
              <w:rPr>
                <w:rFonts w:ascii="Rockwell" w:hAnsi="Rockwell"/>
                <w:szCs w:val="26"/>
              </w:rPr>
            </w:pPr>
            <w:r>
              <w:rPr>
                <w:rFonts w:ascii="Rockwell" w:hAnsi="Rockwell"/>
                <w:b/>
                <w:bCs/>
                <w:color w:val="000000"/>
                <w:szCs w:val="26"/>
              </w:rPr>
              <w:t>ACTEURS POLITIQUES</w:t>
            </w:r>
          </w:p>
        </w:tc>
        <w:tc>
          <w:tcPr>
            <w:tcW w:w="1504" w:type="dxa"/>
            <w:shd w:val="clear" w:color="auto" w:fill="auto"/>
            <w:tcMar>
              <w:top w:w="0" w:type="dxa"/>
              <w:left w:w="108" w:type="dxa"/>
              <w:bottom w:w="0" w:type="dxa"/>
              <w:right w:w="108" w:type="dxa"/>
            </w:tcMar>
            <w:vAlign w:val="center"/>
          </w:tcPr>
          <w:p w14:paraId="58FD1E7A" w14:textId="77777777" w:rsidR="00284822" w:rsidRDefault="00F77BF8">
            <w:pPr>
              <w:spacing w:before="120" w:after="120"/>
              <w:rPr>
                <w:rFonts w:ascii="Rockwell" w:hAnsi="Rockwell"/>
                <w:b/>
                <w:color w:val="000000"/>
                <w:szCs w:val="26"/>
              </w:rPr>
            </w:pPr>
            <w:r>
              <w:rPr>
                <w:rFonts w:ascii="Rockwell" w:hAnsi="Rockwell"/>
                <w:b/>
                <w:color w:val="000000"/>
                <w:szCs w:val="26"/>
              </w:rPr>
              <w:t>NP</w:t>
            </w:r>
          </w:p>
        </w:tc>
        <w:tc>
          <w:tcPr>
            <w:tcW w:w="1770" w:type="dxa"/>
            <w:shd w:val="clear" w:color="auto" w:fill="auto"/>
            <w:tcMar>
              <w:top w:w="0" w:type="dxa"/>
              <w:left w:w="108" w:type="dxa"/>
              <w:bottom w:w="0" w:type="dxa"/>
              <w:right w:w="108" w:type="dxa"/>
            </w:tcMar>
            <w:vAlign w:val="center"/>
          </w:tcPr>
          <w:p w14:paraId="0187108E" w14:textId="77777777" w:rsidR="00284822" w:rsidRDefault="00F77BF8">
            <w:pPr>
              <w:spacing w:before="120" w:after="120"/>
              <w:rPr>
                <w:rFonts w:ascii="Rockwell" w:hAnsi="Rockwell"/>
                <w:b/>
                <w:color w:val="000000"/>
                <w:szCs w:val="26"/>
              </w:rPr>
            </w:pPr>
            <w:r>
              <w:rPr>
                <w:rFonts w:ascii="Rockwell" w:hAnsi="Rockwell"/>
                <w:b/>
                <w:color w:val="000000"/>
                <w:szCs w:val="26"/>
              </w:rPr>
              <w:t>% NP</w:t>
            </w:r>
          </w:p>
        </w:tc>
        <w:tc>
          <w:tcPr>
            <w:tcW w:w="1482" w:type="dxa"/>
            <w:shd w:val="clear" w:color="auto" w:fill="auto"/>
            <w:tcMar>
              <w:top w:w="0" w:type="dxa"/>
              <w:left w:w="108" w:type="dxa"/>
              <w:bottom w:w="0" w:type="dxa"/>
              <w:right w:w="108" w:type="dxa"/>
            </w:tcMar>
            <w:vAlign w:val="center"/>
          </w:tcPr>
          <w:p w14:paraId="3592D015" w14:textId="77777777" w:rsidR="00284822" w:rsidRDefault="00F77BF8">
            <w:pPr>
              <w:spacing w:before="120" w:after="120"/>
              <w:rPr>
                <w:rFonts w:ascii="Rockwell" w:hAnsi="Rockwell"/>
                <w:b/>
                <w:color w:val="000000"/>
                <w:szCs w:val="26"/>
              </w:rPr>
            </w:pPr>
            <w:r>
              <w:rPr>
                <w:rFonts w:ascii="Rockwell" w:hAnsi="Rockwell"/>
                <w:b/>
                <w:color w:val="000000"/>
                <w:szCs w:val="26"/>
              </w:rPr>
              <w:t>NI</w:t>
            </w:r>
          </w:p>
        </w:tc>
        <w:tc>
          <w:tcPr>
            <w:tcW w:w="1746" w:type="dxa"/>
            <w:shd w:val="clear" w:color="auto" w:fill="auto"/>
            <w:tcMar>
              <w:top w:w="0" w:type="dxa"/>
              <w:left w:w="108" w:type="dxa"/>
              <w:bottom w:w="0" w:type="dxa"/>
              <w:right w:w="108" w:type="dxa"/>
            </w:tcMar>
            <w:vAlign w:val="center"/>
          </w:tcPr>
          <w:p w14:paraId="5C458DD2" w14:textId="77777777" w:rsidR="00284822" w:rsidRDefault="00F77BF8">
            <w:pPr>
              <w:spacing w:before="120" w:after="120"/>
              <w:rPr>
                <w:rFonts w:ascii="Rockwell" w:hAnsi="Rockwell"/>
                <w:b/>
                <w:color w:val="000000"/>
                <w:szCs w:val="26"/>
              </w:rPr>
            </w:pPr>
            <w:r>
              <w:rPr>
                <w:rFonts w:ascii="Rockwell" w:hAnsi="Rockwell"/>
                <w:b/>
                <w:color w:val="000000"/>
                <w:szCs w:val="26"/>
              </w:rPr>
              <w:t>% NI</w:t>
            </w:r>
          </w:p>
        </w:tc>
      </w:tr>
      <w:tr w:rsidR="00284822" w14:paraId="5A8A78FB" w14:textId="77777777">
        <w:trPr>
          <w:trHeight w:val="84"/>
        </w:trPr>
        <w:tc>
          <w:tcPr>
            <w:tcW w:w="1208" w:type="dxa"/>
            <w:shd w:val="clear" w:color="auto" w:fill="auto"/>
            <w:tcMar>
              <w:top w:w="0" w:type="dxa"/>
              <w:left w:w="108" w:type="dxa"/>
              <w:bottom w:w="0" w:type="dxa"/>
              <w:right w:w="108" w:type="dxa"/>
            </w:tcMar>
            <w:vAlign w:val="bottom"/>
          </w:tcPr>
          <w:p w14:paraId="0D907CB7" w14:textId="77777777" w:rsidR="00284822" w:rsidRDefault="00F77BF8">
            <w:pPr>
              <w:spacing w:before="120" w:after="120"/>
              <w:rPr>
                <w:rFonts w:ascii="Rockwell" w:hAnsi="Rockwell"/>
                <w:szCs w:val="26"/>
              </w:rPr>
            </w:pPr>
            <w:r>
              <w:rPr>
                <w:rFonts w:ascii="Rockwell" w:hAnsi="Rockwell"/>
                <w:bCs/>
                <w:szCs w:val="26"/>
              </w:rPr>
              <w:t>1</w:t>
            </w:r>
            <w:r>
              <w:rPr>
                <w:rFonts w:ascii="Rockwell" w:hAnsi="Rockwell"/>
                <w:bCs/>
                <w:szCs w:val="26"/>
                <w:vertAlign w:val="superscript"/>
              </w:rPr>
              <w:t>er</w:t>
            </w:r>
          </w:p>
        </w:tc>
        <w:tc>
          <w:tcPr>
            <w:tcW w:w="2771" w:type="dxa"/>
            <w:shd w:val="clear" w:color="auto" w:fill="auto"/>
            <w:tcMar>
              <w:top w:w="0" w:type="dxa"/>
              <w:left w:w="108" w:type="dxa"/>
              <w:bottom w:w="0" w:type="dxa"/>
              <w:right w:w="108" w:type="dxa"/>
            </w:tcMar>
            <w:vAlign w:val="bottom"/>
          </w:tcPr>
          <w:p w14:paraId="7B0D2DC0" w14:textId="77777777" w:rsidR="00284822" w:rsidRDefault="00F77BF8">
            <w:pPr>
              <w:spacing w:before="120" w:after="120"/>
              <w:rPr>
                <w:rFonts w:ascii="Rockwell" w:hAnsi="Rockwell"/>
                <w:b/>
                <w:color w:val="000000"/>
                <w:szCs w:val="26"/>
              </w:rPr>
            </w:pPr>
            <w:r>
              <w:rPr>
                <w:rFonts w:ascii="Rockwell" w:hAnsi="Rockwell"/>
                <w:b/>
                <w:color w:val="000000"/>
                <w:szCs w:val="26"/>
              </w:rPr>
              <w:t>CDP</w:t>
            </w:r>
          </w:p>
        </w:tc>
        <w:tc>
          <w:tcPr>
            <w:tcW w:w="1504" w:type="dxa"/>
            <w:shd w:val="clear" w:color="auto" w:fill="auto"/>
            <w:tcMar>
              <w:top w:w="0" w:type="dxa"/>
              <w:left w:w="108" w:type="dxa"/>
              <w:bottom w:w="0" w:type="dxa"/>
              <w:right w:w="108" w:type="dxa"/>
            </w:tcMar>
            <w:vAlign w:val="center"/>
          </w:tcPr>
          <w:p w14:paraId="43A12492" w14:textId="77777777" w:rsidR="00284822" w:rsidRDefault="00F77BF8">
            <w:pPr>
              <w:spacing w:before="120" w:after="120"/>
              <w:rPr>
                <w:rFonts w:ascii="Rockwell" w:hAnsi="Rockwell"/>
                <w:color w:val="000000"/>
                <w:szCs w:val="26"/>
              </w:rPr>
            </w:pPr>
            <w:r>
              <w:rPr>
                <w:rFonts w:ascii="Rockwell" w:hAnsi="Rockwell"/>
                <w:color w:val="000000"/>
                <w:szCs w:val="26"/>
              </w:rPr>
              <w:t>35</w:t>
            </w:r>
          </w:p>
        </w:tc>
        <w:tc>
          <w:tcPr>
            <w:tcW w:w="1770" w:type="dxa"/>
            <w:shd w:val="clear" w:color="auto" w:fill="auto"/>
            <w:tcMar>
              <w:top w:w="0" w:type="dxa"/>
              <w:left w:w="108" w:type="dxa"/>
              <w:bottom w:w="0" w:type="dxa"/>
              <w:right w:w="108" w:type="dxa"/>
            </w:tcMar>
            <w:vAlign w:val="center"/>
          </w:tcPr>
          <w:p w14:paraId="1804DEC4" w14:textId="77777777" w:rsidR="00284822" w:rsidRDefault="00F77BF8">
            <w:pPr>
              <w:spacing w:before="120" w:after="120"/>
              <w:rPr>
                <w:rFonts w:ascii="Rockwell" w:hAnsi="Rockwell"/>
                <w:color w:val="000000"/>
                <w:szCs w:val="26"/>
              </w:rPr>
            </w:pPr>
            <w:r>
              <w:rPr>
                <w:rFonts w:ascii="Rockwell" w:hAnsi="Rockwell"/>
                <w:color w:val="000000"/>
                <w:szCs w:val="26"/>
              </w:rPr>
              <w:t>24,67%</w:t>
            </w:r>
          </w:p>
        </w:tc>
        <w:tc>
          <w:tcPr>
            <w:tcW w:w="1482" w:type="dxa"/>
            <w:shd w:val="clear" w:color="auto" w:fill="auto"/>
            <w:tcMar>
              <w:top w:w="0" w:type="dxa"/>
              <w:left w:w="108" w:type="dxa"/>
              <w:bottom w:w="0" w:type="dxa"/>
              <w:right w:w="108" w:type="dxa"/>
            </w:tcMar>
            <w:vAlign w:val="center"/>
          </w:tcPr>
          <w:p w14:paraId="0DE2C3FF" w14:textId="77777777" w:rsidR="00284822" w:rsidRDefault="00F77BF8">
            <w:pPr>
              <w:spacing w:before="120" w:after="120"/>
              <w:rPr>
                <w:rFonts w:ascii="Rockwell" w:hAnsi="Rockwell"/>
                <w:color w:val="000000"/>
                <w:szCs w:val="26"/>
              </w:rPr>
            </w:pPr>
            <w:r>
              <w:rPr>
                <w:rFonts w:ascii="Rockwell" w:hAnsi="Rockwell"/>
                <w:color w:val="000000"/>
                <w:szCs w:val="26"/>
              </w:rPr>
              <w:t>63</w:t>
            </w:r>
          </w:p>
        </w:tc>
        <w:tc>
          <w:tcPr>
            <w:tcW w:w="1746" w:type="dxa"/>
            <w:shd w:val="clear" w:color="auto" w:fill="auto"/>
            <w:tcMar>
              <w:top w:w="0" w:type="dxa"/>
              <w:left w:w="108" w:type="dxa"/>
              <w:bottom w:w="0" w:type="dxa"/>
              <w:right w:w="108" w:type="dxa"/>
            </w:tcMar>
            <w:vAlign w:val="center"/>
          </w:tcPr>
          <w:p w14:paraId="4F85C95B" w14:textId="77777777" w:rsidR="00284822" w:rsidRDefault="00F77BF8">
            <w:pPr>
              <w:spacing w:before="120" w:after="120"/>
              <w:rPr>
                <w:rFonts w:ascii="Rockwell" w:hAnsi="Rockwell"/>
                <w:color w:val="000000"/>
                <w:szCs w:val="26"/>
              </w:rPr>
            </w:pPr>
            <w:r>
              <w:rPr>
                <w:rFonts w:ascii="Rockwell" w:hAnsi="Rockwell"/>
                <w:color w:val="000000"/>
                <w:szCs w:val="26"/>
              </w:rPr>
              <w:t>26,58%</w:t>
            </w:r>
          </w:p>
        </w:tc>
      </w:tr>
      <w:tr w:rsidR="00284822" w14:paraId="6A1C4D5E" w14:textId="77777777">
        <w:trPr>
          <w:trHeight w:val="84"/>
        </w:trPr>
        <w:tc>
          <w:tcPr>
            <w:tcW w:w="1208" w:type="dxa"/>
            <w:shd w:val="clear" w:color="auto" w:fill="auto"/>
            <w:tcMar>
              <w:top w:w="0" w:type="dxa"/>
              <w:left w:w="108" w:type="dxa"/>
              <w:bottom w:w="0" w:type="dxa"/>
              <w:right w:w="108" w:type="dxa"/>
            </w:tcMar>
            <w:vAlign w:val="bottom"/>
          </w:tcPr>
          <w:p w14:paraId="0D50159F" w14:textId="77777777" w:rsidR="00284822" w:rsidRDefault="00F77BF8">
            <w:pPr>
              <w:spacing w:before="120" w:after="120"/>
              <w:rPr>
                <w:rFonts w:ascii="Rockwell" w:hAnsi="Rockwell"/>
                <w:szCs w:val="26"/>
              </w:rPr>
            </w:pPr>
            <w:r>
              <w:rPr>
                <w:rFonts w:ascii="Rockwell" w:hAnsi="Rockwell"/>
                <w:bCs/>
                <w:szCs w:val="26"/>
              </w:rPr>
              <w:t>2</w:t>
            </w:r>
            <w:r>
              <w:rPr>
                <w:rFonts w:ascii="Rockwell" w:hAnsi="Rockwell"/>
                <w:bCs/>
                <w:szCs w:val="26"/>
                <w:vertAlign w:val="superscript"/>
              </w:rPr>
              <w:t>e</w:t>
            </w:r>
          </w:p>
        </w:tc>
        <w:tc>
          <w:tcPr>
            <w:tcW w:w="2771" w:type="dxa"/>
            <w:shd w:val="clear" w:color="auto" w:fill="auto"/>
            <w:tcMar>
              <w:top w:w="0" w:type="dxa"/>
              <w:left w:w="108" w:type="dxa"/>
              <w:bottom w:w="0" w:type="dxa"/>
              <w:right w:w="108" w:type="dxa"/>
            </w:tcMar>
            <w:vAlign w:val="bottom"/>
          </w:tcPr>
          <w:p w14:paraId="545A1F78" w14:textId="77777777" w:rsidR="00284822" w:rsidRDefault="00F77BF8">
            <w:pPr>
              <w:spacing w:before="120" w:after="120"/>
              <w:rPr>
                <w:rFonts w:ascii="Rockwell" w:hAnsi="Rockwell"/>
                <w:b/>
                <w:color w:val="000000"/>
                <w:szCs w:val="26"/>
              </w:rPr>
            </w:pPr>
            <w:r>
              <w:rPr>
                <w:rFonts w:ascii="Rockwell" w:hAnsi="Rockwell"/>
                <w:b/>
                <w:color w:val="000000"/>
                <w:szCs w:val="26"/>
              </w:rPr>
              <w:t>MPP</w:t>
            </w:r>
          </w:p>
        </w:tc>
        <w:tc>
          <w:tcPr>
            <w:tcW w:w="1504" w:type="dxa"/>
            <w:shd w:val="clear" w:color="auto" w:fill="auto"/>
            <w:tcMar>
              <w:top w:w="0" w:type="dxa"/>
              <w:left w:w="108" w:type="dxa"/>
              <w:bottom w:w="0" w:type="dxa"/>
              <w:right w:w="108" w:type="dxa"/>
            </w:tcMar>
            <w:vAlign w:val="center"/>
          </w:tcPr>
          <w:p w14:paraId="20762CF7" w14:textId="77777777" w:rsidR="00284822" w:rsidRDefault="00F77BF8">
            <w:pPr>
              <w:spacing w:before="120" w:after="120"/>
              <w:rPr>
                <w:rFonts w:ascii="Rockwell" w:hAnsi="Rockwell"/>
                <w:color w:val="000000"/>
                <w:szCs w:val="26"/>
              </w:rPr>
            </w:pPr>
            <w:r>
              <w:rPr>
                <w:rFonts w:ascii="Rockwell" w:hAnsi="Rockwell"/>
                <w:color w:val="000000"/>
                <w:szCs w:val="26"/>
              </w:rPr>
              <w:t>22 et 1/2</w:t>
            </w:r>
          </w:p>
        </w:tc>
        <w:tc>
          <w:tcPr>
            <w:tcW w:w="1770" w:type="dxa"/>
            <w:shd w:val="clear" w:color="auto" w:fill="auto"/>
            <w:tcMar>
              <w:top w:w="0" w:type="dxa"/>
              <w:left w:w="108" w:type="dxa"/>
              <w:bottom w:w="0" w:type="dxa"/>
              <w:right w:w="108" w:type="dxa"/>
            </w:tcMar>
            <w:vAlign w:val="center"/>
          </w:tcPr>
          <w:p w14:paraId="70A7C88F" w14:textId="77777777" w:rsidR="00284822" w:rsidRDefault="00F77BF8">
            <w:pPr>
              <w:spacing w:before="120" w:after="120"/>
              <w:rPr>
                <w:rFonts w:ascii="Rockwell" w:hAnsi="Rockwell"/>
                <w:color w:val="000000"/>
                <w:szCs w:val="26"/>
              </w:rPr>
            </w:pPr>
            <w:r>
              <w:rPr>
                <w:rFonts w:ascii="Rockwell" w:hAnsi="Rockwell"/>
                <w:color w:val="000000"/>
                <w:szCs w:val="26"/>
              </w:rPr>
              <w:t>15,89%</w:t>
            </w:r>
          </w:p>
        </w:tc>
        <w:tc>
          <w:tcPr>
            <w:tcW w:w="1482" w:type="dxa"/>
            <w:shd w:val="clear" w:color="auto" w:fill="auto"/>
            <w:tcMar>
              <w:top w:w="0" w:type="dxa"/>
              <w:left w:w="108" w:type="dxa"/>
              <w:bottom w:w="0" w:type="dxa"/>
              <w:right w:w="108" w:type="dxa"/>
            </w:tcMar>
            <w:vAlign w:val="center"/>
          </w:tcPr>
          <w:p w14:paraId="6FC60511" w14:textId="77777777" w:rsidR="00284822" w:rsidRDefault="00F77BF8">
            <w:pPr>
              <w:spacing w:before="120" w:after="120"/>
              <w:rPr>
                <w:rFonts w:ascii="Rockwell" w:hAnsi="Rockwell"/>
                <w:color w:val="000000"/>
                <w:szCs w:val="26"/>
              </w:rPr>
            </w:pPr>
            <w:r>
              <w:rPr>
                <w:rFonts w:ascii="Rockwell" w:hAnsi="Rockwell"/>
                <w:color w:val="000000"/>
                <w:szCs w:val="26"/>
              </w:rPr>
              <w:t>44</w:t>
            </w:r>
          </w:p>
        </w:tc>
        <w:tc>
          <w:tcPr>
            <w:tcW w:w="1746" w:type="dxa"/>
            <w:shd w:val="clear" w:color="auto" w:fill="auto"/>
            <w:tcMar>
              <w:top w:w="0" w:type="dxa"/>
              <w:left w:w="108" w:type="dxa"/>
              <w:bottom w:w="0" w:type="dxa"/>
              <w:right w:w="108" w:type="dxa"/>
            </w:tcMar>
            <w:vAlign w:val="center"/>
          </w:tcPr>
          <w:p w14:paraId="1ABD4567" w14:textId="77777777" w:rsidR="00284822" w:rsidRDefault="00F77BF8">
            <w:pPr>
              <w:spacing w:before="120" w:after="120"/>
              <w:rPr>
                <w:rFonts w:ascii="Rockwell" w:hAnsi="Rockwell"/>
                <w:color w:val="000000"/>
                <w:szCs w:val="26"/>
              </w:rPr>
            </w:pPr>
            <w:r>
              <w:rPr>
                <w:rFonts w:ascii="Rockwell" w:hAnsi="Rockwell"/>
                <w:color w:val="000000"/>
                <w:szCs w:val="26"/>
              </w:rPr>
              <w:t>18,57%</w:t>
            </w:r>
          </w:p>
        </w:tc>
      </w:tr>
      <w:tr w:rsidR="00284822" w14:paraId="1295C40D" w14:textId="77777777">
        <w:trPr>
          <w:trHeight w:val="84"/>
        </w:trPr>
        <w:tc>
          <w:tcPr>
            <w:tcW w:w="1208" w:type="dxa"/>
            <w:shd w:val="clear" w:color="auto" w:fill="auto"/>
            <w:tcMar>
              <w:top w:w="0" w:type="dxa"/>
              <w:left w:w="108" w:type="dxa"/>
              <w:bottom w:w="0" w:type="dxa"/>
              <w:right w:w="108" w:type="dxa"/>
            </w:tcMar>
            <w:vAlign w:val="bottom"/>
          </w:tcPr>
          <w:p w14:paraId="5AD0FDE4" w14:textId="77777777" w:rsidR="00284822" w:rsidRDefault="00F77BF8">
            <w:pPr>
              <w:spacing w:before="120" w:after="120"/>
              <w:rPr>
                <w:rFonts w:ascii="Rockwell" w:hAnsi="Rockwell"/>
                <w:szCs w:val="26"/>
              </w:rPr>
            </w:pPr>
            <w:r>
              <w:rPr>
                <w:rFonts w:ascii="Rockwell" w:hAnsi="Rockwell"/>
                <w:bCs/>
                <w:szCs w:val="26"/>
              </w:rPr>
              <w:t>3</w:t>
            </w:r>
            <w:r>
              <w:rPr>
                <w:rFonts w:ascii="Rockwell" w:hAnsi="Rockwell"/>
                <w:bCs/>
                <w:szCs w:val="26"/>
                <w:vertAlign w:val="superscript"/>
              </w:rPr>
              <w:t>e</w:t>
            </w:r>
          </w:p>
        </w:tc>
        <w:tc>
          <w:tcPr>
            <w:tcW w:w="2771" w:type="dxa"/>
            <w:shd w:val="clear" w:color="auto" w:fill="auto"/>
            <w:tcMar>
              <w:top w:w="0" w:type="dxa"/>
              <w:left w:w="108" w:type="dxa"/>
              <w:bottom w:w="0" w:type="dxa"/>
              <w:right w:w="108" w:type="dxa"/>
            </w:tcMar>
            <w:vAlign w:val="bottom"/>
          </w:tcPr>
          <w:p w14:paraId="1EA8FF81" w14:textId="77777777" w:rsidR="00284822" w:rsidRDefault="00F77BF8">
            <w:pPr>
              <w:spacing w:before="120" w:after="120"/>
              <w:rPr>
                <w:rFonts w:ascii="Rockwell" w:hAnsi="Rockwell"/>
                <w:b/>
                <w:color w:val="000000"/>
                <w:szCs w:val="26"/>
              </w:rPr>
            </w:pPr>
            <w:r>
              <w:rPr>
                <w:rFonts w:ascii="Rockwell" w:hAnsi="Rockwell"/>
                <w:b/>
                <w:color w:val="000000"/>
                <w:szCs w:val="26"/>
              </w:rPr>
              <w:t>UNIR/MPS</w:t>
            </w:r>
          </w:p>
        </w:tc>
        <w:tc>
          <w:tcPr>
            <w:tcW w:w="1504" w:type="dxa"/>
            <w:shd w:val="clear" w:color="auto" w:fill="auto"/>
            <w:tcMar>
              <w:top w:w="0" w:type="dxa"/>
              <w:left w:w="108" w:type="dxa"/>
              <w:bottom w:w="0" w:type="dxa"/>
              <w:right w:w="108" w:type="dxa"/>
            </w:tcMar>
            <w:vAlign w:val="center"/>
          </w:tcPr>
          <w:p w14:paraId="545EAC03" w14:textId="77777777" w:rsidR="00284822" w:rsidRDefault="00F77BF8">
            <w:pPr>
              <w:spacing w:before="120" w:after="120"/>
              <w:rPr>
                <w:rFonts w:ascii="Rockwell" w:hAnsi="Rockwell"/>
                <w:color w:val="000000"/>
                <w:szCs w:val="26"/>
              </w:rPr>
            </w:pPr>
            <w:r>
              <w:rPr>
                <w:rFonts w:ascii="Rockwell" w:hAnsi="Rockwell"/>
                <w:color w:val="000000"/>
                <w:szCs w:val="26"/>
              </w:rPr>
              <w:t>12 et 5/7</w:t>
            </w:r>
          </w:p>
        </w:tc>
        <w:tc>
          <w:tcPr>
            <w:tcW w:w="1770" w:type="dxa"/>
            <w:shd w:val="clear" w:color="auto" w:fill="auto"/>
            <w:tcMar>
              <w:top w:w="0" w:type="dxa"/>
              <w:left w:w="108" w:type="dxa"/>
              <w:bottom w:w="0" w:type="dxa"/>
              <w:right w:w="108" w:type="dxa"/>
            </w:tcMar>
            <w:vAlign w:val="center"/>
          </w:tcPr>
          <w:p w14:paraId="4EF9D91D" w14:textId="77777777" w:rsidR="00284822" w:rsidRDefault="00F77BF8">
            <w:pPr>
              <w:spacing w:before="120" w:after="120"/>
              <w:rPr>
                <w:rFonts w:ascii="Rockwell" w:hAnsi="Rockwell"/>
                <w:color w:val="000000"/>
                <w:szCs w:val="26"/>
              </w:rPr>
            </w:pPr>
            <w:r>
              <w:rPr>
                <w:rFonts w:ascii="Rockwell" w:hAnsi="Rockwell"/>
                <w:color w:val="000000"/>
                <w:szCs w:val="26"/>
              </w:rPr>
              <w:t>8,97%</w:t>
            </w:r>
          </w:p>
        </w:tc>
        <w:tc>
          <w:tcPr>
            <w:tcW w:w="1482" w:type="dxa"/>
            <w:shd w:val="clear" w:color="auto" w:fill="auto"/>
            <w:tcMar>
              <w:top w:w="0" w:type="dxa"/>
              <w:left w:w="108" w:type="dxa"/>
              <w:bottom w:w="0" w:type="dxa"/>
              <w:right w:w="108" w:type="dxa"/>
            </w:tcMar>
            <w:vAlign w:val="center"/>
          </w:tcPr>
          <w:p w14:paraId="620B0832" w14:textId="77777777" w:rsidR="00284822" w:rsidRDefault="00F77BF8">
            <w:pPr>
              <w:spacing w:before="120" w:after="120"/>
              <w:rPr>
                <w:rFonts w:ascii="Rockwell" w:hAnsi="Rockwell"/>
                <w:color w:val="000000"/>
                <w:szCs w:val="26"/>
              </w:rPr>
            </w:pPr>
            <w:r>
              <w:rPr>
                <w:rFonts w:ascii="Rockwell" w:hAnsi="Rockwell"/>
                <w:color w:val="000000"/>
                <w:szCs w:val="26"/>
              </w:rPr>
              <w:t>20</w:t>
            </w:r>
          </w:p>
        </w:tc>
        <w:tc>
          <w:tcPr>
            <w:tcW w:w="1746" w:type="dxa"/>
            <w:shd w:val="clear" w:color="auto" w:fill="auto"/>
            <w:tcMar>
              <w:top w:w="0" w:type="dxa"/>
              <w:left w:w="108" w:type="dxa"/>
              <w:bottom w:w="0" w:type="dxa"/>
              <w:right w:w="108" w:type="dxa"/>
            </w:tcMar>
            <w:vAlign w:val="center"/>
          </w:tcPr>
          <w:p w14:paraId="5C465E1F" w14:textId="77777777" w:rsidR="00284822" w:rsidRDefault="00F77BF8">
            <w:pPr>
              <w:spacing w:before="120" w:after="120"/>
              <w:rPr>
                <w:rFonts w:ascii="Rockwell" w:hAnsi="Rockwell"/>
                <w:color w:val="000000"/>
                <w:szCs w:val="26"/>
              </w:rPr>
            </w:pPr>
            <w:r>
              <w:rPr>
                <w:rFonts w:ascii="Rockwell" w:hAnsi="Rockwell"/>
                <w:color w:val="000000"/>
                <w:szCs w:val="26"/>
              </w:rPr>
              <w:t>8,44%</w:t>
            </w:r>
          </w:p>
        </w:tc>
      </w:tr>
      <w:tr w:rsidR="00284822" w14:paraId="124322CA" w14:textId="77777777">
        <w:trPr>
          <w:trHeight w:val="84"/>
        </w:trPr>
        <w:tc>
          <w:tcPr>
            <w:tcW w:w="1208" w:type="dxa"/>
            <w:shd w:val="clear" w:color="auto" w:fill="auto"/>
            <w:tcMar>
              <w:top w:w="0" w:type="dxa"/>
              <w:left w:w="108" w:type="dxa"/>
              <w:bottom w:w="0" w:type="dxa"/>
              <w:right w:w="108" w:type="dxa"/>
            </w:tcMar>
            <w:vAlign w:val="bottom"/>
          </w:tcPr>
          <w:p w14:paraId="168ED2B5" w14:textId="77777777" w:rsidR="00284822" w:rsidRDefault="00F77BF8">
            <w:pPr>
              <w:spacing w:before="120" w:after="120"/>
              <w:rPr>
                <w:rFonts w:ascii="Rockwell" w:hAnsi="Rockwell"/>
                <w:szCs w:val="26"/>
              </w:rPr>
            </w:pPr>
            <w:r>
              <w:rPr>
                <w:rFonts w:ascii="Rockwell" w:hAnsi="Rockwell"/>
                <w:bCs/>
                <w:szCs w:val="26"/>
              </w:rPr>
              <w:t>4</w:t>
            </w:r>
            <w:r>
              <w:rPr>
                <w:rFonts w:ascii="Rockwell" w:hAnsi="Rockwell"/>
                <w:bCs/>
                <w:szCs w:val="26"/>
                <w:vertAlign w:val="superscript"/>
              </w:rPr>
              <w:t>e</w:t>
            </w:r>
          </w:p>
        </w:tc>
        <w:tc>
          <w:tcPr>
            <w:tcW w:w="2771" w:type="dxa"/>
            <w:shd w:val="clear" w:color="auto" w:fill="auto"/>
            <w:tcMar>
              <w:top w:w="0" w:type="dxa"/>
              <w:left w:w="108" w:type="dxa"/>
              <w:bottom w:w="0" w:type="dxa"/>
              <w:right w:w="108" w:type="dxa"/>
            </w:tcMar>
            <w:vAlign w:val="bottom"/>
          </w:tcPr>
          <w:p w14:paraId="00363523" w14:textId="77777777" w:rsidR="00284822" w:rsidRDefault="00F77BF8">
            <w:pPr>
              <w:spacing w:before="120" w:after="120"/>
              <w:rPr>
                <w:rFonts w:ascii="Rockwell" w:hAnsi="Rockwell"/>
                <w:b/>
                <w:color w:val="000000"/>
                <w:szCs w:val="26"/>
              </w:rPr>
            </w:pPr>
            <w:r>
              <w:rPr>
                <w:rFonts w:ascii="Rockwell" w:hAnsi="Rockwell"/>
                <w:b/>
                <w:color w:val="000000"/>
                <w:szCs w:val="26"/>
              </w:rPr>
              <w:t>PPS</w:t>
            </w:r>
          </w:p>
        </w:tc>
        <w:tc>
          <w:tcPr>
            <w:tcW w:w="1504" w:type="dxa"/>
            <w:shd w:val="clear" w:color="auto" w:fill="auto"/>
            <w:tcMar>
              <w:top w:w="0" w:type="dxa"/>
              <w:left w:w="108" w:type="dxa"/>
              <w:bottom w:w="0" w:type="dxa"/>
              <w:right w:w="108" w:type="dxa"/>
            </w:tcMar>
            <w:vAlign w:val="center"/>
          </w:tcPr>
          <w:p w14:paraId="3AA128DA" w14:textId="77777777" w:rsidR="00284822" w:rsidRDefault="00F77BF8">
            <w:pPr>
              <w:spacing w:before="120" w:after="120"/>
              <w:rPr>
                <w:rFonts w:ascii="Rockwell" w:hAnsi="Rockwell"/>
                <w:color w:val="000000"/>
                <w:szCs w:val="26"/>
              </w:rPr>
            </w:pPr>
            <w:r>
              <w:rPr>
                <w:rFonts w:ascii="Rockwell" w:hAnsi="Rockwell"/>
                <w:color w:val="000000"/>
                <w:szCs w:val="26"/>
              </w:rPr>
              <w:t>8 et 3/4</w:t>
            </w:r>
          </w:p>
        </w:tc>
        <w:tc>
          <w:tcPr>
            <w:tcW w:w="1770" w:type="dxa"/>
            <w:shd w:val="clear" w:color="auto" w:fill="auto"/>
            <w:tcMar>
              <w:top w:w="0" w:type="dxa"/>
              <w:left w:w="108" w:type="dxa"/>
              <w:bottom w:w="0" w:type="dxa"/>
              <w:right w:w="108" w:type="dxa"/>
            </w:tcMar>
            <w:vAlign w:val="center"/>
          </w:tcPr>
          <w:p w14:paraId="53A90252" w14:textId="77777777" w:rsidR="00284822" w:rsidRDefault="00F77BF8">
            <w:pPr>
              <w:spacing w:before="120" w:after="120"/>
              <w:rPr>
                <w:rFonts w:ascii="Rockwell" w:hAnsi="Rockwell"/>
                <w:color w:val="000000"/>
                <w:szCs w:val="26"/>
              </w:rPr>
            </w:pPr>
            <w:r>
              <w:rPr>
                <w:rFonts w:ascii="Rockwell" w:hAnsi="Rockwell"/>
                <w:color w:val="000000"/>
                <w:szCs w:val="26"/>
              </w:rPr>
              <w:t>6,16%</w:t>
            </w:r>
          </w:p>
        </w:tc>
        <w:tc>
          <w:tcPr>
            <w:tcW w:w="1482" w:type="dxa"/>
            <w:shd w:val="clear" w:color="auto" w:fill="auto"/>
            <w:tcMar>
              <w:top w:w="0" w:type="dxa"/>
              <w:left w:w="108" w:type="dxa"/>
              <w:bottom w:w="0" w:type="dxa"/>
              <w:right w:w="108" w:type="dxa"/>
            </w:tcMar>
            <w:vAlign w:val="center"/>
          </w:tcPr>
          <w:p w14:paraId="15CAE4D3" w14:textId="77777777" w:rsidR="00284822" w:rsidRDefault="00F77BF8">
            <w:pPr>
              <w:spacing w:before="120" w:after="120"/>
              <w:rPr>
                <w:rFonts w:ascii="Rockwell" w:hAnsi="Rockwell"/>
                <w:color w:val="000000"/>
                <w:szCs w:val="26"/>
              </w:rPr>
            </w:pPr>
            <w:r>
              <w:rPr>
                <w:rFonts w:ascii="Rockwell" w:hAnsi="Rockwell"/>
                <w:color w:val="000000"/>
                <w:szCs w:val="26"/>
              </w:rPr>
              <w:t>12</w:t>
            </w:r>
          </w:p>
        </w:tc>
        <w:tc>
          <w:tcPr>
            <w:tcW w:w="1746" w:type="dxa"/>
            <w:shd w:val="clear" w:color="auto" w:fill="auto"/>
            <w:tcMar>
              <w:top w:w="0" w:type="dxa"/>
              <w:left w:w="108" w:type="dxa"/>
              <w:bottom w:w="0" w:type="dxa"/>
              <w:right w:w="108" w:type="dxa"/>
            </w:tcMar>
            <w:vAlign w:val="center"/>
          </w:tcPr>
          <w:p w14:paraId="23B92EBF" w14:textId="77777777" w:rsidR="00284822" w:rsidRDefault="00F77BF8">
            <w:pPr>
              <w:spacing w:before="120" w:after="120"/>
              <w:rPr>
                <w:rFonts w:ascii="Rockwell" w:hAnsi="Rockwell"/>
                <w:color w:val="000000"/>
                <w:szCs w:val="26"/>
              </w:rPr>
            </w:pPr>
            <w:r>
              <w:rPr>
                <w:rFonts w:ascii="Rockwell" w:hAnsi="Rockwell"/>
                <w:color w:val="000000"/>
                <w:szCs w:val="26"/>
              </w:rPr>
              <w:t>5,06%</w:t>
            </w:r>
          </w:p>
        </w:tc>
      </w:tr>
      <w:tr w:rsidR="00284822" w14:paraId="4FDBD201" w14:textId="77777777">
        <w:trPr>
          <w:trHeight w:val="84"/>
        </w:trPr>
        <w:tc>
          <w:tcPr>
            <w:tcW w:w="1208" w:type="dxa"/>
            <w:shd w:val="clear" w:color="auto" w:fill="auto"/>
            <w:tcMar>
              <w:top w:w="0" w:type="dxa"/>
              <w:left w:w="108" w:type="dxa"/>
              <w:bottom w:w="0" w:type="dxa"/>
              <w:right w:w="108" w:type="dxa"/>
            </w:tcMar>
            <w:vAlign w:val="bottom"/>
          </w:tcPr>
          <w:p w14:paraId="349A6B36" w14:textId="77777777" w:rsidR="00284822" w:rsidRDefault="00F77BF8">
            <w:pPr>
              <w:spacing w:before="120" w:after="120"/>
              <w:rPr>
                <w:rFonts w:ascii="Rockwell" w:hAnsi="Rockwell"/>
                <w:szCs w:val="26"/>
              </w:rPr>
            </w:pPr>
            <w:r>
              <w:rPr>
                <w:rFonts w:ascii="Rockwell" w:hAnsi="Rockwell"/>
                <w:bCs/>
                <w:szCs w:val="26"/>
              </w:rPr>
              <w:t>5</w:t>
            </w:r>
            <w:r>
              <w:rPr>
                <w:rFonts w:ascii="Rockwell" w:hAnsi="Rockwell"/>
                <w:bCs/>
                <w:szCs w:val="26"/>
                <w:vertAlign w:val="superscript"/>
              </w:rPr>
              <w:t>e</w:t>
            </w:r>
          </w:p>
        </w:tc>
        <w:tc>
          <w:tcPr>
            <w:tcW w:w="2771" w:type="dxa"/>
            <w:shd w:val="clear" w:color="auto" w:fill="auto"/>
            <w:tcMar>
              <w:top w:w="0" w:type="dxa"/>
              <w:left w:w="108" w:type="dxa"/>
              <w:bottom w:w="0" w:type="dxa"/>
              <w:right w:w="108" w:type="dxa"/>
            </w:tcMar>
            <w:vAlign w:val="bottom"/>
          </w:tcPr>
          <w:p w14:paraId="230FC991" w14:textId="77777777" w:rsidR="00284822" w:rsidRDefault="00F77BF8">
            <w:pPr>
              <w:spacing w:before="120" w:after="120"/>
              <w:rPr>
                <w:rFonts w:ascii="Rockwell" w:hAnsi="Rockwell"/>
                <w:b/>
                <w:color w:val="000000"/>
                <w:szCs w:val="26"/>
              </w:rPr>
            </w:pPr>
            <w:r>
              <w:rPr>
                <w:rFonts w:ascii="Rockwell" w:hAnsi="Rockwell"/>
                <w:b/>
                <w:color w:val="000000"/>
                <w:szCs w:val="26"/>
              </w:rPr>
              <w:t>MAE</w:t>
            </w:r>
          </w:p>
        </w:tc>
        <w:tc>
          <w:tcPr>
            <w:tcW w:w="1504" w:type="dxa"/>
            <w:shd w:val="clear" w:color="auto" w:fill="auto"/>
            <w:tcMar>
              <w:top w:w="0" w:type="dxa"/>
              <w:left w:w="108" w:type="dxa"/>
              <w:bottom w:w="0" w:type="dxa"/>
              <w:right w:w="108" w:type="dxa"/>
            </w:tcMar>
            <w:vAlign w:val="center"/>
          </w:tcPr>
          <w:p w14:paraId="2FB47613" w14:textId="77777777" w:rsidR="00284822" w:rsidRDefault="00F77BF8">
            <w:pPr>
              <w:spacing w:before="120" w:after="120"/>
              <w:rPr>
                <w:rFonts w:ascii="Rockwell" w:hAnsi="Rockwell"/>
                <w:color w:val="000000"/>
                <w:szCs w:val="26"/>
              </w:rPr>
            </w:pPr>
            <w:r>
              <w:rPr>
                <w:rFonts w:ascii="Rockwell" w:hAnsi="Rockwell"/>
                <w:color w:val="000000"/>
                <w:szCs w:val="26"/>
              </w:rPr>
              <w:t>5 et 1/8</w:t>
            </w:r>
          </w:p>
        </w:tc>
        <w:tc>
          <w:tcPr>
            <w:tcW w:w="1770" w:type="dxa"/>
            <w:shd w:val="clear" w:color="auto" w:fill="auto"/>
            <w:tcMar>
              <w:top w:w="0" w:type="dxa"/>
              <w:left w:w="108" w:type="dxa"/>
              <w:bottom w:w="0" w:type="dxa"/>
              <w:right w:w="108" w:type="dxa"/>
            </w:tcMar>
            <w:vAlign w:val="center"/>
          </w:tcPr>
          <w:p w14:paraId="39228BCC" w14:textId="77777777" w:rsidR="00284822" w:rsidRDefault="00F77BF8">
            <w:pPr>
              <w:spacing w:before="120" w:after="120"/>
              <w:rPr>
                <w:rFonts w:ascii="Rockwell" w:hAnsi="Rockwell"/>
                <w:color w:val="000000"/>
                <w:szCs w:val="26"/>
              </w:rPr>
            </w:pPr>
            <w:r>
              <w:rPr>
                <w:rFonts w:ascii="Rockwell" w:hAnsi="Rockwell"/>
                <w:color w:val="000000"/>
                <w:szCs w:val="26"/>
              </w:rPr>
              <w:t>3,61%</w:t>
            </w:r>
          </w:p>
        </w:tc>
        <w:tc>
          <w:tcPr>
            <w:tcW w:w="1482" w:type="dxa"/>
            <w:shd w:val="clear" w:color="auto" w:fill="auto"/>
            <w:tcMar>
              <w:top w:w="0" w:type="dxa"/>
              <w:left w:w="108" w:type="dxa"/>
              <w:bottom w:w="0" w:type="dxa"/>
              <w:right w:w="108" w:type="dxa"/>
            </w:tcMar>
            <w:vAlign w:val="center"/>
          </w:tcPr>
          <w:p w14:paraId="7D59E33A" w14:textId="77777777" w:rsidR="00284822" w:rsidRDefault="00F77BF8">
            <w:pPr>
              <w:spacing w:before="120" w:after="120"/>
              <w:rPr>
                <w:rFonts w:ascii="Rockwell" w:hAnsi="Rockwell"/>
                <w:color w:val="000000"/>
                <w:szCs w:val="26"/>
              </w:rPr>
            </w:pPr>
            <w:r>
              <w:rPr>
                <w:rFonts w:ascii="Rockwell" w:hAnsi="Rockwell"/>
                <w:color w:val="000000"/>
                <w:szCs w:val="26"/>
              </w:rPr>
              <w:t>7</w:t>
            </w:r>
          </w:p>
        </w:tc>
        <w:tc>
          <w:tcPr>
            <w:tcW w:w="1746" w:type="dxa"/>
            <w:shd w:val="clear" w:color="auto" w:fill="auto"/>
            <w:tcMar>
              <w:top w:w="0" w:type="dxa"/>
              <w:left w:w="108" w:type="dxa"/>
              <w:bottom w:w="0" w:type="dxa"/>
              <w:right w:w="108" w:type="dxa"/>
            </w:tcMar>
            <w:vAlign w:val="center"/>
          </w:tcPr>
          <w:p w14:paraId="7C6F2B44" w14:textId="77777777" w:rsidR="00284822" w:rsidRDefault="00F77BF8">
            <w:pPr>
              <w:spacing w:before="120" w:after="120"/>
              <w:rPr>
                <w:rFonts w:ascii="Rockwell" w:hAnsi="Rockwell"/>
                <w:color w:val="000000"/>
                <w:szCs w:val="26"/>
              </w:rPr>
            </w:pPr>
            <w:r>
              <w:rPr>
                <w:rFonts w:ascii="Rockwell" w:hAnsi="Rockwell"/>
                <w:color w:val="000000"/>
                <w:szCs w:val="26"/>
              </w:rPr>
              <w:t>2,95%</w:t>
            </w:r>
          </w:p>
        </w:tc>
      </w:tr>
      <w:tr w:rsidR="00284822" w14:paraId="08EC7D71" w14:textId="77777777">
        <w:trPr>
          <w:trHeight w:val="84"/>
        </w:trPr>
        <w:tc>
          <w:tcPr>
            <w:tcW w:w="1208" w:type="dxa"/>
            <w:shd w:val="clear" w:color="auto" w:fill="auto"/>
            <w:tcMar>
              <w:top w:w="0" w:type="dxa"/>
              <w:left w:w="108" w:type="dxa"/>
              <w:bottom w:w="0" w:type="dxa"/>
              <w:right w:w="108" w:type="dxa"/>
            </w:tcMar>
            <w:vAlign w:val="bottom"/>
          </w:tcPr>
          <w:p w14:paraId="3F144568" w14:textId="77777777" w:rsidR="00284822" w:rsidRDefault="00F77BF8">
            <w:pPr>
              <w:spacing w:before="120" w:after="120"/>
              <w:rPr>
                <w:rFonts w:ascii="Rockwell" w:hAnsi="Rockwell"/>
                <w:szCs w:val="26"/>
              </w:rPr>
            </w:pPr>
            <w:r>
              <w:rPr>
                <w:rFonts w:ascii="Rockwell" w:hAnsi="Rockwell"/>
                <w:bCs/>
                <w:szCs w:val="26"/>
              </w:rPr>
              <w:t>6</w:t>
            </w:r>
            <w:r>
              <w:rPr>
                <w:rFonts w:ascii="Rockwell" w:hAnsi="Rockwell"/>
                <w:bCs/>
                <w:szCs w:val="26"/>
                <w:vertAlign w:val="superscript"/>
              </w:rPr>
              <w:t>e</w:t>
            </w:r>
          </w:p>
        </w:tc>
        <w:tc>
          <w:tcPr>
            <w:tcW w:w="2771" w:type="dxa"/>
            <w:shd w:val="clear" w:color="auto" w:fill="auto"/>
            <w:tcMar>
              <w:top w:w="0" w:type="dxa"/>
              <w:left w:w="108" w:type="dxa"/>
              <w:bottom w:w="0" w:type="dxa"/>
              <w:right w:w="108" w:type="dxa"/>
            </w:tcMar>
            <w:vAlign w:val="bottom"/>
          </w:tcPr>
          <w:p w14:paraId="07B786D8" w14:textId="77777777" w:rsidR="00284822" w:rsidRDefault="00F77BF8">
            <w:pPr>
              <w:spacing w:before="120" w:after="120"/>
              <w:rPr>
                <w:rFonts w:ascii="Rockwell" w:hAnsi="Rockwell"/>
                <w:b/>
                <w:color w:val="000000"/>
                <w:szCs w:val="26"/>
              </w:rPr>
            </w:pPr>
            <w:r>
              <w:rPr>
                <w:rFonts w:ascii="Rockwell" w:hAnsi="Rockwell"/>
                <w:b/>
                <w:color w:val="000000"/>
                <w:szCs w:val="26"/>
              </w:rPr>
              <w:t>APP/B</w:t>
            </w:r>
          </w:p>
        </w:tc>
        <w:tc>
          <w:tcPr>
            <w:tcW w:w="1504" w:type="dxa"/>
            <w:shd w:val="clear" w:color="auto" w:fill="auto"/>
            <w:tcMar>
              <w:top w:w="0" w:type="dxa"/>
              <w:left w:w="108" w:type="dxa"/>
              <w:bottom w:w="0" w:type="dxa"/>
              <w:right w:w="108" w:type="dxa"/>
            </w:tcMar>
            <w:vAlign w:val="center"/>
          </w:tcPr>
          <w:p w14:paraId="26BCBAB4" w14:textId="77777777" w:rsidR="00284822" w:rsidRDefault="00F77BF8">
            <w:pPr>
              <w:spacing w:before="120" w:after="120"/>
              <w:rPr>
                <w:rFonts w:ascii="Rockwell" w:hAnsi="Rockwell"/>
                <w:color w:val="000000"/>
                <w:szCs w:val="26"/>
              </w:rPr>
            </w:pPr>
            <w:r>
              <w:rPr>
                <w:rFonts w:ascii="Rockwell" w:hAnsi="Rockwell"/>
                <w:color w:val="000000"/>
                <w:szCs w:val="26"/>
              </w:rPr>
              <w:t>4 et 1/2</w:t>
            </w:r>
          </w:p>
        </w:tc>
        <w:tc>
          <w:tcPr>
            <w:tcW w:w="1770" w:type="dxa"/>
            <w:shd w:val="clear" w:color="auto" w:fill="auto"/>
            <w:tcMar>
              <w:top w:w="0" w:type="dxa"/>
              <w:left w:w="108" w:type="dxa"/>
              <w:bottom w:w="0" w:type="dxa"/>
              <w:right w:w="108" w:type="dxa"/>
            </w:tcMar>
            <w:vAlign w:val="center"/>
          </w:tcPr>
          <w:p w14:paraId="315341A4" w14:textId="77777777" w:rsidR="00284822" w:rsidRDefault="00F77BF8">
            <w:pPr>
              <w:spacing w:before="120" w:after="120"/>
              <w:rPr>
                <w:rFonts w:ascii="Rockwell" w:hAnsi="Rockwell"/>
                <w:color w:val="000000"/>
                <w:szCs w:val="26"/>
              </w:rPr>
            </w:pPr>
            <w:r>
              <w:rPr>
                <w:rFonts w:ascii="Rockwell" w:hAnsi="Rockwell"/>
                <w:color w:val="000000"/>
                <w:szCs w:val="26"/>
              </w:rPr>
              <w:t>3,17%</w:t>
            </w:r>
          </w:p>
        </w:tc>
        <w:tc>
          <w:tcPr>
            <w:tcW w:w="1482" w:type="dxa"/>
            <w:shd w:val="clear" w:color="auto" w:fill="auto"/>
            <w:tcMar>
              <w:top w:w="0" w:type="dxa"/>
              <w:left w:w="108" w:type="dxa"/>
              <w:bottom w:w="0" w:type="dxa"/>
              <w:right w:w="108" w:type="dxa"/>
            </w:tcMar>
            <w:vAlign w:val="center"/>
          </w:tcPr>
          <w:p w14:paraId="6209F789" w14:textId="77777777" w:rsidR="00284822" w:rsidRDefault="00F77BF8">
            <w:pPr>
              <w:spacing w:before="120" w:after="120"/>
              <w:rPr>
                <w:rFonts w:ascii="Rockwell" w:hAnsi="Rockwell"/>
                <w:color w:val="000000"/>
                <w:szCs w:val="26"/>
              </w:rPr>
            </w:pPr>
            <w:r>
              <w:rPr>
                <w:rFonts w:ascii="Rockwell" w:hAnsi="Rockwell"/>
                <w:color w:val="000000"/>
                <w:szCs w:val="26"/>
              </w:rPr>
              <w:t>3</w:t>
            </w:r>
          </w:p>
        </w:tc>
        <w:tc>
          <w:tcPr>
            <w:tcW w:w="1746" w:type="dxa"/>
            <w:shd w:val="clear" w:color="auto" w:fill="auto"/>
            <w:tcMar>
              <w:top w:w="0" w:type="dxa"/>
              <w:left w:w="108" w:type="dxa"/>
              <w:bottom w:w="0" w:type="dxa"/>
              <w:right w:w="108" w:type="dxa"/>
            </w:tcMar>
            <w:vAlign w:val="center"/>
          </w:tcPr>
          <w:p w14:paraId="336A1D22" w14:textId="77777777" w:rsidR="00284822" w:rsidRDefault="00F77BF8">
            <w:pPr>
              <w:spacing w:before="120" w:after="120"/>
              <w:rPr>
                <w:rFonts w:ascii="Rockwell" w:hAnsi="Rockwell"/>
                <w:color w:val="000000"/>
                <w:szCs w:val="26"/>
              </w:rPr>
            </w:pPr>
            <w:r>
              <w:rPr>
                <w:rFonts w:ascii="Rockwell" w:hAnsi="Rockwell"/>
                <w:color w:val="000000"/>
                <w:szCs w:val="26"/>
              </w:rPr>
              <w:t>1,27%</w:t>
            </w:r>
          </w:p>
        </w:tc>
      </w:tr>
      <w:tr w:rsidR="00284822" w14:paraId="2FE13624" w14:textId="77777777">
        <w:trPr>
          <w:trHeight w:val="84"/>
        </w:trPr>
        <w:tc>
          <w:tcPr>
            <w:tcW w:w="1208" w:type="dxa"/>
            <w:shd w:val="clear" w:color="auto" w:fill="auto"/>
            <w:tcMar>
              <w:top w:w="0" w:type="dxa"/>
              <w:left w:w="108" w:type="dxa"/>
              <w:bottom w:w="0" w:type="dxa"/>
              <w:right w:w="108" w:type="dxa"/>
            </w:tcMar>
            <w:vAlign w:val="bottom"/>
          </w:tcPr>
          <w:p w14:paraId="73951497" w14:textId="77777777" w:rsidR="00284822" w:rsidRDefault="00F77BF8">
            <w:pPr>
              <w:spacing w:before="120" w:after="120"/>
              <w:rPr>
                <w:rFonts w:ascii="Rockwell" w:hAnsi="Rockwell"/>
                <w:szCs w:val="26"/>
              </w:rPr>
            </w:pPr>
            <w:r>
              <w:rPr>
                <w:rFonts w:ascii="Rockwell" w:hAnsi="Rockwell"/>
                <w:bCs/>
                <w:szCs w:val="26"/>
              </w:rPr>
              <w:t>7</w:t>
            </w:r>
            <w:r>
              <w:rPr>
                <w:rFonts w:ascii="Rockwell" w:hAnsi="Rockwell"/>
                <w:bCs/>
                <w:szCs w:val="26"/>
                <w:vertAlign w:val="superscript"/>
              </w:rPr>
              <w:t xml:space="preserve">e </w:t>
            </w:r>
          </w:p>
        </w:tc>
        <w:tc>
          <w:tcPr>
            <w:tcW w:w="2771" w:type="dxa"/>
            <w:shd w:val="clear" w:color="auto" w:fill="auto"/>
            <w:tcMar>
              <w:top w:w="0" w:type="dxa"/>
              <w:left w:w="108" w:type="dxa"/>
              <w:bottom w:w="0" w:type="dxa"/>
              <w:right w:w="108" w:type="dxa"/>
            </w:tcMar>
            <w:vAlign w:val="bottom"/>
          </w:tcPr>
          <w:p w14:paraId="3943DC11" w14:textId="77777777" w:rsidR="00284822" w:rsidRDefault="00F77BF8">
            <w:pPr>
              <w:spacing w:before="120" w:after="120"/>
              <w:rPr>
                <w:rFonts w:ascii="Rockwell" w:hAnsi="Rockwell"/>
                <w:b/>
                <w:color w:val="000000"/>
                <w:szCs w:val="26"/>
              </w:rPr>
            </w:pPr>
            <w:r>
              <w:rPr>
                <w:rFonts w:ascii="Rockwell" w:hAnsi="Rockwell"/>
                <w:b/>
                <w:color w:val="000000"/>
                <w:szCs w:val="26"/>
              </w:rPr>
              <w:t>PUR</w:t>
            </w:r>
          </w:p>
        </w:tc>
        <w:tc>
          <w:tcPr>
            <w:tcW w:w="1504" w:type="dxa"/>
            <w:shd w:val="clear" w:color="auto" w:fill="auto"/>
            <w:tcMar>
              <w:top w:w="0" w:type="dxa"/>
              <w:left w:w="108" w:type="dxa"/>
              <w:bottom w:w="0" w:type="dxa"/>
              <w:right w:w="108" w:type="dxa"/>
            </w:tcMar>
            <w:vAlign w:val="center"/>
          </w:tcPr>
          <w:p w14:paraId="7B5E51B6" w14:textId="77777777" w:rsidR="00284822" w:rsidRDefault="00F77BF8">
            <w:pPr>
              <w:spacing w:before="120" w:after="120"/>
              <w:rPr>
                <w:rFonts w:ascii="Rockwell" w:hAnsi="Rockwell"/>
                <w:color w:val="000000"/>
                <w:szCs w:val="26"/>
              </w:rPr>
            </w:pPr>
            <w:r>
              <w:rPr>
                <w:rFonts w:ascii="Rockwell" w:hAnsi="Rockwell"/>
                <w:color w:val="000000"/>
                <w:szCs w:val="26"/>
              </w:rPr>
              <w:t>4 et 1/3</w:t>
            </w:r>
          </w:p>
        </w:tc>
        <w:tc>
          <w:tcPr>
            <w:tcW w:w="1770" w:type="dxa"/>
            <w:shd w:val="clear" w:color="auto" w:fill="auto"/>
            <w:tcMar>
              <w:top w:w="0" w:type="dxa"/>
              <w:left w:w="108" w:type="dxa"/>
              <w:bottom w:w="0" w:type="dxa"/>
              <w:right w:w="108" w:type="dxa"/>
            </w:tcMar>
            <w:vAlign w:val="center"/>
          </w:tcPr>
          <w:p w14:paraId="6C71B5A4" w14:textId="77777777" w:rsidR="00284822" w:rsidRDefault="00F77BF8">
            <w:pPr>
              <w:spacing w:before="120" w:after="120"/>
              <w:rPr>
                <w:rFonts w:ascii="Rockwell" w:hAnsi="Rockwell"/>
                <w:color w:val="000000"/>
                <w:szCs w:val="26"/>
              </w:rPr>
            </w:pPr>
            <w:r>
              <w:rPr>
                <w:rFonts w:ascii="Rockwell" w:hAnsi="Rockwell"/>
                <w:color w:val="000000"/>
                <w:szCs w:val="26"/>
              </w:rPr>
              <w:t>3,05%</w:t>
            </w:r>
          </w:p>
        </w:tc>
        <w:tc>
          <w:tcPr>
            <w:tcW w:w="1482" w:type="dxa"/>
            <w:shd w:val="clear" w:color="auto" w:fill="auto"/>
            <w:tcMar>
              <w:top w:w="0" w:type="dxa"/>
              <w:left w:w="108" w:type="dxa"/>
              <w:bottom w:w="0" w:type="dxa"/>
              <w:right w:w="108" w:type="dxa"/>
            </w:tcMar>
            <w:vAlign w:val="center"/>
          </w:tcPr>
          <w:p w14:paraId="61523E9A" w14:textId="77777777" w:rsidR="00284822" w:rsidRDefault="00F77BF8">
            <w:pPr>
              <w:spacing w:before="120" w:after="120"/>
              <w:rPr>
                <w:rFonts w:ascii="Rockwell" w:hAnsi="Rockwell"/>
                <w:color w:val="000000"/>
                <w:szCs w:val="26"/>
              </w:rPr>
            </w:pPr>
            <w:r>
              <w:rPr>
                <w:rFonts w:ascii="Rockwell" w:hAnsi="Rockwell"/>
                <w:color w:val="000000"/>
                <w:szCs w:val="26"/>
              </w:rPr>
              <w:t>7</w:t>
            </w:r>
          </w:p>
        </w:tc>
        <w:tc>
          <w:tcPr>
            <w:tcW w:w="1746" w:type="dxa"/>
            <w:shd w:val="clear" w:color="auto" w:fill="auto"/>
            <w:tcMar>
              <w:top w:w="0" w:type="dxa"/>
              <w:left w:w="108" w:type="dxa"/>
              <w:bottom w:w="0" w:type="dxa"/>
              <w:right w:w="108" w:type="dxa"/>
            </w:tcMar>
            <w:vAlign w:val="center"/>
          </w:tcPr>
          <w:p w14:paraId="2B3874AF" w14:textId="77777777" w:rsidR="00284822" w:rsidRDefault="00F77BF8">
            <w:pPr>
              <w:spacing w:before="120" w:after="120"/>
              <w:rPr>
                <w:rFonts w:ascii="Rockwell" w:hAnsi="Rockwell"/>
                <w:color w:val="000000"/>
                <w:szCs w:val="26"/>
              </w:rPr>
            </w:pPr>
            <w:r>
              <w:rPr>
                <w:rFonts w:ascii="Rockwell" w:hAnsi="Rockwell"/>
                <w:color w:val="000000"/>
                <w:szCs w:val="26"/>
              </w:rPr>
              <w:t>2,95%</w:t>
            </w:r>
          </w:p>
        </w:tc>
      </w:tr>
      <w:tr w:rsidR="00284822" w14:paraId="7A7BD347" w14:textId="77777777">
        <w:trPr>
          <w:trHeight w:val="84"/>
        </w:trPr>
        <w:tc>
          <w:tcPr>
            <w:tcW w:w="1208" w:type="dxa"/>
            <w:shd w:val="clear" w:color="auto" w:fill="auto"/>
            <w:tcMar>
              <w:top w:w="0" w:type="dxa"/>
              <w:left w:w="108" w:type="dxa"/>
              <w:bottom w:w="0" w:type="dxa"/>
              <w:right w:w="108" w:type="dxa"/>
            </w:tcMar>
            <w:vAlign w:val="bottom"/>
          </w:tcPr>
          <w:p w14:paraId="6DE6D160" w14:textId="77777777" w:rsidR="00284822" w:rsidRDefault="00F77BF8">
            <w:pPr>
              <w:spacing w:before="120" w:after="120"/>
              <w:rPr>
                <w:rFonts w:ascii="Rockwell" w:hAnsi="Rockwell"/>
                <w:szCs w:val="26"/>
              </w:rPr>
            </w:pPr>
            <w:r>
              <w:rPr>
                <w:rFonts w:ascii="Rockwell" w:hAnsi="Rockwell"/>
                <w:bCs/>
                <w:szCs w:val="26"/>
              </w:rPr>
              <w:t>8</w:t>
            </w:r>
            <w:r>
              <w:rPr>
                <w:rFonts w:ascii="Rockwell" w:hAnsi="Rockwell"/>
                <w:bCs/>
                <w:szCs w:val="26"/>
                <w:vertAlign w:val="superscript"/>
              </w:rPr>
              <w:t>e</w:t>
            </w:r>
          </w:p>
        </w:tc>
        <w:tc>
          <w:tcPr>
            <w:tcW w:w="2771" w:type="dxa"/>
            <w:shd w:val="clear" w:color="auto" w:fill="auto"/>
            <w:tcMar>
              <w:top w:w="0" w:type="dxa"/>
              <w:left w:w="108" w:type="dxa"/>
              <w:bottom w:w="0" w:type="dxa"/>
              <w:right w:w="108" w:type="dxa"/>
            </w:tcMar>
            <w:vAlign w:val="bottom"/>
          </w:tcPr>
          <w:p w14:paraId="4AFB48F5" w14:textId="77777777" w:rsidR="00284822" w:rsidRDefault="00F77BF8">
            <w:pPr>
              <w:spacing w:before="120" w:after="120"/>
              <w:rPr>
                <w:rFonts w:ascii="Rockwell" w:hAnsi="Rockwell"/>
                <w:b/>
                <w:color w:val="000000"/>
                <w:szCs w:val="26"/>
              </w:rPr>
            </w:pPr>
            <w:r>
              <w:rPr>
                <w:rFonts w:ascii="Rockwell" w:hAnsi="Rockwell"/>
                <w:b/>
                <w:color w:val="000000"/>
                <w:szCs w:val="26"/>
              </w:rPr>
              <w:t>ADF/RDA</w:t>
            </w:r>
          </w:p>
        </w:tc>
        <w:tc>
          <w:tcPr>
            <w:tcW w:w="1504" w:type="dxa"/>
            <w:shd w:val="clear" w:color="auto" w:fill="auto"/>
            <w:tcMar>
              <w:top w:w="0" w:type="dxa"/>
              <w:left w:w="108" w:type="dxa"/>
              <w:bottom w:w="0" w:type="dxa"/>
              <w:right w:w="108" w:type="dxa"/>
            </w:tcMar>
            <w:vAlign w:val="center"/>
          </w:tcPr>
          <w:p w14:paraId="252ACD3A" w14:textId="77777777" w:rsidR="00284822" w:rsidRDefault="00F77BF8">
            <w:pPr>
              <w:spacing w:before="120" w:after="120"/>
              <w:rPr>
                <w:rFonts w:ascii="Rockwell" w:hAnsi="Rockwell"/>
                <w:color w:val="000000"/>
                <w:szCs w:val="26"/>
              </w:rPr>
            </w:pPr>
            <w:r>
              <w:rPr>
                <w:rFonts w:ascii="Rockwell" w:hAnsi="Rockwell"/>
                <w:color w:val="000000"/>
                <w:szCs w:val="26"/>
              </w:rPr>
              <w:t>3 et 2/3</w:t>
            </w:r>
          </w:p>
        </w:tc>
        <w:tc>
          <w:tcPr>
            <w:tcW w:w="1770" w:type="dxa"/>
            <w:shd w:val="clear" w:color="auto" w:fill="auto"/>
            <w:tcMar>
              <w:top w:w="0" w:type="dxa"/>
              <w:left w:w="108" w:type="dxa"/>
              <w:bottom w:w="0" w:type="dxa"/>
              <w:right w:w="108" w:type="dxa"/>
            </w:tcMar>
            <w:vAlign w:val="center"/>
          </w:tcPr>
          <w:p w14:paraId="760FE4F6" w14:textId="77777777" w:rsidR="00284822" w:rsidRDefault="00F77BF8">
            <w:pPr>
              <w:spacing w:before="120" w:after="120"/>
              <w:rPr>
                <w:rFonts w:ascii="Rockwell" w:hAnsi="Rockwell"/>
                <w:color w:val="000000"/>
                <w:szCs w:val="26"/>
              </w:rPr>
            </w:pPr>
            <w:r>
              <w:rPr>
                <w:rFonts w:ascii="Rockwell" w:hAnsi="Rockwell"/>
                <w:color w:val="000000"/>
                <w:szCs w:val="26"/>
              </w:rPr>
              <w:t>2,58%</w:t>
            </w:r>
          </w:p>
        </w:tc>
        <w:tc>
          <w:tcPr>
            <w:tcW w:w="1482" w:type="dxa"/>
            <w:shd w:val="clear" w:color="auto" w:fill="auto"/>
            <w:tcMar>
              <w:top w:w="0" w:type="dxa"/>
              <w:left w:w="108" w:type="dxa"/>
              <w:bottom w:w="0" w:type="dxa"/>
              <w:right w:w="108" w:type="dxa"/>
            </w:tcMar>
            <w:vAlign w:val="center"/>
          </w:tcPr>
          <w:p w14:paraId="5ACFA8BA" w14:textId="77777777" w:rsidR="00284822" w:rsidRDefault="00F77BF8">
            <w:pPr>
              <w:spacing w:before="120" w:after="120"/>
              <w:rPr>
                <w:rFonts w:ascii="Rockwell" w:hAnsi="Rockwell"/>
                <w:color w:val="000000"/>
                <w:szCs w:val="26"/>
              </w:rPr>
            </w:pPr>
            <w:r>
              <w:rPr>
                <w:rFonts w:ascii="Rockwell" w:hAnsi="Rockwell"/>
                <w:color w:val="000000"/>
                <w:szCs w:val="26"/>
              </w:rPr>
              <w:t>5</w:t>
            </w:r>
          </w:p>
        </w:tc>
        <w:tc>
          <w:tcPr>
            <w:tcW w:w="1746" w:type="dxa"/>
            <w:shd w:val="clear" w:color="auto" w:fill="auto"/>
            <w:tcMar>
              <w:top w:w="0" w:type="dxa"/>
              <w:left w:w="108" w:type="dxa"/>
              <w:bottom w:w="0" w:type="dxa"/>
              <w:right w:w="108" w:type="dxa"/>
            </w:tcMar>
            <w:vAlign w:val="center"/>
          </w:tcPr>
          <w:p w14:paraId="6B88CF0B" w14:textId="77777777" w:rsidR="00284822" w:rsidRDefault="00F77BF8">
            <w:pPr>
              <w:spacing w:before="120" w:after="120"/>
              <w:rPr>
                <w:rFonts w:ascii="Rockwell" w:hAnsi="Rockwell"/>
                <w:color w:val="000000"/>
                <w:szCs w:val="26"/>
              </w:rPr>
            </w:pPr>
            <w:r>
              <w:rPr>
                <w:rFonts w:ascii="Rockwell" w:hAnsi="Rockwell"/>
                <w:color w:val="000000"/>
                <w:szCs w:val="26"/>
              </w:rPr>
              <w:t>2,11%</w:t>
            </w:r>
          </w:p>
        </w:tc>
      </w:tr>
      <w:tr w:rsidR="00284822" w14:paraId="0B1CC925" w14:textId="77777777">
        <w:trPr>
          <w:trHeight w:val="84"/>
        </w:trPr>
        <w:tc>
          <w:tcPr>
            <w:tcW w:w="1208" w:type="dxa"/>
            <w:shd w:val="clear" w:color="auto" w:fill="auto"/>
            <w:tcMar>
              <w:top w:w="0" w:type="dxa"/>
              <w:left w:w="108" w:type="dxa"/>
              <w:bottom w:w="0" w:type="dxa"/>
              <w:right w:w="108" w:type="dxa"/>
            </w:tcMar>
            <w:vAlign w:val="bottom"/>
          </w:tcPr>
          <w:p w14:paraId="7B65356A" w14:textId="77777777" w:rsidR="00284822" w:rsidRDefault="00F77BF8">
            <w:pPr>
              <w:spacing w:before="120" w:after="120"/>
              <w:rPr>
                <w:rFonts w:ascii="Rockwell" w:hAnsi="Rockwell"/>
                <w:szCs w:val="26"/>
              </w:rPr>
            </w:pPr>
            <w:r>
              <w:rPr>
                <w:rFonts w:ascii="Rockwell" w:hAnsi="Rockwell"/>
                <w:bCs/>
                <w:szCs w:val="26"/>
              </w:rPr>
              <w:t>9</w:t>
            </w:r>
            <w:r>
              <w:rPr>
                <w:rFonts w:ascii="Rockwell" w:hAnsi="Rockwell"/>
                <w:bCs/>
                <w:szCs w:val="26"/>
                <w:vertAlign w:val="superscript"/>
              </w:rPr>
              <w:t>e</w:t>
            </w:r>
          </w:p>
        </w:tc>
        <w:tc>
          <w:tcPr>
            <w:tcW w:w="2771" w:type="dxa"/>
            <w:shd w:val="clear" w:color="auto" w:fill="auto"/>
            <w:tcMar>
              <w:top w:w="0" w:type="dxa"/>
              <w:left w:w="108" w:type="dxa"/>
              <w:bottom w:w="0" w:type="dxa"/>
              <w:right w:w="108" w:type="dxa"/>
            </w:tcMar>
            <w:vAlign w:val="bottom"/>
          </w:tcPr>
          <w:p w14:paraId="74BF0FA0" w14:textId="77777777" w:rsidR="00284822" w:rsidRDefault="00F77BF8">
            <w:pPr>
              <w:spacing w:before="120" w:after="120"/>
              <w:rPr>
                <w:rFonts w:ascii="Rockwell" w:hAnsi="Rockwell"/>
                <w:b/>
                <w:color w:val="000000"/>
                <w:szCs w:val="26"/>
              </w:rPr>
            </w:pPr>
            <w:r>
              <w:rPr>
                <w:rFonts w:ascii="Rockwell" w:hAnsi="Rockwell"/>
                <w:b/>
                <w:color w:val="000000"/>
                <w:szCs w:val="26"/>
              </w:rPr>
              <w:t>UPC</w:t>
            </w:r>
          </w:p>
        </w:tc>
        <w:tc>
          <w:tcPr>
            <w:tcW w:w="1504" w:type="dxa"/>
            <w:shd w:val="clear" w:color="auto" w:fill="auto"/>
            <w:tcMar>
              <w:top w:w="0" w:type="dxa"/>
              <w:left w:w="108" w:type="dxa"/>
              <w:bottom w:w="0" w:type="dxa"/>
              <w:right w:w="108" w:type="dxa"/>
            </w:tcMar>
            <w:vAlign w:val="center"/>
          </w:tcPr>
          <w:p w14:paraId="60C77186" w14:textId="77777777" w:rsidR="00284822" w:rsidRDefault="00F77BF8">
            <w:pPr>
              <w:spacing w:before="120" w:after="120"/>
              <w:rPr>
                <w:rFonts w:ascii="Rockwell" w:hAnsi="Rockwell"/>
                <w:color w:val="000000"/>
                <w:szCs w:val="26"/>
              </w:rPr>
            </w:pPr>
            <w:r>
              <w:rPr>
                <w:rFonts w:ascii="Rockwell" w:hAnsi="Rockwell"/>
                <w:color w:val="000000"/>
                <w:szCs w:val="26"/>
              </w:rPr>
              <w:t>3 et 4/7</w:t>
            </w:r>
          </w:p>
        </w:tc>
        <w:tc>
          <w:tcPr>
            <w:tcW w:w="1770" w:type="dxa"/>
            <w:shd w:val="clear" w:color="auto" w:fill="auto"/>
            <w:tcMar>
              <w:top w:w="0" w:type="dxa"/>
              <w:left w:w="108" w:type="dxa"/>
              <w:bottom w:w="0" w:type="dxa"/>
              <w:right w:w="108" w:type="dxa"/>
            </w:tcMar>
            <w:vAlign w:val="center"/>
          </w:tcPr>
          <w:p w14:paraId="5E5AFA05" w14:textId="77777777" w:rsidR="00284822" w:rsidRDefault="00F77BF8">
            <w:pPr>
              <w:spacing w:before="120" w:after="120"/>
              <w:rPr>
                <w:rFonts w:ascii="Rockwell" w:hAnsi="Rockwell"/>
                <w:color w:val="000000"/>
                <w:szCs w:val="26"/>
              </w:rPr>
            </w:pPr>
            <w:r>
              <w:rPr>
                <w:rFonts w:ascii="Rockwell" w:hAnsi="Rockwell"/>
                <w:color w:val="000000"/>
                <w:szCs w:val="26"/>
              </w:rPr>
              <w:t>2,53%</w:t>
            </w:r>
          </w:p>
        </w:tc>
        <w:tc>
          <w:tcPr>
            <w:tcW w:w="1482" w:type="dxa"/>
            <w:shd w:val="clear" w:color="auto" w:fill="auto"/>
            <w:tcMar>
              <w:top w:w="0" w:type="dxa"/>
              <w:left w:w="108" w:type="dxa"/>
              <w:bottom w:w="0" w:type="dxa"/>
              <w:right w:w="108" w:type="dxa"/>
            </w:tcMar>
            <w:vAlign w:val="center"/>
          </w:tcPr>
          <w:p w14:paraId="63367193" w14:textId="77777777" w:rsidR="00284822" w:rsidRDefault="00F77BF8">
            <w:pPr>
              <w:spacing w:before="120" w:after="120"/>
              <w:rPr>
                <w:rFonts w:ascii="Rockwell" w:hAnsi="Rockwell"/>
                <w:color w:val="000000"/>
                <w:szCs w:val="26"/>
              </w:rPr>
            </w:pPr>
            <w:r>
              <w:rPr>
                <w:rFonts w:ascii="Rockwell" w:hAnsi="Rockwell"/>
                <w:color w:val="000000"/>
                <w:szCs w:val="26"/>
              </w:rPr>
              <w:t>5</w:t>
            </w:r>
          </w:p>
        </w:tc>
        <w:tc>
          <w:tcPr>
            <w:tcW w:w="1746" w:type="dxa"/>
            <w:shd w:val="clear" w:color="auto" w:fill="auto"/>
            <w:tcMar>
              <w:top w:w="0" w:type="dxa"/>
              <w:left w:w="108" w:type="dxa"/>
              <w:bottom w:w="0" w:type="dxa"/>
              <w:right w:w="108" w:type="dxa"/>
            </w:tcMar>
            <w:vAlign w:val="center"/>
          </w:tcPr>
          <w:p w14:paraId="3AAFF37D" w14:textId="77777777" w:rsidR="00284822" w:rsidRDefault="00F77BF8">
            <w:pPr>
              <w:spacing w:before="120" w:after="120"/>
              <w:rPr>
                <w:rFonts w:ascii="Rockwell" w:hAnsi="Rockwell"/>
                <w:color w:val="000000"/>
                <w:szCs w:val="26"/>
              </w:rPr>
            </w:pPr>
            <w:r>
              <w:rPr>
                <w:rFonts w:ascii="Rockwell" w:hAnsi="Rockwell"/>
                <w:color w:val="000000"/>
                <w:szCs w:val="26"/>
              </w:rPr>
              <w:t>2,11%</w:t>
            </w:r>
          </w:p>
        </w:tc>
      </w:tr>
      <w:tr w:rsidR="00284822" w14:paraId="46A8BF44" w14:textId="77777777">
        <w:trPr>
          <w:trHeight w:val="84"/>
        </w:trPr>
        <w:tc>
          <w:tcPr>
            <w:tcW w:w="1208" w:type="dxa"/>
            <w:shd w:val="clear" w:color="auto" w:fill="auto"/>
            <w:tcMar>
              <w:top w:w="0" w:type="dxa"/>
              <w:left w:w="108" w:type="dxa"/>
              <w:bottom w:w="0" w:type="dxa"/>
              <w:right w:w="108" w:type="dxa"/>
            </w:tcMar>
            <w:vAlign w:val="bottom"/>
          </w:tcPr>
          <w:p w14:paraId="6A5D55E6" w14:textId="77777777" w:rsidR="00284822" w:rsidRDefault="00F77BF8">
            <w:pPr>
              <w:spacing w:before="120" w:after="120"/>
              <w:rPr>
                <w:rFonts w:ascii="Rockwell" w:hAnsi="Rockwell"/>
                <w:szCs w:val="26"/>
              </w:rPr>
            </w:pPr>
            <w:r>
              <w:rPr>
                <w:rFonts w:ascii="Rockwell" w:hAnsi="Rockwell"/>
                <w:bCs/>
                <w:szCs w:val="26"/>
              </w:rPr>
              <w:t>10</w:t>
            </w:r>
            <w:r>
              <w:rPr>
                <w:rFonts w:ascii="Rockwell" w:hAnsi="Rockwell"/>
                <w:bCs/>
                <w:szCs w:val="26"/>
                <w:vertAlign w:val="superscript"/>
              </w:rPr>
              <w:t>e</w:t>
            </w:r>
          </w:p>
        </w:tc>
        <w:tc>
          <w:tcPr>
            <w:tcW w:w="2771" w:type="dxa"/>
            <w:shd w:val="clear" w:color="auto" w:fill="auto"/>
            <w:tcMar>
              <w:top w:w="0" w:type="dxa"/>
              <w:left w:w="108" w:type="dxa"/>
              <w:bottom w:w="0" w:type="dxa"/>
              <w:right w:w="108" w:type="dxa"/>
            </w:tcMar>
            <w:vAlign w:val="bottom"/>
          </w:tcPr>
          <w:p w14:paraId="19B54102" w14:textId="77777777" w:rsidR="00284822" w:rsidRDefault="00F77BF8">
            <w:pPr>
              <w:spacing w:before="120" w:after="120"/>
              <w:rPr>
                <w:rFonts w:ascii="Rockwell" w:hAnsi="Rockwell"/>
                <w:b/>
                <w:color w:val="000000"/>
                <w:szCs w:val="26"/>
              </w:rPr>
            </w:pPr>
            <w:r>
              <w:rPr>
                <w:rFonts w:ascii="Rockwell" w:hAnsi="Rockwell"/>
                <w:b/>
                <w:color w:val="000000"/>
                <w:szCs w:val="26"/>
              </w:rPr>
              <w:t>FP</w:t>
            </w:r>
          </w:p>
        </w:tc>
        <w:tc>
          <w:tcPr>
            <w:tcW w:w="1504" w:type="dxa"/>
            <w:shd w:val="clear" w:color="auto" w:fill="auto"/>
            <w:tcMar>
              <w:top w:w="0" w:type="dxa"/>
              <w:left w:w="108" w:type="dxa"/>
              <w:bottom w:w="0" w:type="dxa"/>
              <w:right w:w="108" w:type="dxa"/>
            </w:tcMar>
            <w:vAlign w:val="center"/>
          </w:tcPr>
          <w:p w14:paraId="598BA525" w14:textId="77777777" w:rsidR="00284822" w:rsidRDefault="00F77BF8">
            <w:pPr>
              <w:spacing w:before="120" w:after="120"/>
              <w:rPr>
                <w:rFonts w:ascii="Rockwell" w:hAnsi="Rockwell"/>
                <w:color w:val="000000"/>
                <w:szCs w:val="26"/>
              </w:rPr>
            </w:pPr>
            <w:r>
              <w:rPr>
                <w:rFonts w:ascii="Rockwell" w:hAnsi="Rockwell"/>
                <w:color w:val="000000"/>
                <w:szCs w:val="26"/>
              </w:rPr>
              <w:t>3 et 1/2</w:t>
            </w:r>
          </w:p>
        </w:tc>
        <w:tc>
          <w:tcPr>
            <w:tcW w:w="1770" w:type="dxa"/>
            <w:shd w:val="clear" w:color="auto" w:fill="auto"/>
            <w:tcMar>
              <w:top w:w="0" w:type="dxa"/>
              <w:left w:w="108" w:type="dxa"/>
              <w:bottom w:w="0" w:type="dxa"/>
              <w:right w:w="108" w:type="dxa"/>
            </w:tcMar>
            <w:vAlign w:val="center"/>
          </w:tcPr>
          <w:p w14:paraId="5D4B57DA" w14:textId="77777777" w:rsidR="00284822" w:rsidRDefault="00F77BF8">
            <w:pPr>
              <w:spacing w:before="120" w:after="120"/>
              <w:rPr>
                <w:rFonts w:ascii="Rockwell" w:hAnsi="Rockwell"/>
                <w:color w:val="000000"/>
                <w:szCs w:val="26"/>
              </w:rPr>
            </w:pPr>
            <w:r>
              <w:rPr>
                <w:rFonts w:ascii="Rockwell" w:hAnsi="Rockwell"/>
                <w:color w:val="000000"/>
                <w:szCs w:val="26"/>
              </w:rPr>
              <w:t>2,47%</w:t>
            </w:r>
          </w:p>
        </w:tc>
        <w:tc>
          <w:tcPr>
            <w:tcW w:w="1482" w:type="dxa"/>
            <w:shd w:val="clear" w:color="auto" w:fill="auto"/>
            <w:tcMar>
              <w:top w:w="0" w:type="dxa"/>
              <w:left w:w="108" w:type="dxa"/>
              <w:bottom w:w="0" w:type="dxa"/>
              <w:right w:w="108" w:type="dxa"/>
            </w:tcMar>
            <w:vAlign w:val="center"/>
          </w:tcPr>
          <w:p w14:paraId="2E76371D" w14:textId="77777777" w:rsidR="00284822" w:rsidRDefault="00F77BF8">
            <w:pPr>
              <w:spacing w:before="120" w:after="120"/>
              <w:rPr>
                <w:rFonts w:ascii="Rockwell" w:hAnsi="Rockwell"/>
                <w:color w:val="000000"/>
                <w:szCs w:val="26"/>
              </w:rPr>
            </w:pPr>
            <w:r>
              <w:rPr>
                <w:rFonts w:ascii="Rockwell" w:hAnsi="Rockwell"/>
                <w:color w:val="000000"/>
                <w:szCs w:val="26"/>
              </w:rPr>
              <w:t>4</w:t>
            </w:r>
          </w:p>
        </w:tc>
        <w:tc>
          <w:tcPr>
            <w:tcW w:w="1746" w:type="dxa"/>
            <w:shd w:val="clear" w:color="auto" w:fill="auto"/>
            <w:tcMar>
              <w:top w:w="0" w:type="dxa"/>
              <w:left w:w="108" w:type="dxa"/>
              <w:bottom w:w="0" w:type="dxa"/>
              <w:right w:w="108" w:type="dxa"/>
            </w:tcMar>
            <w:vAlign w:val="center"/>
          </w:tcPr>
          <w:p w14:paraId="082D231D" w14:textId="77777777" w:rsidR="00284822" w:rsidRDefault="00F77BF8">
            <w:pPr>
              <w:spacing w:before="120" w:after="120"/>
              <w:rPr>
                <w:rFonts w:ascii="Rockwell" w:hAnsi="Rockwell"/>
                <w:color w:val="000000"/>
                <w:szCs w:val="26"/>
              </w:rPr>
            </w:pPr>
            <w:r>
              <w:rPr>
                <w:rFonts w:ascii="Rockwell" w:hAnsi="Rockwell"/>
                <w:color w:val="000000"/>
                <w:szCs w:val="26"/>
              </w:rPr>
              <w:t>1,69%</w:t>
            </w:r>
          </w:p>
        </w:tc>
      </w:tr>
    </w:tbl>
    <w:p w14:paraId="52BE623A" w14:textId="77777777" w:rsidR="00284822" w:rsidRDefault="00F77BF8">
      <w:pPr>
        <w:tabs>
          <w:tab w:val="left" w:pos="895"/>
        </w:tabs>
        <w:spacing w:before="120" w:after="120"/>
        <w:ind w:left="-709" w:firstLine="283"/>
        <w:rPr>
          <w:rFonts w:ascii="Rockwell" w:hAnsi="Rockwell"/>
          <w:i/>
          <w:sz w:val="20"/>
          <w:szCs w:val="20"/>
        </w:rPr>
      </w:pPr>
      <w:r>
        <w:rPr>
          <w:rFonts w:ascii="Rockwell" w:hAnsi="Rockwell"/>
          <w:i/>
          <w:sz w:val="20"/>
          <w:szCs w:val="20"/>
          <w:u w:val="single"/>
        </w:rPr>
        <w:t>Source</w:t>
      </w:r>
      <w:r>
        <w:rPr>
          <w:rFonts w:ascii="Rockwell" w:hAnsi="Rockwell"/>
          <w:i/>
          <w:sz w:val="20"/>
          <w:szCs w:val="20"/>
        </w:rPr>
        <w:t> : Monitoring CSC</w:t>
      </w:r>
    </w:p>
    <w:p w14:paraId="6CCB32B2" w14:textId="77777777" w:rsidR="00284822" w:rsidRDefault="00284822">
      <w:pPr>
        <w:spacing w:before="120" w:after="120"/>
        <w:rPr>
          <w:rFonts w:ascii="Rockwell" w:hAnsi="Rockwell"/>
          <w:b/>
          <w:i/>
          <w:szCs w:val="26"/>
        </w:rPr>
      </w:pPr>
    </w:p>
    <w:p w14:paraId="4A64B885" w14:textId="77777777" w:rsidR="00284822" w:rsidRDefault="00284822">
      <w:pPr>
        <w:spacing w:before="120" w:after="120"/>
        <w:rPr>
          <w:rFonts w:ascii="Rockwell" w:hAnsi="Rockwell"/>
          <w:b/>
          <w:i/>
          <w:szCs w:val="26"/>
        </w:rPr>
      </w:pPr>
    </w:p>
    <w:p w14:paraId="1507A8DA" w14:textId="77777777" w:rsidR="00284822" w:rsidRDefault="00284822">
      <w:pPr>
        <w:spacing w:before="120" w:after="120"/>
        <w:rPr>
          <w:rFonts w:ascii="Rockwell" w:hAnsi="Rockwell"/>
          <w:b/>
          <w:i/>
          <w:szCs w:val="26"/>
        </w:rPr>
      </w:pPr>
    </w:p>
    <w:p w14:paraId="61E56133" w14:textId="77777777" w:rsidR="00284822" w:rsidRDefault="00284822">
      <w:pPr>
        <w:spacing w:before="120" w:after="120"/>
        <w:rPr>
          <w:rFonts w:ascii="Rockwell" w:hAnsi="Rockwell"/>
          <w:b/>
          <w:i/>
          <w:szCs w:val="26"/>
        </w:rPr>
      </w:pPr>
    </w:p>
    <w:p w14:paraId="7B922B98" w14:textId="77777777" w:rsidR="00284822" w:rsidRDefault="00284822">
      <w:pPr>
        <w:spacing w:before="120" w:after="120"/>
        <w:rPr>
          <w:rFonts w:ascii="Rockwell" w:hAnsi="Rockwell"/>
          <w:b/>
          <w:i/>
          <w:szCs w:val="26"/>
        </w:rPr>
        <w:sectPr w:rsidR="00284822">
          <w:pgSz w:w="11906" w:h="16838"/>
          <w:pgMar w:top="1418" w:right="1418" w:bottom="1418" w:left="1418" w:header="709" w:footer="709" w:gutter="0"/>
          <w:cols w:space="720"/>
        </w:sectPr>
      </w:pPr>
    </w:p>
    <w:p w14:paraId="13FEF3E8" w14:textId="77777777" w:rsidR="00284822" w:rsidRDefault="00F77BF8">
      <w:pPr>
        <w:spacing w:before="120" w:after="120"/>
        <w:jc w:val="center"/>
        <w:rPr>
          <w:rFonts w:ascii="Rockwell" w:hAnsi="Rockwell"/>
          <w:i/>
          <w:sz w:val="20"/>
          <w:szCs w:val="20"/>
        </w:rPr>
      </w:pPr>
      <w:r>
        <w:rPr>
          <w:rFonts w:ascii="Rockwell" w:hAnsi="Rockwell"/>
          <w:i/>
          <w:sz w:val="20"/>
          <w:szCs w:val="20"/>
          <w:u w:val="single"/>
        </w:rPr>
        <w:lastRenderedPageBreak/>
        <w:t>Représentation graphique des NP et des NI obtenus par les dix premiers partis politiques dans Le Pays</w:t>
      </w:r>
    </w:p>
    <w:p w14:paraId="36DFBE29" w14:textId="77777777" w:rsidR="00284822" w:rsidRDefault="00F77BF8">
      <w:pPr>
        <w:spacing w:before="120" w:after="120"/>
        <w:rPr>
          <w:rFonts w:ascii="Rockwell" w:hAnsi="Rockwell"/>
          <w:szCs w:val="26"/>
        </w:rPr>
      </w:pPr>
      <w:r>
        <w:rPr>
          <w:rFonts w:ascii="Rockwell" w:hAnsi="Rockwell"/>
          <w:noProof/>
          <w:szCs w:val="26"/>
        </w:rPr>
        <w:drawing>
          <wp:inline distT="0" distB="0" distL="0" distR="0" wp14:anchorId="672896C7" wp14:editId="1B2D4436">
            <wp:extent cx="5933440" cy="3600450"/>
            <wp:effectExtent l="0" t="0" r="0" b="0"/>
            <wp:docPr id="19" name="Graphique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408EEB2F" w14:textId="77777777" w:rsidR="00284822" w:rsidRDefault="00284822">
      <w:pPr>
        <w:spacing w:before="120" w:after="120"/>
        <w:rPr>
          <w:rFonts w:ascii="Rockwell" w:hAnsi="Rockwell"/>
          <w:sz w:val="10"/>
          <w:szCs w:val="10"/>
        </w:rPr>
      </w:pPr>
    </w:p>
    <w:p w14:paraId="45E13E12" w14:textId="77777777" w:rsidR="00284822" w:rsidRDefault="00F77BF8">
      <w:pPr>
        <w:pStyle w:val="Titre5"/>
        <w:numPr>
          <w:ilvl w:val="1"/>
          <w:numId w:val="15"/>
        </w:numPr>
        <w:ind w:firstLine="131"/>
        <w:rPr>
          <w:rFonts w:ascii="Rockwell" w:hAnsi="Rockwell"/>
        </w:rPr>
      </w:pPr>
      <w:bookmarkStart w:id="141" w:name="_Toc175048665"/>
      <w:r>
        <w:rPr>
          <w:rFonts w:ascii="Rockwell" w:hAnsi="Rockwell"/>
        </w:rPr>
        <w:t>Le Quotidien</w:t>
      </w:r>
      <w:bookmarkEnd w:id="141"/>
    </w:p>
    <w:p w14:paraId="62088C6C" w14:textId="77777777" w:rsidR="00284822" w:rsidRDefault="00F77BF8">
      <w:pPr>
        <w:spacing w:before="120" w:after="120"/>
        <w:rPr>
          <w:rFonts w:ascii="Rockwell" w:hAnsi="Rockwell"/>
          <w:szCs w:val="26"/>
        </w:rPr>
        <w:sectPr w:rsidR="00284822">
          <w:headerReference w:type="default" r:id="rId43"/>
          <w:footerReference w:type="default" r:id="rId44"/>
          <w:pgSz w:w="11906" w:h="16838"/>
          <w:pgMar w:top="1418" w:right="1418" w:bottom="1418" w:left="1418" w:header="720" w:footer="720" w:gutter="0"/>
          <w:cols w:space="720"/>
        </w:sectPr>
      </w:pPr>
      <w:r>
        <w:rPr>
          <w:rFonts w:ascii="Rockwell" w:hAnsi="Rockwell"/>
          <w:szCs w:val="26"/>
        </w:rPr>
        <w:t xml:space="preserve">Le journal a couvert les activités de 29 partis politiques en leur accordant </w:t>
      </w:r>
      <w:r>
        <w:rPr>
          <w:rFonts w:ascii="Rockwell" w:hAnsi="Rockwell"/>
          <w:color w:val="000000"/>
          <w:szCs w:val="26"/>
        </w:rPr>
        <w:t xml:space="preserve">90 </w:t>
      </w:r>
      <w:r>
        <w:rPr>
          <w:rFonts w:ascii="Rockwell" w:hAnsi="Rockwell"/>
          <w:szCs w:val="26"/>
        </w:rPr>
        <w:t xml:space="preserve">pages </w:t>
      </w:r>
      <w:r>
        <w:rPr>
          <w:rFonts w:ascii="Rockwell" w:hAnsi="Rockwell"/>
          <w:color w:val="000000"/>
          <w:szCs w:val="26"/>
        </w:rPr>
        <w:t>1/2</w:t>
      </w:r>
      <w:r>
        <w:rPr>
          <w:rFonts w:ascii="Rockwell" w:hAnsi="Rockwell"/>
          <w:szCs w:val="26"/>
        </w:rPr>
        <w:t xml:space="preserve"> et 162 illustrations. Le tableau suivant fait le classement des 10 premiers partis politiques :</w:t>
      </w:r>
    </w:p>
    <w:p w14:paraId="26F85E21" w14:textId="77777777" w:rsidR="00284822" w:rsidRDefault="00F77BF8">
      <w:pPr>
        <w:spacing w:before="120" w:after="120"/>
        <w:jc w:val="center"/>
        <w:rPr>
          <w:rFonts w:ascii="Rockwell" w:hAnsi="Rockwell"/>
          <w:i/>
          <w:sz w:val="20"/>
          <w:szCs w:val="20"/>
        </w:rPr>
      </w:pPr>
      <w:r>
        <w:rPr>
          <w:rFonts w:ascii="Rockwell" w:hAnsi="Rockwell"/>
          <w:b/>
          <w:sz w:val="20"/>
          <w:szCs w:val="20"/>
          <w:u w:val="single"/>
        </w:rPr>
        <w:lastRenderedPageBreak/>
        <w:t>Tableau 5</w:t>
      </w:r>
      <w:r>
        <w:rPr>
          <w:rFonts w:ascii="Rockwell" w:hAnsi="Rockwell"/>
          <w:sz w:val="20"/>
          <w:szCs w:val="20"/>
        </w:rPr>
        <w:t> :</w:t>
      </w:r>
      <w:r>
        <w:rPr>
          <w:rFonts w:ascii="Rockwell" w:hAnsi="Rockwell"/>
          <w:sz w:val="20"/>
          <w:szCs w:val="20"/>
          <w:u w:val="single"/>
        </w:rPr>
        <w:t xml:space="preserve"> </w:t>
      </w:r>
      <w:r>
        <w:rPr>
          <w:rFonts w:ascii="Rockwell" w:hAnsi="Rockwell"/>
          <w:i/>
          <w:sz w:val="20"/>
          <w:szCs w:val="20"/>
        </w:rPr>
        <w:t>Classement des dix premiers partis politiques selon le NP</w:t>
      </w:r>
    </w:p>
    <w:p w14:paraId="213FEF6F" w14:textId="77777777" w:rsidR="00284822" w:rsidRDefault="00F77BF8">
      <w:pPr>
        <w:spacing w:before="120" w:after="120"/>
        <w:jc w:val="center"/>
        <w:rPr>
          <w:rFonts w:ascii="Rockwell" w:hAnsi="Rockwell"/>
          <w:i/>
          <w:sz w:val="20"/>
          <w:szCs w:val="20"/>
        </w:rPr>
      </w:pPr>
      <w:proofErr w:type="gramStart"/>
      <w:r>
        <w:rPr>
          <w:rFonts w:ascii="Rockwell" w:hAnsi="Rockwell"/>
          <w:i/>
          <w:sz w:val="20"/>
          <w:szCs w:val="20"/>
        </w:rPr>
        <w:t>et</w:t>
      </w:r>
      <w:proofErr w:type="gramEnd"/>
      <w:r>
        <w:rPr>
          <w:rFonts w:ascii="Rockwell" w:hAnsi="Rockwell"/>
          <w:i/>
          <w:sz w:val="20"/>
          <w:szCs w:val="20"/>
        </w:rPr>
        <w:t xml:space="preserve"> le NI publiés dans Le Quotidien</w:t>
      </w:r>
    </w:p>
    <w:tbl>
      <w:tblPr>
        <w:tblW w:w="6075"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40"/>
        <w:gridCol w:w="3421"/>
        <w:gridCol w:w="1339"/>
        <w:gridCol w:w="1487"/>
        <w:gridCol w:w="1488"/>
        <w:gridCol w:w="1933"/>
      </w:tblGrid>
      <w:tr w:rsidR="00284822" w14:paraId="6EF1B3D3" w14:textId="77777777">
        <w:trPr>
          <w:trHeight w:val="75"/>
        </w:trPr>
        <w:tc>
          <w:tcPr>
            <w:tcW w:w="11008" w:type="dxa"/>
            <w:gridSpan w:val="6"/>
            <w:shd w:val="clear" w:color="auto" w:fill="auto"/>
            <w:tcMar>
              <w:top w:w="0" w:type="dxa"/>
              <w:left w:w="108" w:type="dxa"/>
              <w:bottom w:w="0" w:type="dxa"/>
              <w:right w:w="108" w:type="dxa"/>
            </w:tcMar>
            <w:vAlign w:val="center"/>
          </w:tcPr>
          <w:p w14:paraId="2CD127D4" w14:textId="77777777" w:rsidR="00284822" w:rsidRDefault="00F77BF8">
            <w:pPr>
              <w:spacing w:before="120" w:after="120"/>
              <w:jc w:val="center"/>
              <w:rPr>
                <w:rFonts w:ascii="Rockwell" w:hAnsi="Rockwell"/>
                <w:b/>
                <w:bCs/>
                <w:szCs w:val="26"/>
              </w:rPr>
            </w:pPr>
            <w:r>
              <w:rPr>
                <w:rFonts w:ascii="Rockwell" w:hAnsi="Rockwell"/>
                <w:b/>
                <w:bCs/>
                <w:szCs w:val="26"/>
              </w:rPr>
              <w:t>LE QUOTIDIEN</w:t>
            </w:r>
          </w:p>
        </w:tc>
      </w:tr>
      <w:tr w:rsidR="00284822" w14:paraId="5D8FB9FA" w14:textId="77777777">
        <w:trPr>
          <w:trHeight w:val="747"/>
        </w:trPr>
        <w:tc>
          <w:tcPr>
            <w:tcW w:w="1340" w:type="dxa"/>
            <w:shd w:val="clear" w:color="auto" w:fill="auto"/>
            <w:tcMar>
              <w:top w:w="0" w:type="dxa"/>
              <w:left w:w="108" w:type="dxa"/>
              <w:bottom w:w="0" w:type="dxa"/>
              <w:right w:w="108" w:type="dxa"/>
            </w:tcMar>
          </w:tcPr>
          <w:p w14:paraId="498C8E41" w14:textId="77777777" w:rsidR="00284822" w:rsidRDefault="00F77BF8">
            <w:pPr>
              <w:spacing w:before="120" w:after="120"/>
              <w:rPr>
                <w:rFonts w:ascii="Rockwell" w:hAnsi="Rockwell"/>
                <w:b/>
                <w:bCs/>
                <w:color w:val="000000"/>
                <w:szCs w:val="26"/>
              </w:rPr>
            </w:pPr>
            <w:r>
              <w:rPr>
                <w:rFonts w:ascii="Rockwell" w:hAnsi="Rockwell"/>
                <w:b/>
                <w:bCs/>
                <w:color w:val="000000"/>
                <w:szCs w:val="26"/>
              </w:rPr>
              <w:t>RANG</w:t>
            </w:r>
          </w:p>
        </w:tc>
        <w:tc>
          <w:tcPr>
            <w:tcW w:w="3421" w:type="dxa"/>
            <w:shd w:val="clear" w:color="auto" w:fill="auto"/>
            <w:tcMar>
              <w:top w:w="0" w:type="dxa"/>
              <w:left w:w="108" w:type="dxa"/>
              <w:bottom w:w="0" w:type="dxa"/>
              <w:right w:w="108" w:type="dxa"/>
            </w:tcMar>
          </w:tcPr>
          <w:p w14:paraId="303A1CF8" w14:textId="77777777" w:rsidR="00284822" w:rsidRDefault="00F77BF8">
            <w:pPr>
              <w:spacing w:before="120" w:after="120"/>
              <w:rPr>
                <w:rFonts w:ascii="Rockwell" w:hAnsi="Rockwell"/>
                <w:szCs w:val="26"/>
              </w:rPr>
            </w:pPr>
            <w:r>
              <w:rPr>
                <w:rFonts w:ascii="Rockwell" w:hAnsi="Rockwell"/>
                <w:b/>
                <w:bCs/>
                <w:color w:val="000000"/>
                <w:szCs w:val="26"/>
              </w:rPr>
              <w:t>ACTEURS POLITIQUES</w:t>
            </w:r>
          </w:p>
        </w:tc>
        <w:tc>
          <w:tcPr>
            <w:tcW w:w="1339" w:type="dxa"/>
            <w:shd w:val="clear" w:color="auto" w:fill="auto"/>
            <w:tcMar>
              <w:top w:w="0" w:type="dxa"/>
              <w:left w:w="108" w:type="dxa"/>
              <w:bottom w:w="0" w:type="dxa"/>
              <w:right w:w="108" w:type="dxa"/>
            </w:tcMar>
          </w:tcPr>
          <w:p w14:paraId="40762944" w14:textId="77777777" w:rsidR="00284822" w:rsidRDefault="00F77BF8">
            <w:pPr>
              <w:spacing w:before="120" w:after="120"/>
              <w:rPr>
                <w:rFonts w:ascii="Rockwell" w:hAnsi="Rockwell"/>
                <w:b/>
                <w:color w:val="000000"/>
                <w:szCs w:val="26"/>
              </w:rPr>
            </w:pPr>
            <w:r>
              <w:rPr>
                <w:rFonts w:ascii="Rockwell" w:hAnsi="Rockwell"/>
                <w:b/>
                <w:color w:val="000000"/>
                <w:szCs w:val="26"/>
              </w:rPr>
              <w:t>NP</w:t>
            </w:r>
          </w:p>
        </w:tc>
        <w:tc>
          <w:tcPr>
            <w:tcW w:w="1487" w:type="dxa"/>
            <w:shd w:val="clear" w:color="auto" w:fill="auto"/>
            <w:tcMar>
              <w:top w:w="0" w:type="dxa"/>
              <w:left w:w="108" w:type="dxa"/>
              <w:bottom w:w="0" w:type="dxa"/>
              <w:right w:w="108" w:type="dxa"/>
            </w:tcMar>
          </w:tcPr>
          <w:p w14:paraId="1019E102" w14:textId="77777777" w:rsidR="00284822" w:rsidRDefault="00F77BF8">
            <w:pPr>
              <w:spacing w:before="120" w:after="120"/>
              <w:rPr>
                <w:rFonts w:ascii="Rockwell" w:hAnsi="Rockwell"/>
                <w:b/>
                <w:color w:val="000000"/>
                <w:szCs w:val="26"/>
              </w:rPr>
            </w:pPr>
            <w:r>
              <w:rPr>
                <w:rFonts w:ascii="Rockwell" w:hAnsi="Rockwell"/>
                <w:b/>
                <w:color w:val="000000"/>
                <w:szCs w:val="26"/>
              </w:rPr>
              <w:t>% NP</w:t>
            </w:r>
          </w:p>
        </w:tc>
        <w:tc>
          <w:tcPr>
            <w:tcW w:w="1488" w:type="dxa"/>
            <w:shd w:val="clear" w:color="auto" w:fill="auto"/>
            <w:tcMar>
              <w:top w:w="0" w:type="dxa"/>
              <w:left w:w="108" w:type="dxa"/>
              <w:bottom w:w="0" w:type="dxa"/>
              <w:right w:w="108" w:type="dxa"/>
            </w:tcMar>
          </w:tcPr>
          <w:p w14:paraId="4BD9D242" w14:textId="77777777" w:rsidR="00284822" w:rsidRDefault="00F77BF8">
            <w:pPr>
              <w:spacing w:before="120" w:after="120"/>
              <w:rPr>
                <w:rFonts w:ascii="Rockwell" w:hAnsi="Rockwell"/>
                <w:b/>
                <w:color w:val="000000"/>
                <w:szCs w:val="26"/>
              </w:rPr>
            </w:pPr>
            <w:r>
              <w:rPr>
                <w:rFonts w:ascii="Rockwell" w:hAnsi="Rockwell"/>
                <w:b/>
                <w:color w:val="000000"/>
                <w:szCs w:val="26"/>
              </w:rPr>
              <w:t>NI</w:t>
            </w:r>
          </w:p>
        </w:tc>
        <w:tc>
          <w:tcPr>
            <w:tcW w:w="1933" w:type="dxa"/>
            <w:shd w:val="clear" w:color="auto" w:fill="auto"/>
            <w:tcMar>
              <w:top w:w="0" w:type="dxa"/>
              <w:left w:w="108" w:type="dxa"/>
              <w:bottom w:w="0" w:type="dxa"/>
              <w:right w:w="108" w:type="dxa"/>
            </w:tcMar>
          </w:tcPr>
          <w:p w14:paraId="7E640138" w14:textId="77777777" w:rsidR="00284822" w:rsidRDefault="00F77BF8">
            <w:pPr>
              <w:spacing w:before="120" w:after="120"/>
              <w:rPr>
                <w:rFonts w:ascii="Rockwell" w:hAnsi="Rockwell"/>
                <w:b/>
                <w:color w:val="000000"/>
                <w:szCs w:val="26"/>
              </w:rPr>
            </w:pPr>
            <w:r>
              <w:rPr>
                <w:rFonts w:ascii="Rockwell" w:hAnsi="Rockwell"/>
                <w:b/>
                <w:color w:val="000000"/>
                <w:szCs w:val="26"/>
              </w:rPr>
              <w:t>% NI</w:t>
            </w:r>
          </w:p>
        </w:tc>
      </w:tr>
      <w:tr w:rsidR="00284822" w14:paraId="7BB137B4" w14:textId="77777777">
        <w:trPr>
          <w:trHeight w:val="75"/>
        </w:trPr>
        <w:tc>
          <w:tcPr>
            <w:tcW w:w="1340" w:type="dxa"/>
            <w:shd w:val="clear" w:color="auto" w:fill="auto"/>
            <w:tcMar>
              <w:top w:w="0" w:type="dxa"/>
              <w:left w:w="108" w:type="dxa"/>
              <w:bottom w:w="0" w:type="dxa"/>
              <w:right w:w="108" w:type="dxa"/>
            </w:tcMar>
            <w:vAlign w:val="bottom"/>
          </w:tcPr>
          <w:p w14:paraId="6DDE96BE" w14:textId="77777777" w:rsidR="00284822" w:rsidRDefault="00F77BF8">
            <w:pPr>
              <w:spacing w:before="120" w:after="120"/>
              <w:rPr>
                <w:rFonts w:ascii="Rockwell" w:hAnsi="Rockwell"/>
                <w:szCs w:val="26"/>
              </w:rPr>
            </w:pPr>
            <w:r>
              <w:rPr>
                <w:rFonts w:ascii="Rockwell" w:hAnsi="Rockwell"/>
                <w:bCs/>
                <w:szCs w:val="26"/>
              </w:rPr>
              <w:t>1</w:t>
            </w:r>
            <w:r>
              <w:rPr>
                <w:rFonts w:ascii="Rockwell" w:hAnsi="Rockwell"/>
                <w:bCs/>
                <w:szCs w:val="26"/>
                <w:vertAlign w:val="superscript"/>
              </w:rPr>
              <w:t>er</w:t>
            </w:r>
          </w:p>
        </w:tc>
        <w:tc>
          <w:tcPr>
            <w:tcW w:w="3421" w:type="dxa"/>
            <w:shd w:val="clear" w:color="auto" w:fill="auto"/>
            <w:tcMar>
              <w:top w:w="0" w:type="dxa"/>
              <w:left w:w="108" w:type="dxa"/>
              <w:bottom w:w="0" w:type="dxa"/>
              <w:right w:w="108" w:type="dxa"/>
            </w:tcMar>
            <w:vAlign w:val="bottom"/>
          </w:tcPr>
          <w:p w14:paraId="0F49D895" w14:textId="77777777" w:rsidR="00284822" w:rsidRDefault="00F77BF8">
            <w:pPr>
              <w:spacing w:before="120" w:after="120"/>
              <w:rPr>
                <w:rFonts w:ascii="Rockwell" w:hAnsi="Rockwell"/>
                <w:b/>
                <w:color w:val="000000"/>
                <w:szCs w:val="26"/>
              </w:rPr>
            </w:pPr>
            <w:r>
              <w:rPr>
                <w:rFonts w:ascii="Rockwell" w:hAnsi="Rockwell"/>
                <w:b/>
                <w:color w:val="000000"/>
                <w:szCs w:val="26"/>
              </w:rPr>
              <w:t>CDP</w:t>
            </w:r>
          </w:p>
        </w:tc>
        <w:tc>
          <w:tcPr>
            <w:tcW w:w="1339" w:type="dxa"/>
            <w:shd w:val="clear" w:color="auto" w:fill="auto"/>
            <w:tcMar>
              <w:top w:w="0" w:type="dxa"/>
              <w:left w:w="108" w:type="dxa"/>
              <w:bottom w:w="0" w:type="dxa"/>
              <w:right w:w="108" w:type="dxa"/>
            </w:tcMar>
            <w:vAlign w:val="center"/>
          </w:tcPr>
          <w:p w14:paraId="1F0692CA" w14:textId="77777777" w:rsidR="00284822" w:rsidRDefault="00F77BF8">
            <w:pPr>
              <w:spacing w:before="120" w:after="120"/>
              <w:rPr>
                <w:rFonts w:ascii="Rockwell" w:hAnsi="Rockwell"/>
                <w:color w:val="000000"/>
                <w:szCs w:val="26"/>
              </w:rPr>
            </w:pPr>
            <w:r>
              <w:rPr>
                <w:rFonts w:ascii="Rockwell" w:hAnsi="Rockwell"/>
                <w:color w:val="000000"/>
                <w:szCs w:val="26"/>
              </w:rPr>
              <w:t>22 et 2/5</w:t>
            </w:r>
          </w:p>
        </w:tc>
        <w:tc>
          <w:tcPr>
            <w:tcW w:w="1487" w:type="dxa"/>
            <w:shd w:val="clear" w:color="auto" w:fill="auto"/>
            <w:tcMar>
              <w:top w:w="0" w:type="dxa"/>
              <w:left w:w="108" w:type="dxa"/>
              <w:bottom w:w="0" w:type="dxa"/>
              <w:right w:w="108" w:type="dxa"/>
            </w:tcMar>
            <w:vAlign w:val="center"/>
          </w:tcPr>
          <w:p w14:paraId="5A3A0DDF" w14:textId="77777777" w:rsidR="00284822" w:rsidRDefault="00F77BF8">
            <w:pPr>
              <w:spacing w:before="120" w:after="120"/>
              <w:rPr>
                <w:rFonts w:ascii="Rockwell" w:hAnsi="Rockwell"/>
                <w:color w:val="000000"/>
                <w:szCs w:val="26"/>
              </w:rPr>
            </w:pPr>
            <w:r>
              <w:rPr>
                <w:rFonts w:ascii="Rockwell" w:hAnsi="Rockwell"/>
                <w:color w:val="000000"/>
                <w:szCs w:val="26"/>
              </w:rPr>
              <w:t>24,76%</w:t>
            </w:r>
          </w:p>
        </w:tc>
        <w:tc>
          <w:tcPr>
            <w:tcW w:w="1488" w:type="dxa"/>
            <w:shd w:val="clear" w:color="auto" w:fill="auto"/>
            <w:tcMar>
              <w:top w:w="0" w:type="dxa"/>
              <w:left w:w="108" w:type="dxa"/>
              <w:bottom w:w="0" w:type="dxa"/>
              <w:right w:w="108" w:type="dxa"/>
            </w:tcMar>
            <w:vAlign w:val="center"/>
          </w:tcPr>
          <w:p w14:paraId="00331096" w14:textId="77777777" w:rsidR="00284822" w:rsidRDefault="00F77BF8">
            <w:pPr>
              <w:spacing w:before="120" w:after="120"/>
              <w:rPr>
                <w:rFonts w:ascii="Rockwell" w:hAnsi="Rockwell"/>
                <w:color w:val="000000"/>
                <w:szCs w:val="26"/>
              </w:rPr>
            </w:pPr>
            <w:r>
              <w:rPr>
                <w:rFonts w:ascii="Rockwell" w:hAnsi="Rockwell"/>
                <w:color w:val="000000"/>
                <w:szCs w:val="26"/>
              </w:rPr>
              <w:t>37</w:t>
            </w:r>
          </w:p>
        </w:tc>
        <w:tc>
          <w:tcPr>
            <w:tcW w:w="1933" w:type="dxa"/>
            <w:shd w:val="clear" w:color="auto" w:fill="auto"/>
            <w:tcMar>
              <w:top w:w="0" w:type="dxa"/>
              <w:left w:w="108" w:type="dxa"/>
              <w:bottom w:w="0" w:type="dxa"/>
              <w:right w:w="108" w:type="dxa"/>
            </w:tcMar>
            <w:vAlign w:val="center"/>
          </w:tcPr>
          <w:p w14:paraId="42100589" w14:textId="77777777" w:rsidR="00284822" w:rsidRDefault="00F77BF8">
            <w:pPr>
              <w:spacing w:before="120" w:after="120"/>
              <w:rPr>
                <w:rFonts w:ascii="Rockwell" w:hAnsi="Rockwell"/>
                <w:color w:val="000000"/>
                <w:szCs w:val="26"/>
              </w:rPr>
            </w:pPr>
            <w:r>
              <w:rPr>
                <w:rFonts w:ascii="Rockwell" w:hAnsi="Rockwell"/>
                <w:color w:val="000000"/>
                <w:szCs w:val="26"/>
              </w:rPr>
              <w:t>22,84%</w:t>
            </w:r>
          </w:p>
        </w:tc>
      </w:tr>
      <w:tr w:rsidR="00284822" w14:paraId="489E0A71" w14:textId="77777777">
        <w:trPr>
          <w:trHeight w:val="75"/>
        </w:trPr>
        <w:tc>
          <w:tcPr>
            <w:tcW w:w="1340" w:type="dxa"/>
            <w:shd w:val="clear" w:color="auto" w:fill="auto"/>
            <w:tcMar>
              <w:top w:w="0" w:type="dxa"/>
              <w:left w:w="108" w:type="dxa"/>
              <w:bottom w:w="0" w:type="dxa"/>
              <w:right w:w="108" w:type="dxa"/>
            </w:tcMar>
            <w:vAlign w:val="bottom"/>
          </w:tcPr>
          <w:p w14:paraId="58B2E1EF" w14:textId="77777777" w:rsidR="00284822" w:rsidRDefault="00F77BF8">
            <w:pPr>
              <w:spacing w:before="120" w:after="120"/>
              <w:rPr>
                <w:rFonts w:ascii="Rockwell" w:hAnsi="Rockwell"/>
                <w:szCs w:val="26"/>
              </w:rPr>
            </w:pPr>
            <w:r>
              <w:rPr>
                <w:rFonts w:ascii="Rockwell" w:hAnsi="Rockwell"/>
                <w:bCs/>
                <w:szCs w:val="26"/>
              </w:rPr>
              <w:t>2</w:t>
            </w:r>
            <w:r>
              <w:rPr>
                <w:rFonts w:ascii="Rockwell" w:hAnsi="Rockwell"/>
                <w:bCs/>
                <w:szCs w:val="26"/>
                <w:vertAlign w:val="superscript"/>
              </w:rPr>
              <w:t>e</w:t>
            </w:r>
          </w:p>
        </w:tc>
        <w:tc>
          <w:tcPr>
            <w:tcW w:w="3421" w:type="dxa"/>
            <w:shd w:val="clear" w:color="auto" w:fill="auto"/>
            <w:tcMar>
              <w:top w:w="0" w:type="dxa"/>
              <w:left w:w="108" w:type="dxa"/>
              <w:bottom w:w="0" w:type="dxa"/>
              <w:right w:w="108" w:type="dxa"/>
            </w:tcMar>
            <w:vAlign w:val="bottom"/>
          </w:tcPr>
          <w:p w14:paraId="61927D3E" w14:textId="77777777" w:rsidR="00284822" w:rsidRDefault="00F77BF8">
            <w:pPr>
              <w:spacing w:before="120" w:after="120"/>
              <w:rPr>
                <w:rFonts w:ascii="Rockwell" w:hAnsi="Rockwell"/>
                <w:b/>
                <w:color w:val="000000"/>
                <w:szCs w:val="26"/>
              </w:rPr>
            </w:pPr>
            <w:r>
              <w:rPr>
                <w:rFonts w:ascii="Rockwell" w:hAnsi="Rockwell"/>
                <w:b/>
                <w:color w:val="000000"/>
                <w:szCs w:val="26"/>
              </w:rPr>
              <w:t>UNDD</w:t>
            </w:r>
          </w:p>
        </w:tc>
        <w:tc>
          <w:tcPr>
            <w:tcW w:w="1339" w:type="dxa"/>
            <w:shd w:val="clear" w:color="auto" w:fill="auto"/>
            <w:tcMar>
              <w:top w:w="0" w:type="dxa"/>
              <w:left w:w="108" w:type="dxa"/>
              <w:bottom w:w="0" w:type="dxa"/>
              <w:right w:w="108" w:type="dxa"/>
            </w:tcMar>
            <w:vAlign w:val="center"/>
          </w:tcPr>
          <w:p w14:paraId="4BDB912F" w14:textId="77777777" w:rsidR="00284822" w:rsidRDefault="00F77BF8">
            <w:pPr>
              <w:spacing w:before="120" w:after="120"/>
              <w:rPr>
                <w:rFonts w:ascii="Rockwell" w:hAnsi="Rockwell"/>
                <w:color w:val="000000"/>
                <w:szCs w:val="26"/>
              </w:rPr>
            </w:pPr>
            <w:r>
              <w:rPr>
                <w:rFonts w:ascii="Rockwell" w:hAnsi="Rockwell"/>
                <w:color w:val="000000"/>
                <w:szCs w:val="26"/>
              </w:rPr>
              <w:t>16 et ¾</w:t>
            </w:r>
          </w:p>
        </w:tc>
        <w:tc>
          <w:tcPr>
            <w:tcW w:w="1487" w:type="dxa"/>
            <w:shd w:val="clear" w:color="auto" w:fill="auto"/>
            <w:tcMar>
              <w:top w:w="0" w:type="dxa"/>
              <w:left w:w="108" w:type="dxa"/>
              <w:bottom w:w="0" w:type="dxa"/>
              <w:right w:w="108" w:type="dxa"/>
            </w:tcMar>
            <w:vAlign w:val="center"/>
          </w:tcPr>
          <w:p w14:paraId="415D93DD" w14:textId="77777777" w:rsidR="00284822" w:rsidRDefault="00F77BF8">
            <w:pPr>
              <w:spacing w:before="120" w:after="120"/>
              <w:rPr>
                <w:rFonts w:ascii="Rockwell" w:hAnsi="Rockwell"/>
                <w:color w:val="000000"/>
                <w:szCs w:val="26"/>
              </w:rPr>
            </w:pPr>
            <w:r>
              <w:rPr>
                <w:rFonts w:ascii="Rockwell" w:hAnsi="Rockwell"/>
                <w:color w:val="000000"/>
                <w:szCs w:val="26"/>
              </w:rPr>
              <w:t>18,53%</w:t>
            </w:r>
          </w:p>
        </w:tc>
        <w:tc>
          <w:tcPr>
            <w:tcW w:w="1488" w:type="dxa"/>
            <w:shd w:val="clear" w:color="auto" w:fill="auto"/>
            <w:tcMar>
              <w:top w:w="0" w:type="dxa"/>
              <w:left w:w="108" w:type="dxa"/>
              <w:bottom w:w="0" w:type="dxa"/>
              <w:right w:w="108" w:type="dxa"/>
            </w:tcMar>
            <w:vAlign w:val="center"/>
          </w:tcPr>
          <w:p w14:paraId="3DFE4C51" w14:textId="77777777" w:rsidR="00284822" w:rsidRDefault="00F77BF8">
            <w:pPr>
              <w:spacing w:before="120" w:after="120"/>
              <w:rPr>
                <w:rFonts w:ascii="Rockwell" w:hAnsi="Rockwell"/>
                <w:color w:val="000000"/>
                <w:szCs w:val="26"/>
              </w:rPr>
            </w:pPr>
            <w:r>
              <w:rPr>
                <w:rFonts w:ascii="Rockwell" w:hAnsi="Rockwell"/>
                <w:color w:val="000000"/>
                <w:szCs w:val="26"/>
              </w:rPr>
              <w:t>39</w:t>
            </w:r>
          </w:p>
        </w:tc>
        <w:tc>
          <w:tcPr>
            <w:tcW w:w="1933" w:type="dxa"/>
            <w:shd w:val="clear" w:color="auto" w:fill="auto"/>
            <w:tcMar>
              <w:top w:w="0" w:type="dxa"/>
              <w:left w:w="108" w:type="dxa"/>
              <w:bottom w:w="0" w:type="dxa"/>
              <w:right w:w="108" w:type="dxa"/>
            </w:tcMar>
            <w:vAlign w:val="center"/>
          </w:tcPr>
          <w:p w14:paraId="5FC2A0C2" w14:textId="77777777" w:rsidR="00284822" w:rsidRDefault="00F77BF8">
            <w:pPr>
              <w:spacing w:before="120" w:after="120"/>
              <w:rPr>
                <w:rFonts w:ascii="Rockwell" w:hAnsi="Rockwell"/>
                <w:color w:val="000000"/>
                <w:szCs w:val="26"/>
              </w:rPr>
            </w:pPr>
            <w:r>
              <w:rPr>
                <w:rFonts w:ascii="Rockwell" w:hAnsi="Rockwell"/>
                <w:color w:val="000000"/>
                <w:szCs w:val="26"/>
              </w:rPr>
              <w:t>24,07%</w:t>
            </w:r>
          </w:p>
        </w:tc>
      </w:tr>
      <w:tr w:rsidR="00284822" w14:paraId="61AC4BF9" w14:textId="77777777">
        <w:trPr>
          <w:trHeight w:val="75"/>
        </w:trPr>
        <w:tc>
          <w:tcPr>
            <w:tcW w:w="1340" w:type="dxa"/>
            <w:shd w:val="clear" w:color="auto" w:fill="auto"/>
            <w:tcMar>
              <w:top w:w="0" w:type="dxa"/>
              <w:left w:w="108" w:type="dxa"/>
              <w:bottom w:w="0" w:type="dxa"/>
              <w:right w:w="108" w:type="dxa"/>
            </w:tcMar>
            <w:vAlign w:val="bottom"/>
          </w:tcPr>
          <w:p w14:paraId="72037454" w14:textId="77777777" w:rsidR="00284822" w:rsidRDefault="00F77BF8">
            <w:pPr>
              <w:spacing w:before="120" w:after="120"/>
              <w:rPr>
                <w:rFonts w:ascii="Rockwell" w:hAnsi="Rockwell"/>
                <w:szCs w:val="26"/>
              </w:rPr>
            </w:pPr>
            <w:r>
              <w:rPr>
                <w:rFonts w:ascii="Rockwell" w:hAnsi="Rockwell"/>
                <w:bCs/>
                <w:szCs w:val="26"/>
              </w:rPr>
              <w:t>3</w:t>
            </w:r>
            <w:r>
              <w:rPr>
                <w:rFonts w:ascii="Rockwell" w:hAnsi="Rockwell"/>
                <w:bCs/>
                <w:szCs w:val="26"/>
                <w:vertAlign w:val="superscript"/>
              </w:rPr>
              <w:t>e</w:t>
            </w:r>
          </w:p>
        </w:tc>
        <w:tc>
          <w:tcPr>
            <w:tcW w:w="3421" w:type="dxa"/>
            <w:shd w:val="clear" w:color="auto" w:fill="auto"/>
            <w:tcMar>
              <w:top w:w="0" w:type="dxa"/>
              <w:left w:w="108" w:type="dxa"/>
              <w:bottom w:w="0" w:type="dxa"/>
              <w:right w:w="108" w:type="dxa"/>
            </w:tcMar>
            <w:vAlign w:val="bottom"/>
          </w:tcPr>
          <w:p w14:paraId="0992AE35" w14:textId="77777777" w:rsidR="00284822" w:rsidRDefault="00F77BF8">
            <w:pPr>
              <w:spacing w:before="120" w:after="120"/>
              <w:rPr>
                <w:rFonts w:ascii="Rockwell" w:hAnsi="Rockwell"/>
                <w:b/>
                <w:color w:val="000000"/>
                <w:szCs w:val="26"/>
              </w:rPr>
            </w:pPr>
            <w:r>
              <w:rPr>
                <w:rFonts w:ascii="Rockwell" w:hAnsi="Rockwell"/>
                <w:b/>
                <w:color w:val="000000"/>
                <w:szCs w:val="26"/>
              </w:rPr>
              <w:t>PPS</w:t>
            </w:r>
          </w:p>
        </w:tc>
        <w:tc>
          <w:tcPr>
            <w:tcW w:w="1339" w:type="dxa"/>
            <w:shd w:val="clear" w:color="auto" w:fill="auto"/>
            <w:tcMar>
              <w:top w:w="0" w:type="dxa"/>
              <w:left w:w="108" w:type="dxa"/>
              <w:bottom w:w="0" w:type="dxa"/>
              <w:right w:w="108" w:type="dxa"/>
            </w:tcMar>
            <w:vAlign w:val="center"/>
          </w:tcPr>
          <w:p w14:paraId="5B31EC1D" w14:textId="77777777" w:rsidR="00284822" w:rsidRDefault="00F77BF8">
            <w:pPr>
              <w:spacing w:before="120" w:after="120"/>
              <w:rPr>
                <w:rFonts w:ascii="Rockwell" w:hAnsi="Rockwell"/>
                <w:color w:val="000000"/>
                <w:szCs w:val="26"/>
              </w:rPr>
            </w:pPr>
            <w:r>
              <w:rPr>
                <w:rFonts w:ascii="Rockwell" w:hAnsi="Rockwell"/>
                <w:color w:val="000000"/>
                <w:szCs w:val="26"/>
              </w:rPr>
              <w:t>7</w:t>
            </w:r>
          </w:p>
        </w:tc>
        <w:tc>
          <w:tcPr>
            <w:tcW w:w="1487" w:type="dxa"/>
            <w:shd w:val="clear" w:color="auto" w:fill="auto"/>
            <w:tcMar>
              <w:top w:w="0" w:type="dxa"/>
              <w:left w:w="108" w:type="dxa"/>
              <w:bottom w:w="0" w:type="dxa"/>
              <w:right w:w="108" w:type="dxa"/>
            </w:tcMar>
            <w:vAlign w:val="center"/>
          </w:tcPr>
          <w:p w14:paraId="253BEB9B" w14:textId="77777777" w:rsidR="00284822" w:rsidRDefault="00F77BF8">
            <w:pPr>
              <w:spacing w:before="120" w:after="120"/>
              <w:rPr>
                <w:rFonts w:ascii="Rockwell" w:hAnsi="Rockwell"/>
                <w:color w:val="000000"/>
                <w:szCs w:val="26"/>
              </w:rPr>
            </w:pPr>
            <w:r>
              <w:rPr>
                <w:rFonts w:ascii="Rockwell" w:hAnsi="Rockwell"/>
                <w:color w:val="000000"/>
                <w:szCs w:val="26"/>
              </w:rPr>
              <w:t>7,73%</w:t>
            </w:r>
          </w:p>
        </w:tc>
        <w:tc>
          <w:tcPr>
            <w:tcW w:w="1488" w:type="dxa"/>
            <w:shd w:val="clear" w:color="auto" w:fill="auto"/>
            <w:tcMar>
              <w:top w:w="0" w:type="dxa"/>
              <w:left w:w="108" w:type="dxa"/>
              <w:bottom w:w="0" w:type="dxa"/>
              <w:right w:w="108" w:type="dxa"/>
            </w:tcMar>
            <w:vAlign w:val="center"/>
          </w:tcPr>
          <w:p w14:paraId="06CA4F56" w14:textId="77777777" w:rsidR="00284822" w:rsidRDefault="00F77BF8">
            <w:pPr>
              <w:spacing w:before="120" w:after="120"/>
              <w:rPr>
                <w:rFonts w:ascii="Rockwell" w:hAnsi="Rockwell"/>
                <w:color w:val="000000"/>
                <w:szCs w:val="26"/>
              </w:rPr>
            </w:pPr>
            <w:r>
              <w:rPr>
                <w:rFonts w:ascii="Rockwell" w:hAnsi="Rockwell"/>
                <w:color w:val="000000"/>
                <w:szCs w:val="26"/>
              </w:rPr>
              <w:t>13</w:t>
            </w:r>
          </w:p>
        </w:tc>
        <w:tc>
          <w:tcPr>
            <w:tcW w:w="1933" w:type="dxa"/>
            <w:shd w:val="clear" w:color="auto" w:fill="auto"/>
            <w:tcMar>
              <w:top w:w="0" w:type="dxa"/>
              <w:left w:w="108" w:type="dxa"/>
              <w:bottom w:w="0" w:type="dxa"/>
              <w:right w:w="108" w:type="dxa"/>
            </w:tcMar>
            <w:vAlign w:val="center"/>
          </w:tcPr>
          <w:p w14:paraId="1A52484C" w14:textId="77777777" w:rsidR="00284822" w:rsidRDefault="00F77BF8">
            <w:pPr>
              <w:spacing w:before="120" w:after="120"/>
              <w:rPr>
                <w:rFonts w:ascii="Rockwell" w:hAnsi="Rockwell"/>
                <w:color w:val="000000"/>
                <w:szCs w:val="26"/>
              </w:rPr>
            </w:pPr>
            <w:r>
              <w:rPr>
                <w:rFonts w:ascii="Rockwell" w:hAnsi="Rockwell"/>
                <w:color w:val="000000"/>
                <w:szCs w:val="26"/>
              </w:rPr>
              <w:t>8,02%</w:t>
            </w:r>
          </w:p>
        </w:tc>
      </w:tr>
      <w:tr w:rsidR="00284822" w14:paraId="041152FD" w14:textId="77777777">
        <w:trPr>
          <w:trHeight w:val="75"/>
        </w:trPr>
        <w:tc>
          <w:tcPr>
            <w:tcW w:w="1340" w:type="dxa"/>
            <w:shd w:val="clear" w:color="auto" w:fill="auto"/>
            <w:tcMar>
              <w:top w:w="0" w:type="dxa"/>
              <w:left w:w="108" w:type="dxa"/>
              <w:bottom w:w="0" w:type="dxa"/>
              <w:right w:w="108" w:type="dxa"/>
            </w:tcMar>
            <w:vAlign w:val="bottom"/>
          </w:tcPr>
          <w:p w14:paraId="29EB6A6C" w14:textId="77777777" w:rsidR="00284822" w:rsidRDefault="00F77BF8">
            <w:pPr>
              <w:spacing w:before="120" w:after="120"/>
              <w:rPr>
                <w:rFonts w:ascii="Rockwell" w:hAnsi="Rockwell"/>
                <w:szCs w:val="26"/>
              </w:rPr>
            </w:pPr>
            <w:r>
              <w:rPr>
                <w:rFonts w:ascii="Rockwell" w:hAnsi="Rockwell"/>
                <w:bCs/>
                <w:szCs w:val="26"/>
              </w:rPr>
              <w:t>4</w:t>
            </w:r>
            <w:r>
              <w:rPr>
                <w:rFonts w:ascii="Rockwell" w:hAnsi="Rockwell"/>
                <w:bCs/>
                <w:szCs w:val="26"/>
                <w:vertAlign w:val="superscript"/>
              </w:rPr>
              <w:t>e</w:t>
            </w:r>
          </w:p>
        </w:tc>
        <w:tc>
          <w:tcPr>
            <w:tcW w:w="3421" w:type="dxa"/>
            <w:shd w:val="clear" w:color="auto" w:fill="auto"/>
            <w:tcMar>
              <w:top w:w="0" w:type="dxa"/>
              <w:left w:w="108" w:type="dxa"/>
              <w:bottom w:w="0" w:type="dxa"/>
              <w:right w:w="108" w:type="dxa"/>
            </w:tcMar>
            <w:vAlign w:val="bottom"/>
          </w:tcPr>
          <w:p w14:paraId="475E7857" w14:textId="77777777" w:rsidR="00284822" w:rsidRDefault="00F77BF8">
            <w:pPr>
              <w:spacing w:before="120" w:after="120"/>
              <w:rPr>
                <w:rFonts w:ascii="Rockwell" w:hAnsi="Rockwell"/>
                <w:b/>
                <w:color w:val="000000"/>
                <w:szCs w:val="26"/>
              </w:rPr>
            </w:pPr>
            <w:r>
              <w:rPr>
                <w:rFonts w:ascii="Rockwell" w:hAnsi="Rockwell"/>
                <w:b/>
                <w:color w:val="000000"/>
                <w:szCs w:val="26"/>
              </w:rPr>
              <w:t>UNIR/MPS</w:t>
            </w:r>
          </w:p>
        </w:tc>
        <w:tc>
          <w:tcPr>
            <w:tcW w:w="1339" w:type="dxa"/>
            <w:shd w:val="clear" w:color="auto" w:fill="auto"/>
            <w:tcMar>
              <w:top w:w="0" w:type="dxa"/>
              <w:left w:w="108" w:type="dxa"/>
              <w:bottom w:w="0" w:type="dxa"/>
              <w:right w:w="108" w:type="dxa"/>
            </w:tcMar>
            <w:vAlign w:val="center"/>
          </w:tcPr>
          <w:p w14:paraId="0E3B89E9" w14:textId="77777777" w:rsidR="00284822" w:rsidRDefault="00F77BF8">
            <w:pPr>
              <w:spacing w:before="120" w:after="120"/>
              <w:rPr>
                <w:rFonts w:ascii="Rockwell" w:hAnsi="Rockwell"/>
                <w:color w:val="000000"/>
                <w:szCs w:val="26"/>
              </w:rPr>
            </w:pPr>
            <w:r>
              <w:rPr>
                <w:rFonts w:ascii="Rockwell" w:hAnsi="Rockwell"/>
                <w:color w:val="000000"/>
                <w:szCs w:val="26"/>
              </w:rPr>
              <w:t>4 et 4/7</w:t>
            </w:r>
          </w:p>
        </w:tc>
        <w:tc>
          <w:tcPr>
            <w:tcW w:w="1487" w:type="dxa"/>
            <w:shd w:val="clear" w:color="auto" w:fill="auto"/>
            <w:tcMar>
              <w:top w:w="0" w:type="dxa"/>
              <w:left w:w="108" w:type="dxa"/>
              <w:bottom w:w="0" w:type="dxa"/>
              <w:right w:w="108" w:type="dxa"/>
            </w:tcMar>
            <w:vAlign w:val="center"/>
          </w:tcPr>
          <w:p w14:paraId="1D265D21" w14:textId="77777777" w:rsidR="00284822" w:rsidRDefault="00F77BF8">
            <w:pPr>
              <w:spacing w:before="120" w:after="120"/>
              <w:rPr>
                <w:rFonts w:ascii="Rockwell" w:hAnsi="Rockwell"/>
                <w:color w:val="000000"/>
                <w:szCs w:val="26"/>
              </w:rPr>
            </w:pPr>
            <w:r>
              <w:rPr>
                <w:rFonts w:ascii="Rockwell" w:hAnsi="Rockwell"/>
                <w:color w:val="000000"/>
                <w:szCs w:val="26"/>
              </w:rPr>
              <w:t>5,06%</w:t>
            </w:r>
          </w:p>
        </w:tc>
        <w:tc>
          <w:tcPr>
            <w:tcW w:w="1488" w:type="dxa"/>
            <w:shd w:val="clear" w:color="auto" w:fill="auto"/>
            <w:tcMar>
              <w:top w:w="0" w:type="dxa"/>
              <w:left w:w="108" w:type="dxa"/>
              <w:bottom w:w="0" w:type="dxa"/>
              <w:right w:w="108" w:type="dxa"/>
            </w:tcMar>
            <w:vAlign w:val="center"/>
          </w:tcPr>
          <w:p w14:paraId="63CF7847" w14:textId="77777777" w:rsidR="00284822" w:rsidRDefault="00F77BF8">
            <w:pPr>
              <w:spacing w:before="120" w:after="120"/>
              <w:rPr>
                <w:rFonts w:ascii="Rockwell" w:hAnsi="Rockwell"/>
                <w:color w:val="000000"/>
                <w:szCs w:val="26"/>
              </w:rPr>
            </w:pPr>
            <w:r>
              <w:rPr>
                <w:rFonts w:ascii="Rockwell" w:hAnsi="Rockwell"/>
                <w:color w:val="000000"/>
                <w:szCs w:val="26"/>
              </w:rPr>
              <w:t>5</w:t>
            </w:r>
          </w:p>
        </w:tc>
        <w:tc>
          <w:tcPr>
            <w:tcW w:w="1933" w:type="dxa"/>
            <w:shd w:val="clear" w:color="auto" w:fill="auto"/>
            <w:tcMar>
              <w:top w:w="0" w:type="dxa"/>
              <w:left w:w="108" w:type="dxa"/>
              <w:bottom w:w="0" w:type="dxa"/>
              <w:right w:w="108" w:type="dxa"/>
            </w:tcMar>
            <w:vAlign w:val="center"/>
          </w:tcPr>
          <w:p w14:paraId="29462BF6" w14:textId="77777777" w:rsidR="00284822" w:rsidRDefault="00F77BF8">
            <w:pPr>
              <w:spacing w:before="120" w:after="120"/>
              <w:rPr>
                <w:rFonts w:ascii="Rockwell" w:hAnsi="Rockwell"/>
                <w:color w:val="000000"/>
                <w:szCs w:val="26"/>
              </w:rPr>
            </w:pPr>
            <w:r>
              <w:rPr>
                <w:rFonts w:ascii="Rockwell" w:hAnsi="Rockwell"/>
                <w:color w:val="000000"/>
                <w:szCs w:val="26"/>
              </w:rPr>
              <w:t>3,09%</w:t>
            </w:r>
          </w:p>
        </w:tc>
      </w:tr>
      <w:tr w:rsidR="00284822" w14:paraId="04D48F10" w14:textId="77777777">
        <w:trPr>
          <w:trHeight w:val="75"/>
        </w:trPr>
        <w:tc>
          <w:tcPr>
            <w:tcW w:w="1340" w:type="dxa"/>
            <w:shd w:val="clear" w:color="auto" w:fill="auto"/>
            <w:tcMar>
              <w:top w:w="0" w:type="dxa"/>
              <w:left w:w="108" w:type="dxa"/>
              <w:bottom w:w="0" w:type="dxa"/>
              <w:right w:w="108" w:type="dxa"/>
            </w:tcMar>
            <w:vAlign w:val="bottom"/>
          </w:tcPr>
          <w:p w14:paraId="27A9667D" w14:textId="77777777" w:rsidR="00284822" w:rsidRDefault="00F77BF8">
            <w:pPr>
              <w:spacing w:before="120" w:after="120"/>
              <w:rPr>
                <w:rFonts w:ascii="Rockwell" w:hAnsi="Rockwell"/>
                <w:szCs w:val="26"/>
              </w:rPr>
            </w:pPr>
            <w:r>
              <w:rPr>
                <w:rFonts w:ascii="Rockwell" w:hAnsi="Rockwell"/>
                <w:bCs/>
                <w:szCs w:val="26"/>
              </w:rPr>
              <w:t>5</w:t>
            </w:r>
            <w:r>
              <w:rPr>
                <w:rFonts w:ascii="Rockwell" w:hAnsi="Rockwell"/>
                <w:bCs/>
                <w:szCs w:val="26"/>
                <w:vertAlign w:val="superscript"/>
              </w:rPr>
              <w:t>e</w:t>
            </w:r>
          </w:p>
        </w:tc>
        <w:tc>
          <w:tcPr>
            <w:tcW w:w="3421" w:type="dxa"/>
            <w:shd w:val="clear" w:color="auto" w:fill="auto"/>
            <w:tcMar>
              <w:top w:w="0" w:type="dxa"/>
              <w:left w:w="108" w:type="dxa"/>
              <w:bottom w:w="0" w:type="dxa"/>
              <w:right w:w="108" w:type="dxa"/>
            </w:tcMar>
            <w:vAlign w:val="bottom"/>
          </w:tcPr>
          <w:p w14:paraId="28CD9431" w14:textId="77777777" w:rsidR="00284822" w:rsidRDefault="00F77BF8">
            <w:pPr>
              <w:spacing w:before="120" w:after="120"/>
              <w:rPr>
                <w:rFonts w:ascii="Rockwell" w:hAnsi="Rockwell"/>
                <w:b/>
                <w:color w:val="000000"/>
                <w:szCs w:val="26"/>
              </w:rPr>
            </w:pPr>
            <w:r>
              <w:rPr>
                <w:rFonts w:ascii="Rockwell" w:hAnsi="Rockwell"/>
                <w:b/>
                <w:color w:val="000000"/>
                <w:szCs w:val="26"/>
              </w:rPr>
              <w:t>UPC</w:t>
            </w:r>
          </w:p>
        </w:tc>
        <w:tc>
          <w:tcPr>
            <w:tcW w:w="1339" w:type="dxa"/>
            <w:shd w:val="clear" w:color="auto" w:fill="auto"/>
            <w:tcMar>
              <w:top w:w="0" w:type="dxa"/>
              <w:left w:w="108" w:type="dxa"/>
              <w:bottom w:w="0" w:type="dxa"/>
              <w:right w:w="108" w:type="dxa"/>
            </w:tcMar>
            <w:vAlign w:val="center"/>
          </w:tcPr>
          <w:p w14:paraId="71BAD9EA" w14:textId="77777777" w:rsidR="00284822" w:rsidRDefault="00F77BF8">
            <w:pPr>
              <w:spacing w:before="120" w:after="120"/>
              <w:rPr>
                <w:rFonts w:ascii="Rockwell" w:hAnsi="Rockwell"/>
                <w:color w:val="000000"/>
                <w:szCs w:val="26"/>
              </w:rPr>
            </w:pPr>
            <w:r>
              <w:rPr>
                <w:rFonts w:ascii="Rockwell" w:hAnsi="Rockwell"/>
                <w:color w:val="000000"/>
                <w:szCs w:val="26"/>
              </w:rPr>
              <w:t xml:space="preserve">4 </w:t>
            </w:r>
            <w:proofErr w:type="gramStart"/>
            <w:r>
              <w:rPr>
                <w:rFonts w:ascii="Rockwell" w:hAnsi="Rockwell"/>
                <w:color w:val="000000"/>
                <w:szCs w:val="26"/>
              </w:rPr>
              <w:t>et  ½</w:t>
            </w:r>
            <w:proofErr w:type="gramEnd"/>
          </w:p>
        </w:tc>
        <w:tc>
          <w:tcPr>
            <w:tcW w:w="1487" w:type="dxa"/>
            <w:shd w:val="clear" w:color="auto" w:fill="auto"/>
            <w:tcMar>
              <w:top w:w="0" w:type="dxa"/>
              <w:left w:w="108" w:type="dxa"/>
              <w:bottom w:w="0" w:type="dxa"/>
              <w:right w:w="108" w:type="dxa"/>
            </w:tcMar>
            <w:vAlign w:val="center"/>
          </w:tcPr>
          <w:p w14:paraId="2846D61A" w14:textId="77777777" w:rsidR="00284822" w:rsidRDefault="00F77BF8">
            <w:pPr>
              <w:spacing w:before="120" w:after="120"/>
              <w:rPr>
                <w:rFonts w:ascii="Rockwell" w:hAnsi="Rockwell"/>
                <w:color w:val="000000"/>
                <w:szCs w:val="26"/>
              </w:rPr>
            </w:pPr>
            <w:r>
              <w:rPr>
                <w:rFonts w:ascii="Rockwell" w:hAnsi="Rockwell"/>
                <w:color w:val="000000"/>
                <w:szCs w:val="26"/>
              </w:rPr>
              <w:t>4,97%</w:t>
            </w:r>
          </w:p>
        </w:tc>
        <w:tc>
          <w:tcPr>
            <w:tcW w:w="1488" w:type="dxa"/>
            <w:shd w:val="clear" w:color="auto" w:fill="auto"/>
            <w:tcMar>
              <w:top w:w="0" w:type="dxa"/>
              <w:left w:w="108" w:type="dxa"/>
              <w:bottom w:w="0" w:type="dxa"/>
              <w:right w:w="108" w:type="dxa"/>
            </w:tcMar>
            <w:vAlign w:val="center"/>
          </w:tcPr>
          <w:p w14:paraId="40907318" w14:textId="77777777" w:rsidR="00284822" w:rsidRDefault="00F77BF8">
            <w:pPr>
              <w:spacing w:before="120" w:after="120"/>
              <w:rPr>
                <w:rFonts w:ascii="Rockwell" w:hAnsi="Rockwell"/>
                <w:color w:val="000000"/>
                <w:szCs w:val="26"/>
              </w:rPr>
            </w:pPr>
            <w:r>
              <w:rPr>
                <w:rFonts w:ascii="Rockwell" w:hAnsi="Rockwell"/>
                <w:color w:val="000000"/>
                <w:szCs w:val="26"/>
              </w:rPr>
              <w:t>13</w:t>
            </w:r>
          </w:p>
        </w:tc>
        <w:tc>
          <w:tcPr>
            <w:tcW w:w="1933" w:type="dxa"/>
            <w:shd w:val="clear" w:color="auto" w:fill="auto"/>
            <w:tcMar>
              <w:top w:w="0" w:type="dxa"/>
              <w:left w:w="108" w:type="dxa"/>
              <w:bottom w:w="0" w:type="dxa"/>
              <w:right w:w="108" w:type="dxa"/>
            </w:tcMar>
            <w:vAlign w:val="center"/>
          </w:tcPr>
          <w:p w14:paraId="009C3CC9" w14:textId="77777777" w:rsidR="00284822" w:rsidRDefault="00F77BF8">
            <w:pPr>
              <w:spacing w:before="120" w:after="120"/>
              <w:rPr>
                <w:rFonts w:ascii="Rockwell" w:hAnsi="Rockwell"/>
                <w:color w:val="000000"/>
                <w:szCs w:val="26"/>
              </w:rPr>
            </w:pPr>
            <w:r>
              <w:rPr>
                <w:rFonts w:ascii="Rockwell" w:hAnsi="Rockwell"/>
                <w:color w:val="000000"/>
                <w:szCs w:val="26"/>
              </w:rPr>
              <w:t>8,02%</w:t>
            </w:r>
          </w:p>
        </w:tc>
      </w:tr>
      <w:tr w:rsidR="00284822" w14:paraId="01509FD2" w14:textId="77777777">
        <w:trPr>
          <w:trHeight w:val="75"/>
        </w:trPr>
        <w:tc>
          <w:tcPr>
            <w:tcW w:w="1340" w:type="dxa"/>
            <w:shd w:val="clear" w:color="auto" w:fill="auto"/>
            <w:tcMar>
              <w:top w:w="0" w:type="dxa"/>
              <w:left w:w="108" w:type="dxa"/>
              <w:bottom w:w="0" w:type="dxa"/>
              <w:right w:w="108" w:type="dxa"/>
            </w:tcMar>
            <w:vAlign w:val="bottom"/>
          </w:tcPr>
          <w:p w14:paraId="69811A73" w14:textId="77777777" w:rsidR="00284822" w:rsidRDefault="00F77BF8">
            <w:pPr>
              <w:spacing w:before="120" w:after="120"/>
              <w:rPr>
                <w:rFonts w:ascii="Rockwell" w:hAnsi="Rockwell"/>
                <w:szCs w:val="26"/>
              </w:rPr>
            </w:pPr>
            <w:r>
              <w:rPr>
                <w:rFonts w:ascii="Rockwell" w:hAnsi="Rockwell"/>
                <w:bCs/>
                <w:szCs w:val="26"/>
              </w:rPr>
              <w:t>6</w:t>
            </w:r>
            <w:r>
              <w:rPr>
                <w:rFonts w:ascii="Rockwell" w:hAnsi="Rockwell"/>
                <w:bCs/>
                <w:szCs w:val="26"/>
                <w:vertAlign w:val="superscript"/>
              </w:rPr>
              <w:t>e</w:t>
            </w:r>
          </w:p>
        </w:tc>
        <w:tc>
          <w:tcPr>
            <w:tcW w:w="3421" w:type="dxa"/>
            <w:shd w:val="clear" w:color="auto" w:fill="auto"/>
            <w:tcMar>
              <w:top w:w="0" w:type="dxa"/>
              <w:left w:w="108" w:type="dxa"/>
              <w:bottom w:w="0" w:type="dxa"/>
              <w:right w:w="108" w:type="dxa"/>
            </w:tcMar>
            <w:vAlign w:val="bottom"/>
          </w:tcPr>
          <w:p w14:paraId="18E0979D" w14:textId="77777777" w:rsidR="00284822" w:rsidRDefault="00F77BF8">
            <w:pPr>
              <w:spacing w:before="120" w:after="120"/>
              <w:rPr>
                <w:rFonts w:ascii="Rockwell" w:hAnsi="Rockwell"/>
                <w:b/>
                <w:color w:val="000000"/>
                <w:szCs w:val="26"/>
              </w:rPr>
            </w:pPr>
            <w:r>
              <w:rPr>
                <w:rFonts w:ascii="Rockwell" w:hAnsi="Rockwell"/>
                <w:b/>
                <w:color w:val="000000"/>
                <w:szCs w:val="26"/>
              </w:rPr>
              <w:t>RPI</w:t>
            </w:r>
          </w:p>
        </w:tc>
        <w:tc>
          <w:tcPr>
            <w:tcW w:w="1339" w:type="dxa"/>
            <w:shd w:val="clear" w:color="auto" w:fill="auto"/>
            <w:tcMar>
              <w:top w:w="0" w:type="dxa"/>
              <w:left w:w="108" w:type="dxa"/>
              <w:bottom w:w="0" w:type="dxa"/>
              <w:right w:w="108" w:type="dxa"/>
            </w:tcMar>
            <w:vAlign w:val="center"/>
          </w:tcPr>
          <w:p w14:paraId="7B25107D" w14:textId="77777777" w:rsidR="00284822" w:rsidRDefault="00F77BF8">
            <w:pPr>
              <w:spacing w:before="120" w:after="120"/>
              <w:rPr>
                <w:rFonts w:ascii="Rockwell" w:hAnsi="Rockwell"/>
                <w:color w:val="000000"/>
                <w:szCs w:val="26"/>
              </w:rPr>
            </w:pPr>
            <w:r>
              <w:rPr>
                <w:rFonts w:ascii="Rockwell" w:hAnsi="Rockwell"/>
                <w:color w:val="000000"/>
                <w:szCs w:val="26"/>
              </w:rPr>
              <w:t>4 et ½</w:t>
            </w:r>
          </w:p>
        </w:tc>
        <w:tc>
          <w:tcPr>
            <w:tcW w:w="1487" w:type="dxa"/>
            <w:shd w:val="clear" w:color="auto" w:fill="auto"/>
            <w:tcMar>
              <w:top w:w="0" w:type="dxa"/>
              <w:left w:w="108" w:type="dxa"/>
              <w:bottom w:w="0" w:type="dxa"/>
              <w:right w:w="108" w:type="dxa"/>
            </w:tcMar>
            <w:vAlign w:val="center"/>
          </w:tcPr>
          <w:p w14:paraId="57F67CED" w14:textId="77777777" w:rsidR="00284822" w:rsidRDefault="00F77BF8">
            <w:pPr>
              <w:spacing w:before="120" w:after="120"/>
              <w:rPr>
                <w:rFonts w:ascii="Rockwell" w:hAnsi="Rockwell"/>
                <w:color w:val="000000"/>
                <w:szCs w:val="26"/>
              </w:rPr>
            </w:pPr>
            <w:r>
              <w:rPr>
                <w:rFonts w:ascii="Rockwell" w:hAnsi="Rockwell"/>
                <w:color w:val="000000"/>
                <w:szCs w:val="26"/>
              </w:rPr>
              <w:t>4,97%</w:t>
            </w:r>
          </w:p>
        </w:tc>
        <w:tc>
          <w:tcPr>
            <w:tcW w:w="1488" w:type="dxa"/>
            <w:shd w:val="clear" w:color="auto" w:fill="auto"/>
            <w:tcMar>
              <w:top w:w="0" w:type="dxa"/>
              <w:left w:w="108" w:type="dxa"/>
              <w:bottom w:w="0" w:type="dxa"/>
              <w:right w:w="108" w:type="dxa"/>
            </w:tcMar>
            <w:vAlign w:val="center"/>
          </w:tcPr>
          <w:p w14:paraId="26237122" w14:textId="77777777" w:rsidR="00284822" w:rsidRDefault="00F77BF8">
            <w:pPr>
              <w:spacing w:before="120" w:after="120"/>
              <w:rPr>
                <w:rFonts w:ascii="Rockwell" w:hAnsi="Rockwell"/>
                <w:color w:val="000000"/>
                <w:szCs w:val="26"/>
              </w:rPr>
            </w:pPr>
            <w:r>
              <w:rPr>
                <w:rFonts w:ascii="Rockwell" w:hAnsi="Rockwell"/>
                <w:color w:val="000000"/>
                <w:szCs w:val="26"/>
              </w:rPr>
              <w:t>3</w:t>
            </w:r>
          </w:p>
        </w:tc>
        <w:tc>
          <w:tcPr>
            <w:tcW w:w="1933" w:type="dxa"/>
            <w:shd w:val="clear" w:color="auto" w:fill="auto"/>
            <w:tcMar>
              <w:top w:w="0" w:type="dxa"/>
              <w:left w:w="108" w:type="dxa"/>
              <w:bottom w:w="0" w:type="dxa"/>
              <w:right w:w="108" w:type="dxa"/>
            </w:tcMar>
            <w:vAlign w:val="center"/>
          </w:tcPr>
          <w:p w14:paraId="38B7E172" w14:textId="77777777" w:rsidR="00284822" w:rsidRDefault="00F77BF8">
            <w:pPr>
              <w:spacing w:before="120" w:after="120"/>
              <w:rPr>
                <w:rFonts w:ascii="Rockwell" w:hAnsi="Rockwell"/>
                <w:color w:val="000000"/>
                <w:szCs w:val="26"/>
              </w:rPr>
            </w:pPr>
            <w:r>
              <w:rPr>
                <w:rFonts w:ascii="Rockwell" w:hAnsi="Rockwell"/>
                <w:color w:val="000000"/>
                <w:szCs w:val="26"/>
              </w:rPr>
              <w:t>1,85%</w:t>
            </w:r>
          </w:p>
        </w:tc>
      </w:tr>
      <w:tr w:rsidR="00284822" w14:paraId="68A09496" w14:textId="77777777">
        <w:trPr>
          <w:trHeight w:val="75"/>
        </w:trPr>
        <w:tc>
          <w:tcPr>
            <w:tcW w:w="1340" w:type="dxa"/>
            <w:shd w:val="clear" w:color="auto" w:fill="auto"/>
            <w:tcMar>
              <w:top w:w="0" w:type="dxa"/>
              <w:left w:w="108" w:type="dxa"/>
              <w:bottom w:w="0" w:type="dxa"/>
              <w:right w:w="108" w:type="dxa"/>
            </w:tcMar>
            <w:vAlign w:val="bottom"/>
          </w:tcPr>
          <w:p w14:paraId="0D0FE0C2" w14:textId="77777777" w:rsidR="00284822" w:rsidRDefault="00F77BF8">
            <w:pPr>
              <w:spacing w:before="120" w:after="120"/>
              <w:rPr>
                <w:rFonts w:ascii="Rockwell" w:hAnsi="Rockwell"/>
                <w:szCs w:val="26"/>
              </w:rPr>
            </w:pPr>
            <w:r>
              <w:rPr>
                <w:rFonts w:ascii="Rockwell" w:hAnsi="Rockwell"/>
                <w:bCs/>
                <w:szCs w:val="26"/>
              </w:rPr>
              <w:t>7</w:t>
            </w:r>
            <w:r>
              <w:rPr>
                <w:rFonts w:ascii="Rockwell" w:hAnsi="Rockwell"/>
                <w:bCs/>
                <w:szCs w:val="26"/>
                <w:vertAlign w:val="superscript"/>
              </w:rPr>
              <w:t xml:space="preserve">e </w:t>
            </w:r>
          </w:p>
        </w:tc>
        <w:tc>
          <w:tcPr>
            <w:tcW w:w="3421" w:type="dxa"/>
            <w:shd w:val="clear" w:color="auto" w:fill="auto"/>
            <w:tcMar>
              <w:top w:w="0" w:type="dxa"/>
              <w:left w:w="108" w:type="dxa"/>
              <w:bottom w:w="0" w:type="dxa"/>
              <w:right w:w="108" w:type="dxa"/>
            </w:tcMar>
            <w:vAlign w:val="bottom"/>
          </w:tcPr>
          <w:p w14:paraId="352E1F10" w14:textId="77777777" w:rsidR="00284822" w:rsidRDefault="00F77BF8">
            <w:pPr>
              <w:spacing w:before="120" w:after="120"/>
              <w:rPr>
                <w:rFonts w:ascii="Rockwell" w:hAnsi="Rockwell"/>
                <w:b/>
                <w:color w:val="000000"/>
                <w:szCs w:val="26"/>
              </w:rPr>
            </w:pPr>
            <w:r>
              <w:rPr>
                <w:rFonts w:ascii="Rockwell" w:hAnsi="Rockwell"/>
                <w:b/>
                <w:color w:val="000000"/>
                <w:szCs w:val="26"/>
              </w:rPr>
              <w:t>MPP</w:t>
            </w:r>
          </w:p>
        </w:tc>
        <w:tc>
          <w:tcPr>
            <w:tcW w:w="1339" w:type="dxa"/>
            <w:shd w:val="clear" w:color="auto" w:fill="auto"/>
            <w:tcMar>
              <w:top w:w="0" w:type="dxa"/>
              <w:left w:w="108" w:type="dxa"/>
              <w:bottom w:w="0" w:type="dxa"/>
              <w:right w:w="108" w:type="dxa"/>
            </w:tcMar>
            <w:vAlign w:val="center"/>
          </w:tcPr>
          <w:p w14:paraId="456A6AB6" w14:textId="77777777" w:rsidR="00284822" w:rsidRDefault="00F77BF8">
            <w:pPr>
              <w:spacing w:before="120" w:after="120"/>
              <w:rPr>
                <w:rFonts w:ascii="Rockwell" w:hAnsi="Rockwell"/>
                <w:color w:val="000000"/>
                <w:szCs w:val="26"/>
              </w:rPr>
            </w:pPr>
            <w:r>
              <w:rPr>
                <w:rFonts w:ascii="Rockwell" w:hAnsi="Rockwell"/>
                <w:color w:val="000000"/>
                <w:szCs w:val="26"/>
              </w:rPr>
              <w:t xml:space="preserve">3 </w:t>
            </w:r>
            <w:proofErr w:type="gramStart"/>
            <w:r>
              <w:rPr>
                <w:rFonts w:ascii="Rockwell" w:hAnsi="Rockwell"/>
                <w:color w:val="000000"/>
                <w:szCs w:val="26"/>
              </w:rPr>
              <w:t>et  ¾</w:t>
            </w:r>
            <w:proofErr w:type="gramEnd"/>
          </w:p>
        </w:tc>
        <w:tc>
          <w:tcPr>
            <w:tcW w:w="1487" w:type="dxa"/>
            <w:shd w:val="clear" w:color="auto" w:fill="auto"/>
            <w:tcMar>
              <w:top w:w="0" w:type="dxa"/>
              <w:left w:w="108" w:type="dxa"/>
              <w:bottom w:w="0" w:type="dxa"/>
              <w:right w:w="108" w:type="dxa"/>
            </w:tcMar>
            <w:vAlign w:val="center"/>
          </w:tcPr>
          <w:p w14:paraId="1E8CABA9" w14:textId="77777777" w:rsidR="00284822" w:rsidRDefault="00F77BF8">
            <w:pPr>
              <w:spacing w:before="120" w:after="120"/>
              <w:rPr>
                <w:rFonts w:ascii="Rockwell" w:hAnsi="Rockwell"/>
                <w:color w:val="000000"/>
                <w:szCs w:val="26"/>
              </w:rPr>
            </w:pPr>
            <w:r>
              <w:rPr>
                <w:rFonts w:ascii="Rockwell" w:hAnsi="Rockwell"/>
                <w:color w:val="000000"/>
                <w:szCs w:val="26"/>
              </w:rPr>
              <w:t>4,14%</w:t>
            </w:r>
          </w:p>
        </w:tc>
        <w:tc>
          <w:tcPr>
            <w:tcW w:w="1488" w:type="dxa"/>
            <w:shd w:val="clear" w:color="auto" w:fill="auto"/>
            <w:tcMar>
              <w:top w:w="0" w:type="dxa"/>
              <w:left w:w="108" w:type="dxa"/>
              <w:bottom w:w="0" w:type="dxa"/>
              <w:right w:w="108" w:type="dxa"/>
            </w:tcMar>
            <w:vAlign w:val="center"/>
          </w:tcPr>
          <w:p w14:paraId="15A244F8" w14:textId="77777777" w:rsidR="00284822" w:rsidRDefault="00F77BF8">
            <w:pPr>
              <w:spacing w:before="120" w:after="120"/>
              <w:rPr>
                <w:rFonts w:ascii="Rockwell" w:hAnsi="Rockwell"/>
                <w:color w:val="000000"/>
                <w:szCs w:val="26"/>
              </w:rPr>
            </w:pPr>
            <w:r>
              <w:rPr>
                <w:rFonts w:ascii="Rockwell" w:hAnsi="Rockwell"/>
                <w:color w:val="000000"/>
                <w:szCs w:val="26"/>
              </w:rPr>
              <w:t>4</w:t>
            </w:r>
          </w:p>
        </w:tc>
        <w:tc>
          <w:tcPr>
            <w:tcW w:w="1933" w:type="dxa"/>
            <w:shd w:val="clear" w:color="auto" w:fill="auto"/>
            <w:tcMar>
              <w:top w:w="0" w:type="dxa"/>
              <w:left w:w="108" w:type="dxa"/>
              <w:bottom w:w="0" w:type="dxa"/>
              <w:right w:w="108" w:type="dxa"/>
            </w:tcMar>
            <w:vAlign w:val="center"/>
          </w:tcPr>
          <w:p w14:paraId="0D3C9804" w14:textId="77777777" w:rsidR="00284822" w:rsidRDefault="00F77BF8">
            <w:pPr>
              <w:spacing w:before="120" w:after="120"/>
              <w:rPr>
                <w:rFonts w:ascii="Rockwell" w:hAnsi="Rockwell"/>
                <w:color w:val="000000"/>
                <w:szCs w:val="26"/>
              </w:rPr>
            </w:pPr>
            <w:r>
              <w:rPr>
                <w:rFonts w:ascii="Rockwell" w:hAnsi="Rockwell"/>
                <w:color w:val="000000"/>
                <w:szCs w:val="26"/>
              </w:rPr>
              <w:t>2,47%</w:t>
            </w:r>
          </w:p>
        </w:tc>
      </w:tr>
      <w:tr w:rsidR="00284822" w14:paraId="62314277" w14:textId="77777777">
        <w:trPr>
          <w:trHeight w:val="75"/>
        </w:trPr>
        <w:tc>
          <w:tcPr>
            <w:tcW w:w="1340" w:type="dxa"/>
            <w:shd w:val="clear" w:color="auto" w:fill="auto"/>
            <w:tcMar>
              <w:top w:w="0" w:type="dxa"/>
              <w:left w:w="108" w:type="dxa"/>
              <w:bottom w:w="0" w:type="dxa"/>
              <w:right w:w="108" w:type="dxa"/>
            </w:tcMar>
            <w:vAlign w:val="bottom"/>
          </w:tcPr>
          <w:p w14:paraId="7371351A" w14:textId="77777777" w:rsidR="00284822" w:rsidRDefault="00F77BF8">
            <w:pPr>
              <w:spacing w:before="120" w:after="120"/>
              <w:rPr>
                <w:rFonts w:ascii="Rockwell" w:hAnsi="Rockwell"/>
                <w:szCs w:val="26"/>
              </w:rPr>
            </w:pPr>
            <w:r>
              <w:rPr>
                <w:rFonts w:ascii="Rockwell" w:hAnsi="Rockwell"/>
                <w:bCs/>
                <w:szCs w:val="26"/>
              </w:rPr>
              <w:t>8</w:t>
            </w:r>
            <w:r>
              <w:rPr>
                <w:rFonts w:ascii="Rockwell" w:hAnsi="Rockwell"/>
                <w:bCs/>
                <w:szCs w:val="26"/>
                <w:vertAlign w:val="superscript"/>
              </w:rPr>
              <w:t>e</w:t>
            </w:r>
          </w:p>
        </w:tc>
        <w:tc>
          <w:tcPr>
            <w:tcW w:w="3421" w:type="dxa"/>
            <w:shd w:val="clear" w:color="auto" w:fill="auto"/>
            <w:tcMar>
              <w:top w:w="0" w:type="dxa"/>
              <w:left w:w="108" w:type="dxa"/>
              <w:bottom w:w="0" w:type="dxa"/>
              <w:right w:w="108" w:type="dxa"/>
            </w:tcMar>
            <w:vAlign w:val="bottom"/>
          </w:tcPr>
          <w:p w14:paraId="590F14E3" w14:textId="77777777" w:rsidR="00284822" w:rsidRDefault="00F77BF8">
            <w:pPr>
              <w:spacing w:before="120" w:after="120"/>
              <w:rPr>
                <w:rFonts w:ascii="Rockwell" w:hAnsi="Rockwell"/>
                <w:b/>
                <w:color w:val="000000"/>
                <w:szCs w:val="26"/>
              </w:rPr>
            </w:pPr>
            <w:r>
              <w:rPr>
                <w:rFonts w:ascii="Rockwell" w:hAnsi="Rockwell"/>
                <w:b/>
                <w:color w:val="000000"/>
                <w:szCs w:val="26"/>
              </w:rPr>
              <w:t>ADF/RDA</w:t>
            </w:r>
          </w:p>
        </w:tc>
        <w:tc>
          <w:tcPr>
            <w:tcW w:w="1339" w:type="dxa"/>
            <w:shd w:val="clear" w:color="auto" w:fill="auto"/>
            <w:tcMar>
              <w:top w:w="0" w:type="dxa"/>
              <w:left w:w="108" w:type="dxa"/>
              <w:bottom w:w="0" w:type="dxa"/>
              <w:right w:w="108" w:type="dxa"/>
            </w:tcMar>
            <w:vAlign w:val="center"/>
          </w:tcPr>
          <w:p w14:paraId="32A13EC7" w14:textId="77777777" w:rsidR="00284822" w:rsidRDefault="00F77BF8">
            <w:pPr>
              <w:spacing w:before="120" w:after="120"/>
              <w:rPr>
                <w:rFonts w:ascii="Rockwell" w:hAnsi="Rockwell"/>
                <w:color w:val="000000"/>
                <w:szCs w:val="26"/>
              </w:rPr>
            </w:pPr>
            <w:r>
              <w:rPr>
                <w:rFonts w:ascii="Rockwell" w:hAnsi="Rockwell"/>
                <w:color w:val="000000"/>
                <w:szCs w:val="26"/>
              </w:rPr>
              <w:t xml:space="preserve">3 </w:t>
            </w:r>
            <w:proofErr w:type="gramStart"/>
            <w:r>
              <w:rPr>
                <w:rFonts w:ascii="Rockwell" w:hAnsi="Rockwell"/>
                <w:color w:val="000000"/>
                <w:szCs w:val="26"/>
              </w:rPr>
              <w:t>et  ½</w:t>
            </w:r>
            <w:proofErr w:type="gramEnd"/>
          </w:p>
        </w:tc>
        <w:tc>
          <w:tcPr>
            <w:tcW w:w="1487" w:type="dxa"/>
            <w:shd w:val="clear" w:color="auto" w:fill="auto"/>
            <w:tcMar>
              <w:top w:w="0" w:type="dxa"/>
              <w:left w:w="108" w:type="dxa"/>
              <w:bottom w:w="0" w:type="dxa"/>
              <w:right w:w="108" w:type="dxa"/>
            </w:tcMar>
            <w:vAlign w:val="center"/>
          </w:tcPr>
          <w:p w14:paraId="6EF22ADD" w14:textId="77777777" w:rsidR="00284822" w:rsidRDefault="00F77BF8">
            <w:pPr>
              <w:spacing w:before="120" w:after="120"/>
              <w:rPr>
                <w:rFonts w:ascii="Rockwell" w:hAnsi="Rockwell"/>
                <w:color w:val="000000"/>
                <w:szCs w:val="26"/>
              </w:rPr>
            </w:pPr>
            <w:r>
              <w:rPr>
                <w:rFonts w:ascii="Rockwell" w:hAnsi="Rockwell"/>
                <w:color w:val="000000"/>
                <w:szCs w:val="26"/>
              </w:rPr>
              <w:t>3,87%</w:t>
            </w:r>
          </w:p>
        </w:tc>
        <w:tc>
          <w:tcPr>
            <w:tcW w:w="1488" w:type="dxa"/>
            <w:shd w:val="clear" w:color="auto" w:fill="auto"/>
            <w:tcMar>
              <w:top w:w="0" w:type="dxa"/>
              <w:left w:w="108" w:type="dxa"/>
              <w:bottom w:w="0" w:type="dxa"/>
              <w:right w:w="108" w:type="dxa"/>
            </w:tcMar>
            <w:vAlign w:val="center"/>
          </w:tcPr>
          <w:p w14:paraId="5B634091" w14:textId="77777777" w:rsidR="00284822" w:rsidRDefault="00F77BF8">
            <w:pPr>
              <w:spacing w:before="120" w:after="120"/>
              <w:rPr>
                <w:rFonts w:ascii="Rockwell" w:hAnsi="Rockwell"/>
                <w:color w:val="000000"/>
                <w:szCs w:val="26"/>
              </w:rPr>
            </w:pPr>
            <w:r>
              <w:rPr>
                <w:rFonts w:ascii="Rockwell" w:hAnsi="Rockwell"/>
                <w:color w:val="000000"/>
                <w:szCs w:val="26"/>
              </w:rPr>
              <w:t>4</w:t>
            </w:r>
          </w:p>
        </w:tc>
        <w:tc>
          <w:tcPr>
            <w:tcW w:w="1933" w:type="dxa"/>
            <w:shd w:val="clear" w:color="auto" w:fill="auto"/>
            <w:tcMar>
              <w:top w:w="0" w:type="dxa"/>
              <w:left w:w="108" w:type="dxa"/>
              <w:bottom w:w="0" w:type="dxa"/>
              <w:right w:w="108" w:type="dxa"/>
            </w:tcMar>
            <w:vAlign w:val="center"/>
          </w:tcPr>
          <w:p w14:paraId="09B0E441" w14:textId="77777777" w:rsidR="00284822" w:rsidRDefault="00F77BF8">
            <w:pPr>
              <w:spacing w:before="120" w:after="120"/>
              <w:rPr>
                <w:rFonts w:ascii="Rockwell" w:hAnsi="Rockwell"/>
                <w:color w:val="000000"/>
                <w:szCs w:val="26"/>
              </w:rPr>
            </w:pPr>
            <w:r>
              <w:rPr>
                <w:rFonts w:ascii="Rockwell" w:hAnsi="Rockwell"/>
                <w:color w:val="000000"/>
                <w:szCs w:val="26"/>
              </w:rPr>
              <w:t>2,47%</w:t>
            </w:r>
          </w:p>
        </w:tc>
      </w:tr>
      <w:tr w:rsidR="00284822" w14:paraId="13A84CFD" w14:textId="77777777">
        <w:trPr>
          <w:trHeight w:val="75"/>
        </w:trPr>
        <w:tc>
          <w:tcPr>
            <w:tcW w:w="1340" w:type="dxa"/>
            <w:shd w:val="clear" w:color="auto" w:fill="auto"/>
            <w:tcMar>
              <w:top w:w="0" w:type="dxa"/>
              <w:left w:w="108" w:type="dxa"/>
              <w:bottom w:w="0" w:type="dxa"/>
              <w:right w:w="108" w:type="dxa"/>
            </w:tcMar>
            <w:vAlign w:val="bottom"/>
          </w:tcPr>
          <w:p w14:paraId="16CFB98E" w14:textId="77777777" w:rsidR="00284822" w:rsidRDefault="00F77BF8">
            <w:pPr>
              <w:spacing w:before="120" w:after="120"/>
              <w:rPr>
                <w:rFonts w:ascii="Rockwell" w:hAnsi="Rockwell"/>
                <w:szCs w:val="26"/>
              </w:rPr>
            </w:pPr>
            <w:r>
              <w:rPr>
                <w:rFonts w:ascii="Rockwell" w:hAnsi="Rockwell"/>
                <w:bCs/>
                <w:szCs w:val="26"/>
              </w:rPr>
              <w:t>9</w:t>
            </w:r>
            <w:r>
              <w:rPr>
                <w:rFonts w:ascii="Rockwell" w:hAnsi="Rockwell"/>
                <w:bCs/>
                <w:szCs w:val="26"/>
                <w:vertAlign w:val="superscript"/>
              </w:rPr>
              <w:t>e</w:t>
            </w:r>
          </w:p>
        </w:tc>
        <w:tc>
          <w:tcPr>
            <w:tcW w:w="3421" w:type="dxa"/>
            <w:shd w:val="clear" w:color="auto" w:fill="auto"/>
            <w:tcMar>
              <w:top w:w="0" w:type="dxa"/>
              <w:left w:w="108" w:type="dxa"/>
              <w:bottom w:w="0" w:type="dxa"/>
              <w:right w:w="108" w:type="dxa"/>
            </w:tcMar>
            <w:vAlign w:val="bottom"/>
          </w:tcPr>
          <w:p w14:paraId="3A0E4CC3" w14:textId="77777777" w:rsidR="00284822" w:rsidRDefault="00F77BF8">
            <w:pPr>
              <w:spacing w:before="120" w:after="120"/>
              <w:rPr>
                <w:rFonts w:ascii="Rockwell" w:hAnsi="Rockwell"/>
                <w:b/>
                <w:color w:val="000000"/>
                <w:szCs w:val="26"/>
              </w:rPr>
            </w:pPr>
            <w:r>
              <w:rPr>
                <w:rFonts w:ascii="Rockwell" w:hAnsi="Rockwell"/>
                <w:b/>
                <w:color w:val="000000"/>
                <w:szCs w:val="26"/>
              </w:rPr>
              <w:t>PPR</w:t>
            </w:r>
          </w:p>
        </w:tc>
        <w:tc>
          <w:tcPr>
            <w:tcW w:w="1339" w:type="dxa"/>
            <w:shd w:val="clear" w:color="auto" w:fill="auto"/>
            <w:tcMar>
              <w:top w:w="0" w:type="dxa"/>
              <w:left w:w="108" w:type="dxa"/>
              <w:bottom w:w="0" w:type="dxa"/>
              <w:right w:w="108" w:type="dxa"/>
            </w:tcMar>
            <w:vAlign w:val="center"/>
          </w:tcPr>
          <w:p w14:paraId="51A395F4" w14:textId="77777777" w:rsidR="00284822" w:rsidRDefault="00F77BF8">
            <w:pPr>
              <w:spacing w:before="120" w:after="120"/>
              <w:rPr>
                <w:rFonts w:ascii="Rockwell" w:hAnsi="Rockwell"/>
                <w:color w:val="000000"/>
                <w:szCs w:val="26"/>
              </w:rPr>
            </w:pPr>
            <w:proofErr w:type="gramStart"/>
            <w:r>
              <w:rPr>
                <w:rFonts w:ascii="Rockwell" w:hAnsi="Rockwell"/>
                <w:color w:val="000000"/>
                <w:szCs w:val="26"/>
              </w:rPr>
              <w:t>3  et</w:t>
            </w:r>
            <w:proofErr w:type="gramEnd"/>
            <w:r>
              <w:rPr>
                <w:rFonts w:ascii="Rockwell" w:hAnsi="Rockwell"/>
                <w:color w:val="000000"/>
                <w:szCs w:val="26"/>
              </w:rPr>
              <w:t xml:space="preserve"> ½</w:t>
            </w:r>
          </w:p>
        </w:tc>
        <w:tc>
          <w:tcPr>
            <w:tcW w:w="1487" w:type="dxa"/>
            <w:shd w:val="clear" w:color="auto" w:fill="auto"/>
            <w:tcMar>
              <w:top w:w="0" w:type="dxa"/>
              <w:left w:w="108" w:type="dxa"/>
              <w:bottom w:w="0" w:type="dxa"/>
              <w:right w:w="108" w:type="dxa"/>
            </w:tcMar>
            <w:vAlign w:val="center"/>
          </w:tcPr>
          <w:p w14:paraId="0BBC8590" w14:textId="77777777" w:rsidR="00284822" w:rsidRDefault="00F77BF8">
            <w:pPr>
              <w:spacing w:before="120" w:after="120"/>
              <w:rPr>
                <w:rFonts w:ascii="Rockwell" w:hAnsi="Rockwell"/>
                <w:color w:val="000000"/>
                <w:szCs w:val="26"/>
              </w:rPr>
            </w:pPr>
            <w:r>
              <w:rPr>
                <w:rFonts w:ascii="Rockwell" w:hAnsi="Rockwell"/>
                <w:color w:val="000000"/>
                <w:szCs w:val="26"/>
              </w:rPr>
              <w:t>3,87%</w:t>
            </w:r>
          </w:p>
        </w:tc>
        <w:tc>
          <w:tcPr>
            <w:tcW w:w="1488" w:type="dxa"/>
            <w:shd w:val="clear" w:color="auto" w:fill="auto"/>
            <w:tcMar>
              <w:top w:w="0" w:type="dxa"/>
              <w:left w:w="108" w:type="dxa"/>
              <w:bottom w:w="0" w:type="dxa"/>
              <w:right w:w="108" w:type="dxa"/>
            </w:tcMar>
            <w:vAlign w:val="center"/>
          </w:tcPr>
          <w:p w14:paraId="5A5CA992" w14:textId="77777777" w:rsidR="00284822" w:rsidRDefault="00F77BF8">
            <w:pPr>
              <w:spacing w:before="120" w:after="120"/>
              <w:rPr>
                <w:rFonts w:ascii="Rockwell" w:hAnsi="Rockwell"/>
                <w:color w:val="000000"/>
                <w:szCs w:val="26"/>
              </w:rPr>
            </w:pPr>
            <w:r>
              <w:rPr>
                <w:rFonts w:ascii="Rockwell" w:hAnsi="Rockwell"/>
                <w:color w:val="000000"/>
                <w:szCs w:val="26"/>
              </w:rPr>
              <w:t>2</w:t>
            </w:r>
          </w:p>
        </w:tc>
        <w:tc>
          <w:tcPr>
            <w:tcW w:w="1933" w:type="dxa"/>
            <w:shd w:val="clear" w:color="auto" w:fill="auto"/>
            <w:tcMar>
              <w:top w:w="0" w:type="dxa"/>
              <w:left w:w="108" w:type="dxa"/>
              <w:bottom w:w="0" w:type="dxa"/>
              <w:right w:w="108" w:type="dxa"/>
            </w:tcMar>
            <w:vAlign w:val="center"/>
          </w:tcPr>
          <w:p w14:paraId="2FE23216" w14:textId="77777777" w:rsidR="00284822" w:rsidRDefault="00F77BF8">
            <w:pPr>
              <w:spacing w:before="120" w:after="120"/>
              <w:rPr>
                <w:rFonts w:ascii="Rockwell" w:hAnsi="Rockwell"/>
                <w:color w:val="000000"/>
                <w:szCs w:val="26"/>
              </w:rPr>
            </w:pPr>
            <w:r>
              <w:rPr>
                <w:rFonts w:ascii="Rockwell" w:hAnsi="Rockwell"/>
                <w:color w:val="000000"/>
                <w:szCs w:val="26"/>
              </w:rPr>
              <w:t>1,23%</w:t>
            </w:r>
          </w:p>
        </w:tc>
      </w:tr>
      <w:tr w:rsidR="00284822" w14:paraId="4E004219" w14:textId="77777777">
        <w:trPr>
          <w:trHeight w:val="75"/>
        </w:trPr>
        <w:tc>
          <w:tcPr>
            <w:tcW w:w="1340" w:type="dxa"/>
            <w:shd w:val="clear" w:color="auto" w:fill="auto"/>
            <w:tcMar>
              <w:top w:w="0" w:type="dxa"/>
              <w:left w:w="108" w:type="dxa"/>
              <w:bottom w:w="0" w:type="dxa"/>
              <w:right w:w="108" w:type="dxa"/>
            </w:tcMar>
            <w:vAlign w:val="bottom"/>
          </w:tcPr>
          <w:p w14:paraId="3A9E34F7" w14:textId="77777777" w:rsidR="00284822" w:rsidRDefault="00F77BF8">
            <w:pPr>
              <w:spacing w:before="120" w:after="120"/>
              <w:rPr>
                <w:rFonts w:ascii="Rockwell" w:hAnsi="Rockwell"/>
                <w:szCs w:val="26"/>
              </w:rPr>
            </w:pPr>
            <w:r>
              <w:rPr>
                <w:rFonts w:ascii="Rockwell" w:hAnsi="Rockwell"/>
                <w:bCs/>
                <w:szCs w:val="26"/>
              </w:rPr>
              <w:t>10</w:t>
            </w:r>
            <w:r>
              <w:rPr>
                <w:rFonts w:ascii="Rockwell" w:hAnsi="Rockwell"/>
                <w:bCs/>
                <w:szCs w:val="26"/>
                <w:vertAlign w:val="superscript"/>
              </w:rPr>
              <w:t>e</w:t>
            </w:r>
          </w:p>
        </w:tc>
        <w:tc>
          <w:tcPr>
            <w:tcW w:w="3421" w:type="dxa"/>
            <w:shd w:val="clear" w:color="auto" w:fill="auto"/>
            <w:tcMar>
              <w:top w:w="0" w:type="dxa"/>
              <w:left w:w="108" w:type="dxa"/>
              <w:bottom w:w="0" w:type="dxa"/>
              <w:right w:w="108" w:type="dxa"/>
            </w:tcMar>
            <w:vAlign w:val="bottom"/>
          </w:tcPr>
          <w:p w14:paraId="6262C444" w14:textId="77777777" w:rsidR="00284822" w:rsidRDefault="00F77BF8">
            <w:pPr>
              <w:spacing w:before="120" w:after="120"/>
              <w:rPr>
                <w:rFonts w:ascii="Rockwell" w:hAnsi="Rockwell"/>
                <w:b/>
                <w:color w:val="000000"/>
                <w:szCs w:val="26"/>
              </w:rPr>
            </w:pPr>
            <w:r>
              <w:rPr>
                <w:rFonts w:ascii="Rockwell" w:hAnsi="Rockwell"/>
                <w:b/>
                <w:color w:val="000000"/>
                <w:szCs w:val="26"/>
              </w:rPr>
              <w:t>L'AB/PSR</w:t>
            </w:r>
          </w:p>
        </w:tc>
        <w:tc>
          <w:tcPr>
            <w:tcW w:w="1339" w:type="dxa"/>
            <w:shd w:val="clear" w:color="auto" w:fill="auto"/>
            <w:tcMar>
              <w:top w:w="0" w:type="dxa"/>
              <w:left w:w="108" w:type="dxa"/>
              <w:bottom w:w="0" w:type="dxa"/>
              <w:right w:w="108" w:type="dxa"/>
            </w:tcMar>
            <w:vAlign w:val="center"/>
          </w:tcPr>
          <w:p w14:paraId="02104B0F" w14:textId="77777777" w:rsidR="00284822" w:rsidRDefault="00F77BF8">
            <w:pPr>
              <w:spacing w:before="120" w:after="120"/>
              <w:rPr>
                <w:rFonts w:ascii="Rockwell" w:hAnsi="Rockwell"/>
                <w:color w:val="000000"/>
                <w:szCs w:val="26"/>
              </w:rPr>
            </w:pPr>
            <w:r>
              <w:rPr>
                <w:rFonts w:ascii="Rockwell" w:hAnsi="Rockwell"/>
                <w:color w:val="000000"/>
                <w:szCs w:val="26"/>
              </w:rPr>
              <w:t xml:space="preserve">2 </w:t>
            </w:r>
            <w:proofErr w:type="gramStart"/>
            <w:r>
              <w:rPr>
                <w:rFonts w:ascii="Rockwell" w:hAnsi="Rockwell"/>
                <w:color w:val="000000"/>
                <w:szCs w:val="26"/>
              </w:rPr>
              <w:t>et  2</w:t>
            </w:r>
            <w:proofErr w:type="gramEnd"/>
            <w:r>
              <w:rPr>
                <w:rFonts w:ascii="Rockwell" w:hAnsi="Rockwell"/>
                <w:color w:val="000000"/>
                <w:szCs w:val="26"/>
              </w:rPr>
              <w:t>/5</w:t>
            </w:r>
          </w:p>
        </w:tc>
        <w:tc>
          <w:tcPr>
            <w:tcW w:w="1487" w:type="dxa"/>
            <w:shd w:val="clear" w:color="auto" w:fill="auto"/>
            <w:tcMar>
              <w:top w:w="0" w:type="dxa"/>
              <w:left w:w="108" w:type="dxa"/>
              <w:bottom w:w="0" w:type="dxa"/>
              <w:right w:w="108" w:type="dxa"/>
            </w:tcMar>
            <w:vAlign w:val="center"/>
          </w:tcPr>
          <w:p w14:paraId="461C3692" w14:textId="77777777" w:rsidR="00284822" w:rsidRDefault="00F77BF8">
            <w:pPr>
              <w:spacing w:before="120" w:after="120"/>
              <w:rPr>
                <w:rFonts w:ascii="Rockwell" w:hAnsi="Rockwell"/>
                <w:color w:val="000000"/>
                <w:szCs w:val="26"/>
              </w:rPr>
            </w:pPr>
            <w:r>
              <w:rPr>
                <w:rFonts w:ascii="Rockwell" w:hAnsi="Rockwell"/>
                <w:color w:val="000000"/>
                <w:szCs w:val="26"/>
              </w:rPr>
              <w:t>2,67%</w:t>
            </w:r>
          </w:p>
        </w:tc>
        <w:tc>
          <w:tcPr>
            <w:tcW w:w="1488" w:type="dxa"/>
            <w:shd w:val="clear" w:color="auto" w:fill="auto"/>
            <w:tcMar>
              <w:top w:w="0" w:type="dxa"/>
              <w:left w:w="108" w:type="dxa"/>
              <w:bottom w:w="0" w:type="dxa"/>
              <w:right w:w="108" w:type="dxa"/>
            </w:tcMar>
            <w:vAlign w:val="center"/>
          </w:tcPr>
          <w:p w14:paraId="43665AC1" w14:textId="77777777" w:rsidR="00284822" w:rsidRDefault="00F77BF8">
            <w:pPr>
              <w:spacing w:before="120" w:after="120"/>
              <w:rPr>
                <w:rFonts w:ascii="Rockwell" w:hAnsi="Rockwell"/>
                <w:color w:val="000000"/>
                <w:szCs w:val="26"/>
              </w:rPr>
            </w:pPr>
            <w:r>
              <w:rPr>
                <w:rFonts w:ascii="Rockwell" w:hAnsi="Rockwell"/>
                <w:color w:val="000000"/>
                <w:szCs w:val="26"/>
              </w:rPr>
              <w:t>3</w:t>
            </w:r>
          </w:p>
        </w:tc>
        <w:tc>
          <w:tcPr>
            <w:tcW w:w="1933" w:type="dxa"/>
            <w:shd w:val="clear" w:color="auto" w:fill="auto"/>
            <w:tcMar>
              <w:top w:w="0" w:type="dxa"/>
              <w:left w:w="108" w:type="dxa"/>
              <w:bottom w:w="0" w:type="dxa"/>
              <w:right w:w="108" w:type="dxa"/>
            </w:tcMar>
            <w:vAlign w:val="center"/>
          </w:tcPr>
          <w:p w14:paraId="48B4752E" w14:textId="77777777" w:rsidR="00284822" w:rsidRDefault="00F77BF8">
            <w:pPr>
              <w:spacing w:before="120" w:after="120"/>
              <w:rPr>
                <w:rFonts w:ascii="Rockwell" w:hAnsi="Rockwell"/>
                <w:color w:val="000000"/>
                <w:szCs w:val="26"/>
              </w:rPr>
            </w:pPr>
            <w:r>
              <w:rPr>
                <w:rFonts w:ascii="Rockwell" w:hAnsi="Rockwell"/>
                <w:color w:val="000000"/>
                <w:szCs w:val="26"/>
              </w:rPr>
              <w:t>1,85%</w:t>
            </w:r>
          </w:p>
        </w:tc>
      </w:tr>
    </w:tbl>
    <w:p w14:paraId="7AF4917F" w14:textId="77777777" w:rsidR="00284822" w:rsidRDefault="00F77BF8">
      <w:pPr>
        <w:tabs>
          <w:tab w:val="left" w:pos="895"/>
        </w:tabs>
        <w:spacing w:before="120" w:after="120"/>
        <w:ind w:left="-709" w:hanging="142"/>
        <w:rPr>
          <w:rFonts w:ascii="Rockwell" w:hAnsi="Rockwell"/>
          <w:i/>
          <w:sz w:val="20"/>
          <w:szCs w:val="20"/>
        </w:rPr>
      </w:pPr>
      <w:r>
        <w:rPr>
          <w:rFonts w:ascii="Rockwell" w:hAnsi="Rockwell"/>
          <w:i/>
          <w:sz w:val="20"/>
          <w:szCs w:val="20"/>
          <w:u w:val="single"/>
        </w:rPr>
        <w:t>Source</w:t>
      </w:r>
      <w:r>
        <w:rPr>
          <w:rFonts w:ascii="Rockwell" w:hAnsi="Rockwell"/>
          <w:i/>
          <w:sz w:val="20"/>
          <w:szCs w:val="20"/>
        </w:rPr>
        <w:t> : Monitoring CSC</w:t>
      </w:r>
    </w:p>
    <w:p w14:paraId="67870092" w14:textId="77777777" w:rsidR="00284822" w:rsidRDefault="00284822">
      <w:pPr>
        <w:tabs>
          <w:tab w:val="left" w:pos="3330"/>
        </w:tabs>
        <w:spacing w:before="120" w:after="120"/>
        <w:rPr>
          <w:rFonts w:ascii="Rockwell" w:hAnsi="Rockwell"/>
          <w:i/>
          <w:szCs w:val="26"/>
          <w:u w:val="single"/>
        </w:rPr>
        <w:sectPr w:rsidR="00284822">
          <w:pgSz w:w="11906" w:h="16838"/>
          <w:pgMar w:top="1418" w:right="1418" w:bottom="1418" w:left="1418" w:header="720" w:footer="720" w:gutter="0"/>
          <w:cols w:space="720"/>
        </w:sectPr>
      </w:pPr>
    </w:p>
    <w:p w14:paraId="7B2E4852" w14:textId="77777777" w:rsidR="00284822" w:rsidRDefault="00F77BF8">
      <w:pPr>
        <w:tabs>
          <w:tab w:val="left" w:pos="3330"/>
        </w:tabs>
        <w:spacing w:before="120" w:after="120"/>
        <w:jc w:val="center"/>
        <w:rPr>
          <w:rFonts w:ascii="Rockwell" w:hAnsi="Rockwell"/>
          <w:i/>
          <w:sz w:val="20"/>
          <w:szCs w:val="20"/>
          <w:u w:val="single"/>
        </w:rPr>
      </w:pPr>
      <w:r>
        <w:rPr>
          <w:rFonts w:ascii="Rockwell" w:hAnsi="Rockwell"/>
          <w:i/>
          <w:sz w:val="20"/>
          <w:szCs w:val="20"/>
          <w:u w:val="single"/>
        </w:rPr>
        <w:lastRenderedPageBreak/>
        <w:t>Représentation graphique des NP et des NI obtenus par les dix premiers partis politiques dans Le Quotidien</w:t>
      </w:r>
    </w:p>
    <w:p w14:paraId="3999663A" w14:textId="77777777" w:rsidR="00284822" w:rsidRDefault="00F77BF8">
      <w:pPr>
        <w:spacing w:before="120" w:after="120"/>
        <w:jc w:val="center"/>
        <w:rPr>
          <w:rFonts w:ascii="Rockwell" w:hAnsi="Rockwell"/>
          <w:szCs w:val="26"/>
        </w:rPr>
      </w:pPr>
      <w:r>
        <w:rPr>
          <w:rFonts w:ascii="Rockwell" w:hAnsi="Rockwell"/>
          <w:noProof/>
          <w:szCs w:val="26"/>
        </w:rPr>
        <w:drawing>
          <wp:inline distT="0" distB="0" distL="0" distR="0" wp14:anchorId="329E7F05" wp14:editId="057BAD86">
            <wp:extent cx="6343650" cy="3657600"/>
            <wp:effectExtent l="0" t="0" r="0" b="0"/>
            <wp:docPr id="20" name="Graphique 7"/>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4CF3A366" w14:textId="77777777" w:rsidR="00284822" w:rsidRDefault="00284822">
      <w:pPr>
        <w:spacing w:before="120" w:after="120"/>
        <w:rPr>
          <w:rFonts w:ascii="Rockwell" w:hAnsi="Rockwell"/>
          <w:sz w:val="10"/>
          <w:szCs w:val="10"/>
        </w:rPr>
      </w:pPr>
    </w:p>
    <w:p w14:paraId="39D06236" w14:textId="77777777" w:rsidR="00284822" w:rsidRDefault="00F77BF8">
      <w:pPr>
        <w:pStyle w:val="Titre5"/>
        <w:numPr>
          <w:ilvl w:val="1"/>
          <w:numId w:val="15"/>
        </w:numPr>
        <w:ind w:hanging="11"/>
        <w:textAlignment w:val="auto"/>
        <w:rPr>
          <w:rFonts w:ascii="Rockwell" w:hAnsi="Rockwell"/>
        </w:rPr>
      </w:pPr>
      <w:bookmarkStart w:id="142" w:name="_Toc175048666"/>
      <w:r>
        <w:rPr>
          <w:rFonts w:ascii="Rockwell" w:hAnsi="Rockwell"/>
        </w:rPr>
        <w:t>L’Express du Faso</w:t>
      </w:r>
      <w:bookmarkEnd w:id="142"/>
    </w:p>
    <w:p w14:paraId="0A548983" w14:textId="77777777" w:rsidR="00284822" w:rsidRDefault="00F77BF8">
      <w:pPr>
        <w:spacing w:before="120" w:after="120"/>
        <w:rPr>
          <w:rFonts w:ascii="Rockwell" w:hAnsi="Rockwell"/>
          <w:szCs w:val="26"/>
        </w:rPr>
      </w:pPr>
      <w:r>
        <w:rPr>
          <w:rFonts w:ascii="Rockwell" w:hAnsi="Rockwell"/>
          <w:szCs w:val="26"/>
        </w:rPr>
        <w:t xml:space="preserve">L’Express du Faso a accordé </w:t>
      </w:r>
      <w:r>
        <w:rPr>
          <w:rFonts w:ascii="Rockwell" w:hAnsi="Rockwell"/>
          <w:color w:val="000000"/>
          <w:szCs w:val="26"/>
        </w:rPr>
        <w:t xml:space="preserve">44 </w:t>
      </w:r>
      <w:r>
        <w:rPr>
          <w:rFonts w:ascii="Rockwell" w:hAnsi="Rockwell"/>
          <w:szCs w:val="26"/>
        </w:rPr>
        <w:t xml:space="preserve">pages </w:t>
      </w:r>
      <w:r>
        <w:rPr>
          <w:rFonts w:ascii="Rockwell" w:hAnsi="Rockwell"/>
          <w:color w:val="000000"/>
          <w:szCs w:val="26"/>
        </w:rPr>
        <w:t>1/2</w:t>
      </w:r>
      <w:r>
        <w:rPr>
          <w:rFonts w:ascii="Rockwell" w:hAnsi="Rockwell"/>
          <w:szCs w:val="26"/>
        </w:rPr>
        <w:t xml:space="preserve"> et 85 illustrations à 21 partis politiques. Ci-après le rang occupé par les 10 premiers.</w:t>
      </w:r>
    </w:p>
    <w:p w14:paraId="779EFBB9" w14:textId="77777777" w:rsidR="00284822" w:rsidRDefault="00284822">
      <w:pPr>
        <w:spacing w:before="120" w:after="120"/>
        <w:rPr>
          <w:rFonts w:ascii="Rockwell" w:hAnsi="Rockwell"/>
          <w:b/>
          <w:szCs w:val="26"/>
          <w:u w:val="single"/>
        </w:rPr>
        <w:sectPr w:rsidR="00284822">
          <w:pgSz w:w="11906" w:h="16838"/>
          <w:pgMar w:top="1418" w:right="1418" w:bottom="1418" w:left="1418" w:header="720" w:footer="720" w:gutter="0"/>
          <w:cols w:space="720"/>
        </w:sectPr>
      </w:pPr>
    </w:p>
    <w:p w14:paraId="7F4FAB94" w14:textId="77777777" w:rsidR="00284822" w:rsidRDefault="00F77BF8">
      <w:pPr>
        <w:spacing w:before="120" w:after="120"/>
        <w:jc w:val="center"/>
        <w:rPr>
          <w:rFonts w:ascii="Rockwell" w:hAnsi="Rockwell"/>
          <w:sz w:val="20"/>
          <w:szCs w:val="20"/>
        </w:rPr>
      </w:pPr>
      <w:r>
        <w:rPr>
          <w:rFonts w:ascii="Rockwell" w:hAnsi="Rockwell"/>
          <w:b/>
          <w:sz w:val="20"/>
          <w:szCs w:val="20"/>
          <w:u w:val="single"/>
        </w:rPr>
        <w:lastRenderedPageBreak/>
        <w:t>Tableau 6</w:t>
      </w:r>
      <w:r>
        <w:rPr>
          <w:rFonts w:ascii="Rockwell" w:hAnsi="Rockwell"/>
          <w:sz w:val="20"/>
          <w:szCs w:val="20"/>
          <w:u w:val="single"/>
        </w:rPr>
        <w:t xml:space="preserve"> </w:t>
      </w:r>
      <w:r>
        <w:rPr>
          <w:rFonts w:ascii="Rockwell" w:hAnsi="Rockwell"/>
          <w:sz w:val="20"/>
          <w:szCs w:val="20"/>
        </w:rPr>
        <w:t xml:space="preserve">: </w:t>
      </w:r>
      <w:r>
        <w:rPr>
          <w:rFonts w:ascii="Rockwell" w:hAnsi="Rockwell"/>
          <w:i/>
          <w:sz w:val="20"/>
          <w:szCs w:val="20"/>
        </w:rPr>
        <w:t>Classement des dix premiers partis politiques selon le NP et le NI publiés dans L’Express du Faso</w:t>
      </w:r>
    </w:p>
    <w:p w14:paraId="08405CC7" w14:textId="77777777" w:rsidR="00284822" w:rsidRDefault="00F77BF8">
      <w:pPr>
        <w:tabs>
          <w:tab w:val="left" w:pos="895"/>
        </w:tabs>
        <w:spacing w:before="120" w:after="120"/>
        <w:ind w:left="-709" w:firstLine="283"/>
        <w:rPr>
          <w:rFonts w:ascii="Rockwell" w:hAnsi="Rockwell"/>
          <w:i/>
          <w:sz w:val="20"/>
          <w:szCs w:val="20"/>
        </w:rPr>
      </w:pPr>
      <w:r>
        <w:rPr>
          <w:rFonts w:ascii="Rockwell" w:hAnsi="Rockwell"/>
          <w:i/>
          <w:sz w:val="20"/>
          <w:szCs w:val="20"/>
          <w:u w:val="single"/>
        </w:rPr>
        <w:t>Source</w:t>
      </w:r>
      <w:r>
        <w:rPr>
          <w:rFonts w:ascii="Rockwell" w:hAnsi="Rockwell"/>
          <w:i/>
          <w:sz w:val="20"/>
          <w:szCs w:val="20"/>
        </w:rPr>
        <w:t> : Monitoring CSC</w:t>
      </w:r>
    </w:p>
    <w:p w14:paraId="2833F07F" w14:textId="77777777" w:rsidR="00284822" w:rsidRDefault="00284822">
      <w:pPr>
        <w:spacing w:before="120" w:after="120"/>
        <w:ind w:hanging="567"/>
        <w:jc w:val="left"/>
        <w:rPr>
          <w:rFonts w:ascii="Rockwell" w:hAnsi="Rockwell"/>
          <w:b/>
          <w:i/>
          <w:szCs w:val="26"/>
        </w:rPr>
      </w:pPr>
    </w:p>
    <w:tbl>
      <w:tblPr>
        <w:tblpPr w:leftFromText="141" w:rightFromText="141" w:vertAnchor="page" w:horzAnchor="margin" w:tblpXSpec="center" w:tblpY="2780"/>
        <w:tblW w:w="6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09"/>
        <w:gridCol w:w="2123"/>
        <w:gridCol w:w="2045"/>
        <w:gridCol w:w="1444"/>
        <w:gridCol w:w="1972"/>
        <w:gridCol w:w="2128"/>
      </w:tblGrid>
      <w:tr w:rsidR="00284822" w14:paraId="2869C969" w14:textId="77777777">
        <w:trPr>
          <w:trHeight w:val="699"/>
        </w:trPr>
        <w:tc>
          <w:tcPr>
            <w:tcW w:w="10921" w:type="dxa"/>
            <w:gridSpan w:val="6"/>
            <w:shd w:val="clear" w:color="auto" w:fill="auto"/>
            <w:tcMar>
              <w:top w:w="0" w:type="dxa"/>
              <w:left w:w="108" w:type="dxa"/>
              <w:bottom w:w="0" w:type="dxa"/>
              <w:right w:w="108" w:type="dxa"/>
            </w:tcMar>
          </w:tcPr>
          <w:p w14:paraId="6B9E066F" w14:textId="77777777" w:rsidR="00284822" w:rsidRDefault="00F77BF8">
            <w:pPr>
              <w:spacing w:before="120" w:after="120"/>
              <w:jc w:val="center"/>
              <w:rPr>
                <w:rFonts w:ascii="Rockwell" w:hAnsi="Rockwell"/>
                <w:b/>
                <w:bCs/>
                <w:color w:val="000000"/>
                <w:szCs w:val="26"/>
              </w:rPr>
            </w:pPr>
            <w:r>
              <w:rPr>
                <w:rFonts w:ascii="Rockwell" w:hAnsi="Rockwell"/>
                <w:b/>
                <w:bCs/>
                <w:color w:val="000000"/>
                <w:szCs w:val="26"/>
              </w:rPr>
              <w:t>L'EXPRESS DU FASO</w:t>
            </w:r>
          </w:p>
        </w:tc>
      </w:tr>
      <w:tr w:rsidR="00284822" w14:paraId="6A34C4CC" w14:textId="77777777">
        <w:trPr>
          <w:trHeight w:val="76"/>
        </w:trPr>
        <w:tc>
          <w:tcPr>
            <w:tcW w:w="1209" w:type="dxa"/>
            <w:shd w:val="clear" w:color="auto" w:fill="auto"/>
            <w:tcMar>
              <w:top w:w="0" w:type="dxa"/>
              <w:left w:w="108" w:type="dxa"/>
              <w:bottom w:w="0" w:type="dxa"/>
              <w:right w:w="108" w:type="dxa"/>
            </w:tcMar>
          </w:tcPr>
          <w:p w14:paraId="7D6088FF" w14:textId="77777777" w:rsidR="00284822" w:rsidRDefault="00F77BF8">
            <w:pPr>
              <w:spacing w:before="120" w:after="120"/>
              <w:rPr>
                <w:rFonts w:ascii="Rockwell" w:hAnsi="Rockwell"/>
                <w:b/>
                <w:bCs/>
                <w:color w:val="000000"/>
                <w:szCs w:val="26"/>
              </w:rPr>
            </w:pPr>
            <w:r>
              <w:rPr>
                <w:rFonts w:ascii="Rockwell" w:hAnsi="Rockwell"/>
                <w:b/>
                <w:bCs/>
                <w:color w:val="000000"/>
                <w:szCs w:val="26"/>
              </w:rPr>
              <w:t>RANG</w:t>
            </w:r>
          </w:p>
        </w:tc>
        <w:tc>
          <w:tcPr>
            <w:tcW w:w="2123" w:type="dxa"/>
            <w:shd w:val="clear" w:color="auto" w:fill="auto"/>
            <w:tcMar>
              <w:top w:w="0" w:type="dxa"/>
              <w:left w:w="108" w:type="dxa"/>
              <w:bottom w:w="0" w:type="dxa"/>
              <w:right w:w="108" w:type="dxa"/>
            </w:tcMar>
          </w:tcPr>
          <w:p w14:paraId="7B74A641" w14:textId="77777777" w:rsidR="00284822" w:rsidRDefault="00F77BF8">
            <w:pPr>
              <w:spacing w:before="120" w:after="120"/>
              <w:rPr>
                <w:rFonts w:ascii="Rockwell" w:hAnsi="Rockwell"/>
                <w:szCs w:val="26"/>
              </w:rPr>
            </w:pPr>
            <w:r>
              <w:rPr>
                <w:rFonts w:ascii="Rockwell" w:hAnsi="Rockwell"/>
                <w:b/>
                <w:bCs/>
                <w:color w:val="000000"/>
                <w:szCs w:val="26"/>
              </w:rPr>
              <w:t>ACTEURS POLITIQUES</w:t>
            </w:r>
          </w:p>
        </w:tc>
        <w:tc>
          <w:tcPr>
            <w:tcW w:w="2045" w:type="dxa"/>
            <w:shd w:val="clear" w:color="auto" w:fill="auto"/>
            <w:tcMar>
              <w:top w:w="0" w:type="dxa"/>
              <w:left w:w="108" w:type="dxa"/>
              <w:bottom w:w="0" w:type="dxa"/>
              <w:right w:w="108" w:type="dxa"/>
            </w:tcMar>
          </w:tcPr>
          <w:p w14:paraId="451B0320" w14:textId="77777777" w:rsidR="00284822" w:rsidRDefault="00F77BF8">
            <w:pPr>
              <w:spacing w:before="120" w:after="120"/>
              <w:rPr>
                <w:rFonts w:ascii="Rockwell" w:hAnsi="Rockwell"/>
                <w:b/>
                <w:color w:val="000000"/>
                <w:szCs w:val="26"/>
              </w:rPr>
            </w:pPr>
            <w:r>
              <w:rPr>
                <w:rFonts w:ascii="Rockwell" w:hAnsi="Rockwell"/>
                <w:b/>
                <w:color w:val="000000"/>
                <w:szCs w:val="26"/>
              </w:rPr>
              <w:t>NP</w:t>
            </w:r>
          </w:p>
        </w:tc>
        <w:tc>
          <w:tcPr>
            <w:tcW w:w="1444" w:type="dxa"/>
            <w:shd w:val="clear" w:color="auto" w:fill="auto"/>
            <w:tcMar>
              <w:top w:w="0" w:type="dxa"/>
              <w:left w:w="108" w:type="dxa"/>
              <w:bottom w:w="0" w:type="dxa"/>
              <w:right w:w="108" w:type="dxa"/>
            </w:tcMar>
          </w:tcPr>
          <w:p w14:paraId="3853B1AD" w14:textId="77777777" w:rsidR="00284822" w:rsidRDefault="00F77BF8">
            <w:pPr>
              <w:spacing w:before="120" w:after="120"/>
              <w:rPr>
                <w:rFonts w:ascii="Rockwell" w:hAnsi="Rockwell"/>
                <w:b/>
                <w:color w:val="000000"/>
                <w:szCs w:val="26"/>
              </w:rPr>
            </w:pPr>
            <w:r>
              <w:rPr>
                <w:rFonts w:ascii="Rockwell" w:hAnsi="Rockwell"/>
                <w:b/>
                <w:color w:val="000000"/>
                <w:szCs w:val="26"/>
              </w:rPr>
              <w:t>% NP</w:t>
            </w:r>
          </w:p>
        </w:tc>
        <w:tc>
          <w:tcPr>
            <w:tcW w:w="1972" w:type="dxa"/>
            <w:shd w:val="clear" w:color="auto" w:fill="auto"/>
            <w:tcMar>
              <w:top w:w="0" w:type="dxa"/>
              <w:left w:w="108" w:type="dxa"/>
              <w:bottom w:w="0" w:type="dxa"/>
              <w:right w:w="108" w:type="dxa"/>
            </w:tcMar>
          </w:tcPr>
          <w:p w14:paraId="7DD40586" w14:textId="77777777" w:rsidR="00284822" w:rsidRDefault="00F77BF8">
            <w:pPr>
              <w:tabs>
                <w:tab w:val="left" w:pos="324"/>
                <w:tab w:val="center" w:pos="687"/>
              </w:tabs>
              <w:spacing w:before="120" w:after="120"/>
              <w:rPr>
                <w:rFonts w:ascii="Rockwell" w:hAnsi="Rockwell"/>
                <w:b/>
                <w:color w:val="000000"/>
                <w:szCs w:val="26"/>
              </w:rPr>
            </w:pPr>
            <w:r>
              <w:rPr>
                <w:rFonts w:ascii="Rockwell" w:hAnsi="Rockwell"/>
                <w:b/>
                <w:color w:val="000000"/>
                <w:szCs w:val="26"/>
              </w:rPr>
              <w:tab/>
            </w:r>
            <w:r>
              <w:rPr>
                <w:rFonts w:ascii="Rockwell" w:hAnsi="Rockwell"/>
                <w:b/>
                <w:color w:val="000000"/>
                <w:szCs w:val="26"/>
              </w:rPr>
              <w:tab/>
              <w:t>NI</w:t>
            </w:r>
          </w:p>
        </w:tc>
        <w:tc>
          <w:tcPr>
            <w:tcW w:w="2124" w:type="dxa"/>
            <w:shd w:val="clear" w:color="auto" w:fill="auto"/>
            <w:tcMar>
              <w:top w:w="0" w:type="dxa"/>
              <w:left w:w="108" w:type="dxa"/>
              <w:bottom w:w="0" w:type="dxa"/>
              <w:right w:w="108" w:type="dxa"/>
            </w:tcMar>
          </w:tcPr>
          <w:p w14:paraId="49E4D10D" w14:textId="77777777" w:rsidR="00284822" w:rsidRDefault="00F77BF8">
            <w:pPr>
              <w:spacing w:before="120" w:after="120"/>
              <w:rPr>
                <w:rFonts w:ascii="Rockwell" w:hAnsi="Rockwell"/>
                <w:b/>
                <w:color w:val="000000"/>
                <w:szCs w:val="26"/>
              </w:rPr>
            </w:pPr>
            <w:r>
              <w:rPr>
                <w:rFonts w:ascii="Rockwell" w:hAnsi="Rockwell"/>
                <w:b/>
                <w:color w:val="000000"/>
                <w:szCs w:val="26"/>
              </w:rPr>
              <w:t>% NI</w:t>
            </w:r>
          </w:p>
        </w:tc>
      </w:tr>
      <w:tr w:rsidR="00284822" w14:paraId="28B628B0" w14:textId="77777777">
        <w:trPr>
          <w:trHeight w:val="76"/>
        </w:trPr>
        <w:tc>
          <w:tcPr>
            <w:tcW w:w="1209" w:type="dxa"/>
            <w:shd w:val="clear" w:color="auto" w:fill="auto"/>
            <w:tcMar>
              <w:top w:w="0" w:type="dxa"/>
              <w:left w:w="108" w:type="dxa"/>
              <w:bottom w:w="0" w:type="dxa"/>
              <w:right w:w="108" w:type="dxa"/>
            </w:tcMar>
            <w:vAlign w:val="center"/>
          </w:tcPr>
          <w:p w14:paraId="056EC797" w14:textId="77777777" w:rsidR="00284822" w:rsidRDefault="00F77BF8">
            <w:pPr>
              <w:spacing w:before="120" w:after="120"/>
              <w:rPr>
                <w:rFonts w:ascii="Rockwell" w:hAnsi="Rockwell"/>
                <w:szCs w:val="26"/>
              </w:rPr>
            </w:pPr>
            <w:r>
              <w:rPr>
                <w:rFonts w:ascii="Rockwell" w:hAnsi="Rockwell"/>
                <w:b/>
                <w:bCs/>
                <w:szCs w:val="26"/>
              </w:rPr>
              <w:t>1</w:t>
            </w:r>
            <w:r>
              <w:rPr>
                <w:rFonts w:ascii="Rockwell" w:hAnsi="Rockwell"/>
                <w:b/>
                <w:bCs/>
                <w:szCs w:val="26"/>
                <w:vertAlign w:val="superscript"/>
              </w:rPr>
              <w:t>er</w:t>
            </w:r>
          </w:p>
        </w:tc>
        <w:tc>
          <w:tcPr>
            <w:tcW w:w="2123" w:type="dxa"/>
            <w:shd w:val="clear" w:color="auto" w:fill="auto"/>
            <w:tcMar>
              <w:top w:w="0" w:type="dxa"/>
              <w:left w:w="108" w:type="dxa"/>
              <w:bottom w:w="0" w:type="dxa"/>
              <w:right w:w="108" w:type="dxa"/>
            </w:tcMar>
            <w:vAlign w:val="bottom"/>
          </w:tcPr>
          <w:p w14:paraId="05EB9A8A" w14:textId="77777777" w:rsidR="00284822" w:rsidRDefault="00F77BF8">
            <w:pPr>
              <w:spacing w:before="120" w:after="120"/>
              <w:rPr>
                <w:rFonts w:ascii="Rockwell" w:hAnsi="Rockwell"/>
                <w:b/>
                <w:color w:val="000000"/>
                <w:szCs w:val="26"/>
              </w:rPr>
            </w:pPr>
            <w:r>
              <w:rPr>
                <w:rFonts w:ascii="Rockwell" w:hAnsi="Rockwell"/>
                <w:b/>
                <w:color w:val="000000"/>
                <w:szCs w:val="26"/>
              </w:rPr>
              <w:t>CDP</w:t>
            </w:r>
          </w:p>
        </w:tc>
        <w:tc>
          <w:tcPr>
            <w:tcW w:w="2045" w:type="dxa"/>
            <w:shd w:val="clear" w:color="auto" w:fill="auto"/>
            <w:tcMar>
              <w:top w:w="0" w:type="dxa"/>
              <w:left w:w="108" w:type="dxa"/>
              <w:bottom w:w="0" w:type="dxa"/>
              <w:right w:w="108" w:type="dxa"/>
            </w:tcMar>
            <w:vAlign w:val="center"/>
          </w:tcPr>
          <w:p w14:paraId="3A9459D4" w14:textId="77777777" w:rsidR="00284822" w:rsidRDefault="00F77BF8">
            <w:pPr>
              <w:spacing w:before="120" w:after="120"/>
              <w:rPr>
                <w:rFonts w:ascii="Rockwell" w:hAnsi="Rockwell"/>
                <w:color w:val="000000"/>
                <w:szCs w:val="26"/>
              </w:rPr>
            </w:pPr>
            <w:proofErr w:type="gramStart"/>
            <w:r>
              <w:rPr>
                <w:rFonts w:ascii="Rockwell" w:hAnsi="Rockwell"/>
                <w:color w:val="000000"/>
                <w:szCs w:val="26"/>
              </w:rPr>
              <w:t>12  et</w:t>
            </w:r>
            <w:proofErr w:type="gramEnd"/>
            <w:r>
              <w:rPr>
                <w:rFonts w:ascii="Rockwell" w:hAnsi="Rockwell"/>
                <w:color w:val="000000"/>
                <w:szCs w:val="26"/>
              </w:rPr>
              <w:t xml:space="preserve"> 1/8</w:t>
            </w:r>
          </w:p>
        </w:tc>
        <w:tc>
          <w:tcPr>
            <w:tcW w:w="1444" w:type="dxa"/>
            <w:shd w:val="clear" w:color="auto" w:fill="auto"/>
            <w:tcMar>
              <w:top w:w="0" w:type="dxa"/>
              <w:left w:w="108" w:type="dxa"/>
              <w:bottom w:w="0" w:type="dxa"/>
              <w:right w:w="108" w:type="dxa"/>
            </w:tcMar>
            <w:vAlign w:val="center"/>
          </w:tcPr>
          <w:p w14:paraId="6846EE9C" w14:textId="77777777" w:rsidR="00284822" w:rsidRDefault="00F77BF8">
            <w:pPr>
              <w:spacing w:before="120" w:after="120"/>
              <w:rPr>
                <w:rFonts w:ascii="Rockwell" w:hAnsi="Rockwell"/>
                <w:color w:val="000000"/>
                <w:szCs w:val="26"/>
              </w:rPr>
            </w:pPr>
            <w:r>
              <w:rPr>
                <w:rFonts w:ascii="Rockwell" w:hAnsi="Rockwell"/>
                <w:color w:val="000000"/>
                <w:szCs w:val="26"/>
              </w:rPr>
              <w:t>27,25%</w:t>
            </w:r>
          </w:p>
        </w:tc>
        <w:tc>
          <w:tcPr>
            <w:tcW w:w="1972" w:type="dxa"/>
            <w:shd w:val="clear" w:color="auto" w:fill="auto"/>
            <w:tcMar>
              <w:top w:w="0" w:type="dxa"/>
              <w:left w:w="108" w:type="dxa"/>
              <w:bottom w:w="0" w:type="dxa"/>
              <w:right w:w="108" w:type="dxa"/>
            </w:tcMar>
            <w:vAlign w:val="center"/>
          </w:tcPr>
          <w:p w14:paraId="043CB34A" w14:textId="77777777" w:rsidR="00284822" w:rsidRDefault="00F77BF8">
            <w:pPr>
              <w:spacing w:before="120" w:after="120"/>
              <w:rPr>
                <w:rFonts w:ascii="Rockwell" w:hAnsi="Rockwell"/>
                <w:color w:val="000000"/>
                <w:szCs w:val="26"/>
              </w:rPr>
            </w:pPr>
            <w:r>
              <w:rPr>
                <w:rFonts w:ascii="Rockwell" w:hAnsi="Rockwell"/>
                <w:color w:val="000000"/>
                <w:szCs w:val="26"/>
              </w:rPr>
              <w:t>22</w:t>
            </w:r>
          </w:p>
        </w:tc>
        <w:tc>
          <w:tcPr>
            <w:tcW w:w="2124" w:type="dxa"/>
            <w:shd w:val="clear" w:color="auto" w:fill="auto"/>
            <w:tcMar>
              <w:top w:w="0" w:type="dxa"/>
              <w:left w:w="108" w:type="dxa"/>
              <w:bottom w:w="0" w:type="dxa"/>
              <w:right w:w="108" w:type="dxa"/>
            </w:tcMar>
            <w:vAlign w:val="center"/>
          </w:tcPr>
          <w:p w14:paraId="27B6BE7A" w14:textId="77777777" w:rsidR="00284822" w:rsidRDefault="00F77BF8">
            <w:pPr>
              <w:spacing w:before="120" w:after="120"/>
              <w:rPr>
                <w:rFonts w:ascii="Rockwell" w:hAnsi="Rockwell"/>
                <w:color w:val="000000"/>
                <w:szCs w:val="26"/>
              </w:rPr>
            </w:pPr>
            <w:r>
              <w:rPr>
                <w:rFonts w:ascii="Rockwell" w:hAnsi="Rockwell"/>
                <w:color w:val="000000"/>
                <w:szCs w:val="26"/>
              </w:rPr>
              <w:t>25,88%</w:t>
            </w:r>
          </w:p>
        </w:tc>
      </w:tr>
      <w:tr w:rsidR="00284822" w14:paraId="1A33DA3C" w14:textId="77777777">
        <w:trPr>
          <w:trHeight w:val="76"/>
        </w:trPr>
        <w:tc>
          <w:tcPr>
            <w:tcW w:w="1209" w:type="dxa"/>
            <w:shd w:val="clear" w:color="auto" w:fill="auto"/>
            <w:tcMar>
              <w:top w:w="0" w:type="dxa"/>
              <w:left w:w="108" w:type="dxa"/>
              <w:bottom w:w="0" w:type="dxa"/>
              <w:right w:w="108" w:type="dxa"/>
            </w:tcMar>
            <w:vAlign w:val="center"/>
          </w:tcPr>
          <w:p w14:paraId="6F439DA9" w14:textId="77777777" w:rsidR="00284822" w:rsidRDefault="00F77BF8">
            <w:pPr>
              <w:spacing w:before="120" w:after="120"/>
              <w:rPr>
                <w:rFonts w:ascii="Rockwell" w:hAnsi="Rockwell"/>
                <w:szCs w:val="26"/>
              </w:rPr>
            </w:pPr>
            <w:r>
              <w:rPr>
                <w:rFonts w:ascii="Rockwell" w:hAnsi="Rockwell"/>
                <w:b/>
                <w:bCs/>
                <w:szCs w:val="26"/>
              </w:rPr>
              <w:t>2</w:t>
            </w:r>
            <w:r>
              <w:rPr>
                <w:rFonts w:ascii="Rockwell" w:hAnsi="Rockwell"/>
                <w:b/>
                <w:bCs/>
                <w:szCs w:val="26"/>
                <w:vertAlign w:val="superscript"/>
              </w:rPr>
              <w:t>e</w:t>
            </w:r>
          </w:p>
        </w:tc>
        <w:tc>
          <w:tcPr>
            <w:tcW w:w="2123" w:type="dxa"/>
            <w:shd w:val="clear" w:color="auto" w:fill="auto"/>
            <w:tcMar>
              <w:top w:w="0" w:type="dxa"/>
              <w:left w:w="108" w:type="dxa"/>
              <w:bottom w:w="0" w:type="dxa"/>
              <w:right w:w="108" w:type="dxa"/>
            </w:tcMar>
            <w:vAlign w:val="bottom"/>
          </w:tcPr>
          <w:p w14:paraId="10043F4E" w14:textId="77777777" w:rsidR="00284822" w:rsidRDefault="00F77BF8">
            <w:pPr>
              <w:spacing w:before="120" w:after="120"/>
              <w:rPr>
                <w:rFonts w:ascii="Rockwell" w:hAnsi="Rockwell"/>
                <w:b/>
                <w:color w:val="000000"/>
                <w:szCs w:val="26"/>
              </w:rPr>
            </w:pPr>
            <w:r>
              <w:rPr>
                <w:rFonts w:ascii="Rockwell" w:hAnsi="Rockwell"/>
                <w:b/>
                <w:color w:val="000000"/>
                <w:szCs w:val="26"/>
              </w:rPr>
              <w:t>FA</w:t>
            </w:r>
          </w:p>
        </w:tc>
        <w:tc>
          <w:tcPr>
            <w:tcW w:w="2045" w:type="dxa"/>
            <w:shd w:val="clear" w:color="auto" w:fill="auto"/>
            <w:tcMar>
              <w:top w:w="0" w:type="dxa"/>
              <w:left w:w="108" w:type="dxa"/>
              <w:bottom w:w="0" w:type="dxa"/>
              <w:right w:w="108" w:type="dxa"/>
            </w:tcMar>
            <w:vAlign w:val="center"/>
          </w:tcPr>
          <w:p w14:paraId="0DFD3DD3" w14:textId="77777777" w:rsidR="00284822" w:rsidRDefault="00F77BF8">
            <w:pPr>
              <w:spacing w:before="120" w:after="120"/>
              <w:rPr>
                <w:rFonts w:ascii="Rockwell" w:hAnsi="Rockwell"/>
                <w:color w:val="000000"/>
                <w:szCs w:val="26"/>
              </w:rPr>
            </w:pPr>
            <w:r>
              <w:rPr>
                <w:rFonts w:ascii="Rockwell" w:hAnsi="Rockwell"/>
                <w:color w:val="000000"/>
                <w:szCs w:val="26"/>
              </w:rPr>
              <w:t>6</w:t>
            </w:r>
          </w:p>
        </w:tc>
        <w:tc>
          <w:tcPr>
            <w:tcW w:w="1444" w:type="dxa"/>
            <w:shd w:val="clear" w:color="auto" w:fill="auto"/>
            <w:tcMar>
              <w:top w:w="0" w:type="dxa"/>
              <w:left w:w="108" w:type="dxa"/>
              <w:bottom w:w="0" w:type="dxa"/>
              <w:right w:w="108" w:type="dxa"/>
            </w:tcMar>
            <w:vAlign w:val="center"/>
          </w:tcPr>
          <w:p w14:paraId="47397AC1" w14:textId="77777777" w:rsidR="00284822" w:rsidRDefault="00F77BF8">
            <w:pPr>
              <w:spacing w:before="120" w:after="120"/>
              <w:rPr>
                <w:rFonts w:ascii="Rockwell" w:hAnsi="Rockwell"/>
                <w:color w:val="000000"/>
                <w:szCs w:val="26"/>
              </w:rPr>
            </w:pPr>
            <w:r>
              <w:rPr>
                <w:rFonts w:ascii="Rockwell" w:hAnsi="Rockwell"/>
                <w:color w:val="000000"/>
                <w:szCs w:val="26"/>
              </w:rPr>
              <w:t>13,48%</w:t>
            </w:r>
          </w:p>
        </w:tc>
        <w:tc>
          <w:tcPr>
            <w:tcW w:w="1972" w:type="dxa"/>
            <w:shd w:val="clear" w:color="auto" w:fill="auto"/>
            <w:tcMar>
              <w:top w:w="0" w:type="dxa"/>
              <w:left w:w="108" w:type="dxa"/>
              <w:bottom w:w="0" w:type="dxa"/>
              <w:right w:w="108" w:type="dxa"/>
            </w:tcMar>
            <w:vAlign w:val="center"/>
          </w:tcPr>
          <w:p w14:paraId="03271350" w14:textId="77777777" w:rsidR="00284822" w:rsidRDefault="00F77BF8">
            <w:pPr>
              <w:spacing w:before="120" w:after="120"/>
              <w:rPr>
                <w:rFonts w:ascii="Rockwell" w:hAnsi="Rockwell"/>
                <w:color w:val="000000"/>
                <w:szCs w:val="26"/>
              </w:rPr>
            </w:pPr>
            <w:r>
              <w:rPr>
                <w:rFonts w:ascii="Rockwell" w:hAnsi="Rockwell"/>
                <w:color w:val="000000"/>
                <w:szCs w:val="26"/>
              </w:rPr>
              <w:t>8</w:t>
            </w:r>
          </w:p>
        </w:tc>
        <w:tc>
          <w:tcPr>
            <w:tcW w:w="2124" w:type="dxa"/>
            <w:shd w:val="clear" w:color="auto" w:fill="auto"/>
            <w:tcMar>
              <w:top w:w="0" w:type="dxa"/>
              <w:left w:w="108" w:type="dxa"/>
              <w:bottom w:w="0" w:type="dxa"/>
              <w:right w:w="108" w:type="dxa"/>
            </w:tcMar>
            <w:vAlign w:val="center"/>
          </w:tcPr>
          <w:p w14:paraId="0D1C8556" w14:textId="77777777" w:rsidR="00284822" w:rsidRDefault="00F77BF8">
            <w:pPr>
              <w:spacing w:before="120" w:after="120"/>
              <w:rPr>
                <w:rFonts w:ascii="Rockwell" w:hAnsi="Rockwell"/>
                <w:color w:val="000000"/>
                <w:szCs w:val="26"/>
              </w:rPr>
            </w:pPr>
            <w:r>
              <w:rPr>
                <w:rFonts w:ascii="Rockwell" w:hAnsi="Rockwell"/>
                <w:color w:val="000000"/>
                <w:szCs w:val="26"/>
              </w:rPr>
              <w:t>9,41%</w:t>
            </w:r>
          </w:p>
        </w:tc>
      </w:tr>
      <w:tr w:rsidR="00284822" w14:paraId="088B83CB" w14:textId="77777777">
        <w:trPr>
          <w:trHeight w:val="76"/>
        </w:trPr>
        <w:tc>
          <w:tcPr>
            <w:tcW w:w="1209" w:type="dxa"/>
            <w:shd w:val="clear" w:color="auto" w:fill="auto"/>
            <w:tcMar>
              <w:top w:w="0" w:type="dxa"/>
              <w:left w:w="108" w:type="dxa"/>
              <w:bottom w:w="0" w:type="dxa"/>
              <w:right w:w="108" w:type="dxa"/>
            </w:tcMar>
            <w:vAlign w:val="center"/>
          </w:tcPr>
          <w:p w14:paraId="5247FDC9" w14:textId="77777777" w:rsidR="00284822" w:rsidRDefault="00F77BF8">
            <w:pPr>
              <w:spacing w:before="120" w:after="120"/>
              <w:rPr>
                <w:rFonts w:ascii="Rockwell" w:hAnsi="Rockwell"/>
                <w:szCs w:val="26"/>
              </w:rPr>
            </w:pPr>
            <w:r>
              <w:rPr>
                <w:rFonts w:ascii="Rockwell" w:hAnsi="Rockwell"/>
                <w:b/>
                <w:bCs/>
                <w:szCs w:val="26"/>
              </w:rPr>
              <w:t>3</w:t>
            </w:r>
            <w:r>
              <w:rPr>
                <w:rFonts w:ascii="Rockwell" w:hAnsi="Rockwell"/>
                <w:b/>
                <w:bCs/>
                <w:szCs w:val="26"/>
                <w:vertAlign w:val="superscript"/>
              </w:rPr>
              <w:t>e</w:t>
            </w:r>
          </w:p>
        </w:tc>
        <w:tc>
          <w:tcPr>
            <w:tcW w:w="2123" w:type="dxa"/>
            <w:shd w:val="clear" w:color="auto" w:fill="auto"/>
            <w:tcMar>
              <w:top w:w="0" w:type="dxa"/>
              <w:left w:w="108" w:type="dxa"/>
              <w:bottom w:w="0" w:type="dxa"/>
              <w:right w:w="108" w:type="dxa"/>
            </w:tcMar>
            <w:vAlign w:val="bottom"/>
          </w:tcPr>
          <w:p w14:paraId="2EDFFC59" w14:textId="77777777" w:rsidR="00284822" w:rsidRDefault="00F77BF8">
            <w:pPr>
              <w:spacing w:before="120" w:after="120"/>
              <w:rPr>
                <w:rFonts w:ascii="Rockwell" w:hAnsi="Rockwell"/>
                <w:b/>
                <w:color w:val="000000"/>
                <w:szCs w:val="26"/>
              </w:rPr>
            </w:pPr>
            <w:r>
              <w:rPr>
                <w:rFonts w:ascii="Rockwell" w:hAnsi="Rockwell"/>
                <w:b/>
                <w:color w:val="000000"/>
                <w:szCs w:val="26"/>
              </w:rPr>
              <w:t>PPS</w:t>
            </w:r>
          </w:p>
        </w:tc>
        <w:tc>
          <w:tcPr>
            <w:tcW w:w="2045" w:type="dxa"/>
            <w:shd w:val="clear" w:color="auto" w:fill="auto"/>
            <w:tcMar>
              <w:top w:w="0" w:type="dxa"/>
              <w:left w:w="108" w:type="dxa"/>
              <w:bottom w:w="0" w:type="dxa"/>
              <w:right w:w="108" w:type="dxa"/>
            </w:tcMar>
            <w:vAlign w:val="center"/>
          </w:tcPr>
          <w:p w14:paraId="61E0A8EA" w14:textId="77777777" w:rsidR="00284822" w:rsidRDefault="00F77BF8">
            <w:pPr>
              <w:spacing w:before="120" w:after="120"/>
              <w:rPr>
                <w:rFonts w:ascii="Rockwell" w:hAnsi="Rockwell"/>
                <w:color w:val="000000"/>
                <w:szCs w:val="26"/>
              </w:rPr>
            </w:pPr>
            <w:r>
              <w:rPr>
                <w:rFonts w:ascii="Rockwell" w:hAnsi="Rockwell"/>
                <w:color w:val="000000"/>
                <w:szCs w:val="26"/>
              </w:rPr>
              <w:t xml:space="preserve">5 </w:t>
            </w:r>
            <w:proofErr w:type="gramStart"/>
            <w:r>
              <w:rPr>
                <w:rFonts w:ascii="Rockwell" w:hAnsi="Rockwell"/>
                <w:color w:val="000000"/>
                <w:szCs w:val="26"/>
              </w:rPr>
              <w:t>et  1</w:t>
            </w:r>
            <w:proofErr w:type="gramEnd"/>
            <w:r>
              <w:rPr>
                <w:rFonts w:ascii="Rockwell" w:hAnsi="Rockwell"/>
                <w:color w:val="000000"/>
                <w:szCs w:val="26"/>
              </w:rPr>
              <w:t>/2</w:t>
            </w:r>
          </w:p>
        </w:tc>
        <w:tc>
          <w:tcPr>
            <w:tcW w:w="1444" w:type="dxa"/>
            <w:shd w:val="clear" w:color="auto" w:fill="auto"/>
            <w:tcMar>
              <w:top w:w="0" w:type="dxa"/>
              <w:left w:w="108" w:type="dxa"/>
              <w:bottom w:w="0" w:type="dxa"/>
              <w:right w:w="108" w:type="dxa"/>
            </w:tcMar>
            <w:vAlign w:val="center"/>
          </w:tcPr>
          <w:p w14:paraId="02BCF6E6" w14:textId="77777777" w:rsidR="00284822" w:rsidRDefault="00F77BF8">
            <w:pPr>
              <w:spacing w:before="120" w:after="120"/>
              <w:rPr>
                <w:rFonts w:ascii="Rockwell" w:hAnsi="Rockwell"/>
                <w:color w:val="000000"/>
                <w:szCs w:val="26"/>
              </w:rPr>
            </w:pPr>
            <w:r>
              <w:rPr>
                <w:rFonts w:ascii="Rockwell" w:hAnsi="Rockwell"/>
                <w:color w:val="000000"/>
                <w:szCs w:val="26"/>
              </w:rPr>
              <w:t>12,36%</w:t>
            </w:r>
          </w:p>
        </w:tc>
        <w:tc>
          <w:tcPr>
            <w:tcW w:w="1972" w:type="dxa"/>
            <w:shd w:val="clear" w:color="auto" w:fill="auto"/>
            <w:tcMar>
              <w:top w:w="0" w:type="dxa"/>
              <w:left w:w="108" w:type="dxa"/>
              <w:bottom w:w="0" w:type="dxa"/>
              <w:right w:w="108" w:type="dxa"/>
            </w:tcMar>
            <w:vAlign w:val="center"/>
          </w:tcPr>
          <w:p w14:paraId="26587986" w14:textId="77777777" w:rsidR="00284822" w:rsidRDefault="00F77BF8">
            <w:pPr>
              <w:spacing w:before="120" w:after="120"/>
              <w:rPr>
                <w:rFonts w:ascii="Rockwell" w:hAnsi="Rockwell"/>
                <w:color w:val="000000"/>
                <w:szCs w:val="26"/>
              </w:rPr>
            </w:pPr>
            <w:r>
              <w:rPr>
                <w:rFonts w:ascii="Rockwell" w:hAnsi="Rockwell"/>
                <w:color w:val="000000"/>
                <w:szCs w:val="26"/>
              </w:rPr>
              <w:t>11</w:t>
            </w:r>
          </w:p>
        </w:tc>
        <w:tc>
          <w:tcPr>
            <w:tcW w:w="2124" w:type="dxa"/>
            <w:shd w:val="clear" w:color="auto" w:fill="auto"/>
            <w:tcMar>
              <w:top w:w="0" w:type="dxa"/>
              <w:left w:w="108" w:type="dxa"/>
              <w:bottom w:w="0" w:type="dxa"/>
              <w:right w:w="108" w:type="dxa"/>
            </w:tcMar>
            <w:vAlign w:val="center"/>
          </w:tcPr>
          <w:p w14:paraId="2B3AC45A" w14:textId="77777777" w:rsidR="00284822" w:rsidRDefault="00F77BF8">
            <w:pPr>
              <w:spacing w:before="120" w:after="120"/>
              <w:rPr>
                <w:rFonts w:ascii="Rockwell" w:hAnsi="Rockwell"/>
                <w:color w:val="000000"/>
                <w:szCs w:val="26"/>
              </w:rPr>
            </w:pPr>
            <w:r>
              <w:rPr>
                <w:rFonts w:ascii="Rockwell" w:hAnsi="Rockwell"/>
                <w:color w:val="000000"/>
                <w:szCs w:val="26"/>
              </w:rPr>
              <w:t>12,94%</w:t>
            </w:r>
          </w:p>
        </w:tc>
      </w:tr>
      <w:tr w:rsidR="00284822" w14:paraId="524DB1B7" w14:textId="77777777">
        <w:trPr>
          <w:trHeight w:val="76"/>
        </w:trPr>
        <w:tc>
          <w:tcPr>
            <w:tcW w:w="1209" w:type="dxa"/>
            <w:shd w:val="clear" w:color="auto" w:fill="auto"/>
            <w:tcMar>
              <w:top w:w="0" w:type="dxa"/>
              <w:left w:w="108" w:type="dxa"/>
              <w:bottom w:w="0" w:type="dxa"/>
              <w:right w:w="108" w:type="dxa"/>
            </w:tcMar>
            <w:vAlign w:val="center"/>
          </w:tcPr>
          <w:p w14:paraId="6B4BC714" w14:textId="77777777" w:rsidR="00284822" w:rsidRDefault="00F77BF8">
            <w:pPr>
              <w:spacing w:before="120" w:after="120"/>
              <w:rPr>
                <w:rFonts w:ascii="Rockwell" w:hAnsi="Rockwell"/>
                <w:szCs w:val="26"/>
              </w:rPr>
            </w:pPr>
            <w:r>
              <w:rPr>
                <w:rFonts w:ascii="Rockwell" w:hAnsi="Rockwell"/>
                <w:b/>
                <w:bCs/>
                <w:szCs w:val="26"/>
              </w:rPr>
              <w:t>4</w:t>
            </w:r>
            <w:r>
              <w:rPr>
                <w:rFonts w:ascii="Rockwell" w:hAnsi="Rockwell"/>
                <w:b/>
                <w:bCs/>
                <w:szCs w:val="26"/>
                <w:vertAlign w:val="superscript"/>
              </w:rPr>
              <w:t>e</w:t>
            </w:r>
          </w:p>
        </w:tc>
        <w:tc>
          <w:tcPr>
            <w:tcW w:w="2123" w:type="dxa"/>
            <w:shd w:val="clear" w:color="auto" w:fill="auto"/>
            <w:tcMar>
              <w:top w:w="0" w:type="dxa"/>
              <w:left w:w="108" w:type="dxa"/>
              <w:bottom w:w="0" w:type="dxa"/>
              <w:right w:w="108" w:type="dxa"/>
            </w:tcMar>
            <w:vAlign w:val="bottom"/>
          </w:tcPr>
          <w:p w14:paraId="55213D48" w14:textId="77777777" w:rsidR="00284822" w:rsidRDefault="00F77BF8">
            <w:pPr>
              <w:spacing w:before="120" w:after="120"/>
              <w:rPr>
                <w:rFonts w:ascii="Rockwell" w:hAnsi="Rockwell"/>
                <w:b/>
                <w:color w:val="000000"/>
                <w:szCs w:val="26"/>
              </w:rPr>
            </w:pPr>
            <w:r>
              <w:rPr>
                <w:rFonts w:ascii="Rockwell" w:hAnsi="Rockwell"/>
                <w:b/>
                <w:color w:val="000000"/>
                <w:szCs w:val="26"/>
              </w:rPr>
              <w:t>MPP</w:t>
            </w:r>
          </w:p>
        </w:tc>
        <w:tc>
          <w:tcPr>
            <w:tcW w:w="2045" w:type="dxa"/>
            <w:shd w:val="clear" w:color="auto" w:fill="auto"/>
            <w:tcMar>
              <w:top w:w="0" w:type="dxa"/>
              <w:left w:w="108" w:type="dxa"/>
              <w:bottom w:w="0" w:type="dxa"/>
              <w:right w:w="108" w:type="dxa"/>
            </w:tcMar>
            <w:vAlign w:val="center"/>
          </w:tcPr>
          <w:p w14:paraId="7738C619" w14:textId="77777777" w:rsidR="00284822" w:rsidRDefault="00F77BF8">
            <w:pPr>
              <w:spacing w:before="120" w:after="120"/>
              <w:rPr>
                <w:rFonts w:ascii="Rockwell" w:hAnsi="Rockwell"/>
                <w:color w:val="000000"/>
                <w:szCs w:val="26"/>
              </w:rPr>
            </w:pPr>
            <w:r>
              <w:rPr>
                <w:rFonts w:ascii="Rockwell" w:hAnsi="Rockwell"/>
                <w:color w:val="000000"/>
                <w:szCs w:val="26"/>
              </w:rPr>
              <w:t xml:space="preserve">4 </w:t>
            </w:r>
            <w:proofErr w:type="gramStart"/>
            <w:r>
              <w:rPr>
                <w:rFonts w:ascii="Rockwell" w:hAnsi="Rockwell"/>
                <w:color w:val="000000"/>
                <w:szCs w:val="26"/>
              </w:rPr>
              <w:t>et  2</w:t>
            </w:r>
            <w:proofErr w:type="gramEnd"/>
            <w:r>
              <w:rPr>
                <w:rFonts w:ascii="Rockwell" w:hAnsi="Rockwell"/>
                <w:color w:val="000000"/>
                <w:szCs w:val="26"/>
              </w:rPr>
              <w:t>/7</w:t>
            </w:r>
          </w:p>
        </w:tc>
        <w:tc>
          <w:tcPr>
            <w:tcW w:w="1444" w:type="dxa"/>
            <w:shd w:val="clear" w:color="auto" w:fill="auto"/>
            <w:tcMar>
              <w:top w:w="0" w:type="dxa"/>
              <w:left w:w="108" w:type="dxa"/>
              <w:bottom w:w="0" w:type="dxa"/>
              <w:right w:w="108" w:type="dxa"/>
            </w:tcMar>
            <w:vAlign w:val="center"/>
          </w:tcPr>
          <w:p w14:paraId="5814B035" w14:textId="77777777" w:rsidR="00284822" w:rsidRDefault="00F77BF8">
            <w:pPr>
              <w:spacing w:before="120" w:after="120"/>
              <w:rPr>
                <w:rFonts w:ascii="Rockwell" w:hAnsi="Rockwell"/>
                <w:color w:val="000000"/>
                <w:szCs w:val="26"/>
              </w:rPr>
            </w:pPr>
            <w:r>
              <w:rPr>
                <w:rFonts w:ascii="Rockwell" w:hAnsi="Rockwell"/>
                <w:color w:val="000000"/>
                <w:szCs w:val="26"/>
              </w:rPr>
              <w:t>9,64%</w:t>
            </w:r>
          </w:p>
        </w:tc>
        <w:tc>
          <w:tcPr>
            <w:tcW w:w="1972" w:type="dxa"/>
            <w:shd w:val="clear" w:color="auto" w:fill="auto"/>
            <w:tcMar>
              <w:top w:w="0" w:type="dxa"/>
              <w:left w:w="108" w:type="dxa"/>
              <w:bottom w:w="0" w:type="dxa"/>
              <w:right w:w="108" w:type="dxa"/>
            </w:tcMar>
            <w:vAlign w:val="center"/>
          </w:tcPr>
          <w:p w14:paraId="2CB8B64D" w14:textId="77777777" w:rsidR="00284822" w:rsidRDefault="00F77BF8">
            <w:pPr>
              <w:spacing w:before="120" w:after="120"/>
              <w:rPr>
                <w:rFonts w:ascii="Rockwell" w:hAnsi="Rockwell"/>
                <w:color w:val="000000"/>
                <w:szCs w:val="26"/>
              </w:rPr>
            </w:pPr>
            <w:r>
              <w:rPr>
                <w:rFonts w:ascii="Rockwell" w:hAnsi="Rockwell"/>
                <w:color w:val="000000"/>
                <w:szCs w:val="26"/>
              </w:rPr>
              <w:t>11</w:t>
            </w:r>
          </w:p>
        </w:tc>
        <w:tc>
          <w:tcPr>
            <w:tcW w:w="2124" w:type="dxa"/>
            <w:shd w:val="clear" w:color="auto" w:fill="auto"/>
            <w:tcMar>
              <w:top w:w="0" w:type="dxa"/>
              <w:left w:w="108" w:type="dxa"/>
              <w:bottom w:w="0" w:type="dxa"/>
              <w:right w:w="108" w:type="dxa"/>
            </w:tcMar>
            <w:vAlign w:val="center"/>
          </w:tcPr>
          <w:p w14:paraId="453661AB" w14:textId="77777777" w:rsidR="00284822" w:rsidRDefault="00F77BF8">
            <w:pPr>
              <w:spacing w:before="120" w:after="120"/>
              <w:rPr>
                <w:rFonts w:ascii="Rockwell" w:hAnsi="Rockwell"/>
                <w:color w:val="000000"/>
                <w:szCs w:val="26"/>
              </w:rPr>
            </w:pPr>
            <w:r>
              <w:rPr>
                <w:rFonts w:ascii="Rockwell" w:hAnsi="Rockwell"/>
                <w:color w:val="000000"/>
                <w:szCs w:val="26"/>
              </w:rPr>
              <w:t>12,94%</w:t>
            </w:r>
          </w:p>
        </w:tc>
      </w:tr>
      <w:tr w:rsidR="00284822" w14:paraId="7715715F" w14:textId="77777777">
        <w:trPr>
          <w:trHeight w:val="76"/>
        </w:trPr>
        <w:tc>
          <w:tcPr>
            <w:tcW w:w="1209" w:type="dxa"/>
            <w:shd w:val="clear" w:color="auto" w:fill="auto"/>
            <w:tcMar>
              <w:top w:w="0" w:type="dxa"/>
              <w:left w:w="108" w:type="dxa"/>
              <w:bottom w:w="0" w:type="dxa"/>
              <w:right w:w="108" w:type="dxa"/>
            </w:tcMar>
            <w:vAlign w:val="center"/>
          </w:tcPr>
          <w:p w14:paraId="09A79618" w14:textId="77777777" w:rsidR="00284822" w:rsidRDefault="00F77BF8">
            <w:pPr>
              <w:spacing w:before="120" w:after="120"/>
              <w:rPr>
                <w:rFonts w:ascii="Rockwell" w:hAnsi="Rockwell"/>
                <w:szCs w:val="26"/>
              </w:rPr>
            </w:pPr>
            <w:r>
              <w:rPr>
                <w:rFonts w:ascii="Rockwell" w:hAnsi="Rockwell"/>
                <w:b/>
                <w:bCs/>
                <w:szCs w:val="26"/>
              </w:rPr>
              <w:t>5</w:t>
            </w:r>
            <w:r>
              <w:rPr>
                <w:rFonts w:ascii="Rockwell" w:hAnsi="Rockwell"/>
                <w:b/>
                <w:bCs/>
                <w:szCs w:val="26"/>
                <w:vertAlign w:val="superscript"/>
              </w:rPr>
              <w:t>e</w:t>
            </w:r>
          </w:p>
        </w:tc>
        <w:tc>
          <w:tcPr>
            <w:tcW w:w="2123" w:type="dxa"/>
            <w:shd w:val="clear" w:color="auto" w:fill="auto"/>
            <w:tcMar>
              <w:top w:w="0" w:type="dxa"/>
              <w:left w:w="108" w:type="dxa"/>
              <w:bottom w:w="0" w:type="dxa"/>
              <w:right w:w="108" w:type="dxa"/>
            </w:tcMar>
            <w:vAlign w:val="bottom"/>
          </w:tcPr>
          <w:p w14:paraId="7D35DDAC" w14:textId="77777777" w:rsidR="00284822" w:rsidRDefault="00F77BF8">
            <w:pPr>
              <w:spacing w:before="120" w:after="120"/>
              <w:rPr>
                <w:rFonts w:ascii="Rockwell" w:hAnsi="Rockwell"/>
                <w:b/>
                <w:color w:val="000000"/>
                <w:szCs w:val="26"/>
              </w:rPr>
            </w:pPr>
            <w:r>
              <w:rPr>
                <w:rFonts w:ascii="Rockwell" w:hAnsi="Rockwell"/>
                <w:b/>
                <w:color w:val="000000"/>
                <w:szCs w:val="26"/>
              </w:rPr>
              <w:t>NTD</w:t>
            </w:r>
          </w:p>
        </w:tc>
        <w:tc>
          <w:tcPr>
            <w:tcW w:w="2045" w:type="dxa"/>
            <w:shd w:val="clear" w:color="auto" w:fill="auto"/>
            <w:tcMar>
              <w:top w:w="0" w:type="dxa"/>
              <w:left w:w="108" w:type="dxa"/>
              <w:bottom w:w="0" w:type="dxa"/>
              <w:right w:w="108" w:type="dxa"/>
            </w:tcMar>
            <w:vAlign w:val="center"/>
          </w:tcPr>
          <w:p w14:paraId="16861037" w14:textId="77777777" w:rsidR="00284822" w:rsidRDefault="00F77BF8">
            <w:pPr>
              <w:spacing w:before="120" w:after="120"/>
              <w:rPr>
                <w:rFonts w:ascii="Rockwell" w:hAnsi="Rockwell"/>
                <w:color w:val="000000"/>
                <w:szCs w:val="26"/>
              </w:rPr>
            </w:pPr>
            <w:proofErr w:type="gramStart"/>
            <w:r>
              <w:rPr>
                <w:rFonts w:ascii="Rockwell" w:hAnsi="Rockwell"/>
                <w:color w:val="000000"/>
                <w:szCs w:val="26"/>
              </w:rPr>
              <w:t>2  et</w:t>
            </w:r>
            <w:proofErr w:type="gramEnd"/>
            <w:r>
              <w:rPr>
                <w:rFonts w:ascii="Rockwell" w:hAnsi="Rockwell"/>
                <w:color w:val="000000"/>
                <w:szCs w:val="26"/>
              </w:rPr>
              <w:t xml:space="preserve"> 1/3</w:t>
            </w:r>
          </w:p>
        </w:tc>
        <w:tc>
          <w:tcPr>
            <w:tcW w:w="1444" w:type="dxa"/>
            <w:shd w:val="clear" w:color="auto" w:fill="auto"/>
            <w:tcMar>
              <w:top w:w="0" w:type="dxa"/>
              <w:left w:w="108" w:type="dxa"/>
              <w:bottom w:w="0" w:type="dxa"/>
              <w:right w:w="108" w:type="dxa"/>
            </w:tcMar>
            <w:vAlign w:val="center"/>
          </w:tcPr>
          <w:p w14:paraId="3028C3DB" w14:textId="77777777" w:rsidR="00284822" w:rsidRDefault="00F77BF8">
            <w:pPr>
              <w:spacing w:before="120" w:after="120"/>
              <w:rPr>
                <w:rFonts w:ascii="Rockwell" w:hAnsi="Rockwell"/>
                <w:color w:val="000000"/>
                <w:szCs w:val="26"/>
              </w:rPr>
            </w:pPr>
            <w:r>
              <w:rPr>
                <w:rFonts w:ascii="Rockwell" w:hAnsi="Rockwell"/>
                <w:color w:val="000000"/>
                <w:szCs w:val="26"/>
              </w:rPr>
              <w:t>5,24%</w:t>
            </w:r>
          </w:p>
        </w:tc>
        <w:tc>
          <w:tcPr>
            <w:tcW w:w="1972" w:type="dxa"/>
            <w:shd w:val="clear" w:color="auto" w:fill="auto"/>
            <w:tcMar>
              <w:top w:w="0" w:type="dxa"/>
              <w:left w:w="108" w:type="dxa"/>
              <w:bottom w:w="0" w:type="dxa"/>
              <w:right w:w="108" w:type="dxa"/>
            </w:tcMar>
            <w:vAlign w:val="center"/>
          </w:tcPr>
          <w:p w14:paraId="26EE730A" w14:textId="77777777" w:rsidR="00284822" w:rsidRDefault="00F77BF8">
            <w:pPr>
              <w:spacing w:before="120" w:after="120"/>
              <w:rPr>
                <w:rFonts w:ascii="Rockwell" w:hAnsi="Rockwell"/>
                <w:color w:val="000000"/>
                <w:szCs w:val="26"/>
              </w:rPr>
            </w:pPr>
            <w:r>
              <w:rPr>
                <w:rFonts w:ascii="Rockwell" w:hAnsi="Rockwell"/>
                <w:color w:val="000000"/>
                <w:szCs w:val="26"/>
              </w:rPr>
              <w:t>1</w:t>
            </w:r>
          </w:p>
        </w:tc>
        <w:tc>
          <w:tcPr>
            <w:tcW w:w="2124" w:type="dxa"/>
            <w:shd w:val="clear" w:color="auto" w:fill="auto"/>
            <w:tcMar>
              <w:top w:w="0" w:type="dxa"/>
              <w:left w:w="108" w:type="dxa"/>
              <w:bottom w:w="0" w:type="dxa"/>
              <w:right w:w="108" w:type="dxa"/>
            </w:tcMar>
            <w:vAlign w:val="center"/>
          </w:tcPr>
          <w:p w14:paraId="24C00F3E" w14:textId="77777777" w:rsidR="00284822" w:rsidRDefault="00F77BF8">
            <w:pPr>
              <w:spacing w:before="120" w:after="120"/>
              <w:rPr>
                <w:rFonts w:ascii="Rockwell" w:hAnsi="Rockwell"/>
                <w:color w:val="000000"/>
                <w:szCs w:val="26"/>
              </w:rPr>
            </w:pPr>
            <w:r>
              <w:rPr>
                <w:rFonts w:ascii="Rockwell" w:hAnsi="Rockwell"/>
                <w:color w:val="000000"/>
                <w:szCs w:val="26"/>
              </w:rPr>
              <w:t>1,18%</w:t>
            </w:r>
          </w:p>
        </w:tc>
      </w:tr>
      <w:tr w:rsidR="00284822" w14:paraId="7C4615ED" w14:textId="77777777">
        <w:trPr>
          <w:trHeight w:val="76"/>
        </w:trPr>
        <w:tc>
          <w:tcPr>
            <w:tcW w:w="1209" w:type="dxa"/>
            <w:shd w:val="clear" w:color="auto" w:fill="auto"/>
            <w:tcMar>
              <w:top w:w="0" w:type="dxa"/>
              <w:left w:w="108" w:type="dxa"/>
              <w:bottom w:w="0" w:type="dxa"/>
              <w:right w:w="108" w:type="dxa"/>
            </w:tcMar>
            <w:vAlign w:val="center"/>
          </w:tcPr>
          <w:p w14:paraId="0CAB3E07" w14:textId="77777777" w:rsidR="00284822" w:rsidRDefault="00F77BF8">
            <w:pPr>
              <w:spacing w:before="120" w:after="120"/>
              <w:rPr>
                <w:rFonts w:ascii="Rockwell" w:hAnsi="Rockwell"/>
                <w:szCs w:val="26"/>
              </w:rPr>
            </w:pPr>
            <w:r>
              <w:rPr>
                <w:rFonts w:ascii="Rockwell" w:hAnsi="Rockwell"/>
                <w:b/>
                <w:bCs/>
                <w:szCs w:val="26"/>
              </w:rPr>
              <w:t>6</w:t>
            </w:r>
            <w:r>
              <w:rPr>
                <w:rFonts w:ascii="Rockwell" w:hAnsi="Rockwell"/>
                <w:b/>
                <w:bCs/>
                <w:szCs w:val="26"/>
                <w:vertAlign w:val="superscript"/>
              </w:rPr>
              <w:t>e</w:t>
            </w:r>
          </w:p>
        </w:tc>
        <w:tc>
          <w:tcPr>
            <w:tcW w:w="2123" w:type="dxa"/>
            <w:shd w:val="clear" w:color="auto" w:fill="auto"/>
            <w:tcMar>
              <w:top w:w="0" w:type="dxa"/>
              <w:left w:w="108" w:type="dxa"/>
              <w:bottom w:w="0" w:type="dxa"/>
              <w:right w:w="108" w:type="dxa"/>
            </w:tcMar>
            <w:vAlign w:val="bottom"/>
          </w:tcPr>
          <w:p w14:paraId="20775768" w14:textId="77777777" w:rsidR="00284822" w:rsidRDefault="00F77BF8">
            <w:pPr>
              <w:spacing w:before="120" w:after="120"/>
              <w:rPr>
                <w:rFonts w:ascii="Rockwell" w:hAnsi="Rockwell"/>
                <w:b/>
                <w:color w:val="000000"/>
                <w:szCs w:val="26"/>
              </w:rPr>
            </w:pPr>
            <w:r>
              <w:rPr>
                <w:rFonts w:ascii="Rockwell" w:hAnsi="Rockwell"/>
                <w:b/>
                <w:color w:val="000000"/>
                <w:szCs w:val="26"/>
              </w:rPr>
              <w:t>RPI</w:t>
            </w:r>
          </w:p>
        </w:tc>
        <w:tc>
          <w:tcPr>
            <w:tcW w:w="2045" w:type="dxa"/>
            <w:shd w:val="clear" w:color="auto" w:fill="auto"/>
            <w:tcMar>
              <w:top w:w="0" w:type="dxa"/>
              <w:left w:w="108" w:type="dxa"/>
              <w:bottom w:w="0" w:type="dxa"/>
              <w:right w:w="108" w:type="dxa"/>
            </w:tcMar>
            <w:vAlign w:val="center"/>
          </w:tcPr>
          <w:p w14:paraId="1D60E17D" w14:textId="77777777" w:rsidR="00284822" w:rsidRDefault="00F77BF8">
            <w:pPr>
              <w:spacing w:before="120" w:after="120"/>
              <w:rPr>
                <w:rFonts w:ascii="Rockwell" w:hAnsi="Rockwell"/>
                <w:color w:val="000000"/>
                <w:szCs w:val="26"/>
              </w:rPr>
            </w:pPr>
            <w:r>
              <w:rPr>
                <w:rFonts w:ascii="Rockwell" w:hAnsi="Rockwell"/>
                <w:color w:val="000000"/>
                <w:szCs w:val="26"/>
              </w:rPr>
              <w:t>2 et 1/6</w:t>
            </w:r>
          </w:p>
        </w:tc>
        <w:tc>
          <w:tcPr>
            <w:tcW w:w="1444" w:type="dxa"/>
            <w:shd w:val="clear" w:color="auto" w:fill="auto"/>
            <w:tcMar>
              <w:top w:w="0" w:type="dxa"/>
              <w:left w:w="108" w:type="dxa"/>
              <w:bottom w:w="0" w:type="dxa"/>
              <w:right w:w="108" w:type="dxa"/>
            </w:tcMar>
            <w:vAlign w:val="center"/>
          </w:tcPr>
          <w:p w14:paraId="28B72E6F" w14:textId="77777777" w:rsidR="00284822" w:rsidRDefault="00F77BF8">
            <w:pPr>
              <w:spacing w:before="120" w:after="120"/>
              <w:rPr>
                <w:rFonts w:ascii="Rockwell" w:hAnsi="Rockwell"/>
                <w:color w:val="000000"/>
                <w:szCs w:val="26"/>
              </w:rPr>
            </w:pPr>
            <w:r>
              <w:rPr>
                <w:rFonts w:ascii="Rockwell" w:hAnsi="Rockwell"/>
                <w:color w:val="000000"/>
                <w:szCs w:val="26"/>
              </w:rPr>
              <w:t>4,87%</w:t>
            </w:r>
          </w:p>
        </w:tc>
        <w:tc>
          <w:tcPr>
            <w:tcW w:w="1972" w:type="dxa"/>
            <w:shd w:val="clear" w:color="auto" w:fill="auto"/>
            <w:tcMar>
              <w:top w:w="0" w:type="dxa"/>
              <w:left w:w="108" w:type="dxa"/>
              <w:bottom w:w="0" w:type="dxa"/>
              <w:right w:w="108" w:type="dxa"/>
            </w:tcMar>
            <w:vAlign w:val="center"/>
          </w:tcPr>
          <w:p w14:paraId="167D30BE" w14:textId="77777777" w:rsidR="00284822" w:rsidRDefault="00F77BF8">
            <w:pPr>
              <w:spacing w:before="120" w:after="120"/>
              <w:rPr>
                <w:rFonts w:ascii="Rockwell" w:hAnsi="Rockwell"/>
                <w:color w:val="000000"/>
                <w:szCs w:val="26"/>
              </w:rPr>
            </w:pPr>
            <w:r>
              <w:rPr>
                <w:rFonts w:ascii="Rockwell" w:hAnsi="Rockwell"/>
                <w:color w:val="000000"/>
                <w:szCs w:val="26"/>
              </w:rPr>
              <w:t>5</w:t>
            </w:r>
          </w:p>
        </w:tc>
        <w:tc>
          <w:tcPr>
            <w:tcW w:w="2124" w:type="dxa"/>
            <w:shd w:val="clear" w:color="auto" w:fill="auto"/>
            <w:tcMar>
              <w:top w:w="0" w:type="dxa"/>
              <w:left w:w="108" w:type="dxa"/>
              <w:bottom w:w="0" w:type="dxa"/>
              <w:right w:w="108" w:type="dxa"/>
            </w:tcMar>
            <w:vAlign w:val="center"/>
          </w:tcPr>
          <w:p w14:paraId="5BC3A963" w14:textId="77777777" w:rsidR="00284822" w:rsidRDefault="00F77BF8">
            <w:pPr>
              <w:spacing w:before="120" w:after="120"/>
              <w:rPr>
                <w:rFonts w:ascii="Rockwell" w:hAnsi="Rockwell"/>
                <w:color w:val="000000"/>
                <w:szCs w:val="26"/>
              </w:rPr>
            </w:pPr>
            <w:r>
              <w:rPr>
                <w:rFonts w:ascii="Rockwell" w:hAnsi="Rockwell"/>
                <w:color w:val="000000"/>
                <w:szCs w:val="26"/>
              </w:rPr>
              <w:t>5,88%</w:t>
            </w:r>
          </w:p>
        </w:tc>
      </w:tr>
      <w:tr w:rsidR="00284822" w14:paraId="42DF515B" w14:textId="77777777">
        <w:trPr>
          <w:trHeight w:val="76"/>
        </w:trPr>
        <w:tc>
          <w:tcPr>
            <w:tcW w:w="1209" w:type="dxa"/>
            <w:shd w:val="clear" w:color="auto" w:fill="auto"/>
            <w:tcMar>
              <w:top w:w="0" w:type="dxa"/>
              <w:left w:w="108" w:type="dxa"/>
              <w:bottom w:w="0" w:type="dxa"/>
              <w:right w:w="108" w:type="dxa"/>
            </w:tcMar>
            <w:vAlign w:val="center"/>
          </w:tcPr>
          <w:p w14:paraId="27C41292" w14:textId="77777777" w:rsidR="00284822" w:rsidRDefault="00F77BF8">
            <w:pPr>
              <w:spacing w:before="120" w:after="120"/>
              <w:rPr>
                <w:rFonts w:ascii="Rockwell" w:hAnsi="Rockwell"/>
                <w:szCs w:val="26"/>
              </w:rPr>
            </w:pPr>
            <w:r>
              <w:rPr>
                <w:rFonts w:ascii="Rockwell" w:hAnsi="Rockwell"/>
                <w:b/>
                <w:bCs/>
                <w:szCs w:val="26"/>
              </w:rPr>
              <w:t>7</w:t>
            </w:r>
            <w:r>
              <w:rPr>
                <w:rFonts w:ascii="Rockwell" w:hAnsi="Rockwell"/>
                <w:b/>
                <w:bCs/>
                <w:szCs w:val="26"/>
                <w:vertAlign w:val="superscript"/>
              </w:rPr>
              <w:t xml:space="preserve">e </w:t>
            </w:r>
          </w:p>
        </w:tc>
        <w:tc>
          <w:tcPr>
            <w:tcW w:w="2123" w:type="dxa"/>
            <w:shd w:val="clear" w:color="auto" w:fill="auto"/>
            <w:tcMar>
              <w:top w:w="0" w:type="dxa"/>
              <w:left w:w="108" w:type="dxa"/>
              <w:bottom w:w="0" w:type="dxa"/>
              <w:right w:w="108" w:type="dxa"/>
            </w:tcMar>
            <w:vAlign w:val="bottom"/>
          </w:tcPr>
          <w:p w14:paraId="28092D0D" w14:textId="77777777" w:rsidR="00284822" w:rsidRDefault="00F77BF8">
            <w:pPr>
              <w:spacing w:before="120" w:after="120"/>
              <w:rPr>
                <w:rFonts w:ascii="Rockwell" w:hAnsi="Rockwell"/>
                <w:b/>
                <w:color w:val="000000"/>
                <w:szCs w:val="26"/>
              </w:rPr>
            </w:pPr>
            <w:r>
              <w:rPr>
                <w:rFonts w:ascii="Rockwell" w:hAnsi="Rockwell"/>
                <w:b/>
                <w:color w:val="000000"/>
                <w:szCs w:val="26"/>
              </w:rPr>
              <w:t>UNDD</w:t>
            </w:r>
          </w:p>
        </w:tc>
        <w:tc>
          <w:tcPr>
            <w:tcW w:w="2045" w:type="dxa"/>
            <w:shd w:val="clear" w:color="auto" w:fill="auto"/>
            <w:tcMar>
              <w:top w:w="0" w:type="dxa"/>
              <w:left w:w="108" w:type="dxa"/>
              <w:bottom w:w="0" w:type="dxa"/>
              <w:right w:w="108" w:type="dxa"/>
            </w:tcMar>
            <w:vAlign w:val="center"/>
          </w:tcPr>
          <w:p w14:paraId="0312268A" w14:textId="77777777" w:rsidR="00284822" w:rsidRDefault="00F77BF8">
            <w:pPr>
              <w:spacing w:before="120" w:after="120"/>
              <w:rPr>
                <w:rFonts w:ascii="Rockwell" w:hAnsi="Rockwell"/>
                <w:color w:val="000000"/>
                <w:szCs w:val="26"/>
              </w:rPr>
            </w:pPr>
            <w:r>
              <w:rPr>
                <w:rFonts w:ascii="Rockwell" w:hAnsi="Rockwell"/>
                <w:color w:val="000000"/>
                <w:szCs w:val="26"/>
              </w:rPr>
              <w:t>1 et 1/2</w:t>
            </w:r>
          </w:p>
        </w:tc>
        <w:tc>
          <w:tcPr>
            <w:tcW w:w="1444" w:type="dxa"/>
            <w:shd w:val="clear" w:color="auto" w:fill="auto"/>
            <w:tcMar>
              <w:top w:w="0" w:type="dxa"/>
              <w:left w:w="108" w:type="dxa"/>
              <w:bottom w:w="0" w:type="dxa"/>
              <w:right w:w="108" w:type="dxa"/>
            </w:tcMar>
            <w:vAlign w:val="center"/>
          </w:tcPr>
          <w:p w14:paraId="6A5D354D" w14:textId="77777777" w:rsidR="00284822" w:rsidRDefault="00F77BF8">
            <w:pPr>
              <w:spacing w:before="120" w:after="120"/>
              <w:rPr>
                <w:rFonts w:ascii="Rockwell" w:hAnsi="Rockwell"/>
                <w:color w:val="000000"/>
                <w:szCs w:val="26"/>
              </w:rPr>
            </w:pPr>
            <w:r>
              <w:rPr>
                <w:rFonts w:ascii="Rockwell" w:hAnsi="Rockwell"/>
                <w:color w:val="000000"/>
                <w:szCs w:val="26"/>
              </w:rPr>
              <w:t>3,37%</w:t>
            </w:r>
          </w:p>
        </w:tc>
        <w:tc>
          <w:tcPr>
            <w:tcW w:w="1972" w:type="dxa"/>
            <w:shd w:val="clear" w:color="auto" w:fill="auto"/>
            <w:tcMar>
              <w:top w:w="0" w:type="dxa"/>
              <w:left w:w="108" w:type="dxa"/>
              <w:bottom w:w="0" w:type="dxa"/>
              <w:right w:w="108" w:type="dxa"/>
            </w:tcMar>
            <w:vAlign w:val="center"/>
          </w:tcPr>
          <w:p w14:paraId="14D2BB85" w14:textId="77777777" w:rsidR="00284822" w:rsidRDefault="00F77BF8">
            <w:pPr>
              <w:spacing w:before="120" w:after="120"/>
              <w:rPr>
                <w:rFonts w:ascii="Rockwell" w:hAnsi="Rockwell"/>
                <w:color w:val="000000"/>
                <w:szCs w:val="26"/>
              </w:rPr>
            </w:pPr>
            <w:r>
              <w:rPr>
                <w:rFonts w:ascii="Rockwell" w:hAnsi="Rockwell"/>
                <w:color w:val="000000"/>
                <w:szCs w:val="26"/>
              </w:rPr>
              <w:t>3</w:t>
            </w:r>
          </w:p>
        </w:tc>
        <w:tc>
          <w:tcPr>
            <w:tcW w:w="2124" w:type="dxa"/>
            <w:shd w:val="clear" w:color="auto" w:fill="auto"/>
            <w:tcMar>
              <w:top w:w="0" w:type="dxa"/>
              <w:left w:w="108" w:type="dxa"/>
              <w:bottom w:w="0" w:type="dxa"/>
              <w:right w:w="108" w:type="dxa"/>
            </w:tcMar>
            <w:vAlign w:val="center"/>
          </w:tcPr>
          <w:p w14:paraId="7370A10C" w14:textId="77777777" w:rsidR="00284822" w:rsidRDefault="00F77BF8">
            <w:pPr>
              <w:spacing w:before="120" w:after="120"/>
              <w:rPr>
                <w:rFonts w:ascii="Rockwell" w:hAnsi="Rockwell"/>
                <w:color w:val="000000"/>
                <w:szCs w:val="26"/>
              </w:rPr>
            </w:pPr>
            <w:r>
              <w:rPr>
                <w:rFonts w:ascii="Rockwell" w:hAnsi="Rockwell"/>
                <w:color w:val="000000"/>
                <w:szCs w:val="26"/>
              </w:rPr>
              <w:t>3,53%</w:t>
            </w:r>
          </w:p>
        </w:tc>
      </w:tr>
      <w:tr w:rsidR="00284822" w14:paraId="0F67A661" w14:textId="77777777">
        <w:trPr>
          <w:trHeight w:val="76"/>
        </w:trPr>
        <w:tc>
          <w:tcPr>
            <w:tcW w:w="1209" w:type="dxa"/>
            <w:shd w:val="clear" w:color="auto" w:fill="auto"/>
            <w:tcMar>
              <w:top w:w="0" w:type="dxa"/>
              <w:left w:w="108" w:type="dxa"/>
              <w:bottom w:w="0" w:type="dxa"/>
              <w:right w:w="108" w:type="dxa"/>
            </w:tcMar>
            <w:vAlign w:val="center"/>
          </w:tcPr>
          <w:p w14:paraId="0C40DD9D" w14:textId="77777777" w:rsidR="00284822" w:rsidRDefault="00F77BF8">
            <w:pPr>
              <w:spacing w:before="120" w:after="120"/>
              <w:rPr>
                <w:rFonts w:ascii="Rockwell" w:hAnsi="Rockwell"/>
                <w:szCs w:val="26"/>
              </w:rPr>
            </w:pPr>
            <w:r>
              <w:rPr>
                <w:rFonts w:ascii="Rockwell" w:hAnsi="Rockwell"/>
                <w:b/>
                <w:bCs/>
                <w:szCs w:val="26"/>
              </w:rPr>
              <w:t>7</w:t>
            </w:r>
            <w:r>
              <w:rPr>
                <w:rFonts w:ascii="Rockwell" w:hAnsi="Rockwell"/>
                <w:b/>
                <w:bCs/>
                <w:szCs w:val="26"/>
                <w:vertAlign w:val="superscript"/>
              </w:rPr>
              <w:t>e</w:t>
            </w:r>
            <w:r>
              <w:rPr>
                <w:rFonts w:ascii="Rockwell" w:hAnsi="Rockwell"/>
                <w:b/>
                <w:bCs/>
                <w:szCs w:val="26"/>
              </w:rPr>
              <w:t xml:space="preserve"> ex</w:t>
            </w:r>
          </w:p>
        </w:tc>
        <w:tc>
          <w:tcPr>
            <w:tcW w:w="2123" w:type="dxa"/>
            <w:shd w:val="clear" w:color="auto" w:fill="auto"/>
            <w:tcMar>
              <w:top w:w="0" w:type="dxa"/>
              <w:left w:w="108" w:type="dxa"/>
              <w:bottom w:w="0" w:type="dxa"/>
              <w:right w:w="108" w:type="dxa"/>
            </w:tcMar>
            <w:vAlign w:val="bottom"/>
          </w:tcPr>
          <w:p w14:paraId="2F828370" w14:textId="77777777" w:rsidR="00284822" w:rsidRDefault="00F77BF8">
            <w:pPr>
              <w:spacing w:before="120" w:after="120"/>
              <w:rPr>
                <w:rFonts w:ascii="Rockwell" w:hAnsi="Rockwell"/>
                <w:b/>
                <w:color w:val="000000"/>
                <w:szCs w:val="26"/>
              </w:rPr>
            </w:pPr>
            <w:r>
              <w:rPr>
                <w:rFonts w:ascii="Rockwell" w:hAnsi="Rockwell"/>
                <w:b/>
                <w:color w:val="000000"/>
                <w:szCs w:val="26"/>
              </w:rPr>
              <w:t>UPC</w:t>
            </w:r>
          </w:p>
        </w:tc>
        <w:tc>
          <w:tcPr>
            <w:tcW w:w="2045" w:type="dxa"/>
            <w:shd w:val="clear" w:color="auto" w:fill="auto"/>
            <w:tcMar>
              <w:top w:w="0" w:type="dxa"/>
              <w:left w:w="108" w:type="dxa"/>
              <w:bottom w:w="0" w:type="dxa"/>
              <w:right w:w="108" w:type="dxa"/>
            </w:tcMar>
            <w:vAlign w:val="center"/>
          </w:tcPr>
          <w:p w14:paraId="3CF92A64" w14:textId="77777777" w:rsidR="00284822" w:rsidRDefault="00F77BF8">
            <w:pPr>
              <w:spacing w:before="120" w:after="120"/>
              <w:rPr>
                <w:rFonts w:ascii="Rockwell" w:hAnsi="Rockwell"/>
                <w:color w:val="000000"/>
                <w:szCs w:val="26"/>
              </w:rPr>
            </w:pPr>
            <w:r>
              <w:rPr>
                <w:rFonts w:ascii="Rockwell" w:hAnsi="Rockwell"/>
                <w:color w:val="000000"/>
                <w:szCs w:val="26"/>
              </w:rPr>
              <w:t>1 et 1/2</w:t>
            </w:r>
          </w:p>
        </w:tc>
        <w:tc>
          <w:tcPr>
            <w:tcW w:w="1444" w:type="dxa"/>
            <w:shd w:val="clear" w:color="auto" w:fill="auto"/>
            <w:tcMar>
              <w:top w:w="0" w:type="dxa"/>
              <w:left w:w="108" w:type="dxa"/>
              <w:bottom w:w="0" w:type="dxa"/>
              <w:right w:w="108" w:type="dxa"/>
            </w:tcMar>
            <w:vAlign w:val="center"/>
          </w:tcPr>
          <w:p w14:paraId="3DDC1BD7" w14:textId="77777777" w:rsidR="00284822" w:rsidRDefault="00F77BF8">
            <w:pPr>
              <w:spacing w:before="120" w:after="120"/>
              <w:rPr>
                <w:rFonts w:ascii="Rockwell" w:hAnsi="Rockwell"/>
                <w:color w:val="000000"/>
                <w:szCs w:val="26"/>
              </w:rPr>
            </w:pPr>
            <w:r>
              <w:rPr>
                <w:rFonts w:ascii="Rockwell" w:hAnsi="Rockwell"/>
                <w:color w:val="000000"/>
                <w:szCs w:val="26"/>
              </w:rPr>
              <w:t>3,37%</w:t>
            </w:r>
          </w:p>
        </w:tc>
        <w:tc>
          <w:tcPr>
            <w:tcW w:w="1972" w:type="dxa"/>
            <w:shd w:val="clear" w:color="auto" w:fill="auto"/>
            <w:tcMar>
              <w:top w:w="0" w:type="dxa"/>
              <w:left w:w="108" w:type="dxa"/>
              <w:bottom w:w="0" w:type="dxa"/>
              <w:right w:w="108" w:type="dxa"/>
            </w:tcMar>
            <w:vAlign w:val="center"/>
          </w:tcPr>
          <w:p w14:paraId="4024D4F5" w14:textId="77777777" w:rsidR="00284822" w:rsidRDefault="00F77BF8">
            <w:pPr>
              <w:spacing w:before="120" w:after="120"/>
              <w:rPr>
                <w:rFonts w:ascii="Rockwell" w:hAnsi="Rockwell"/>
                <w:color w:val="000000"/>
                <w:szCs w:val="26"/>
              </w:rPr>
            </w:pPr>
            <w:r>
              <w:rPr>
                <w:rFonts w:ascii="Rockwell" w:hAnsi="Rockwell"/>
                <w:color w:val="000000"/>
                <w:szCs w:val="26"/>
              </w:rPr>
              <w:t>3</w:t>
            </w:r>
          </w:p>
        </w:tc>
        <w:tc>
          <w:tcPr>
            <w:tcW w:w="2124" w:type="dxa"/>
            <w:shd w:val="clear" w:color="auto" w:fill="auto"/>
            <w:tcMar>
              <w:top w:w="0" w:type="dxa"/>
              <w:left w:w="108" w:type="dxa"/>
              <w:bottom w:w="0" w:type="dxa"/>
              <w:right w:w="108" w:type="dxa"/>
            </w:tcMar>
            <w:vAlign w:val="center"/>
          </w:tcPr>
          <w:p w14:paraId="600A8A47" w14:textId="77777777" w:rsidR="00284822" w:rsidRDefault="00F77BF8">
            <w:pPr>
              <w:spacing w:before="120" w:after="120"/>
              <w:rPr>
                <w:rFonts w:ascii="Rockwell" w:hAnsi="Rockwell"/>
                <w:color w:val="000000"/>
                <w:szCs w:val="26"/>
              </w:rPr>
            </w:pPr>
            <w:r>
              <w:rPr>
                <w:rFonts w:ascii="Rockwell" w:hAnsi="Rockwell"/>
                <w:color w:val="000000"/>
                <w:szCs w:val="26"/>
              </w:rPr>
              <w:t>3,53%</w:t>
            </w:r>
          </w:p>
        </w:tc>
      </w:tr>
      <w:tr w:rsidR="00284822" w14:paraId="33151912" w14:textId="77777777">
        <w:trPr>
          <w:trHeight w:val="76"/>
        </w:trPr>
        <w:tc>
          <w:tcPr>
            <w:tcW w:w="1209" w:type="dxa"/>
            <w:shd w:val="clear" w:color="auto" w:fill="auto"/>
            <w:tcMar>
              <w:top w:w="0" w:type="dxa"/>
              <w:left w:w="108" w:type="dxa"/>
              <w:bottom w:w="0" w:type="dxa"/>
              <w:right w:w="108" w:type="dxa"/>
            </w:tcMar>
            <w:vAlign w:val="center"/>
          </w:tcPr>
          <w:p w14:paraId="16668FE3" w14:textId="77777777" w:rsidR="00284822" w:rsidRDefault="00F77BF8">
            <w:pPr>
              <w:spacing w:before="120" w:after="120"/>
              <w:rPr>
                <w:rFonts w:ascii="Rockwell" w:hAnsi="Rockwell"/>
                <w:color w:val="000000" w:themeColor="text1"/>
                <w:szCs w:val="26"/>
              </w:rPr>
            </w:pPr>
            <w:r>
              <w:rPr>
                <w:rFonts w:ascii="Rockwell" w:hAnsi="Rockwell"/>
                <w:b/>
                <w:bCs/>
                <w:color w:val="000000" w:themeColor="text1"/>
                <w:szCs w:val="26"/>
              </w:rPr>
              <w:t>9</w:t>
            </w:r>
            <w:r>
              <w:rPr>
                <w:rFonts w:ascii="Rockwell" w:hAnsi="Rockwell"/>
                <w:b/>
                <w:bCs/>
                <w:color w:val="000000" w:themeColor="text1"/>
                <w:szCs w:val="26"/>
                <w:vertAlign w:val="superscript"/>
              </w:rPr>
              <w:t>e</w:t>
            </w:r>
          </w:p>
        </w:tc>
        <w:tc>
          <w:tcPr>
            <w:tcW w:w="2123" w:type="dxa"/>
            <w:shd w:val="clear" w:color="auto" w:fill="auto"/>
            <w:tcMar>
              <w:top w:w="0" w:type="dxa"/>
              <w:left w:w="108" w:type="dxa"/>
              <w:bottom w:w="0" w:type="dxa"/>
              <w:right w:w="108" w:type="dxa"/>
            </w:tcMar>
            <w:vAlign w:val="bottom"/>
          </w:tcPr>
          <w:p w14:paraId="77AAB73A" w14:textId="77777777" w:rsidR="00284822" w:rsidRDefault="00F77BF8">
            <w:pPr>
              <w:spacing w:before="120" w:after="120"/>
              <w:rPr>
                <w:rFonts w:ascii="Rockwell" w:hAnsi="Rockwell"/>
                <w:b/>
                <w:color w:val="000000" w:themeColor="text1"/>
                <w:szCs w:val="26"/>
              </w:rPr>
            </w:pPr>
            <w:r>
              <w:rPr>
                <w:rFonts w:ascii="Rockwell" w:hAnsi="Rockwell"/>
                <w:b/>
                <w:color w:val="000000" w:themeColor="text1"/>
                <w:szCs w:val="26"/>
              </w:rPr>
              <w:t xml:space="preserve">PDIS LAAFIA </w:t>
            </w:r>
          </w:p>
        </w:tc>
        <w:tc>
          <w:tcPr>
            <w:tcW w:w="2045" w:type="dxa"/>
            <w:shd w:val="clear" w:color="auto" w:fill="auto"/>
            <w:tcMar>
              <w:top w:w="0" w:type="dxa"/>
              <w:left w:w="108" w:type="dxa"/>
              <w:bottom w:w="0" w:type="dxa"/>
              <w:right w:w="108" w:type="dxa"/>
            </w:tcMar>
            <w:vAlign w:val="center"/>
          </w:tcPr>
          <w:p w14:paraId="6B441C03" w14:textId="77777777" w:rsidR="00284822" w:rsidRDefault="00F77BF8">
            <w:pPr>
              <w:spacing w:before="120" w:after="120"/>
              <w:rPr>
                <w:rFonts w:ascii="Rockwell" w:hAnsi="Rockwell"/>
                <w:color w:val="000000"/>
                <w:szCs w:val="26"/>
              </w:rPr>
            </w:pPr>
            <w:r>
              <w:rPr>
                <w:rFonts w:ascii="Rockwell" w:hAnsi="Rockwell"/>
                <w:color w:val="000000"/>
                <w:szCs w:val="26"/>
              </w:rPr>
              <w:t>1 et 1/4</w:t>
            </w:r>
          </w:p>
        </w:tc>
        <w:tc>
          <w:tcPr>
            <w:tcW w:w="1444" w:type="dxa"/>
            <w:shd w:val="clear" w:color="auto" w:fill="auto"/>
            <w:tcMar>
              <w:top w:w="0" w:type="dxa"/>
              <w:left w:w="108" w:type="dxa"/>
              <w:bottom w:w="0" w:type="dxa"/>
              <w:right w:w="108" w:type="dxa"/>
            </w:tcMar>
            <w:vAlign w:val="center"/>
          </w:tcPr>
          <w:p w14:paraId="2EF38751" w14:textId="77777777" w:rsidR="00284822" w:rsidRDefault="00F77BF8">
            <w:pPr>
              <w:spacing w:before="120" w:after="120"/>
              <w:rPr>
                <w:rFonts w:ascii="Rockwell" w:hAnsi="Rockwell"/>
                <w:color w:val="000000"/>
                <w:szCs w:val="26"/>
              </w:rPr>
            </w:pPr>
            <w:r>
              <w:rPr>
                <w:rFonts w:ascii="Rockwell" w:hAnsi="Rockwell"/>
                <w:color w:val="000000"/>
                <w:szCs w:val="26"/>
              </w:rPr>
              <w:t>2,81%</w:t>
            </w:r>
          </w:p>
        </w:tc>
        <w:tc>
          <w:tcPr>
            <w:tcW w:w="1972" w:type="dxa"/>
            <w:shd w:val="clear" w:color="auto" w:fill="auto"/>
            <w:tcMar>
              <w:top w:w="0" w:type="dxa"/>
              <w:left w:w="108" w:type="dxa"/>
              <w:bottom w:w="0" w:type="dxa"/>
              <w:right w:w="108" w:type="dxa"/>
            </w:tcMar>
            <w:vAlign w:val="center"/>
          </w:tcPr>
          <w:p w14:paraId="4F9AFB60" w14:textId="77777777" w:rsidR="00284822" w:rsidRDefault="00F77BF8">
            <w:pPr>
              <w:spacing w:before="120" w:after="120"/>
              <w:rPr>
                <w:rFonts w:ascii="Rockwell" w:hAnsi="Rockwell"/>
                <w:color w:val="000000"/>
                <w:szCs w:val="26"/>
              </w:rPr>
            </w:pPr>
            <w:r>
              <w:rPr>
                <w:rFonts w:ascii="Rockwell" w:hAnsi="Rockwell"/>
                <w:color w:val="000000"/>
                <w:szCs w:val="26"/>
              </w:rPr>
              <w:t>2</w:t>
            </w:r>
          </w:p>
        </w:tc>
        <w:tc>
          <w:tcPr>
            <w:tcW w:w="2124" w:type="dxa"/>
            <w:shd w:val="clear" w:color="auto" w:fill="auto"/>
            <w:tcMar>
              <w:top w:w="0" w:type="dxa"/>
              <w:left w:w="108" w:type="dxa"/>
              <w:bottom w:w="0" w:type="dxa"/>
              <w:right w:w="108" w:type="dxa"/>
            </w:tcMar>
            <w:vAlign w:val="center"/>
          </w:tcPr>
          <w:p w14:paraId="07AA809F" w14:textId="77777777" w:rsidR="00284822" w:rsidRDefault="00F77BF8">
            <w:pPr>
              <w:spacing w:before="120" w:after="120"/>
              <w:rPr>
                <w:rFonts w:ascii="Rockwell" w:hAnsi="Rockwell"/>
                <w:color w:val="000000"/>
                <w:szCs w:val="26"/>
              </w:rPr>
            </w:pPr>
            <w:r>
              <w:rPr>
                <w:rFonts w:ascii="Rockwell" w:hAnsi="Rockwell"/>
                <w:color w:val="000000"/>
                <w:szCs w:val="26"/>
              </w:rPr>
              <w:t>2,35%</w:t>
            </w:r>
          </w:p>
        </w:tc>
      </w:tr>
      <w:tr w:rsidR="00284822" w14:paraId="33F85C1C" w14:textId="77777777">
        <w:trPr>
          <w:trHeight w:val="76"/>
        </w:trPr>
        <w:tc>
          <w:tcPr>
            <w:tcW w:w="1209" w:type="dxa"/>
            <w:shd w:val="clear" w:color="auto" w:fill="auto"/>
            <w:tcMar>
              <w:top w:w="0" w:type="dxa"/>
              <w:left w:w="108" w:type="dxa"/>
              <w:bottom w:w="0" w:type="dxa"/>
              <w:right w:w="108" w:type="dxa"/>
            </w:tcMar>
            <w:vAlign w:val="center"/>
          </w:tcPr>
          <w:p w14:paraId="4B6FA20D" w14:textId="77777777" w:rsidR="00284822" w:rsidRDefault="00F77BF8">
            <w:pPr>
              <w:spacing w:before="120" w:after="120"/>
              <w:rPr>
                <w:rFonts w:ascii="Rockwell" w:hAnsi="Rockwell"/>
                <w:szCs w:val="26"/>
              </w:rPr>
            </w:pPr>
            <w:r>
              <w:rPr>
                <w:rFonts w:ascii="Rockwell" w:hAnsi="Rockwell"/>
                <w:b/>
                <w:bCs/>
                <w:szCs w:val="26"/>
              </w:rPr>
              <w:t>10</w:t>
            </w:r>
            <w:r>
              <w:rPr>
                <w:rFonts w:ascii="Rockwell" w:hAnsi="Rockwell"/>
                <w:b/>
                <w:bCs/>
                <w:szCs w:val="26"/>
                <w:vertAlign w:val="superscript"/>
              </w:rPr>
              <w:t>e</w:t>
            </w:r>
          </w:p>
        </w:tc>
        <w:tc>
          <w:tcPr>
            <w:tcW w:w="2123" w:type="dxa"/>
            <w:shd w:val="clear" w:color="auto" w:fill="auto"/>
            <w:tcMar>
              <w:top w:w="0" w:type="dxa"/>
              <w:left w:w="108" w:type="dxa"/>
              <w:bottom w:w="0" w:type="dxa"/>
              <w:right w:w="108" w:type="dxa"/>
            </w:tcMar>
            <w:vAlign w:val="bottom"/>
          </w:tcPr>
          <w:p w14:paraId="14A8B6C0" w14:textId="77777777" w:rsidR="00284822" w:rsidRDefault="00F77BF8">
            <w:pPr>
              <w:spacing w:before="120" w:after="120"/>
              <w:rPr>
                <w:rFonts w:ascii="Rockwell" w:hAnsi="Rockwell"/>
                <w:b/>
                <w:color w:val="000000"/>
                <w:szCs w:val="26"/>
              </w:rPr>
            </w:pPr>
            <w:r>
              <w:rPr>
                <w:rFonts w:ascii="Rockwell" w:hAnsi="Rockwell"/>
                <w:b/>
                <w:color w:val="000000"/>
                <w:szCs w:val="26"/>
              </w:rPr>
              <w:t>ADF/RDA</w:t>
            </w:r>
          </w:p>
        </w:tc>
        <w:tc>
          <w:tcPr>
            <w:tcW w:w="2045" w:type="dxa"/>
            <w:shd w:val="clear" w:color="auto" w:fill="auto"/>
            <w:tcMar>
              <w:top w:w="0" w:type="dxa"/>
              <w:left w:w="108" w:type="dxa"/>
              <w:bottom w:w="0" w:type="dxa"/>
              <w:right w:w="108" w:type="dxa"/>
            </w:tcMar>
            <w:vAlign w:val="center"/>
          </w:tcPr>
          <w:p w14:paraId="2777980D" w14:textId="77777777" w:rsidR="00284822" w:rsidRDefault="00F77BF8">
            <w:pPr>
              <w:spacing w:before="120" w:after="120"/>
              <w:rPr>
                <w:rFonts w:ascii="Rockwell" w:hAnsi="Rockwell"/>
                <w:color w:val="000000"/>
                <w:szCs w:val="26"/>
              </w:rPr>
            </w:pPr>
            <w:r>
              <w:rPr>
                <w:rFonts w:ascii="Rockwell" w:hAnsi="Rockwell"/>
                <w:color w:val="000000"/>
                <w:szCs w:val="26"/>
              </w:rPr>
              <w:t>1 et 1/6</w:t>
            </w:r>
          </w:p>
        </w:tc>
        <w:tc>
          <w:tcPr>
            <w:tcW w:w="1444" w:type="dxa"/>
            <w:shd w:val="clear" w:color="auto" w:fill="auto"/>
            <w:tcMar>
              <w:top w:w="0" w:type="dxa"/>
              <w:left w:w="108" w:type="dxa"/>
              <w:bottom w:w="0" w:type="dxa"/>
              <w:right w:w="108" w:type="dxa"/>
            </w:tcMar>
            <w:vAlign w:val="center"/>
          </w:tcPr>
          <w:p w14:paraId="3210FC52" w14:textId="77777777" w:rsidR="00284822" w:rsidRDefault="00F77BF8">
            <w:pPr>
              <w:spacing w:before="120" w:after="120"/>
              <w:rPr>
                <w:rFonts w:ascii="Rockwell" w:hAnsi="Rockwell"/>
                <w:color w:val="000000"/>
                <w:szCs w:val="26"/>
              </w:rPr>
            </w:pPr>
            <w:r>
              <w:rPr>
                <w:rFonts w:ascii="Rockwell" w:hAnsi="Rockwell"/>
                <w:color w:val="000000"/>
                <w:szCs w:val="26"/>
              </w:rPr>
              <w:t>2,62%</w:t>
            </w:r>
          </w:p>
        </w:tc>
        <w:tc>
          <w:tcPr>
            <w:tcW w:w="1972" w:type="dxa"/>
            <w:shd w:val="clear" w:color="auto" w:fill="auto"/>
            <w:tcMar>
              <w:top w:w="0" w:type="dxa"/>
              <w:left w:w="108" w:type="dxa"/>
              <w:bottom w:w="0" w:type="dxa"/>
              <w:right w:w="108" w:type="dxa"/>
            </w:tcMar>
            <w:vAlign w:val="center"/>
          </w:tcPr>
          <w:p w14:paraId="50ACA836" w14:textId="77777777" w:rsidR="00284822" w:rsidRDefault="00F77BF8">
            <w:pPr>
              <w:spacing w:before="120" w:after="120"/>
              <w:rPr>
                <w:rFonts w:ascii="Rockwell" w:hAnsi="Rockwell"/>
                <w:color w:val="000000"/>
                <w:szCs w:val="26"/>
              </w:rPr>
            </w:pPr>
            <w:r>
              <w:rPr>
                <w:rFonts w:ascii="Rockwell" w:hAnsi="Rockwell"/>
                <w:color w:val="000000"/>
                <w:szCs w:val="26"/>
              </w:rPr>
              <w:t>4</w:t>
            </w:r>
          </w:p>
        </w:tc>
        <w:tc>
          <w:tcPr>
            <w:tcW w:w="2124" w:type="dxa"/>
            <w:shd w:val="clear" w:color="auto" w:fill="auto"/>
            <w:tcMar>
              <w:top w:w="0" w:type="dxa"/>
              <w:left w:w="108" w:type="dxa"/>
              <w:bottom w:w="0" w:type="dxa"/>
              <w:right w:w="108" w:type="dxa"/>
            </w:tcMar>
            <w:vAlign w:val="center"/>
          </w:tcPr>
          <w:p w14:paraId="0ABDF1F8" w14:textId="77777777" w:rsidR="00284822" w:rsidRDefault="00F77BF8">
            <w:pPr>
              <w:spacing w:before="120" w:after="120"/>
              <w:rPr>
                <w:rFonts w:ascii="Rockwell" w:hAnsi="Rockwell"/>
                <w:color w:val="000000"/>
                <w:szCs w:val="26"/>
              </w:rPr>
            </w:pPr>
            <w:r>
              <w:rPr>
                <w:rFonts w:ascii="Rockwell" w:hAnsi="Rockwell"/>
                <w:color w:val="000000"/>
                <w:szCs w:val="26"/>
              </w:rPr>
              <w:t>4,71%</w:t>
            </w:r>
          </w:p>
        </w:tc>
      </w:tr>
    </w:tbl>
    <w:p w14:paraId="59F26DAB" w14:textId="77777777" w:rsidR="00284822" w:rsidRDefault="00284822">
      <w:pPr>
        <w:tabs>
          <w:tab w:val="left" w:pos="3330"/>
        </w:tabs>
        <w:spacing w:before="120" w:after="120"/>
        <w:rPr>
          <w:rFonts w:ascii="Rockwell" w:hAnsi="Rockwell"/>
          <w:b/>
          <w:szCs w:val="26"/>
        </w:rPr>
      </w:pPr>
    </w:p>
    <w:p w14:paraId="48BCEBEF" w14:textId="77777777" w:rsidR="00284822" w:rsidRDefault="00284822">
      <w:pPr>
        <w:tabs>
          <w:tab w:val="left" w:pos="3330"/>
        </w:tabs>
        <w:spacing w:before="120" w:after="120"/>
        <w:rPr>
          <w:rFonts w:ascii="Rockwell" w:hAnsi="Rockwell"/>
          <w:b/>
          <w:szCs w:val="26"/>
        </w:rPr>
        <w:sectPr w:rsidR="00284822">
          <w:pgSz w:w="11906" w:h="16838"/>
          <w:pgMar w:top="1418" w:right="1418" w:bottom="1418" w:left="1418" w:header="720" w:footer="720" w:gutter="0"/>
          <w:cols w:space="720"/>
        </w:sectPr>
      </w:pPr>
    </w:p>
    <w:p w14:paraId="1F16E952" w14:textId="77777777" w:rsidR="00284822" w:rsidRDefault="00F77BF8">
      <w:pPr>
        <w:tabs>
          <w:tab w:val="left" w:pos="3330"/>
        </w:tabs>
        <w:spacing w:before="120" w:after="120"/>
        <w:jc w:val="center"/>
        <w:rPr>
          <w:rFonts w:ascii="Rockwell" w:hAnsi="Rockwell"/>
          <w:sz w:val="20"/>
          <w:szCs w:val="20"/>
        </w:rPr>
      </w:pPr>
      <w:r>
        <w:rPr>
          <w:rFonts w:ascii="Rockwell" w:hAnsi="Rockwell"/>
          <w:i/>
          <w:sz w:val="20"/>
          <w:szCs w:val="20"/>
          <w:u w:val="single"/>
        </w:rPr>
        <w:lastRenderedPageBreak/>
        <w:t>Représentation graphique des NP et des NI obtenus par les dix premiers</w:t>
      </w:r>
    </w:p>
    <w:p w14:paraId="4D01AFAD" w14:textId="77777777" w:rsidR="00284822" w:rsidRDefault="00F77BF8">
      <w:pPr>
        <w:tabs>
          <w:tab w:val="left" w:pos="3330"/>
        </w:tabs>
        <w:spacing w:before="120" w:after="120"/>
        <w:jc w:val="center"/>
        <w:rPr>
          <w:rFonts w:ascii="Rockwell" w:hAnsi="Rockwell"/>
          <w:sz w:val="20"/>
          <w:szCs w:val="20"/>
        </w:rPr>
      </w:pPr>
      <w:proofErr w:type="gramStart"/>
      <w:r>
        <w:rPr>
          <w:rFonts w:ascii="Rockwell" w:hAnsi="Rockwell"/>
          <w:i/>
          <w:sz w:val="20"/>
          <w:szCs w:val="20"/>
          <w:u w:val="single"/>
        </w:rPr>
        <w:t>partis</w:t>
      </w:r>
      <w:proofErr w:type="gramEnd"/>
      <w:r>
        <w:rPr>
          <w:rFonts w:ascii="Rockwell" w:hAnsi="Rockwell"/>
          <w:i/>
          <w:sz w:val="20"/>
          <w:szCs w:val="20"/>
          <w:u w:val="single"/>
        </w:rPr>
        <w:t xml:space="preserve"> politiques dans L’Express du Faso</w:t>
      </w:r>
    </w:p>
    <w:p w14:paraId="54BD653A" w14:textId="77777777" w:rsidR="00284822" w:rsidRDefault="00F77BF8">
      <w:pPr>
        <w:tabs>
          <w:tab w:val="left" w:pos="3330"/>
        </w:tabs>
        <w:spacing w:before="120" w:after="120"/>
        <w:jc w:val="center"/>
        <w:rPr>
          <w:rFonts w:ascii="Rockwell" w:hAnsi="Rockwell"/>
          <w:szCs w:val="26"/>
        </w:rPr>
      </w:pPr>
      <w:r>
        <w:rPr>
          <w:rFonts w:ascii="Rockwell" w:hAnsi="Rockwell"/>
          <w:noProof/>
          <w:szCs w:val="26"/>
        </w:rPr>
        <w:drawing>
          <wp:inline distT="0" distB="0" distL="0" distR="0" wp14:anchorId="74BCA4D3" wp14:editId="040C26DF">
            <wp:extent cx="6000115" cy="3676015"/>
            <wp:effectExtent l="0" t="0" r="635" b="635"/>
            <wp:docPr id="21" name="Graphique 8"/>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00E132B3" w14:textId="77777777" w:rsidR="00284822" w:rsidRDefault="00284822">
      <w:pPr>
        <w:tabs>
          <w:tab w:val="left" w:pos="3330"/>
        </w:tabs>
        <w:spacing w:before="120" w:after="120"/>
        <w:jc w:val="center"/>
        <w:rPr>
          <w:rFonts w:ascii="Rockwell" w:hAnsi="Rockwell"/>
          <w:sz w:val="16"/>
          <w:szCs w:val="16"/>
        </w:rPr>
      </w:pPr>
    </w:p>
    <w:p w14:paraId="5A629B39" w14:textId="77777777" w:rsidR="00284822" w:rsidRDefault="00F77BF8">
      <w:pPr>
        <w:pStyle w:val="Titre5"/>
        <w:numPr>
          <w:ilvl w:val="1"/>
          <w:numId w:val="15"/>
        </w:numPr>
        <w:rPr>
          <w:rFonts w:ascii="Rockwell" w:hAnsi="Rockwell"/>
        </w:rPr>
      </w:pPr>
      <w:bookmarkStart w:id="143" w:name="_Toc175048667"/>
      <w:r>
        <w:rPr>
          <w:rFonts w:ascii="Rockwell" w:hAnsi="Rockwell"/>
        </w:rPr>
        <w:t>Aujourd’hui au Faso</w:t>
      </w:r>
      <w:bookmarkEnd w:id="143"/>
    </w:p>
    <w:p w14:paraId="13E9BB45" w14:textId="77777777" w:rsidR="00284822" w:rsidRDefault="00F77BF8">
      <w:pPr>
        <w:spacing w:before="120" w:after="120"/>
        <w:ind w:left="-142"/>
        <w:rPr>
          <w:rFonts w:ascii="Rockwell" w:hAnsi="Rockwell"/>
          <w:szCs w:val="26"/>
        </w:rPr>
      </w:pPr>
      <w:r>
        <w:rPr>
          <w:rFonts w:ascii="Rockwell" w:hAnsi="Rockwell"/>
          <w:i/>
          <w:szCs w:val="26"/>
        </w:rPr>
        <w:t>Aujourd’hui au Faso</w:t>
      </w:r>
      <w:r>
        <w:rPr>
          <w:rFonts w:ascii="Rockwell" w:hAnsi="Rockwell"/>
          <w:szCs w:val="26"/>
        </w:rPr>
        <w:t xml:space="preserve"> s’est intéressé à l’actualité de 24 partis politiques avec un total de </w:t>
      </w:r>
      <w:r>
        <w:rPr>
          <w:rFonts w:ascii="Rockwell" w:hAnsi="Rockwell"/>
          <w:color w:val="000000"/>
          <w:szCs w:val="26"/>
        </w:rPr>
        <w:t xml:space="preserve">56 </w:t>
      </w:r>
      <w:r>
        <w:rPr>
          <w:rFonts w:ascii="Rockwell" w:hAnsi="Rockwell"/>
          <w:szCs w:val="26"/>
        </w:rPr>
        <w:t xml:space="preserve">pages </w:t>
      </w:r>
      <w:r>
        <w:rPr>
          <w:rFonts w:ascii="Rockwell" w:hAnsi="Rockwell"/>
          <w:color w:val="000000"/>
          <w:szCs w:val="26"/>
        </w:rPr>
        <w:t>1/2</w:t>
      </w:r>
      <w:r>
        <w:rPr>
          <w:rFonts w:ascii="Rockwell" w:hAnsi="Rockwell"/>
          <w:szCs w:val="26"/>
        </w:rPr>
        <w:t xml:space="preserve"> et 89 illustrations. Le rang occupé par les 10 premiers partis politiques cités est le suivant :</w:t>
      </w:r>
    </w:p>
    <w:p w14:paraId="08C1F1AE" w14:textId="77777777" w:rsidR="00284822" w:rsidRDefault="00284822">
      <w:pPr>
        <w:pStyle w:val="Paragraphedeliste"/>
        <w:tabs>
          <w:tab w:val="left" w:pos="3160"/>
        </w:tabs>
        <w:ind w:left="720"/>
        <w:rPr>
          <w:rFonts w:ascii="Rockwell" w:hAnsi="Rockwell"/>
          <w:color w:val="FF0000"/>
        </w:rPr>
      </w:pPr>
    </w:p>
    <w:p w14:paraId="6C6D5DF4" w14:textId="77777777" w:rsidR="00284822" w:rsidRDefault="00F77BF8">
      <w:pPr>
        <w:tabs>
          <w:tab w:val="left" w:pos="3160"/>
        </w:tabs>
        <w:spacing w:before="120" w:after="120"/>
        <w:rPr>
          <w:rFonts w:ascii="Rockwell" w:hAnsi="Rockwell"/>
          <w:szCs w:val="26"/>
        </w:rPr>
        <w:sectPr w:rsidR="00284822">
          <w:pgSz w:w="11906" w:h="16838"/>
          <w:pgMar w:top="1418" w:right="1418" w:bottom="1418" w:left="1418" w:header="720" w:footer="720" w:gutter="0"/>
          <w:cols w:space="720"/>
        </w:sectPr>
      </w:pPr>
      <w:r>
        <w:rPr>
          <w:rFonts w:ascii="Rockwell" w:hAnsi="Rockwell"/>
          <w:szCs w:val="26"/>
        </w:rPr>
        <w:tab/>
      </w:r>
    </w:p>
    <w:p w14:paraId="1630AB7E" w14:textId="77777777" w:rsidR="00284822" w:rsidRDefault="00F77BF8">
      <w:pPr>
        <w:jc w:val="center"/>
        <w:rPr>
          <w:rFonts w:ascii="Rockwell" w:hAnsi="Rockwell"/>
          <w:i/>
          <w:sz w:val="20"/>
          <w:szCs w:val="20"/>
        </w:rPr>
      </w:pPr>
      <w:r>
        <w:rPr>
          <w:rFonts w:ascii="Rockwell" w:hAnsi="Rockwell"/>
          <w:b/>
          <w:sz w:val="20"/>
          <w:szCs w:val="20"/>
          <w:u w:val="single"/>
        </w:rPr>
        <w:lastRenderedPageBreak/>
        <w:t>Tableau 7</w:t>
      </w:r>
      <w:r>
        <w:rPr>
          <w:rFonts w:ascii="Rockwell" w:hAnsi="Rockwell"/>
          <w:sz w:val="20"/>
          <w:szCs w:val="20"/>
        </w:rPr>
        <w:t xml:space="preserve"> : </w:t>
      </w:r>
      <w:r>
        <w:rPr>
          <w:rFonts w:ascii="Rockwell" w:hAnsi="Rockwell"/>
          <w:i/>
          <w:sz w:val="20"/>
          <w:szCs w:val="20"/>
        </w:rPr>
        <w:t>Classement des dix premiers partis politiques selon le NP et le NI publiés dans Aujourd’hui au Faso</w:t>
      </w:r>
    </w:p>
    <w:tbl>
      <w:tblPr>
        <w:tblW w:w="49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28"/>
        <w:gridCol w:w="3501"/>
        <w:gridCol w:w="1831"/>
        <w:gridCol w:w="2272"/>
        <w:gridCol w:w="1947"/>
        <w:gridCol w:w="3277"/>
      </w:tblGrid>
      <w:tr w:rsidR="00284822" w14:paraId="18FFA070" w14:textId="77777777">
        <w:trPr>
          <w:trHeight w:val="660"/>
          <w:jc w:val="center"/>
        </w:trPr>
        <w:tc>
          <w:tcPr>
            <w:tcW w:w="13957" w:type="dxa"/>
            <w:gridSpan w:val="6"/>
            <w:shd w:val="clear" w:color="auto" w:fill="auto"/>
            <w:tcMar>
              <w:top w:w="0" w:type="dxa"/>
              <w:left w:w="108" w:type="dxa"/>
              <w:bottom w:w="0" w:type="dxa"/>
              <w:right w:w="108" w:type="dxa"/>
            </w:tcMar>
          </w:tcPr>
          <w:p w14:paraId="642FCE06" w14:textId="77777777" w:rsidR="00284822" w:rsidRDefault="003148F1">
            <w:pPr>
              <w:spacing w:before="120"/>
              <w:jc w:val="center"/>
              <w:rPr>
                <w:rFonts w:ascii="Rockwell" w:hAnsi="Rockwell"/>
                <w:szCs w:val="26"/>
              </w:rPr>
            </w:pPr>
            <w:hyperlink r:id="rId47" w:history="1">
              <w:r w:rsidR="00F77BF8">
                <w:rPr>
                  <w:rFonts w:ascii="Rockwell" w:hAnsi="Rockwell"/>
                  <w:b/>
                  <w:bCs/>
                  <w:szCs w:val="26"/>
                </w:rPr>
                <w:t>AUJOURD'HUI AU FASO</w:t>
              </w:r>
            </w:hyperlink>
          </w:p>
        </w:tc>
      </w:tr>
      <w:tr w:rsidR="00284822" w14:paraId="5735EB20" w14:textId="77777777">
        <w:trPr>
          <w:trHeight w:val="473"/>
          <w:jc w:val="center"/>
        </w:trPr>
        <w:tc>
          <w:tcPr>
            <w:tcW w:w="1129" w:type="dxa"/>
            <w:shd w:val="clear" w:color="auto" w:fill="auto"/>
            <w:tcMar>
              <w:top w:w="0" w:type="dxa"/>
              <w:left w:w="108" w:type="dxa"/>
              <w:bottom w:w="0" w:type="dxa"/>
              <w:right w:w="108" w:type="dxa"/>
            </w:tcMar>
          </w:tcPr>
          <w:p w14:paraId="21BA9D84" w14:textId="77777777" w:rsidR="00284822" w:rsidRDefault="00F77BF8">
            <w:pPr>
              <w:spacing w:before="120"/>
              <w:rPr>
                <w:rFonts w:ascii="Rockwell" w:hAnsi="Rockwell"/>
                <w:b/>
                <w:bCs/>
                <w:color w:val="000000"/>
                <w:szCs w:val="26"/>
              </w:rPr>
            </w:pPr>
            <w:r>
              <w:rPr>
                <w:rFonts w:ascii="Rockwell" w:hAnsi="Rockwell"/>
                <w:b/>
                <w:bCs/>
                <w:color w:val="000000"/>
                <w:szCs w:val="26"/>
              </w:rPr>
              <w:t>RANG</w:t>
            </w:r>
          </w:p>
        </w:tc>
        <w:tc>
          <w:tcPr>
            <w:tcW w:w="3501" w:type="dxa"/>
            <w:shd w:val="clear" w:color="auto" w:fill="auto"/>
            <w:tcMar>
              <w:top w:w="0" w:type="dxa"/>
              <w:left w:w="108" w:type="dxa"/>
              <w:bottom w:w="0" w:type="dxa"/>
              <w:right w:w="108" w:type="dxa"/>
            </w:tcMar>
          </w:tcPr>
          <w:p w14:paraId="0F39869B" w14:textId="77777777" w:rsidR="00284822" w:rsidRDefault="00F77BF8">
            <w:pPr>
              <w:spacing w:before="120"/>
              <w:rPr>
                <w:rFonts w:ascii="Rockwell" w:hAnsi="Rockwell"/>
                <w:szCs w:val="26"/>
              </w:rPr>
            </w:pPr>
            <w:r>
              <w:rPr>
                <w:rFonts w:ascii="Rockwell" w:hAnsi="Rockwell"/>
                <w:b/>
                <w:bCs/>
                <w:color w:val="000000"/>
                <w:szCs w:val="26"/>
              </w:rPr>
              <w:t>ACTEURS POLITIQUES</w:t>
            </w:r>
          </w:p>
        </w:tc>
        <w:tc>
          <w:tcPr>
            <w:tcW w:w="1831" w:type="dxa"/>
            <w:shd w:val="clear" w:color="auto" w:fill="auto"/>
            <w:tcMar>
              <w:top w:w="0" w:type="dxa"/>
              <w:left w:w="108" w:type="dxa"/>
              <w:bottom w:w="0" w:type="dxa"/>
              <w:right w:w="108" w:type="dxa"/>
            </w:tcMar>
          </w:tcPr>
          <w:p w14:paraId="2CED9DE2" w14:textId="77777777" w:rsidR="00284822" w:rsidRDefault="00F77BF8">
            <w:pPr>
              <w:spacing w:before="120"/>
              <w:rPr>
                <w:rFonts w:ascii="Rockwell" w:hAnsi="Rockwell"/>
                <w:b/>
                <w:color w:val="000000"/>
                <w:szCs w:val="26"/>
              </w:rPr>
            </w:pPr>
            <w:r>
              <w:rPr>
                <w:rFonts w:ascii="Rockwell" w:hAnsi="Rockwell"/>
                <w:b/>
                <w:color w:val="000000"/>
                <w:szCs w:val="26"/>
              </w:rPr>
              <w:t>NP</w:t>
            </w:r>
          </w:p>
        </w:tc>
        <w:tc>
          <w:tcPr>
            <w:tcW w:w="2272" w:type="dxa"/>
            <w:shd w:val="clear" w:color="auto" w:fill="auto"/>
            <w:tcMar>
              <w:top w:w="0" w:type="dxa"/>
              <w:left w:w="108" w:type="dxa"/>
              <w:bottom w:w="0" w:type="dxa"/>
              <w:right w:w="108" w:type="dxa"/>
            </w:tcMar>
          </w:tcPr>
          <w:p w14:paraId="32CEBC12" w14:textId="77777777" w:rsidR="00284822" w:rsidRDefault="00F77BF8">
            <w:pPr>
              <w:spacing w:before="120"/>
              <w:rPr>
                <w:rFonts w:ascii="Rockwell" w:hAnsi="Rockwell"/>
                <w:b/>
                <w:color w:val="000000"/>
                <w:szCs w:val="26"/>
              </w:rPr>
            </w:pPr>
            <w:r>
              <w:rPr>
                <w:rFonts w:ascii="Rockwell" w:hAnsi="Rockwell"/>
                <w:b/>
                <w:color w:val="000000"/>
                <w:szCs w:val="26"/>
              </w:rPr>
              <w:t>% NP</w:t>
            </w:r>
          </w:p>
        </w:tc>
        <w:tc>
          <w:tcPr>
            <w:tcW w:w="1947" w:type="dxa"/>
            <w:shd w:val="clear" w:color="auto" w:fill="auto"/>
            <w:tcMar>
              <w:top w:w="0" w:type="dxa"/>
              <w:left w:w="108" w:type="dxa"/>
              <w:bottom w:w="0" w:type="dxa"/>
              <w:right w:w="108" w:type="dxa"/>
            </w:tcMar>
          </w:tcPr>
          <w:p w14:paraId="4011D7A1" w14:textId="77777777" w:rsidR="00284822" w:rsidRDefault="00F77BF8">
            <w:pPr>
              <w:spacing w:before="120"/>
              <w:rPr>
                <w:rFonts w:ascii="Rockwell" w:hAnsi="Rockwell"/>
                <w:b/>
                <w:color w:val="000000"/>
                <w:szCs w:val="26"/>
              </w:rPr>
            </w:pPr>
            <w:r>
              <w:rPr>
                <w:rFonts w:ascii="Rockwell" w:hAnsi="Rockwell"/>
                <w:b/>
                <w:color w:val="000000"/>
                <w:szCs w:val="26"/>
              </w:rPr>
              <w:t>NI</w:t>
            </w:r>
          </w:p>
        </w:tc>
        <w:tc>
          <w:tcPr>
            <w:tcW w:w="3274" w:type="dxa"/>
            <w:shd w:val="clear" w:color="auto" w:fill="auto"/>
            <w:tcMar>
              <w:top w:w="0" w:type="dxa"/>
              <w:left w:w="108" w:type="dxa"/>
              <w:bottom w:w="0" w:type="dxa"/>
              <w:right w:w="108" w:type="dxa"/>
            </w:tcMar>
          </w:tcPr>
          <w:p w14:paraId="078A1435" w14:textId="77777777" w:rsidR="00284822" w:rsidRDefault="00F77BF8">
            <w:pPr>
              <w:spacing w:before="120"/>
              <w:rPr>
                <w:rFonts w:ascii="Rockwell" w:hAnsi="Rockwell"/>
                <w:b/>
                <w:color w:val="000000"/>
                <w:szCs w:val="26"/>
              </w:rPr>
            </w:pPr>
            <w:r>
              <w:rPr>
                <w:rFonts w:ascii="Rockwell" w:hAnsi="Rockwell"/>
                <w:b/>
                <w:color w:val="000000"/>
                <w:szCs w:val="26"/>
              </w:rPr>
              <w:t>% NI</w:t>
            </w:r>
          </w:p>
        </w:tc>
      </w:tr>
      <w:tr w:rsidR="00284822" w14:paraId="56A39749" w14:textId="77777777">
        <w:trPr>
          <w:trHeight w:val="89"/>
          <w:jc w:val="center"/>
        </w:trPr>
        <w:tc>
          <w:tcPr>
            <w:tcW w:w="1129" w:type="dxa"/>
            <w:shd w:val="clear" w:color="auto" w:fill="auto"/>
            <w:tcMar>
              <w:top w:w="0" w:type="dxa"/>
              <w:left w:w="108" w:type="dxa"/>
              <w:bottom w:w="0" w:type="dxa"/>
              <w:right w:w="108" w:type="dxa"/>
            </w:tcMar>
            <w:vAlign w:val="bottom"/>
          </w:tcPr>
          <w:p w14:paraId="4A8A1B77" w14:textId="77777777" w:rsidR="00284822" w:rsidRDefault="00F77BF8">
            <w:pPr>
              <w:spacing w:before="120"/>
              <w:rPr>
                <w:rFonts w:ascii="Rockwell" w:hAnsi="Rockwell"/>
                <w:szCs w:val="26"/>
              </w:rPr>
            </w:pPr>
            <w:r>
              <w:rPr>
                <w:rFonts w:ascii="Rockwell" w:hAnsi="Rockwell"/>
                <w:b/>
                <w:bCs/>
                <w:szCs w:val="26"/>
              </w:rPr>
              <w:t>1</w:t>
            </w:r>
            <w:r>
              <w:rPr>
                <w:rFonts w:ascii="Rockwell" w:hAnsi="Rockwell"/>
                <w:b/>
                <w:bCs/>
                <w:szCs w:val="26"/>
                <w:vertAlign w:val="superscript"/>
              </w:rPr>
              <w:t>er</w:t>
            </w:r>
          </w:p>
        </w:tc>
        <w:tc>
          <w:tcPr>
            <w:tcW w:w="3501" w:type="dxa"/>
            <w:shd w:val="clear" w:color="auto" w:fill="auto"/>
            <w:tcMar>
              <w:top w:w="0" w:type="dxa"/>
              <w:left w:w="108" w:type="dxa"/>
              <w:bottom w:w="0" w:type="dxa"/>
              <w:right w:w="108" w:type="dxa"/>
            </w:tcMar>
            <w:vAlign w:val="bottom"/>
          </w:tcPr>
          <w:p w14:paraId="2F4C9333" w14:textId="77777777" w:rsidR="00284822" w:rsidRDefault="00F77BF8">
            <w:pPr>
              <w:spacing w:before="120"/>
              <w:rPr>
                <w:rFonts w:ascii="Rockwell" w:hAnsi="Rockwell"/>
                <w:b/>
                <w:color w:val="000000"/>
                <w:szCs w:val="26"/>
              </w:rPr>
            </w:pPr>
            <w:r>
              <w:rPr>
                <w:rFonts w:ascii="Rockwell" w:hAnsi="Rockwell"/>
                <w:b/>
                <w:color w:val="000000"/>
                <w:szCs w:val="26"/>
              </w:rPr>
              <w:t>CDP</w:t>
            </w:r>
          </w:p>
        </w:tc>
        <w:tc>
          <w:tcPr>
            <w:tcW w:w="1831" w:type="dxa"/>
            <w:shd w:val="clear" w:color="auto" w:fill="auto"/>
            <w:tcMar>
              <w:top w:w="0" w:type="dxa"/>
              <w:left w:w="108" w:type="dxa"/>
              <w:bottom w:w="0" w:type="dxa"/>
              <w:right w:w="108" w:type="dxa"/>
            </w:tcMar>
            <w:vAlign w:val="center"/>
          </w:tcPr>
          <w:p w14:paraId="27B7E5BE" w14:textId="77777777" w:rsidR="00284822" w:rsidRDefault="00F77BF8">
            <w:pPr>
              <w:spacing w:before="120"/>
              <w:rPr>
                <w:rFonts w:ascii="Rockwell" w:hAnsi="Rockwell"/>
                <w:color w:val="000000"/>
                <w:szCs w:val="26"/>
              </w:rPr>
            </w:pPr>
            <w:r>
              <w:rPr>
                <w:rFonts w:ascii="Rockwell" w:hAnsi="Rockwell"/>
                <w:color w:val="000000"/>
                <w:szCs w:val="26"/>
              </w:rPr>
              <w:t>16</w:t>
            </w:r>
          </w:p>
        </w:tc>
        <w:tc>
          <w:tcPr>
            <w:tcW w:w="2272" w:type="dxa"/>
            <w:shd w:val="clear" w:color="auto" w:fill="auto"/>
            <w:tcMar>
              <w:top w:w="0" w:type="dxa"/>
              <w:left w:w="108" w:type="dxa"/>
              <w:bottom w:w="0" w:type="dxa"/>
              <w:right w:w="108" w:type="dxa"/>
            </w:tcMar>
            <w:vAlign w:val="center"/>
          </w:tcPr>
          <w:p w14:paraId="54F5782C" w14:textId="77777777" w:rsidR="00284822" w:rsidRDefault="00F77BF8">
            <w:pPr>
              <w:spacing w:before="120"/>
              <w:rPr>
                <w:rFonts w:ascii="Rockwell" w:hAnsi="Rockwell"/>
                <w:color w:val="000000"/>
                <w:szCs w:val="26"/>
              </w:rPr>
            </w:pPr>
            <w:r>
              <w:rPr>
                <w:rFonts w:ascii="Rockwell" w:hAnsi="Rockwell"/>
                <w:color w:val="000000"/>
                <w:szCs w:val="26"/>
              </w:rPr>
              <w:t>28,33%</w:t>
            </w:r>
          </w:p>
        </w:tc>
        <w:tc>
          <w:tcPr>
            <w:tcW w:w="1947" w:type="dxa"/>
            <w:shd w:val="clear" w:color="auto" w:fill="auto"/>
            <w:tcMar>
              <w:top w:w="0" w:type="dxa"/>
              <w:left w:w="108" w:type="dxa"/>
              <w:bottom w:w="0" w:type="dxa"/>
              <w:right w:w="108" w:type="dxa"/>
            </w:tcMar>
            <w:vAlign w:val="center"/>
          </w:tcPr>
          <w:p w14:paraId="68101B21" w14:textId="77777777" w:rsidR="00284822" w:rsidRDefault="00F77BF8">
            <w:pPr>
              <w:spacing w:before="120"/>
              <w:rPr>
                <w:rFonts w:ascii="Rockwell" w:hAnsi="Rockwell"/>
                <w:color w:val="000000"/>
                <w:szCs w:val="26"/>
              </w:rPr>
            </w:pPr>
            <w:r>
              <w:rPr>
                <w:rFonts w:ascii="Rockwell" w:hAnsi="Rockwell"/>
                <w:color w:val="000000"/>
                <w:szCs w:val="26"/>
              </w:rPr>
              <w:t>29</w:t>
            </w:r>
          </w:p>
        </w:tc>
        <w:tc>
          <w:tcPr>
            <w:tcW w:w="3274" w:type="dxa"/>
            <w:shd w:val="clear" w:color="auto" w:fill="auto"/>
            <w:tcMar>
              <w:top w:w="0" w:type="dxa"/>
              <w:left w:w="108" w:type="dxa"/>
              <w:bottom w:w="0" w:type="dxa"/>
              <w:right w:w="108" w:type="dxa"/>
            </w:tcMar>
            <w:vAlign w:val="center"/>
          </w:tcPr>
          <w:p w14:paraId="4CEDB773" w14:textId="77777777" w:rsidR="00284822" w:rsidRDefault="00F77BF8">
            <w:pPr>
              <w:spacing w:before="120"/>
              <w:rPr>
                <w:rFonts w:ascii="Rockwell" w:hAnsi="Rockwell"/>
                <w:color w:val="000000"/>
                <w:szCs w:val="26"/>
              </w:rPr>
            </w:pPr>
            <w:r>
              <w:rPr>
                <w:rFonts w:ascii="Rockwell" w:hAnsi="Rockwell"/>
                <w:color w:val="000000"/>
                <w:szCs w:val="26"/>
              </w:rPr>
              <w:t>32,58%</w:t>
            </w:r>
          </w:p>
        </w:tc>
      </w:tr>
      <w:tr w:rsidR="00284822" w14:paraId="27BB3ABA" w14:textId="77777777">
        <w:trPr>
          <w:trHeight w:val="89"/>
          <w:jc w:val="center"/>
        </w:trPr>
        <w:tc>
          <w:tcPr>
            <w:tcW w:w="1129" w:type="dxa"/>
            <w:shd w:val="clear" w:color="auto" w:fill="auto"/>
            <w:tcMar>
              <w:top w:w="0" w:type="dxa"/>
              <w:left w:w="108" w:type="dxa"/>
              <w:bottom w:w="0" w:type="dxa"/>
              <w:right w:w="108" w:type="dxa"/>
            </w:tcMar>
            <w:vAlign w:val="center"/>
          </w:tcPr>
          <w:p w14:paraId="5CEFA38F" w14:textId="77777777" w:rsidR="00284822" w:rsidRDefault="00F77BF8">
            <w:pPr>
              <w:spacing w:before="120"/>
              <w:rPr>
                <w:rFonts w:ascii="Rockwell" w:hAnsi="Rockwell"/>
                <w:szCs w:val="26"/>
              </w:rPr>
            </w:pPr>
            <w:r>
              <w:rPr>
                <w:rFonts w:ascii="Rockwell" w:hAnsi="Rockwell"/>
                <w:b/>
                <w:bCs/>
                <w:szCs w:val="26"/>
              </w:rPr>
              <w:t>2</w:t>
            </w:r>
            <w:r>
              <w:rPr>
                <w:rFonts w:ascii="Rockwell" w:hAnsi="Rockwell"/>
                <w:b/>
                <w:bCs/>
                <w:szCs w:val="26"/>
                <w:vertAlign w:val="superscript"/>
              </w:rPr>
              <w:t>e</w:t>
            </w:r>
          </w:p>
        </w:tc>
        <w:tc>
          <w:tcPr>
            <w:tcW w:w="3501" w:type="dxa"/>
            <w:shd w:val="clear" w:color="auto" w:fill="auto"/>
            <w:tcMar>
              <w:top w:w="0" w:type="dxa"/>
              <w:left w:w="108" w:type="dxa"/>
              <w:bottom w:w="0" w:type="dxa"/>
              <w:right w:w="108" w:type="dxa"/>
            </w:tcMar>
            <w:vAlign w:val="bottom"/>
          </w:tcPr>
          <w:p w14:paraId="70628F32" w14:textId="77777777" w:rsidR="00284822" w:rsidRDefault="00F77BF8">
            <w:pPr>
              <w:spacing w:before="120"/>
              <w:rPr>
                <w:rFonts w:ascii="Rockwell" w:hAnsi="Rockwell"/>
                <w:b/>
                <w:color w:val="000000"/>
                <w:szCs w:val="26"/>
              </w:rPr>
            </w:pPr>
            <w:r>
              <w:rPr>
                <w:rFonts w:ascii="Rockwell" w:hAnsi="Rockwell"/>
                <w:b/>
                <w:color w:val="000000"/>
                <w:szCs w:val="26"/>
              </w:rPr>
              <w:t>MPP</w:t>
            </w:r>
          </w:p>
        </w:tc>
        <w:tc>
          <w:tcPr>
            <w:tcW w:w="1831" w:type="dxa"/>
            <w:shd w:val="clear" w:color="auto" w:fill="auto"/>
            <w:tcMar>
              <w:top w:w="0" w:type="dxa"/>
              <w:left w:w="108" w:type="dxa"/>
              <w:bottom w:w="0" w:type="dxa"/>
              <w:right w:w="108" w:type="dxa"/>
            </w:tcMar>
            <w:vAlign w:val="center"/>
          </w:tcPr>
          <w:p w14:paraId="101C60BC" w14:textId="77777777" w:rsidR="00284822" w:rsidRDefault="00F77BF8">
            <w:pPr>
              <w:spacing w:before="120"/>
              <w:rPr>
                <w:rFonts w:ascii="Rockwell" w:hAnsi="Rockwell"/>
                <w:color w:val="000000"/>
                <w:szCs w:val="26"/>
              </w:rPr>
            </w:pPr>
            <w:r>
              <w:rPr>
                <w:rFonts w:ascii="Rockwell" w:hAnsi="Rockwell"/>
                <w:color w:val="000000"/>
                <w:szCs w:val="26"/>
              </w:rPr>
              <w:t>11</w:t>
            </w:r>
          </w:p>
        </w:tc>
        <w:tc>
          <w:tcPr>
            <w:tcW w:w="2272" w:type="dxa"/>
            <w:shd w:val="clear" w:color="auto" w:fill="auto"/>
            <w:tcMar>
              <w:top w:w="0" w:type="dxa"/>
              <w:left w:w="108" w:type="dxa"/>
              <w:bottom w:w="0" w:type="dxa"/>
              <w:right w:w="108" w:type="dxa"/>
            </w:tcMar>
            <w:vAlign w:val="center"/>
          </w:tcPr>
          <w:p w14:paraId="2BB7D19B" w14:textId="77777777" w:rsidR="00284822" w:rsidRDefault="00F77BF8">
            <w:pPr>
              <w:spacing w:before="120"/>
              <w:rPr>
                <w:rFonts w:ascii="Rockwell" w:hAnsi="Rockwell"/>
                <w:color w:val="000000"/>
                <w:szCs w:val="26"/>
              </w:rPr>
            </w:pPr>
            <w:r>
              <w:rPr>
                <w:rFonts w:ascii="Rockwell" w:hAnsi="Rockwell"/>
                <w:color w:val="000000"/>
                <w:szCs w:val="26"/>
              </w:rPr>
              <w:t>19,59%</w:t>
            </w:r>
          </w:p>
        </w:tc>
        <w:tc>
          <w:tcPr>
            <w:tcW w:w="1947" w:type="dxa"/>
            <w:shd w:val="clear" w:color="auto" w:fill="auto"/>
            <w:tcMar>
              <w:top w:w="0" w:type="dxa"/>
              <w:left w:w="108" w:type="dxa"/>
              <w:bottom w:w="0" w:type="dxa"/>
              <w:right w:w="108" w:type="dxa"/>
            </w:tcMar>
            <w:vAlign w:val="center"/>
          </w:tcPr>
          <w:p w14:paraId="45F101D2" w14:textId="77777777" w:rsidR="00284822" w:rsidRDefault="00F77BF8">
            <w:pPr>
              <w:spacing w:before="120"/>
              <w:rPr>
                <w:rFonts w:ascii="Rockwell" w:hAnsi="Rockwell"/>
                <w:color w:val="000000"/>
                <w:szCs w:val="26"/>
              </w:rPr>
            </w:pPr>
            <w:r>
              <w:rPr>
                <w:rFonts w:ascii="Rockwell" w:hAnsi="Rockwell"/>
                <w:color w:val="000000"/>
                <w:szCs w:val="26"/>
              </w:rPr>
              <w:t>12</w:t>
            </w:r>
          </w:p>
        </w:tc>
        <w:tc>
          <w:tcPr>
            <w:tcW w:w="3274" w:type="dxa"/>
            <w:shd w:val="clear" w:color="auto" w:fill="auto"/>
            <w:tcMar>
              <w:top w:w="0" w:type="dxa"/>
              <w:left w:w="108" w:type="dxa"/>
              <w:bottom w:w="0" w:type="dxa"/>
              <w:right w:w="108" w:type="dxa"/>
            </w:tcMar>
            <w:vAlign w:val="center"/>
          </w:tcPr>
          <w:p w14:paraId="49DFBF50" w14:textId="77777777" w:rsidR="00284822" w:rsidRDefault="00F77BF8">
            <w:pPr>
              <w:spacing w:before="120"/>
              <w:rPr>
                <w:rFonts w:ascii="Rockwell" w:hAnsi="Rockwell"/>
                <w:color w:val="000000"/>
                <w:szCs w:val="26"/>
              </w:rPr>
            </w:pPr>
            <w:r>
              <w:rPr>
                <w:rFonts w:ascii="Rockwell" w:hAnsi="Rockwell"/>
                <w:color w:val="000000"/>
                <w:szCs w:val="26"/>
              </w:rPr>
              <w:t>13,48%</w:t>
            </w:r>
          </w:p>
        </w:tc>
      </w:tr>
      <w:tr w:rsidR="00284822" w14:paraId="0F56A483" w14:textId="77777777">
        <w:trPr>
          <w:trHeight w:val="89"/>
          <w:jc w:val="center"/>
        </w:trPr>
        <w:tc>
          <w:tcPr>
            <w:tcW w:w="1129" w:type="dxa"/>
            <w:shd w:val="clear" w:color="auto" w:fill="auto"/>
            <w:tcMar>
              <w:top w:w="0" w:type="dxa"/>
              <w:left w:w="108" w:type="dxa"/>
              <w:bottom w:w="0" w:type="dxa"/>
              <w:right w:w="108" w:type="dxa"/>
            </w:tcMar>
            <w:vAlign w:val="center"/>
          </w:tcPr>
          <w:p w14:paraId="54C8C32B" w14:textId="77777777" w:rsidR="00284822" w:rsidRDefault="00F77BF8">
            <w:pPr>
              <w:spacing w:before="120"/>
              <w:rPr>
                <w:rFonts w:ascii="Rockwell" w:hAnsi="Rockwell"/>
                <w:szCs w:val="26"/>
              </w:rPr>
            </w:pPr>
            <w:r>
              <w:rPr>
                <w:rFonts w:ascii="Rockwell" w:hAnsi="Rockwell"/>
                <w:b/>
                <w:bCs/>
                <w:szCs w:val="26"/>
              </w:rPr>
              <w:t>3</w:t>
            </w:r>
            <w:r>
              <w:rPr>
                <w:rFonts w:ascii="Rockwell" w:hAnsi="Rockwell"/>
                <w:b/>
                <w:bCs/>
                <w:szCs w:val="26"/>
                <w:vertAlign w:val="superscript"/>
              </w:rPr>
              <w:t>e</w:t>
            </w:r>
          </w:p>
        </w:tc>
        <w:tc>
          <w:tcPr>
            <w:tcW w:w="3501" w:type="dxa"/>
            <w:shd w:val="clear" w:color="auto" w:fill="auto"/>
            <w:tcMar>
              <w:top w:w="0" w:type="dxa"/>
              <w:left w:w="108" w:type="dxa"/>
              <w:bottom w:w="0" w:type="dxa"/>
              <w:right w:w="108" w:type="dxa"/>
            </w:tcMar>
            <w:vAlign w:val="bottom"/>
          </w:tcPr>
          <w:p w14:paraId="34F41B0B" w14:textId="77777777" w:rsidR="00284822" w:rsidRDefault="00F77BF8">
            <w:pPr>
              <w:spacing w:before="120"/>
              <w:rPr>
                <w:rFonts w:ascii="Rockwell" w:hAnsi="Rockwell"/>
                <w:b/>
                <w:color w:val="000000"/>
                <w:szCs w:val="26"/>
              </w:rPr>
            </w:pPr>
            <w:r>
              <w:rPr>
                <w:rFonts w:ascii="Rockwell" w:hAnsi="Rockwell"/>
                <w:b/>
                <w:color w:val="000000"/>
                <w:szCs w:val="26"/>
              </w:rPr>
              <w:t>PPS</w:t>
            </w:r>
          </w:p>
        </w:tc>
        <w:tc>
          <w:tcPr>
            <w:tcW w:w="1831" w:type="dxa"/>
            <w:shd w:val="clear" w:color="auto" w:fill="auto"/>
            <w:tcMar>
              <w:top w:w="0" w:type="dxa"/>
              <w:left w:w="108" w:type="dxa"/>
              <w:bottom w:w="0" w:type="dxa"/>
              <w:right w:w="108" w:type="dxa"/>
            </w:tcMar>
            <w:vAlign w:val="center"/>
          </w:tcPr>
          <w:p w14:paraId="13BE4758" w14:textId="77777777" w:rsidR="00284822" w:rsidRDefault="00F77BF8">
            <w:pPr>
              <w:spacing w:before="120"/>
              <w:rPr>
                <w:rFonts w:ascii="Rockwell" w:hAnsi="Rockwell"/>
                <w:color w:val="000000"/>
                <w:szCs w:val="26"/>
              </w:rPr>
            </w:pPr>
            <w:r>
              <w:rPr>
                <w:rFonts w:ascii="Rockwell" w:hAnsi="Rockwell"/>
                <w:color w:val="000000"/>
                <w:szCs w:val="26"/>
              </w:rPr>
              <w:t>4 et 5/6</w:t>
            </w:r>
          </w:p>
        </w:tc>
        <w:tc>
          <w:tcPr>
            <w:tcW w:w="2272" w:type="dxa"/>
            <w:shd w:val="clear" w:color="auto" w:fill="auto"/>
            <w:tcMar>
              <w:top w:w="0" w:type="dxa"/>
              <w:left w:w="108" w:type="dxa"/>
              <w:bottom w:w="0" w:type="dxa"/>
              <w:right w:w="108" w:type="dxa"/>
            </w:tcMar>
            <w:vAlign w:val="center"/>
          </w:tcPr>
          <w:p w14:paraId="05C3C65A" w14:textId="77777777" w:rsidR="00284822" w:rsidRDefault="00F77BF8">
            <w:pPr>
              <w:spacing w:before="120"/>
              <w:rPr>
                <w:rFonts w:ascii="Rockwell" w:hAnsi="Rockwell"/>
                <w:color w:val="000000"/>
                <w:szCs w:val="26"/>
              </w:rPr>
            </w:pPr>
            <w:r>
              <w:rPr>
                <w:rFonts w:ascii="Rockwell" w:hAnsi="Rockwell"/>
                <w:color w:val="000000"/>
                <w:szCs w:val="26"/>
              </w:rPr>
              <w:t>8,56%</w:t>
            </w:r>
          </w:p>
        </w:tc>
        <w:tc>
          <w:tcPr>
            <w:tcW w:w="1947" w:type="dxa"/>
            <w:shd w:val="clear" w:color="auto" w:fill="auto"/>
            <w:tcMar>
              <w:top w:w="0" w:type="dxa"/>
              <w:left w:w="108" w:type="dxa"/>
              <w:bottom w:w="0" w:type="dxa"/>
              <w:right w:w="108" w:type="dxa"/>
            </w:tcMar>
            <w:vAlign w:val="center"/>
          </w:tcPr>
          <w:p w14:paraId="429D13D5" w14:textId="77777777" w:rsidR="00284822" w:rsidRDefault="00F77BF8">
            <w:pPr>
              <w:spacing w:before="120"/>
              <w:rPr>
                <w:rFonts w:ascii="Rockwell" w:hAnsi="Rockwell"/>
                <w:color w:val="000000"/>
                <w:szCs w:val="26"/>
              </w:rPr>
            </w:pPr>
            <w:r>
              <w:rPr>
                <w:rFonts w:ascii="Rockwell" w:hAnsi="Rockwell"/>
                <w:color w:val="000000"/>
                <w:szCs w:val="26"/>
              </w:rPr>
              <w:t>9</w:t>
            </w:r>
          </w:p>
        </w:tc>
        <w:tc>
          <w:tcPr>
            <w:tcW w:w="3274" w:type="dxa"/>
            <w:shd w:val="clear" w:color="auto" w:fill="auto"/>
            <w:tcMar>
              <w:top w:w="0" w:type="dxa"/>
              <w:left w:w="108" w:type="dxa"/>
              <w:bottom w:w="0" w:type="dxa"/>
              <w:right w:w="108" w:type="dxa"/>
            </w:tcMar>
            <w:vAlign w:val="center"/>
          </w:tcPr>
          <w:p w14:paraId="1F0EA181" w14:textId="77777777" w:rsidR="00284822" w:rsidRDefault="00F77BF8">
            <w:pPr>
              <w:spacing w:before="120"/>
              <w:rPr>
                <w:rFonts w:ascii="Rockwell" w:hAnsi="Rockwell"/>
                <w:color w:val="000000"/>
                <w:szCs w:val="26"/>
              </w:rPr>
            </w:pPr>
            <w:r>
              <w:rPr>
                <w:rFonts w:ascii="Rockwell" w:hAnsi="Rockwell"/>
                <w:color w:val="000000"/>
                <w:szCs w:val="26"/>
              </w:rPr>
              <w:t>10,11%</w:t>
            </w:r>
          </w:p>
        </w:tc>
      </w:tr>
      <w:tr w:rsidR="00284822" w14:paraId="6327F6A0" w14:textId="77777777">
        <w:trPr>
          <w:trHeight w:val="89"/>
          <w:jc w:val="center"/>
        </w:trPr>
        <w:tc>
          <w:tcPr>
            <w:tcW w:w="1129" w:type="dxa"/>
            <w:shd w:val="clear" w:color="auto" w:fill="auto"/>
            <w:tcMar>
              <w:top w:w="0" w:type="dxa"/>
              <w:left w:w="108" w:type="dxa"/>
              <w:bottom w:w="0" w:type="dxa"/>
              <w:right w:w="108" w:type="dxa"/>
            </w:tcMar>
            <w:vAlign w:val="center"/>
          </w:tcPr>
          <w:p w14:paraId="09F1F67B" w14:textId="77777777" w:rsidR="00284822" w:rsidRDefault="00F77BF8">
            <w:pPr>
              <w:spacing w:before="120"/>
              <w:rPr>
                <w:rFonts w:ascii="Rockwell" w:hAnsi="Rockwell"/>
                <w:szCs w:val="26"/>
              </w:rPr>
            </w:pPr>
            <w:r>
              <w:rPr>
                <w:rFonts w:ascii="Rockwell" w:hAnsi="Rockwell"/>
                <w:b/>
                <w:bCs/>
                <w:szCs w:val="26"/>
              </w:rPr>
              <w:t>4</w:t>
            </w:r>
            <w:r>
              <w:rPr>
                <w:rFonts w:ascii="Rockwell" w:hAnsi="Rockwell"/>
                <w:b/>
                <w:bCs/>
                <w:szCs w:val="26"/>
                <w:vertAlign w:val="superscript"/>
              </w:rPr>
              <w:t>e</w:t>
            </w:r>
          </w:p>
        </w:tc>
        <w:tc>
          <w:tcPr>
            <w:tcW w:w="3501" w:type="dxa"/>
            <w:shd w:val="clear" w:color="auto" w:fill="auto"/>
            <w:tcMar>
              <w:top w:w="0" w:type="dxa"/>
              <w:left w:w="108" w:type="dxa"/>
              <w:bottom w:w="0" w:type="dxa"/>
              <w:right w:w="108" w:type="dxa"/>
            </w:tcMar>
            <w:vAlign w:val="bottom"/>
          </w:tcPr>
          <w:p w14:paraId="22898BB3" w14:textId="77777777" w:rsidR="00284822" w:rsidRDefault="00F77BF8">
            <w:pPr>
              <w:spacing w:before="120"/>
              <w:rPr>
                <w:rFonts w:ascii="Rockwell" w:hAnsi="Rockwell"/>
                <w:b/>
                <w:color w:val="000000"/>
                <w:szCs w:val="26"/>
              </w:rPr>
            </w:pPr>
            <w:r>
              <w:rPr>
                <w:rFonts w:ascii="Rockwell" w:hAnsi="Rockwell"/>
                <w:b/>
                <w:color w:val="000000"/>
                <w:szCs w:val="26"/>
              </w:rPr>
              <w:t>UPC</w:t>
            </w:r>
          </w:p>
        </w:tc>
        <w:tc>
          <w:tcPr>
            <w:tcW w:w="1831" w:type="dxa"/>
            <w:shd w:val="clear" w:color="auto" w:fill="auto"/>
            <w:tcMar>
              <w:top w:w="0" w:type="dxa"/>
              <w:left w:w="108" w:type="dxa"/>
              <w:bottom w:w="0" w:type="dxa"/>
              <w:right w:w="108" w:type="dxa"/>
            </w:tcMar>
            <w:vAlign w:val="center"/>
          </w:tcPr>
          <w:p w14:paraId="11C122A7" w14:textId="77777777" w:rsidR="00284822" w:rsidRDefault="00F77BF8">
            <w:pPr>
              <w:spacing w:before="120"/>
              <w:rPr>
                <w:rFonts w:ascii="Rockwell" w:hAnsi="Rockwell"/>
                <w:color w:val="000000"/>
                <w:szCs w:val="26"/>
              </w:rPr>
            </w:pPr>
            <w:r>
              <w:rPr>
                <w:rFonts w:ascii="Rockwell" w:hAnsi="Rockwell"/>
                <w:color w:val="000000"/>
                <w:szCs w:val="26"/>
              </w:rPr>
              <w:t>3 et 1/2</w:t>
            </w:r>
          </w:p>
        </w:tc>
        <w:tc>
          <w:tcPr>
            <w:tcW w:w="2272" w:type="dxa"/>
            <w:shd w:val="clear" w:color="auto" w:fill="auto"/>
            <w:tcMar>
              <w:top w:w="0" w:type="dxa"/>
              <w:left w:w="108" w:type="dxa"/>
              <w:bottom w:w="0" w:type="dxa"/>
              <w:right w:w="108" w:type="dxa"/>
            </w:tcMar>
            <w:vAlign w:val="center"/>
          </w:tcPr>
          <w:p w14:paraId="395B253A" w14:textId="77777777" w:rsidR="00284822" w:rsidRDefault="00F77BF8">
            <w:pPr>
              <w:spacing w:before="120"/>
              <w:rPr>
                <w:rFonts w:ascii="Rockwell" w:hAnsi="Rockwell"/>
                <w:color w:val="000000"/>
                <w:szCs w:val="26"/>
              </w:rPr>
            </w:pPr>
            <w:r>
              <w:rPr>
                <w:rFonts w:ascii="Rockwell" w:hAnsi="Rockwell"/>
                <w:color w:val="000000"/>
                <w:szCs w:val="26"/>
              </w:rPr>
              <w:t>6,20%</w:t>
            </w:r>
          </w:p>
        </w:tc>
        <w:tc>
          <w:tcPr>
            <w:tcW w:w="1947" w:type="dxa"/>
            <w:shd w:val="clear" w:color="auto" w:fill="auto"/>
            <w:tcMar>
              <w:top w:w="0" w:type="dxa"/>
              <w:left w:w="108" w:type="dxa"/>
              <w:bottom w:w="0" w:type="dxa"/>
              <w:right w:w="108" w:type="dxa"/>
            </w:tcMar>
            <w:vAlign w:val="center"/>
          </w:tcPr>
          <w:p w14:paraId="78B003A0" w14:textId="77777777" w:rsidR="00284822" w:rsidRDefault="00F77BF8">
            <w:pPr>
              <w:spacing w:before="120"/>
              <w:rPr>
                <w:rFonts w:ascii="Rockwell" w:hAnsi="Rockwell"/>
                <w:color w:val="000000"/>
                <w:szCs w:val="26"/>
              </w:rPr>
            </w:pPr>
            <w:r>
              <w:rPr>
                <w:rFonts w:ascii="Rockwell" w:hAnsi="Rockwell"/>
                <w:color w:val="000000"/>
                <w:szCs w:val="26"/>
              </w:rPr>
              <w:t>5</w:t>
            </w:r>
          </w:p>
        </w:tc>
        <w:tc>
          <w:tcPr>
            <w:tcW w:w="3274" w:type="dxa"/>
            <w:shd w:val="clear" w:color="auto" w:fill="auto"/>
            <w:tcMar>
              <w:top w:w="0" w:type="dxa"/>
              <w:left w:w="108" w:type="dxa"/>
              <w:bottom w:w="0" w:type="dxa"/>
              <w:right w:w="108" w:type="dxa"/>
            </w:tcMar>
            <w:vAlign w:val="center"/>
          </w:tcPr>
          <w:p w14:paraId="1387FE00" w14:textId="77777777" w:rsidR="00284822" w:rsidRDefault="00F77BF8">
            <w:pPr>
              <w:spacing w:before="120"/>
              <w:rPr>
                <w:rFonts w:ascii="Rockwell" w:hAnsi="Rockwell"/>
                <w:color w:val="000000"/>
                <w:szCs w:val="26"/>
              </w:rPr>
            </w:pPr>
            <w:r>
              <w:rPr>
                <w:rFonts w:ascii="Rockwell" w:hAnsi="Rockwell"/>
                <w:color w:val="000000"/>
                <w:szCs w:val="26"/>
              </w:rPr>
              <w:t>5,62%</w:t>
            </w:r>
          </w:p>
        </w:tc>
      </w:tr>
      <w:tr w:rsidR="00284822" w14:paraId="74E09F55" w14:textId="77777777">
        <w:trPr>
          <w:trHeight w:val="89"/>
          <w:jc w:val="center"/>
        </w:trPr>
        <w:tc>
          <w:tcPr>
            <w:tcW w:w="1129" w:type="dxa"/>
            <w:shd w:val="clear" w:color="auto" w:fill="auto"/>
            <w:tcMar>
              <w:top w:w="0" w:type="dxa"/>
              <w:left w:w="108" w:type="dxa"/>
              <w:bottom w:w="0" w:type="dxa"/>
              <w:right w:w="108" w:type="dxa"/>
            </w:tcMar>
            <w:vAlign w:val="center"/>
          </w:tcPr>
          <w:p w14:paraId="0F2D53E9" w14:textId="77777777" w:rsidR="00284822" w:rsidRDefault="00F77BF8">
            <w:pPr>
              <w:spacing w:before="120"/>
              <w:rPr>
                <w:rFonts w:ascii="Rockwell" w:hAnsi="Rockwell"/>
                <w:szCs w:val="26"/>
              </w:rPr>
            </w:pPr>
            <w:r>
              <w:rPr>
                <w:rFonts w:ascii="Rockwell" w:hAnsi="Rockwell"/>
                <w:b/>
                <w:bCs/>
                <w:szCs w:val="26"/>
              </w:rPr>
              <w:t>5</w:t>
            </w:r>
            <w:r>
              <w:rPr>
                <w:rFonts w:ascii="Rockwell" w:hAnsi="Rockwell"/>
                <w:b/>
                <w:bCs/>
                <w:szCs w:val="26"/>
                <w:vertAlign w:val="superscript"/>
              </w:rPr>
              <w:t>e</w:t>
            </w:r>
          </w:p>
        </w:tc>
        <w:tc>
          <w:tcPr>
            <w:tcW w:w="3501" w:type="dxa"/>
            <w:shd w:val="clear" w:color="auto" w:fill="auto"/>
            <w:tcMar>
              <w:top w:w="0" w:type="dxa"/>
              <w:left w:w="108" w:type="dxa"/>
              <w:bottom w:w="0" w:type="dxa"/>
              <w:right w:w="108" w:type="dxa"/>
            </w:tcMar>
            <w:vAlign w:val="bottom"/>
          </w:tcPr>
          <w:p w14:paraId="58F8C7D1" w14:textId="77777777" w:rsidR="00284822" w:rsidRDefault="00F77BF8">
            <w:pPr>
              <w:spacing w:before="120"/>
              <w:rPr>
                <w:rFonts w:ascii="Rockwell" w:hAnsi="Rockwell"/>
                <w:b/>
                <w:color w:val="000000"/>
                <w:szCs w:val="26"/>
              </w:rPr>
            </w:pPr>
            <w:r>
              <w:rPr>
                <w:rFonts w:ascii="Rockwell" w:hAnsi="Rockwell"/>
                <w:b/>
                <w:color w:val="000000"/>
                <w:szCs w:val="26"/>
              </w:rPr>
              <w:t>UNIR/MPS</w:t>
            </w:r>
          </w:p>
        </w:tc>
        <w:tc>
          <w:tcPr>
            <w:tcW w:w="1831" w:type="dxa"/>
            <w:shd w:val="clear" w:color="auto" w:fill="auto"/>
            <w:tcMar>
              <w:top w:w="0" w:type="dxa"/>
              <w:left w:w="108" w:type="dxa"/>
              <w:bottom w:w="0" w:type="dxa"/>
              <w:right w:w="108" w:type="dxa"/>
            </w:tcMar>
            <w:vAlign w:val="center"/>
          </w:tcPr>
          <w:p w14:paraId="5B168347" w14:textId="77777777" w:rsidR="00284822" w:rsidRDefault="00F77BF8">
            <w:pPr>
              <w:spacing w:before="120"/>
              <w:rPr>
                <w:rFonts w:ascii="Rockwell" w:hAnsi="Rockwell"/>
                <w:color w:val="000000"/>
                <w:szCs w:val="26"/>
              </w:rPr>
            </w:pPr>
            <w:r>
              <w:rPr>
                <w:rFonts w:ascii="Rockwell" w:hAnsi="Rockwell"/>
                <w:color w:val="000000"/>
                <w:szCs w:val="26"/>
              </w:rPr>
              <w:t>2 et 1/3</w:t>
            </w:r>
          </w:p>
        </w:tc>
        <w:tc>
          <w:tcPr>
            <w:tcW w:w="2272" w:type="dxa"/>
            <w:shd w:val="clear" w:color="auto" w:fill="auto"/>
            <w:tcMar>
              <w:top w:w="0" w:type="dxa"/>
              <w:left w:w="108" w:type="dxa"/>
              <w:bottom w:w="0" w:type="dxa"/>
              <w:right w:w="108" w:type="dxa"/>
            </w:tcMar>
            <w:vAlign w:val="center"/>
          </w:tcPr>
          <w:p w14:paraId="09B71948" w14:textId="77777777" w:rsidR="00284822" w:rsidRDefault="00F77BF8">
            <w:pPr>
              <w:spacing w:before="120"/>
              <w:rPr>
                <w:rFonts w:ascii="Rockwell" w:hAnsi="Rockwell"/>
                <w:color w:val="000000"/>
                <w:szCs w:val="26"/>
              </w:rPr>
            </w:pPr>
            <w:r>
              <w:rPr>
                <w:rFonts w:ascii="Rockwell" w:hAnsi="Rockwell"/>
                <w:color w:val="000000"/>
                <w:szCs w:val="26"/>
              </w:rPr>
              <w:t>4,13%</w:t>
            </w:r>
          </w:p>
        </w:tc>
        <w:tc>
          <w:tcPr>
            <w:tcW w:w="1947" w:type="dxa"/>
            <w:shd w:val="clear" w:color="auto" w:fill="auto"/>
            <w:tcMar>
              <w:top w:w="0" w:type="dxa"/>
              <w:left w:w="108" w:type="dxa"/>
              <w:bottom w:w="0" w:type="dxa"/>
              <w:right w:w="108" w:type="dxa"/>
            </w:tcMar>
            <w:vAlign w:val="center"/>
          </w:tcPr>
          <w:p w14:paraId="50519481" w14:textId="77777777" w:rsidR="00284822" w:rsidRDefault="00F77BF8">
            <w:pPr>
              <w:spacing w:before="120"/>
              <w:rPr>
                <w:rFonts w:ascii="Rockwell" w:hAnsi="Rockwell"/>
                <w:color w:val="000000"/>
                <w:szCs w:val="26"/>
              </w:rPr>
            </w:pPr>
            <w:r>
              <w:rPr>
                <w:rFonts w:ascii="Rockwell" w:hAnsi="Rockwell"/>
                <w:color w:val="000000"/>
                <w:szCs w:val="26"/>
              </w:rPr>
              <w:t>6</w:t>
            </w:r>
          </w:p>
        </w:tc>
        <w:tc>
          <w:tcPr>
            <w:tcW w:w="3274" w:type="dxa"/>
            <w:shd w:val="clear" w:color="auto" w:fill="auto"/>
            <w:tcMar>
              <w:top w:w="0" w:type="dxa"/>
              <w:left w:w="108" w:type="dxa"/>
              <w:bottom w:w="0" w:type="dxa"/>
              <w:right w:w="108" w:type="dxa"/>
            </w:tcMar>
            <w:vAlign w:val="center"/>
          </w:tcPr>
          <w:p w14:paraId="64BAFF4A" w14:textId="77777777" w:rsidR="00284822" w:rsidRDefault="00F77BF8">
            <w:pPr>
              <w:spacing w:before="120"/>
              <w:rPr>
                <w:rFonts w:ascii="Rockwell" w:hAnsi="Rockwell"/>
                <w:color w:val="000000"/>
                <w:szCs w:val="26"/>
              </w:rPr>
            </w:pPr>
            <w:r>
              <w:rPr>
                <w:rFonts w:ascii="Rockwell" w:hAnsi="Rockwell"/>
                <w:color w:val="000000"/>
                <w:szCs w:val="26"/>
              </w:rPr>
              <w:t>6,74%</w:t>
            </w:r>
          </w:p>
        </w:tc>
      </w:tr>
      <w:tr w:rsidR="00284822" w14:paraId="649CC275" w14:textId="77777777">
        <w:trPr>
          <w:trHeight w:val="89"/>
          <w:jc w:val="center"/>
        </w:trPr>
        <w:tc>
          <w:tcPr>
            <w:tcW w:w="1129" w:type="dxa"/>
            <w:shd w:val="clear" w:color="auto" w:fill="auto"/>
            <w:tcMar>
              <w:top w:w="0" w:type="dxa"/>
              <w:left w:w="108" w:type="dxa"/>
              <w:bottom w:w="0" w:type="dxa"/>
              <w:right w:w="108" w:type="dxa"/>
            </w:tcMar>
            <w:vAlign w:val="center"/>
          </w:tcPr>
          <w:p w14:paraId="684D7DD5" w14:textId="77777777" w:rsidR="00284822" w:rsidRDefault="00F77BF8">
            <w:pPr>
              <w:spacing w:before="120"/>
              <w:rPr>
                <w:rFonts w:ascii="Rockwell" w:hAnsi="Rockwell"/>
                <w:szCs w:val="26"/>
              </w:rPr>
            </w:pPr>
            <w:r>
              <w:rPr>
                <w:rFonts w:ascii="Rockwell" w:hAnsi="Rockwell"/>
                <w:b/>
                <w:bCs/>
                <w:szCs w:val="26"/>
              </w:rPr>
              <w:t>6</w:t>
            </w:r>
            <w:r>
              <w:rPr>
                <w:rFonts w:ascii="Rockwell" w:hAnsi="Rockwell"/>
                <w:b/>
                <w:bCs/>
                <w:szCs w:val="26"/>
                <w:vertAlign w:val="superscript"/>
              </w:rPr>
              <w:t>e</w:t>
            </w:r>
          </w:p>
        </w:tc>
        <w:tc>
          <w:tcPr>
            <w:tcW w:w="3501" w:type="dxa"/>
            <w:shd w:val="clear" w:color="auto" w:fill="auto"/>
            <w:tcMar>
              <w:top w:w="0" w:type="dxa"/>
              <w:left w:w="108" w:type="dxa"/>
              <w:bottom w:w="0" w:type="dxa"/>
              <w:right w:w="108" w:type="dxa"/>
            </w:tcMar>
            <w:vAlign w:val="bottom"/>
          </w:tcPr>
          <w:p w14:paraId="7FE13B40" w14:textId="77777777" w:rsidR="00284822" w:rsidRDefault="00F77BF8">
            <w:pPr>
              <w:spacing w:before="120"/>
              <w:rPr>
                <w:rFonts w:ascii="Rockwell" w:hAnsi="Rockwell"/>
                <w:b/>
                <w:color w:val="000000"/>
                <w:szCs w:val="26"/>
              </w:rPr>
            </w:pPr>
            <w:r>
              <w:rPr>
                <w:rFonts w:ascii="Rockwell" w:hAnsi="Rockwell"/>
                <w:b/>
                <w:color w:val="000000"/>
                <w:szCs w:val="26"/>
              </w:rPr>
              <w:t>MRB</w:t>
            </w:r>
          </w:p>
        </w:tc>
        <w:tc>
          <w:tcPr>
            <w:tcW w:w="1831" w:type="dxa"/>
            <w:shd w:val="clear" w:color="auto" w:fill="auto"/>
            <w:tcMar>
              <w:top w:w="0" w:type="dxa"/>
              <w:left w:w="108" w:type="dxa"/>
              <w:bottom w:w="0" w:type="dxa"/>
              <w:right w:w="108" w:type="dxa"/>
            </w:tcMar>
            <w:vAlign w:val="center"/>
          </w:tcPr>
          <w:p w14:paraId="7EAB1582" w14:textId="77777777" w:rsidR="00284822" w:rsidRDefault="00F77BF8">
            <w:pPr>
              <w:spacing w:before="120"/>
              <w:rPr>
                <w:rFonts w:ascii="Rockwell" w:hAnsi="Rockwell"/>
                <w:color w:val="000000"/>
                <w:szCs w:val="26"/>
              </w:rPr>
            </w:pPr>
            <w:r>
              <w:rPr>
                <w:rFonts w:ascii="Rockwell" w:hAnsi="Rockwell"/>
                <w:color w:val="000000"/>
                <w:szCs w:val="26"/>
              </w:rPr>
              <w:t>2 et 1/6</w:t>
            </w:r>
          </w:p>
        </w:tc>
        <w:tc>
          <w:tcPr>
            <w:tcW w:w="2272" w:type="dxa"/>
            <w:shd w:val="clear" w:color="auto" w:fill="auto"/>
            <w:tcMar>
              <w:top w:w="0" w:type="dxa"/>
              <w:left w:w="108" w:type="dxa"/>
              <w:bottom w:w="0" w:type="dxa"/>
              <w:right w:w="108" w:type="dxa"/>
            </w:tcMar>
            <w:vAlign w:val="center"/>
          </w:tcPr>
          <w:p w14:paraId="046527D2" w14:textId="77777777" w:rsidR="00284822" w:rsidRDefault="00F77BF8">
            <w:pPr>
              <w:spacing w:before="120"/>
              <w:rPr>
                <w:rFonts w:ascii="Rockwell" w:hAnsi="Rockwell"/>
                <w:color w:val="000000"/>
                <w:szCs w:val="26"/>
              </w:rPr>
            </w:pPr>
            <w:r>
              <w:rPr>
                <w:rFonts w:ascii="Rockwell" w:hAnsi="Rockwell"/>
                <w:color w:val="000000"/>
                <w:szCs w:val="26"/>
              </w:rPr>
              <w:t>3,84%</w:t>
            </w:r>
          </w:p>
        </w:tc>
        <w:tc>
          <w:tcPr>
            <w:tcW w:w="1947" w:type="dxa"/>
            <w:shd w:val="clear" w:color="auto" w:fill="auto"/>
            <w:tcMar>
              <w:top w:w="0" w:type="dxa"/>
              <w:left w:w="108" w:type="dxa"/>
              <w:bottom w:w="0" w:type="dxa"/>
              <w:right w:w="108" w:type="dxa"/>
            </w:tcMar>
            <w:vAlign w:val="center"/>
          </w:tcPr>
          <w:p w14:paraId="37B5660D" w14:textId="77777777" w:rsidR="00284822" w:rsidRDefault="00F77BF8">
            <w:pPr>
              <w:spacing w:before="120"/>
              <w:rPr>
                <w:rFonts w:ascii="Rockwell" w:hAnsi="Rockwell"/>
                <w:color w:val="000000"/>
                <w:szCs w:val="26"/>
              </w:rPr>
            </w:pPr>
            <w:r>
              <w:rPr>
                <w:rFonts w:ascii="Rockwell" w:hAnsi="Rockwell"/>
                <w:color w:val="000000"/>
                <w:szCs w:val="26"/>
              </w:rPr>
              <w:t>5</w:t>
            </w:r>
          </w:p>
        </w:tc>
        <w:tc>
          <w:tcPr>
            <w:tcW w:w="3274" w:type="dxa"/>
            <w:shd w:val="clear" w:color="auto" w:fill="auto"/>
            <w:tcMar>
              <w:top w:w="0" w:type="dxa"/>
              <w:left w:w="108" w:type="dxa"/>
              <w:bottom w:w="0" w:type="dxa"/>
              <w:right w:w="108" w:type="dxa"/>
            </w:tcMar>
            <w:vAlign w:val="center"/>
          </w:tcPr>
          <w:p w14:paraId="4518D47E" w14:textId="77777777" w:rsidR="00284822" w:rsidRDefault="00F77BF8">
            <w:pPr>
              <w:spacing w:before="120"/>
              <w:rPr>
                <w:rFonts w:ascii="Rockwell" w:hAnsi="Rockwell"/>
                <w:color w:val="000000"/>
                <w:szCs w:val="26"/>
              </w:rPr>
            </w:pPr>
            <w:r>
              <w:rPr>
                <w:rFonts w:ascii="Rockwell" w:hAnsi="Rockwell"/>
                <w:color w:val="000000"/>
                <w:szCs w:val="26"/>
              </w:rPr>
              <w:t>5,62%</w:t>
            </w:r>
          </w:p>
        </w:tc>
      </w:tr>
      <w:tr w:rsidR="00284822" w14:paraId="1BAE2AF0" w14:textId="77777777">
        <w:trPr>
          <w:trHeight w:val="89"/>
          <w:jc w:val="center"/>
        </w:trPr>
        <w:tc>
          <w:tcPr>
            <w:tcW w:w="1129" w:type="dxa"/>
            <w:shd w:val="clear" w:color="auto" w:fill="auto"/>
            <w:tcMar>
              <w:top w:w="0" w:type="dxa"/>
              <w:left w:w="108" w:type="dxa"/>
              <w:bottom w:w="0" w:type="dxa"/>
              <w:right w:w="108" w:type="dxa"/>
            </w:tcMar>
            <w:vAlign w:val="center"/>
          </w:tcPr>
          <w:p w14:paraId="6CDCF6CA" w14:textId="77777777" w:rsidR="00284822" w:rsidRDefault="00F77BF8">
            <w:pPr>
              <w:spacing w:before="120"/>
              <w:rPr>
                <w:rFonts w:ascii="Rockwell" w:hAnsi="Rockwell"/>
                <w:szCs w:val="26"/>
              </w:rPr>
            </w:pPr>
            <w:r>
              <w:rPr>
                <w:rFonts w:ascii="Rockwell" w:hAnsi="Rockwell"/>
                <w:b/>
                <w:bCs/>
                <w:szCs w:val="26"/>
              </w:rPr>
              <w:t>7</w:t>
            </w:r>
            <w:r>
              <w:rPr>
                <w:rFonts w:ascii="Rockwell" w:hAnsi="Rockwell"/>
                <w:b/>
                <w:bCs/>
                <w:szCs w:val="26"/>
                <w:vertAlign w:val="superscript"/>
              </w:rPr>
              <w:t xml:space="preserve">e </w:t>
            </w:r>
          </w:p>
        </w:tc>
        <w:tc>
          <w:tcPr>
            <w:tcW w:w="3501" w:type="dxa"/>
            <w:shd w:val="clear" w:color="auto" w:fill="auto"/>
            <w:tcMar>
              <w:top w:w="0" w:type="dxa"/>
              <w:left w:w="108" w:type="dxa"/>
              <w:bottom w:w="0" w:type="dxa"/>
              <w:right w:w="108" w:type="dxa"/>
            </w:tcMar>
            <w:vAlign w:val="bottom"/>
          </w:tcPr>
          <w:p w14:paraId="73F49FFC" w14:textId="77777777" w:rsidR="00284822" w:rsidRDefault="00F77BF8">
            <w:pPr>
              <w:spacing w:before="120"/>
              <w:rPr>
                <w:rFonts w:ascii="Rockwell" w:hAnsi="Rockwell"/>
                <w:b/>
                <w:color w:val="000000"/>
                <w:szCs w:val="26"/>
              </w:rPr>
            </w:pPr>
            <w:r>
              <w:rPr>
                <w:rFonts w:ascii="Rockwell" w:hAnsi="Rockwell"/>
                <w:b/>
                <w:color w:val="000000"/>
                <w:szCs w:val="26"/>
              </w:rPr>
              <w:t>ADF/RDA</w:t>
            </w:r>
          </w:p>
        </w:tc>
        <w:tc>
          <w:tcPr>
            <w:tcW w:w="1831" w:type="dxa"/>
            <w:shd w:val="clear" w:color="auto" w:fill="auto"/>
            <w:tcMar>
              <w:top w:w="0" w:type="dxa"/>
              <w:left w:w="108" w:type="dxa"/>
              <w:bottom w:w="0" w:type="dxa"/>
              <w:right w:w="108" w:type="dxa"/>
            </w:tcMar>
            <w:vAlign w:val="center"/>
          </w:tcPr>
          <w:p w14:paraId="0AAA8973" w14:textId="77777777" w:rsidR="00284822" w:rsidRDefault="00F77BF8">
            <w:pPr>
              <w:spacing w:before="120"/>
              <w:rPr>
                <w:rFonts w:ascii="Rockwell" w:hAnsi="Rockwell"/>
                <w:color w:val="000000"/>
                <w:szCs w:val="26"/>
              </w:rPr>
            </w:pPr>
            <w:r>
              <w:rPr>
                <w:rFonts w:ascii="Rockwell" w:hAnsi="Rockwell"/>
                <w:color w:val="000000"/>
                <w:szCs w:val="26"/>
              </w:rPr>
              <w:t>2</w:t>
            </w:r>
          </w:p>
        </w:tc>
        <w:tc>
          <w:tcPr>
            <w:tcW w:w="2272" w:type="dxa"/>
            <w:shd w:val="clear" w:color="auto" w:fill="auto"/>
            <w:tcMar>
              <w:top w:w="0" w:type="dxa"/>
              <w:left w:w="108" w:type="dxa"/>
              <w:bottom w:w="0" w:type="dxa"/>
              <w:right w:w="108" w:type="dxa"/>
            </w:tcMar>
            <w:vAlign w:val="center"/>
          </w:tcPr>
          <w:p w14:paraId="4B67C0D7" w14:textId="77777777" w:rsidR="00284822" w:rsidRDefault="00F77BF8">
            <w:pPr>
              <w:spacing w:before="120"/>
              <w:rPr>
                <w:rFonts w:ascii="Rockwell" w:hAnsi="Rockwell"/>
                <w:color w:val="000000"/>
                <w:szCs w:val="26"/>
              </w:rPr>
            </w:pPr>
            <w:r>
              <w:rPr>
                <w:rFonts w:ascii="Rockwell" w:hAnsi="Rockwell"/>
                <w:color w:val="000000"/>
                <w:szCs w:val="26"/>
              </w:rPr>
              <w:t>3,54%</w:t>
            </w:r>
          </w:p>
        </w:tc>
        <w:tc>
          <w:tcPr>
            <w:tcW w:w="1947" w:type="dxa"/>
            <w:shd w:val="clear" w:color="auto" w:fill="auto"/>
            <w:tcMar>
              <w:top w:w="0" w:type="dxa"/>
              <w:left w:w="108" w:type="dxa"/>
              <w:bottom w:w="0" w:type="dxa"/>
              <w:right w:w="108" w:type="dxa"/>
            </w:tcMar>
            <w:vAlign w:val="center"/>
          </w:tcPr>
          <w:p w14:paraId="665DDD8E" w14:textId="77777777" w:rsidR="00284822" w:rsidRDefault="00F77BF8">
            <w:pPr>
              <w:spacing w:before="120"/>
              <w:rPr>
                <w:rFonts w:ascii="Rockwell" w:hAnsi="Rockwell"/>
                <w:color w:val="000000"/>
                <w:szCs w:val="26"/>
              </w:rPr>
            </w:pPr>
            <w:r>
              <w:rPr>
                <w:rFonts w:ascii="Rockwell" w:hAnsi="Rockwell"/>
                <w:color w:val="000000"/>
                <w:szCs w:val="26"/>
              </w:rPr>
              <w:t>2</w:t>
            </w:r>
          </w:p>
        </w:tc>
        <w:tc>
          <w:tcPr>
            <w:tcW w:w="3274" w:type="dxa"/>
            <w:shd w:val="clear" w:color="auto" w:fill="auto"/>
            <w:tcMar>
              <w:top w:w="0" w:type="dxa"/>
              <w:left w:w="108" w:type="dxa"/>
              <w:bottom w:w="0" w:type="dxa"/>
              <w:right w:w="108" w:type="dxa"/>
            </w:tcMar>
            <w:vAlign w:val="center"/>
          </w:tcPr>
          <w:p w14:paraId="3A098E8B" w14:textId="77777777" w:rsidR="00284822" w:rsidRDefault="00F77BF8">
            <w:pPr>
              <w:spacing w:before="120"/>
              <w:rPr>
                <w:rFonts w:ascii="Rockwell" w:hAnsi="Rockwell"/>
                <w:color w:val="000000"/>
                <w:szCs w:val="26"/>
              </w:rPr>
            </w:pPr>
            <w:r>
              <w:rPr>
                <w:rFonts w:ascii="Rockwell" w:hAnsi="Rockwell"/>
                <w:color w:val="000000"/>
                <w:szCs w:val="26"/>
              </w:rPr>
              <w:t>2,25%</w:t>
            </w:r>
          </w:p>
        </w:tc>
      </w:tr>
      <w:tr w:rsidR="00284822" w14:paraId="7502CDD3" w14:textId="77777777">
        <w:trPr>
          <w:trHeight w:val="89"/>
          <w:jc w:val="center"/>
        </w:trPr>
        <w:tc>
          <w:tcPr>
            <w:tcW w:w="1129" w:type="dxa"/>
            <w:shd w:val="clear" w:color="auto" w:fill="auto"/>
            <w:tcMar>
              <w:top w:w="0" w:type="dxa"/>
              <w:left w:w="108" w:type="dxa"/>
              <w:bottom w:w="0" w:type="dxa"/>
              <w:right w:w="108" w:type="dxa"/>
            </w:tcMar>
            <w:vAlign w:val="center"/>
          </w:tcPr>
          <w:p w14:paraId="03B1F4C2" w14:textId="77777777" w:rsidR="00284822" w:rsidRDefault="00F77BF8">
            <w:pPr>
              <w:spacing w:before="120"/>
              <w:rPr>
                <w:rFonts w:ascii="Rockwell" w:hAnsi="Rockwell"/>
                <w:szCs w:val="26"/>
              </w:rPr>
            </w:pPr>
            <w:r>
              <w:rPr>
                <w:rFonts w:ascii="Rockwell" w:hAnsi="Rockwell"/>
                <w:b/>
                <w:bCs/>
                <w:szCs w:val="26"/>
              </w:rPr>
              <w:t>7</w:t>
            </w:r>
            <w:r>
              <w:rPr>
                <w:rFonts w:ascii="Rockwell" w:hAnsi="Rockwell"/>
                <w:b/>
                <w:bCs/>
                <w:szCs w:val="26"/>
                <w:vertAlign w:val="superscript"/>
              </w:rPr>
              <w:t>e</w:t>
            </w:r>
            <w:r>
              <w:rPr>
                <w:rFonts w:ascii="Rockwell" w:hAnsi="Rockwell"/>
                <w:b/>
                <w:bCs/>
                <w:szCs w:val="26"/>
              </w:rPr>
              <w:t xml:space="preserve"> ex</w:t>
            </w:r>
          </w:p>
        </w:tc>
        <w:tc>
          <w:tcPr>
            <w:tcW w:w="3501" w:type="dxa"/>
            <w:shd w:val="clear" w:color="auto" w:fill="auto"/>
            <w:tcMar>
              <w:top w:w="0" w:type="dxa"/>
              <w:left w:w="108" w:type="dxa"/>
              <w:bottom w:w="0" w:type="dxa"/>
              <w:right w:w="108" w:type="dxa"/>
            </w:tcMar>
            <w:vAlign w:val="bottom"/>
          </w:tcPr>
          <w:p w14:paraId="5D077976" w14:textId="77777777" w:rsidR="00284822" w:rsidRDefault="00F77BF8">
            <w:pPr>
              <w:spacing w:before="120"/>
              <w:rPr>
                <w:rFonts w:ascii="Rockwell" w:hAnsi="Rockwell"/>
                <w:b/>
                <w:color w:val="000000"/>
                <w:szCs w:val="26"/>
              </w:rPr>
            </w:pPr>
            <w:r>
              <w:rPr>
                <w:rFonts w:ascii="Rockwell" w:hAnsi="Rockwell"/>
                <w:b/>
                <w:color w:val="000000"/>
                <w:szCs w:val="26"/>
              </w:rPr>
              <w:t>RPD</w:t>
            </w:r>
          </w:p>
        </w:tc>
        <w:tc>
          <w:tcPr>
            <w:tcW w:w="1831" w:type="dxa"/>
            <w:shd w:val="clear" w:color="auto" w:fill="auto"/>
            <w:tcMar>
              <w:top w:w="0" w:type="dxa"/>
              <w:left w:w="108" w:type="dxa"/>
              <w:bottom w:w="0" w:type="dxa"/>
              <w:right w:w="108" w:type="dxa"/>
            </w:tcMar>
            <w:vAlign w:val="center"/>
          </w:tcPr>
          <w:p w14:paraId="02CB8C8C" w14:textId="77777777" w:rsidR="00284822" w:rsidRDefault="00F77BF8">
            <w:pPr>
              <w:spacing w:before="120"/>
              <w:rPr>
                <w:rFonts w:ascii="Rockwell" w:hAnsi="Rockwell"/>
                <w:color w:val="000000"/>
                <w:szCs w:val="26"/>
              </w:rPr>
            </w:pPr>
            <w:r>
              <w:rPr>
                <w:rFonts w:ascii="Rockwell" w:hAnsi="Rockwell"/>
                <w:color w:val="000000"/>
                <w:szCs w:val="26"/>
              </w:rPr>
              <w:t>2</w:t>
            </w:r>
          </w:p>
        </w:tc>
        <w:tc>
          <w:tcPr>
            <w:tcW w:w="2272" w:type="dxa"/>
            <w:shd w:val="clear" w:color="auto" w:fill="auto"/>
            <w:tcMar>
              <w:top w:w="0" w:type="dxa"/>
              <w:left w:w="108" w:type="dxa"/>
              <w:bottom w:w="0" w:type="dxa"/>
              <w:right w:w="108" w:type="dxa"/>
            </w:tcMar>
            <w:vAlign w:val="center"/>
          </w:tcPr>
          <w:p w14:paraId="55DB80D1" w14:textId="77777777" w:rsidR="00284822" w:rsidRDefault="00F77BF8">
            <w:pPr>
              <w:spacing w:before="120"/>
              <w:rPr>
                <w:rFonts w:ascii="Rockwell" w:hAnsi="Rockwell"/>
                <w:color w:val="000000"/>
                <w:szCs w:val="26"/>
              </w:rPr>
            </w:pPr>
            <w:r>
              <w:rPr>
                <w:rFonts w:ascii="Rockwell" w:hAnsi="Rockwell"/>
                <w:color w:val="000000"/>
                <w:szCs w:val="26"/>
              </w:rPr>
              <w:t>3,54%</w:t>
            </w:r>
          </w:p>
        </w:tc>
        <w:tc>
          <w:tcPr>
            <w:tcW w:w="1947" w:type="dxa"/>
            <w:shd w:val="clear" w:color="auto" w:fill="auto"/>
            <w:tcMar>
              <w:top w:w="0" w:type="dxa"/>
              <w:left w:w="108" w:type="dxa"/>
              <w:bottom w:w="0" w:type="dxa"/>
              <w:right w:w="108" w:type="dxa"/>
            </w:tcMar>
            <w:vAlign w:val="center"/>
          </w:tcPr>
          <w:p w14:paraId="60E9C757" w14:textId="77777777" w:rsidR="00284822" w:rsidRDefault="00F77BF8">
            <w:pPr>
              <w:spacing w:before="120"/>
              <w:rPr>
                <w:rFonts w:ascii="Rockwell" w:hAnsi="Rockwell"/>
                <w:color w:val="000000"/>
                <w:szCs w:val="26"/>
              </w:rPr>
            </w:pPr>
            <w:r>
              <w:rPr>
                <w:rFonts w:ascii="Rockwell" w:hAnsi="Rockwell"/>
                <w:color w:val="000000"/>
                <w:szCs w:val="26"/>
              </w:rPr>
              <w:t>2</w:t>
            </w:r>
          </w:p>
        </w:tc>
        <w:tc>
          <w:tcPr>
            <w:tcW w:w="3274" w:type="dxa"/>
            <w:shd w:val="clear" w:color="auto" w:fill="auto"/>
            <w:tcMar>
              <w:top w:w="0" w:type="dxa"/>
              <w:left w:w="108" w:type="dxa"/>
              <w:bottom w:w="0" w:type="dxa"/>
              <w:right w:w="108" w:type="dxa"/>
            </w:tcMar>
            <w:vAlign w:val="center"/>
          </w:tcPr>
          <w:p w14:paraId="0391374A" w14:textId="77777777" w:rsidR="00284822" w:rsidRDefault="00F77BF8">
            <w:pPr>
              <w:spacing w:before="120"/>
              <w:rPr>
                <w:rFonts w:ascii="Rockwell" w:hAnsi="Rockwell"/>
                <w:color w:val="000000"/>
                <w:szCs w:val="26"/>
              </w:rPr>
            </w:pPr>
            <w:r>
              <w:rPr>
                <w:rFonts w:ascii="Rockwell" w:hAnsi="Rockwell"/>
                <w:color w:val="000000"/>
                <w:szCs w:val="26"/>
              </w:rPr>
              <w:t>2,25%</w:t>
            </w:r>
          </w:p>
        </w:tc>
      </w:tr>
      <w:tr w:rsidR="00284822" w14:paraId="28FBF994" w14:textId="77777777">
        <w:trPr>
          <w:trHeight w:val="89"/>
          <w:jc w:val="center"/>
        </w:trPr>
        <w:tc>
          <w:tcPr>
            <w:tcW w:w="1129" w:type="dxa"/>
            <w:shd w:val="clear" w:color="auto" w:fill="auto"/>
            <w:tcMar>
              <w:top w:w="0" w:type="dxa"/>
              <w:left w:w="108" w:type="dxa"/>
              <w:bottom w:w="0" w:type="dxa"/>
              <w:right w:w="108" w:type="dxa"/>
            </w:tcMar>
            <w:vAlign w:val="center"/>
          </w:tcPr>
          <w:p w14:paraId="079EFD7C" w14:textId="77777777" w:rsidR="00284822" w:rsidRDefault="00F77BF8">
            <w:pPr>
              <w:spacing w:before="120"/>
              <w:rPr>
                <w:rFonts w:ascii="Rockwell" w:hAnsi="Rockwell"/>
                <w:szCs w:val="26"/>
              </w:rPr>
            </w:pPr>
            <w:r>
              <w:rPr>
                <w:rFonts w:ascii="Rockwell" w:hAnsi="Rockwell"/>
                <w:b/>
                <w:bCs/>
                <w:color w:val="000000"/>
                <w:szCs w:val="26"/>
              </w:rPr>
              <w:t>7</w:t>
            </w:r>
            <w:r>
              <w:rPr>
                <w:rFonts w:ascii="Rockwell" w:hAnsi="Rockwell"/>
                <w:b/>
                <w:bCs/>
                <w:color w:val="000000"/>
                <w:szCs w:val="26"/>
                <w:vertAlign w:val="superscript"/>
              </w:rPr>
              <w:t>e</w:t>
            </w:r>
            <w:r>
              <w:rPr>
                <w:rFonts w:ascii="Rockwell" w:hAnsi="Rockwell"/>
                <w:b/>
                <w:bCs/>
                <w:color w:val="000000"/>
                <w:szCs w:val="26"/>
              </w:rPr>
              <w:t xml:space="preserve"> ex</w:t>
            </w:r>
          </w:p>
        </w:tc>
        <w:tc>
          <w:tcPr>
            <w:tcW w:w="3501" w:type="dxa"/>
            <w:shd w:val="clear" w:color="auto" w:fill="auto"/>
            <w:tcMar>
              <w:top w:w="0" w:type="dxa"/>
              <w:left w:w="108" w:type="dxa"/>
              <w:bottom w:w="0" w:type="dxa"/>
              <w:right w:w="108" w:type="dxa"/>
            </w:tcMar>
            <w:vAlign w:val="bottom"/>
          </w:tcPr>
          <w:p w14:paraId="796F2BD3" w14:textId="77777777" w:rsidR="00284822" w:rsidRDefault="00F77BF8">
            <w:pPr>
              <w:spacing w:before="120"/>
              <w:rPr>
                <w:rFonts w:ascii="Rockwell" w:hAnsi="Rockwell"/>
                <w:b/>
                <w:color w:val="000000"/>
                <w:szCs w:val="26"/>
              </w:rPr>
            </w:pPr>
            <w:r>
              <w:rPr>
                <w:rFonts w:ascii="Rockwell" w:hAnsi="Rockwell"/>
                <w:b/>
                <w:color w:val="000000"/>
                <w:szCs w:val="26"/>
              </w:rPr>
              <w:t>UNDD</w:t>
            </w:r>
          </w:p>
        </w:tc>
        <w:tc>
          <w:tcPr>
            <w:tcW w:w="1831" w:type="dxa"/>
            <w:shd w:val="clear" w:color="auto" w:fill="auto"/>
            <w:tcMar>
              <w:top w:w="0" w:type="dxa"/>
              <w:left w:w="108" w:type="dxa"/>
              <w:bottom w:w="0" w:type="dxa"/>
              <w:right w:w="108" w:type="dxa"/>
            </w:tcMar>
            <w:vAlign w:val="center"/>
          </w:tcPr>
          <w:p w14:paraId="38F13D2E" w14:textId="77777777" w:rsidR="00284822" w:rsidRDefault="00F77BF8">
            <w:pPr>
              <w:spacing w:before="120"/>
              <w:rPr>
                <w:rFonts w:ascii="Rockwell" w:hAnsi="Rockwell"/>
                <w:color w:val="000000"/>
                <w:szCs w:val="26"/>
              </w:rPr>
            </w:pPr>
            <w:r>
              <w:rPr>
                <w:rFonts w:ascii="Rockwell" w:hAnsi="Rockwell"/>
                <w:color w:val="000000"/>
                <w:szCs w:val="26"/>
              </w:rPr>
              <w:t>2</w:t>
            </w:r>
          </w:p>
        </w:tc>
        <w:tc>
          <w:tcPr>
            <w:tcW w:w="2272" w:type="dxa"/>
            <w:shd w:val="clear" w:color="auto" w:fill="auto"/>
            <w:tcMar>
              <w:top w:w="0" w:type="dxa"/>
              <w:left w:w="108" w:type="dxa"/>
              <w:bottom w:w="0" w:type="dxa"/>
              <w:right w:w="108" w:type="dxa"/>
            </w:tcMar>
            <w:vAlign w:val="center"/>
          </w:tcPr>
          <w:p w14:paraId="19C4ED8C" w14:textId="77777777" w:rsidR="00284822" w:rsidRDefault="00F77BF8">
            <w:pPr>
              <w:spacing w:before="120"/>
              <w:rPr>
                <w:rFonts w:ascii="Rockwell" w:hAnsi="Rockwell"/>
                <w:color w:val="000000"/>
                <w:szCs w:val="26"/>
              </w:rPr>
            </w:pPr>
            <w:r>
              <w:rPr>
                <w:rFonts w:ascii="Rockwell" w:hAnsi="Rockwell"/>
                <w:color w:val="000000"/>
                <w:szCs w:val="26"/>
              </w:rPr>
              <w:t>3,54%</w:t>
            </w:r>
          </w:p>
        </w:tc>
        <w:tc>
          <w:tcPr>
            <w:tcW w:w="1947" w:type="dxa"/>
            <w:shd w:val="clear" w:color="auto" w:fill="auto"/>
            <w:tcMar>
              <w:top w:w="0" w:type="dxa"/>
              <w:left w:w="108" w:type="dxa"/>
              <w:bottom w:w="0" w:type="dxa"/>
              <w:right w:w="108" w:type="dxa"/>
            </w:tcMar>
            <w:vAlign w:val="center"/>
          </w:tcPr>
          <w:p w14:paraId="32D9D38D" w14:textId="77777777" w:rsidR="00284822" w:rsidRDefault="00F77BF8">
            <w:pPr>
              <w:spacing w:before="120"/>
              <w:rPr>
                <w:rFonts w:ascii="Rockwell" w:hAnsi="Rockwell"/>
                <w:color w:val="000000"/>
                <w:szCs w:val="26"/>
              </w:rPr>
            </w:pPr>
            <w:r>
              <w:rPr>
                <w:rFonts w:ascii="Rockwell" w:hAnsi="Rockwell"/>
                <w:color w:val="000000"/>
                <w:szCs w:val="26"/>
              </w:rPr>
              <w:t>2</w:t>
            </w:r>
          </w:p>
        </w:tc>
        <w:tc>
          <w:tcPr>
            <w:tcW w:w="3274" w:type="dxa"/>
            <w:shd w:val="clear" w:color="auto" w:fill="auto"/>
            <w:tcMar>
              <w:top w:w="0" w:type="dxa"/>
              <w:left w:w="108" w:type="dxa"/>
              <w:bottom w:w="0" w:type="dxa"/>
              <w:right w:w="108" w:type="dxa"/>
            </w:tcMar>
            <w:vAlign w:val="center"/>
          </w:tcPr>
          <w:p w14:paraId="69958AD5" w14:textId="77777777" w:rsidR="00284822" w:rsidRDefault="00F77BF8">
            <w:pPr>
              <w:spacing w:before="120"/>
              <w:rPr>
                <w:rFonts w:ascii="Rockwell" w:hAnsi="Rockwell"/>
                <w:color w:val="000000"/>
                <w:szCs w:val="26"/>
              </w:rPr>
            </w:pPr>
            <w:r>
              <w:rPr>
                <w:rFonts w:ascii="Rockwell" w:hAnsi="Rockwell"/>
                <w:color w:val="000000"/>
                <w:szCs w:val="26"/>
              </w:rPr>
              <w:t>2,25%</w:t>
            </w:r>
          </w:p>
        </w:tc>
      </w:tr>
      <w:tr w:rsidR="00284822" w14:paraId="5CF4EB4F" w14:textId="77777777">
        <w:trPr>
          <w:trHeight w:val="89"/>
          <w:jc w:val="center"/>
        </w:trPr>
        <w:tc>
          <w:tcPr>
            <w:tcW w:w="1129" w:type="dxa"/>
            <w:shd w:val="clear" w:color="auto" w:fill="auto"/>
            <w:tcMar>
              <w:top w:w="0" w:type="dxa"/>
              <w:left w:w="108" w:type="dxa"/>
              <w:bottom w:w="0" w:type="dxa"/>
              <w:right w:w="108" w:type="dxa"/>
            </w:tcMar>
            <w:vAlign w:val="center"/>
          </w:tcPr>
          <w:p w14:paraId="65A26154" w14:textId="77777777" w:rsidR="00284822" w:rsidRDefault="00F77BF8">
            <w:pPr>
              <w:spacing w:before="120"/>
              <w:rPr>
                <w:rFonts w:ascii="Rockwell" w:hAnsi="Rockwell"/>
                <w:szCs w:val="26"/>
              </w:rPr>
            </w:pPr>
            <w:r>
              <w:rPr>
                <w:rFonts w:ascii="Rockwell" w:hAnsi="Rockwell"/>
                <w:b/>
                <w:bCs/>
                <w:color w:val="000000"/>
                <w:szCs w:val="26"/>
              </w:rPr>
              <w:t>10</w:t>
            </w:r>
            <w:r>
              <w:rPr>
                <w:rFonts w:ascii="Rockwell" w:hAnsi="Rockwell"/>
                <w:b/>
                <w:bCs/>
                <w:szCs w:val="26"/>
                <w:vertAlign w:val="superscript"/>
              </w:rPr>
              <w:t>e</w:t>
            </w:r>
            <w:r>
              <w:rPr>
                <w:rFonts w:ascii="Rockwell" w:hAnsi="Rockwell"/>
                <w:b/>
                <w:bCs/>
                <w:szCs w:val="26"/>
              </w:rPr>
              <w:t xml:space="preserve"> </w:t>
            </w:r>
          </w:p>
        </w:tc>
        <w:tc>
          <w:tcPr>
            <w:tcW w:w="3501" w:type="dxa"/>
            <w:shd w:val="clear" w:color="auto" w:fill="auto"/>
            <w:tcMar>
              <w:top w:w="0" w:type="dxa"/>
              <w:left w:w="108" w:type="dxa"/>
              <w:bottom w:w="0" w:type="dxa"/>
              <w:right w:w="108" w:type="dxa"/>
            </w:tcMar>
            <w:vAlign w:val="bottom"/>
          </w:tcPr>
          <w:p w14:paraId="217CC70F" w14:textId="77777777" w:rsidR="00284822" w:rsidRDefault="00F77BF8">
            <w:pPr>
              <w:spacing w:before="120"/>
              <w:rPr>
                <w:rFonts w:ascii="Rockwell" w:hAnsi="Rockwell"/>
                <w:b/>
                <w:color w:val="000000"/>
                <w:szCs w:val="26"/>
              </w:rPr>
            </w:pPr>
            <w:r>
              <w:rPr>
                <w:rFonts w:ascii="Rockwell" w:hAnsi="Rockwell"/>
                <w:b/>
                <w:color w:val="000000"/>
                <w:szCs w:val="26"/>
              </w:rPr>
              <w:t>APP/B</w:t>
            </w:r>
          </w:p>
        </w:tc>
        <w:tc>
          <w:tcPr>
            <w:tcW w:w="1831" w:type="dxa"/>
            <w:shd w:val="clear" w:color="auto" w:fill="auto"/>
            <w:tcMar>
              <w:top w:w="0" w:type="dxa"/>
              <w:left w:w="108" w:type="dxa"/>
              <w:bottom w:w="0" w:type="dxa"/>
              <w:right w:w="108" w:type="dxa"/>
            </w:tcMar>
            <w:vAlign w:val="center"/>
          </w:tcPr>
          <w:p w14:paraId="4AED415F" w14:textId="77777777" w:rsidR="00284822" w:rsidRDefault="00F77BF8">
            <w:pPr>
              <w:spacing w:before="120"/>
              <w:rPr>
                <w:rFonts w:ascii="Rockwell" w:hAnsi="Rockwell"/>
                <w:color w:val="000000"/>
                <w:szCs w:val="26"/>
              </w:rPr>
            </w:pPr>
            <w:r>
              <w:rPr>
                <w:rFonts w:ascii="Rockwell" w:hAnsi="Rockwell"/>
                <w:color w:val="000000"/>
                <w:szCs w:val="26"/>
              </w:rPr>
              <w:t>1 et 1/2</w:t>
            </w:r>
          </w:p>
        </w:tc>
        <w:tc>
          <w:tcPr>
            <w:tcW w:w="2272" w:type="dxa"/>
            <w:shd w:val="clear" w:color="auto" w:fill="auto"/>
            <w:tcMar>
              <w:top w:w="0" w:type="dxa"/>
              <w:left w:w="108" w:type="dxa"/>
              <w:bottom w:w="0" w:type="dxa"/>
              <w:right w:w="108" w:type="dxa"/>
            </w:tcMar>
            <w:vAlign w:val="center"/>
          </w:tcPr>
          <w:p w14:paraId="0AF1B8D3" w14:textId="77777777" w:rsidR="00284822" w:rsidRDefault="00F77BF8">
            <w:pPr>
              <w:spacing w:before="120"/>
              <w:rPr>
                <w:rFonts w:ascii="Rockwell" w:hAnsi="Rockwell"/>
                <w:color w:val="000000"/>
                <w:szCs w:val="26"/>
              </w:rPr>
            </w:pPr>
            <w:r>
              <w:rPr>
                <w:rFonts w:ascii="Rockwell" w:hAnsi="Rockwell"/>
                <w:color w:val="000000"/>
                <w:szCs w:val="26"/>
              </w:rPr>
              <w:t>2,66%</w:t>
            </w:r>
          </w:p>
        </w:tc>
        <w:tc>
          <w:tcPr>
            <w:tcW w:w="1947" w:type="dxa"/>
            <w:shd w:val="clear" w:color="auto" w:fill="auto"/>
            <w:tcMar>
              <w:top w:w="0" w:type="dxa"/>
              <w:left w:w="108" w:type="dxa"/>
              <w:bottom w:w="0" w:type="dxa"/>
              <w:right w:w="108" w:type="dxa"/>
            </w:tcMar>
            <w:vAlign w:val="center"/>
          </w:tcPr>
          <w:p w14:paraId="764C2BEC" w14:textId="77777777" w:rsidR="00284822" w:rsidRDefault="00F77BF8">
            <w:pPr>
              <w:spacing w:before="120"/>
              <w:rPr>
                <w:rFonts w:ascii="Rockwell" w:hAnsi="Rockwell"/>
                <w:color w:val="000000"/>
                <w:szCs w:val="26"/>
              </w:rPr>
            </w:pPr>
            <w:r>
              <w:rPr>
                <w:rFonts w:ascii="Rockwell" w:hAnsi="Rockwell"/>
                <w:color w:val="000000"/>
                <w:szCs w:val="26"/>
              </w:rPr>
              <w:t>0</w:t>
            </w:r>
          </w:p>
        </w:tc>
        <w:tc>
          <w:tcPr>
            <w:tcW w:w="3274" w:type="dxa"/>
            <w:shd w:val="clear" w:color="auto" w:fill="auto"/>
            <w:tcMar>
              <w:top w:w="0" w:type="dxa"/>
              <w:left w:w="108" w:type="dxa"/>
              <w:bottom w:w="0" w:type="dxa"/>
              <w:right w:w="108" w:type="dxa"/>
            </w:tcMar>
            <w:vAlign w:val="center"/>
          </w:tcPr>
          <w:p w14:paraId="633E028E" w14:textId="77777777" w:rsidR="00284822" w:rsidRDefault="00F77BF8">
            <w:pPr>
              <w:spacing w:before="120"/>
              <w:rPr>
                <w:rFonts w:ascii="Rockwell" w:hAnsi="Rockwell"/>
                <w:color w:val="000000"/>
                <w:szCs w:val="26"/>
              </w:rPr>
            </w:pPr>
            <w:r>
              <w:rPr>
                <w:rFonts w:ascii="Rockwell" w:hAnsi="Rockwell"/>
                <w:color w:val="000000"/>
                <w:szCs w:val="26"/>
              </w:rPr>
              <w:t>0,00%</w:t>
            </w:r>
          </w:p>
        </w:tc>
      </w:tr>
    </w:tbl>
    <w:p w14:paraId="3AF41ADA" w14:textId="77777777" w:rsidR="00284822" w:rsidRDefault="00F77BF8">
      <w:pPr>
        <w:tabs>
          <w:tab w:val="left" w:pos="895"/>
        </w:tabs>
        <w:spacing w:before="120" w:after="120"/>
        <w:ind w:left="142"/>
        <w:rPr>
          <w:rFonts w:ascii="Rockwell" w:hAnsi="Rockwell"/>
          <w:i/>
          <w:sz w:val="20"/>
          <w:szCs w:val="20"/>
        </w:rPr>
      </w:pPr>
      <w:r>
        <w:rPr>
          <w:rFonts w:ascii="Rockwell" w:hAnsi="Rockwell"/>
          <w:i/>
          <w:sz w:val="20"/>
          <w:szCs w:val="20"/>
          <w:u w:val="single"/>
        </w:rPr>
        <w:t>Source</w:t>
      </w:r>
      <w:r>
        <w:rPr>
          <w:rFonts w:ascii="Rockwell" w:hAnsi="Rockwell"/>
          <w:i/>
          <w:sz w:val="20"/>
          <w:szCs w:val="20"/>
        </w:rPr>
        <w:t> : Monitoring CSC</w:t>
      </w:r>
    </w:p>
    <w:p w14:paraId="610193C2" w14:textId="77777777" w:rsidR="00284822" w:rsidRDefault="00284822">
      <w:pPr>
        <w:spacing w:before="120" w:after="120"/>
        <w:rPr>
          <w:rFonts w:ascii="Rockwell" w:hAnsi="Rockwell"/>
          <w:szCs w:val="26"/>
        </w:rPr>
        <w:sectPr w:rsidR="00284822">
          <w:pgSz w:w="16838" w:h="11906" w:orient="landscape"/>
          <w:pgMar w:top="1418" w:right="1418" w:bottom="1418" w:left="1418" w:header="170" w:footer="170" w:gutter="0"/>
          <w:cols w:space="720"/>
          <w:docGrid w:linePitch="354"/>
        </w:sectPr>
      </w:pPr>
    </w:p>
    <w:p w14:paraId="246C17B8" w14:textId="77777777" w:rsidR="00284822" w:rsidRDefault="00F77BF8">
      <w:pPr>
        <w:tabs>
          <w:tab w:val="left" w:pos="831"/>
        </w:tabs>
        <w:spacing w:before="120" w:after="120"/>
        <w:jc w:val="center"/>
        <w:rPr>
          <w:rFonts w:ascii="Rockwell" w:hAnsi="Rockwell"/>
          <w:i/>
          <w:sz w:val="20"/>
          <w:szCs w:val="20"/>
          <w:u w:val="single"/>
        </w:rPr>
      </w:pPr>
      <w:r>
        <w:rPr>
          <w:rFonts w:ascii="Rockwell" w:hAnsi="Rockwell"/>
          <w:i/>
          <w:sz w:val="20"/>
          <w:szCs w:val="20"/>
          <w:u w:val="single"/>
        </w:rPr>
        <w:lastRenderedPageBreak/>
        <w:t>Représentation graphique des NP et des NI obtenus par les dix premiers</w:t>
      </w:r>
    </w:p>
    <w:p w14:paraId="61D6A7E9" w14:textId="77777777" w:rsidR="00284822" w:rsidRDefault="00F77BF8">
      <w:pPr>
        <w:tabs>
          <w:tab w:val="left" w:pos="831"/>
        </w:tabs>
        <w:spacing w:before="120" w:after="120"/>
        <w:jc w:val="center"/>
        <w:rPr>
          <w:rFonts w:ascii="Rockwell" w:hAnsi="Rockwell"/>
          <w:i/>
          <w:sz w:val="20"/>
          <w:szCs w:val="20"/>
          <w:u w:val="single"/>
        </w:rPr>
      </w:pPr>
      <w:proofErr w:type="gramStart"/>
      <w:r>
        <w:rPr>
          <w:rFonts w:ascii="Rockwell" w:hAnsi="Rockwell"/>
          <w:i/>
          <w:sz w:val="20"/>
          <w:szCs w:val="20"/>
          <w:u w:val="single"/>
        </w:rPr>
        <w:t>partis</w:t>
      </w:r>
      <w:proofErr w:type="gramEnd"/>
      <w:r>
        <w:rPr>
          <w:rFonts w:ascii="Rockwell" w:hAnsi="Rockwell"/>
          <w:i/>
          <w:sz w:val="20"/>
          <w:szCs w:val="20"/>
          <w:u w:val="single"/>
        </w:rPr>
        <w:t xml:space="preserve"> politiques dans Aujourd’hui au Faso</w:t>
      </w:r>
    </w:p>
    <w:p w14:paraId="02F48D16" w14:textId="77777777" w:rsidR="00284822" w:rsidRDefault="00F77BF8">
      <w:pPr>
        <w:tabs>
          <w:tab w:val="left" w:pos="831"/>
        </w:tabs>
        <w:spacing w:before="120" w:after="120"/>
        <w:jc w:val="center"/>
        <w:rPr>
          <w:rFonts w:ascii="Rockwell" w:hAnsi="Rockwell"/>
          <w:szCs w:val="26"/>
        </w:rPr>
      </w:pPr>
      <w:r>
        <w:rPr>
          <w:rFonts w:ascii="Rockwell" w:hAnsi="Rockwell"/>
          <w:noProof/>
          <w:szCs w:val="26"/>
        </w:rPr>
        <w:drawing>
          <wp:inline distT="0" distB="0" distL="0" distR="0" wp14:anchorId="613BE1FF" wp14:editId="5159DB30">
            <wp:extent cx="6410325" cy="3828415"/>
            <wp:effectExtent l="0" t="0" r="0" b="0"/>
            <wp:docPr id="22" name="Graphique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7AD526A2" w14:textId="77777777" w:rsidR="00284822" w:rsidRDefault="00284822">
      <w:pPr>
        <w:pStyle w:val="Titre4"/>
        <w:spacing w:before="120" w:after="120"/>
        <w:rPr>
          <w:rFonts w:ascii="Rockwell" w:hAnsi="Rockwell"/>
          <w:i/>
          <w:sz w:val="16"/>
          <w:szCs w:val="16"/>
        </w:rPr>
      </w:pPr>
    </w:p>
    <w:p w14:paraId="5E38040C" w14:textId="015AC492" w:rsidR="00284822" w:rsidRDefault="00F77BF8">
      <w:pPr>
        <w:pStyle w:val="Titre4"/>
        <w:spacing w:before="120" w:after="120"/>
        <w:rPr>
          <w:rFonts w:ascii="Rockwell" w:hAnsi="Rockwell"/>
        </w:rPr>
      </w:pPr>
      <w:bookmarkStart w:id="144" w:name="_Toc175048668"/>
      <w:r>
        <w:rPr>
          <w:rFonts w:ascii="Rockwell" w:hAnsi="Rockwell"/>
        </w:rPr>
        <w:t xml:space="preserve">Paragraphe 2 : </w:t>
      </w:r>
      <w:bookmarkStart w:id="145" w:name="_Hlk161911974"/>
      <w:r w:rsidR="000A1561">
        <w:rPr>
          <w:rFonts w:ascii="Rockwell" w:hAnsi="Rockwell"/>
        </w:rPr>
        <w:t>O</w:t>
      </w:r>
      <w:r>
        <w:rPr>
          <w:rFonts w:ascii="Rockwell" w:hAnsi="Rockwell"/>
        </w:rPr>
        <w:t>bservation du pluralisme et de l’équilibre</w:t>
      </w:r>
      <w:bookmarkEnd w:id="144"/>
    </w:p>
    <w:p w14:paraId="26002032" w14:textId="77777777" w:rsidR="00284822" w:rsidRDefault="00F77BF8">
      <w:pPr>
        <w:pStyle w:val="Titre4"/>
        <w:spacing w:before="120" w:after="120"/>
        <w:rPr>
          <w:rFonts w:ascii="Rockwell" w:hAnsi="Rockwell"/>
        </w:rPr>
      </w:pPr>
      <w:bookmarkStart w:id="146" w:name="_Toc175048669"/>
      <w:proofErr w:type="gramStart"/>
      <w:r>
        <w:rPr>
          <w:rFonts w:ascii="Rockwell" w:hAnsi="Rockwell"/>
        </w:rPr>
        <w:t>de</w:t>
      </w:r>
      <w:proofErr w:type="gramEnd"/>
      <w:r>
        <w:rPr>
          <w:rFonts w:ascii="Rockwell" w:hAnsi="Rockwell"/>
        </w:rPr>
        <w:t xml:space="preserve"> l’information dans les hebdomadaires</w:t>
      </w:r>
      <w:bookmarkEnd w:id="146"/>
    </w:p>
    <w:bookmarkEnd w:id="145"/>
    <w:p w14:paraId="74E094DB" w14:textId="77777777" w:rsidR="00284822" w:rsidRDefault="00F77BF8">
      <w:pPr>
        <w:spacing w:before="120" w:after="120"/>
        <w:rPr>
          <w:rFonts w:ascii="Rockwell" w:hAnsi="Rockwell"/>
          <w:szCs w:val="26"/>
        </w:rPr>
        <w:sectPr w:rsidR="00284822">
          <w:pgSz w:w="11906" w:h="16838"/>
          <w:pgMar w:top="1418" w:right="1418" w:bottom="1418" w:left="1418" w:header="170" w:footer="170" w:gutter="0"/>
          <w:cols w:space="720"/>
          <w:docGrid w:linePitch="354"/>
        </w:sectPr>
      </w:pPr>
      <w:r>
        <w:rPr>
          <w:rFonts w:ascii="Rockwell" w:hAnsi="Rockwell"/>
          <w:color w:val="000000" w:themeColor="text1"/>
          <w:szCs w:val="26"/>
        </w:rPr>
        <w:t xml:space="preserve">Au titre des hebdomadaires, l’observation du pluralisme et de l’équilibre de l’information a concerné </w:t>
      </w:r>
      <w:r>
        <w:rPr>
          <w:rFonts w:ascii="Rockwell" w:hAnsi="Rockwell"/>
          <w:i/>
          <w:color w:val="000000" w:themeColor="text1"/>
          <w:szCs w:val="26"/>
        </w:rPr>
        <w:t>L</w:t>
      </w:r>
      <w:r>
        <w:rPr>
          <w:rFonts w:ascii="Rockwell" w:hAnsi="Rockwell"/>
          <w:i/>
          <w:szCs w:val="26"/>
        </w:rPr>
        <w:t>a Lettre du Faso</w:t>
      </w:r>
      <w:r>
        <w:rPr>
          <w:rFonts w:ascii="Rockwell" w:hAnsi="Rockwell"/>
          <w:szCs w:val="26"/>
        </w:rPr>
        <w:t xml:space="preserve"> et </w:t>
      </w:r>
      <w:r>
        <w:rPr>
          <w:rFonts w:ascii="Rockwell" w:hAnsi="Rockwell"/>
          <w:i/>
          <w:szCs w:val="26"/>
        </w:rPr>
        <w:t>L’Economiste du Faso</w:t>
      </w:r>
      <w:r>
        <w:rPr>
          <w:rFonts w:ascii="Rockwell" w:hAnsi="Rockwell"/>
          <w:szCs w:val="26"/>
        </w:rPr>
        <w:t>.</w:t>
      </w:r>
      <w:r>
        <w:rPr>
          <w:rFonts w:ascii="Rockwell" w:hAnsi="Rockwell"/>
          <w:color w:val="000000" w:themeColor="text1"/>
          <w:szCs w:val="26"/>
        </w:rPr>
        <w:t xml:space="preserve"> </w:t>
      </w:r>
      <w:r>
        <w:rPr>
          <w:rFonts w:ascii="Rockwell" w:hAnsi="Rockwell"/>
          <w:szCs w:val="26"/>
        </w:rPr>
        <w:t xml:space="preserve">Cependant, seule </w:t>
      </w:r>
      <w:r>
        <w:rPr>
          <w:rFonts w:ascii="Rockwell" w:hAnsi="Rockwell"/>
          <w:i/>
          <w:szCs w:val="26"/>
        </w:rPr>
        <w:t>La Lettre du Faso</w:t>
      </w:r>
      <w:r>
        <w:rPr>
          <w:rFonts w:ascii="Rockwell" w:hAnsi="Rockwell"/>
          <w:szCs w:val="26"/>
        </w:rPr>
        <w:t xml:space="preserve"> a traité de l’actualité politique pendant la période de référence.</w:t>
      </w:r>
    </w:p>
    <w:p w14:paraId="404EDD2C" w14:textId="77777777" w:rsidR="00284822" w:rsidRDefault="00F77BF8">
      <w:pPr>
        <w:spacing w:before="120" w:after="120"/>
        <w:ind w:left="-709"/>
        <w:jc w:val="center"/>
        <w:rPr>
          <w:rFonts w:ascii="Rockwell" w:hAnsi="Rockwell"/>
          <w:i/>
          <w:sz w:val="20"/>
          <w:szCs w:val="20"/>
        </w:rPr>
      </w:pPr>
      <w:bookmarkStart w:id="147" w:name="_Toc124339233"/>
      <w:r>
        <w:rPr>
          <w:rFonts w:ascii="Rockwell" w:hAnsi="Rockwell"/>
          <w:b/>
          <w:sz w:val="20"/>
          <w:szCs w:val="20"/>
          <w:u w:val="single"/>
        </w:rPr>
        <w:lastRenderedPageBreak/>
        <w:t>Tableau 8</w:t>
      </w:r>
      <w:r>
        <w:rPr>
          <w:rFonts w:ascii="Rockwell" w:hAnsi="Rockwell"/>
          <w:sz w:val="20"/>
          <w:szCs w:val="20"/>
        </w:rPr>
        <w:t xml:space="preserve"> : </w:t>
      </w:r>
      <w:r>
        <w:rPr>
          <w:rFonts w:ascii="Rockwell" w:hAnsi="Rockwell"/>
          <w:i/>
          <w:sz w:val="20"/>
          <w:szCs w:val="20"/>
        </w:rPr>
        <w:t>Statistiques de données dans les hebdomadaires</w:t>
      </w:r>
    </w:p>
    <w:tbl>
      <w:tblPr>
        <w:tblW w:w="14307" w:type="dxa"/>
        <w:jc w:val="center"/>
        <w:tblLayout w:type="fixed"/>
        <w:tblCellMar>
          <w:left w:w="10" w:type="dxa"/>
          <w:right w:w="10" w:type="dxa"/>
        </w:tblCellMar>
        <w:tblLook w:val="04A0" w:firstRow="1" w:lastRow="0" w:firstColumn="1" w:lastColumn="0" w:noHBand="0" w:noVBand="1"/>
      </w:tblPr>
      <w:tblGrid>
        <w:gridCol w:w="1701"/>
        <w:gridCol w:w="850"/>
        <w:gridCol w:w="1134"/>
        <w:gridCol w:w="851"/>
        <w:gridCol w:w="1275"/>
        <w:gridCol w:w="1134"/>
        <w:gridCol w:w="1134"/>
        <w:gridCol w:w="851"/>
        <w:gridCol w:w="1134"/>
        <w:gridCol w:w="859"/>
        <w:gridCol w:w="1506"/>
        <w:gridCol w:w="751"/>
        <w:gridCol w:w="1127"/>
      </w:tblGrid>
      <w:tr w:rsidR="00284822" w14:paraId="4011D1C1" w14:textId="77777777">
        <w:trPr>
          <w:trHeight w:val="565"/>
          <w:jc w:val="center"/>
        </w:trPr>
        <w:tc>
          <w:tcPr>
            <w:tcW w:w="1701" w:type="dxa"/>
            <w:vMerge w:val="restart"/>
            <w:tcBorders>
              <w:top w:val="single" w:sz="8" w:space="0" w:color="000000"/>
              <w:left w:val="single" w:sz="8" w:space="0" w:color="000000"/>
              <w:bottom w:val="single" w:sz="8" w:space="0" w:color="000000"/>
              <w:right w:val="single" w:sz="8" w:space="0" w:color="000000"/>
            </w:tcBorders>
            <w:shd w:val="clear" w:color="auto" w:fill="9CC2E5" w:themeFill="accent1" w:themeFillTint="99"/>
            <w:tcMar>
              <w:top w:w="0" w:type="dxa"/>
              <w:left w:w="70" w:type="dxa"/>
              <w:bottom w:w="0" w:type="dxa"/>
              <w:right w:w="70" w:type="dxa"/>
            </w:tcMar>
          </w:tcPr>
          <w:p w14:paraId="2C87A6E5" w14:textId="77777777" w:rsidR="00284822" w:rsidRDefault="00F77BF8">
            <w:pPr>
              <w:spacing w:before="120" w:after="120"/>
              <w:rPr>
                <w:rFonts w:ascii="Rockwell" w:hAnsi="Rockwell"/>
                <w:b/>
                <w:bCs/>
                <w:color w:val="000000"/>
                <w:sz w:val="22"/>
                <w:szCs w:val="22"/>
              </w:rPr>
            </w:pPr>
            <w:r>
              <w:rPr>
                <w:rFonts w:ascii="Rockwell" w:hAnsi="Rockwell"/>
                <w:b/>
                <w:bCs/>
                <w:color w:val="000000"/>
                <w:sz w:val="22"/>
                <w:szCs w:val="22"/>
              </w:rPr>
              <w:t>ACTEURS POLITIQUES</w:t>
            </w:r>
          </w:p>
        </w:tc>
        <w:tc>
          <w:tcPr>
            <w:tcW w:w="4110" w:type="dxa"/>
            <w:gridSpan w:val="4"/>
            <w:tcBorders>
              <w:top w:val="single" w:sz="8" w:space="0" w:color="000000"/>
              <w:left w:val="single" w:sz="8" w:space="0" w:color="000000"/>
              <w:bottom w:val="single" w:sz="8" w:space="0" w:color="000000"/>
              <w:right w:val="single" w:sz="8" w:space="0" w:color="000000"/>
            </w:tcBorders>
            <w:shd w:val="clear" w:color="auto" w:fill="9CC2E5" w:themeFill="accent1" w:themeFillTint="99"/>
            <w:tcMar>
              <w:top w:w="0" w:type="dxa"/>
              <w:left w:w="70" w:type="dxa"/>
              <w:bottom w:w="0" w:type="dxa"/>
              <w:right w:w="70" w:type="dxa"/>
            </w:tcMar>
          </w:tcPr>
          <w:p w14:paraId="6B1A64B9" w14:textId="77777777" w:rsidR="00284822" w:rsidRDefault="003148F1">
            <w:pPr>
              <w:spacing w:before="120" w:after="120"/>
              <w:jc w:val="center"/>
              <w:rPr>
                <w:rFonts w:ascii="Rockwell" w:hAnsi="Rockwell"/>
                <w:color w:val="FF0000"/>
                <w:sz w:val="22"/>
                <w:szCs w:val="22"/>
              </w:rPr>
            </w:pPr>
            <w:hyperlink r:id="rId49" w:history="1">
              <w:r w:rsidR="00F77BF8">
                <w:rPr>
                  <w:rFonts w:ascii="Rockwell" w:hAnsi="Rockwell"/>
                  <w:b/>
                  <w:bCs/>
                  <w:sz w:val="22"/>
                  <w:szCs w:val="22"/>
                </w:rPr>
                <w:t>L'ECONOMISTE DU FASO</w:t>
              </w:r>
            </w:hyperlink>
          </w:p>
        </w:tc>
        <w:tc>
          <w:tcPr>
            <w:tcW w:w="4253" w:type="dxa"/>
            <w:gridSpan w:val="4"/>
            <w:tcBorders>
              <w:top w:val="single" w:sz="8" w:space="0" w:color="000000"/>
              <w:left w:val="single" w:sz="8" w:space="0" w:color="000000"/>
              <w:bottom w:val="single" w:sz="8" w:space="0" w:color="000000"/>
              <w:right w:val="single" w:sz="8" w:space="0" w:color="000000"/>
            </w:tcBorders>
            <w:shd w:val="clear" w:color="auto" w:fill="9CC2E5" w:themeFill="accent1" w:themeFillTint="99"/>
            <w:tcMar>
              <w:top w:w="0" w:type="dxa"/>
              <w:left w:w="70" w:type="dxa"/>
              <w:bottom w:w="0" w:type="dxa"/>
              <w:right w:w="70" w:type="dxa"/>
            </w:tcMar>
          </w:tcPr>
          <w:p w14:paraId="6E96FC9F" w14:textId="77777777" w:rsidR="00284822" w:rsidRDefault="00F77BF8">
            <w:pPr>
              <w:spacing w:before="120" w:after="120"/>
              <w:jc w:val="center"/>
              <w:rPr>
                <w:rFonts w:ascii="Rockwell" w:hAnsi="Rockwell"/>
                <w:b/>
                <w:bCs/>
                <w:color w:val="000000"/>
                <w:sz w:val="22"/>
                <w:szCs w:val="22"/>
              </w:rPr>
            </w:pPr>
            <w:r>
              <w:rPr>
                <w:rFonts w:ascii="Rockwell" w:hAnsi="Rockwell"/>
                <w:b/>
                <w:bCs/>
                <w:color w:val="000000"/>
                <w:sz w:val="22"/>
                <w:szCs w:val="22"/>
              </w:rPr>
              <w:t>LA LETTRE DU FASO</w:t>
            </w:r>
          </w:p>
        </w:tc>
        <w:tc>
          <w:tcPr>
            <w:tcW w:w="4243" w:type="dxa"/>
            <w:gridSpan w:val="4"/>
            <w:tcBorders>
              <w:top w:val="single" w:sz="8" w:space="0" w:color="000000"/>
              <w:left w:val="single" w:sz="8" w:space="0" w:color="000000"/>
              <w:bottom w:val="single" w:sz="8" w:space="0" w:color="000000"/>
              <w:right w:val="single" w:sz="8" w:space="0" w:color="000000"/>
            </w:tcBorders>
            <w:shd w:val="clear" w:color="auto" w:fill="9CC2E5" w:themeFill="accent1" w:themeFillTint="99"/>
            <w:tcMar>
              <w:top w:w="0" w:type="dxa"/>
              <w:left w:w="70" w:type="dxa"/>
              <w:bottom w:w="0" w:type="dxa"/>
              <w:right w:w="70" w:type="dxa"/>
            </w:tcMar>
          </w:tcPr>
          <w:p w14:paraId="316663DD" w14:textId="77777777" w:rsidR="00284822" w:rsidRDefault="00F77BF8">
            <w:pPr>
              <w:spacing w:before="120" w:after="120"/>
              <w:jc w:val="center"/>
              <w:rPr>
                <w:rFonts w:ascii="Rockwell" w:hAnsi="Rockwell"/>
                <w:b/>
                <w:bCs/>
                <w:color w:val="000000"/>
                <w:sz w:val="22"/>
                <w:szCs w:val="22"/>
              </w:rPr>
            </w:pPr>
            <w:r>
              <w:rPr>
                <w:rFonts w:ascii="Rockwell" w:hAnsi="Rockwell"/>
                <w:b/>
                <w:bCs/>
                <w:color w:val="000000"/>
                <w:sz w:val="22"/>
                <w:szCs w:val="22"/>
              </w:rPr>
              <w:t>TOTAL</w:t>
            </w:r>
          </w:p>
        </w:tc>
      </w:tr>
      <w:tr w:rsidR="00284822" w14:paraId="5D655813" w14:textId="77777777">
        <w:trPr>
          <w:trHeight w:val="575"/>
          <w:jc w:val="center"/>
        </w:trPr>
        <w:tc>
          <w:tcPr>
            <w:tcW w:w="1701" w:type="dxa"/>
            <w:vMerge/>
            <w:tcBorders>
              <w:top w:val="single" w:sz="8" w:space="0" w:color="000000"/>
              <w:left w:val="single" w:sz="8" w:space="0" w:color="000000"/>
              <w:bottom w:val="single" w:sz="8" w:space="0" w:color="000000"/>
              <w:right w:val="single" w:sz="8" w:space="0" w:color="000000"/>
            </w:tcBorders>
            <w:shd w:val="clear" w:color="auto" w:fill="9CC2E5" w:themeFill="accent1" w:themeFillTint="99"/>
            <w:tcMar>
              <w:top w:w="0" w:type="dxa"/>
              <w:left w:w="70" w:type="dxa"/>
              <w:bottom w:w="0" w:type="dxa"/>
              <w:right w:w="70" w:type="dxa"/>
            </w:tcMar>
          </w:tcPr>
          <w:p w14:paraId="06A8A2FF" w14:textId="77777777" w:rsidR="00284822" w:rsidRDefault="00284822">
            <w:pPr>
              <w:spacing w:before="120" w:after="120"/>
              <w:rPr>
                <w:rFonts w:ascii="Rockwell" w:hAnsi="Rockwell"/>
                <w:sz w:val="22"/>
                <w:szCs w:val="22"/>
              </w:rPr>
            </w:pPr>
          </w:p>
        </w:tc>
        <w:tc>
          <w:tcPr>
            <w:tcW w:w="850" w:type="dxa"/>
            <w:tcBorders>
              <w:bottom w:val="single" w:sz="8" w:space="0" w:color="000000"/>
              <w:right w:val="single" w:sz="8" w:space="0" w:color="000000"/>
            </w:tcBorders>
            <w:shd w:val="clear" w:color="auto" w:fill="9CC2E5" w:themeFill="accent1" w:themeFillTint="99"/>
            <w:tcMar>
              <w:top w:w="0" w:type="dxa"/>
              <w:left w:w="70" w:type="dxa"/>
              <w:bottom w:w="0" w:type="dxa"/>
              <w:right w:w="70" w:type="dxa"/>
            </w:tcMar>
          </w:tcPr>
          <w:p w14:paraId="0E81C7DD"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NP</w:t>
            </w:r>
          </w:p>
        </w:tc>
        <w:tc>
          <w:tcPr>
            <w:tcW w:w="1134" w:type="dxa"/>
            <w:tcBorders>
              <w:bottom w:val="single" w:sz="8" w:space="0" w:color="000000"/>
              <w:right w:val="single" w:sz="8" w:space="0" w:color="000000"/>
            </w:tcBorders>
            <w:shd w:val="clear" w:color="auto" w:fill="9CC2E5" w:themeFill="accent1" w:themeFillTint="99"/>
            <w:tcMar>
              <w:top w:w="0" w:type="dxa"/>
              <w:left w:w="70" w:type="dxa"/>
              <w:bottom w:w="0" w:type="dxa"/>
              <w:right w:w="70" w:type="dxa"/>
            </w:tcMar>
          </w:tcPr>
          <w:p w14:paraId="23DD17BE"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 NP</w:t>
            </w:r>
          </w:p>
        </w:tc>
        <w:tc>
          <w:tcPr>
            <w:tcW w:w="851" w:type="dxa"/>
            <w:tcBorders>
              <w:bottom w:val="single" w:sz="8" w:space="0" w:color="000000"/>
              <w:right w:val="single" w:sz="8" w:space="0" w:color="000000"/>
            </w:tcBorders>
            <w:shd w:val="clear" w:color="auto" w:fill="9CC2E5" w:themeFill="accent1" w:themeFillTint="99"/>
            <w:tcMar>
              <w:top w:w="0" w:type="dxa"/>
              <w:left w:w="70" w:type="dxa"/>
              <w:bottom w:w="0" w:type="dxa"/>
              <w:right w:w="70" w:type="dxa"/>
            </w:tcMar>
          </w:tcPr>
          <w:p w14:paraId="73E49F2C"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NI</w:t>
            </w:r>
          </w:p>
        </w:tc>
        <w:tc>
          <w:tcPr>
            <w:tcW w:w="1275" w:type="dxa"/>
            <w:tcBorders>
              <w:bottom w:val="single" w:sz="8" w:space="0" w:color="000000"/>
              <w:right w:val="single" w:sz="8" w:space="0" w:color="000000"/>
            </w:tcBorders>
            <w:shd w:val="clear" w:color="auto" w:fill="9CC2E5" w:themeFill="accent1" w:themeFillTint="99"/>
            <w:tcMar>
              <w:top w:w="0" w:type="dxa"/>
              <w:left w:w="70" w:type="dxa"/>
              <w:bottom w:w="0" w:type="dxa"/>
              <w:right w:w="70" w:type="dxa"/>
            </w:tcMar>
          </w:tcPr>
          <w:p w14:paraId="24BB624F"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 NI</w:t>
            </w:r>
          </w:p>
        </w:tc>
        <w:tc>
          <w:tcPr>
            <w:tcW w:w="1134" w:type="dxa"/>
            <w:tcBorders>
              <w:bottom w:val="single" w:sz="8" w:space="0" w:color="000000"/>
              <w:right w:val="single" w:sz="8" w:space="0" w:color="000000"/>
            </w:tcBorders>
            <w:shd w:val="clear" w:color="auto" w:fill="9CC2E5" w:themeFill="accent1" w:themeFillTint="99"/>
            <w:tcMar>
              <w:top w:w="0" w:type="dxa"/>
              <w:left w:w="70" w:type="dxa"/>
              <w:bottom w:w="0" w:type="dxa"/>
              <w:right w:w="70" w:type="dxa"/>
            </w:tcMar>
          </w:tcPr>
          <w:p w14:paraId="43B725F9"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NP</w:t>
            </w:r>
          </w:p>
        </w:tc>
        <w:tc>
          <w:tcPr>
            <w:tcW w:w="1134" w:type="dxa"/>
            <w:tcBorders>
              <w:bottom w:val="single" w:sz="8" w:space="0" w:color="000000"/>
              <w:right w:val="single" w:sz="8" w:space="0" w:color="000000"/>
            </w:tcBorders>
            <w:shd w:val="clear" w:color="auto" w:fill="9CC2E5" w:themeFill="accent1" w:themeFillTint="99"/>
            <w:tcMar>
              <w:top w:w="0" w:type="dxa"/>
              <w:left w:w="70" w:type="dxa"/>
              <w:bottom w:w="0" w:type="dxa"/>
              <w:right w:w="70" w:type="dxa"/>
            </w:tcMar>
          </w:tcPr>
          <w:p w14:paraId="6438A0EA"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 NP</w:t>
            </w:r>
          </w:p>
        </w:tc>
        <w:tc>
          <w:tcPr>
            <w:tcW w:w="851" w:type="dxa"/>
            <w:tcBorders>
              <w:bottom w:val="single" w:sz="8" w:space="0" w:color="000000"/>
              <w:right w:val="single" w:sz="8" w:space="0" w:color="000000"/>
            </w:tcBorders>
            <w:shd w:val="clear" w:color="auto" w:fill="9CC2E5" w:themeFill="accent1" w:themeFillTint="99"/>
            <w:tcMar>
              <w:top w:w="0" w:type="dxa"/>
              <w:left w:w="70" w:type="dxa"/>
              <w:bottom w:w="0" w:type="dxa"/>
              <w:right w:w="70" w:type="dxa"/>
            </w:tcMar>
          </w:tcPr>
          <w:p w14:paraId="6B821A94"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NI</w:t>
            </w:r>
          </w:p>
        </w:tc>
        <w:tc>
          <w:tcPr>
            <w:tcW w:w="1134" w:type="dxa"/>
            <w:tcBorders>
              <w:bottom w:val="single" w:sz="8" w:space="0" w:color="000000"/>
              <w:right w:val="single" w:sz="8" w:space="0" w:color="000000"/>
            </w:tcBorders>
            <w:shd w:val="clear" w:color="auto" w:fill="9CC2E5" w:themeFill="accent1" w:themeFillTint="99"/>
            <w:tcMar>
              <w:top w:w="0" w:type="dxa"/>
              <w:left w:w="70" w:type="dxa"/>
              <w:bottom w:w="0" w:type="dxa"/>
              <w:right w:w="70" w:type="dxa"/>
            </w:tcMar>
          </w:tcPr>
          <w:p w14:paraId="79429D58"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 NI</w:t>
            </w:r>
          </w:p>
        </w:tc>
        <w:tc>
          <w:tcPr>
            <w:tcW w:w="859" w:type="dxa"/>
            <w:tcBorders>
              <w:bottom w:val="single" w:sz="8" w:space="0" w:color="000000"/>
              <w:right w:val="single" w:sz="8" w:space="0" w:color="000000"/>
            </w:tcBorders>
            <w:shd w:val="clear" w:color="auto" w:fill="9CC2E5" w:themeFill="accent1" w:themeFillTint="99"/>
            <w:tcMar>
              <w:top w:w="0" w:type="dxa"/>
              <w:left w:w="70" w:type="dxa"/>
              <w:bottom w:w="0" w:type="dxa"/>
              <w:right w:w="70" w:type="dxa"/>
            </w:tcMar>
          </w:tcPr>
          <w:p w14:paraId="0B9B234C" w14:textId="77777777" w:rsidR="00284822" w:rsidRDefault="00F77BF8">
            <w:pPr>
              <w:spacing w:before="120" w:after="120"/>
              <w:jc w:val="center"/>
              <w:rPr>
                <w:rFonts w:ascii="Rockwell" w:hAnsi="Rockwell"/>
                <w:b/>
                <w:bCs/>
                <w:color w:val="000000"/>
                <w:sz w:val="22"/>
                <w:szCs w:val="22"/>
              </w:rPr>
            </w:pPr>
            <w:r>
              <w:rPr>
                <w:rFonts w:ascii="Rockwell" w:hAnsi="Rockwell"/>
                <w:b/>
                <w:bCs/>
                <w:color w:val="000000"/>
                <w:sz w:val="22"/>
                <w:szCs w:val="22"/>
              </w:rPr>
              <w:t>NP</w:t>
            </w:r>
          </w:p>
        </w:tc>
        <w:tc>
          <w:tcPr>
            <w:tcW w:w="1506" w:type="dxa"/>
            <w:tcBorders>
              <w:bottom w:val="single" w:sz="8" w:space="0" w:color="000000"/>
              <w:right w:val="single" w:sz="8" w:space="0" w:color="000000"/>
            </w:tcBorders>
            <w:shd w:val="clear" w:color="auto" w:fill="9CC2E5" w:themeFill="accent1" w:themeFillTint="99"/>
            <w:tcMar>
              <w:top w:w="0" w:type="dxa"/>
              <w:left w:w="70" w:type="dxa"/>
              <w:bottom w:w="0" w:type="dxa"/>
              <w:right w:w="70" w:type="dxa"/>
            </w:tcMar>
          </w:tcPr>
          <w:p w14:paraId="59A5C47E" w14:textId="77777777" w:rsidR="00284822" w:rsidRDefault="00F77BF8">
            <w:pPr>
              <w:spacing w:before="120" w:after="120"/>
              <w:jc w:val="center"/>
              <w:rPr>
                <w:rFonts w:ascii="Rockwell" w:hAnsi="Rockwell"/>
                <w:b/>
                <w:bCs/>
                <w:color w:val="000000"/>
                <w:sz w:val="22"/>
                <w:szCs w:val="22"/>
              </w:rPr>
            </w:pPr>
            <w:r>
              <w:rPr>
                <w:rFonts w:ascii="Rockwell" w:hAnsi="Rockwell"/>
                <w:b/>
                <w:bCs/>
                <w:color w:val="000000"/>
                <w:sz w:val="22"/>
                <w:szCs w:val="22"/>
              </w:rPr>
              <w:t>% NP</w:t>
            </w:r>
          </w:p>
        </w:tc>
        <w:tc>
          <w:tcPr>
            <w:tcW w:w="751" w:type="dxa"/>
            <w:tcBorders>
              <w:bottom w:val="single" w:sz="8" w:space="0" w:color="000000"/>
              <w:right w:val="single" w:sz="8" w:space="0" w:color="000000"/>
            </w:tcBorders>
            <w:shd w:val="clear" w:color="auto" w:fill="9CC2E5" w:themeFill="accent1" w:themeFillTint="99"/>
            <w:tcMar>
              <w:top w:w="0" w:type="dxa"/>
              <w:left w:w="70" w:type="dxa"/>
              <w:bottom w:w="0" w:type="dxa"/>
              <w:right w:w="70" w:type="dxa"/>
            </w:tcMar>
          </w:tcPr>
          <w:p w14:paraId="47700438" w14:textId="77777777" w:rsidR="00284822" w:rsidRDefault="00F77BF8">
            <w:pPr>
              <w:spacing w:before="120" w:after="120"/>
              <w:jc w:val="center"/>
              <w:rPr>
                <w:rFonts w:ascii="Rockwell" w:hAnsi="Rockwell"/>
                <w:b/>
                <w:bCs/>
                <w:color w:val="000000"/>
                <w:sz w:val="22"/>
                <w:szCs w:val="22"/>
              </w:rPr>
            </w:pPr>
            <w:r>
              <w:rPr>
                <w:rFonts w:ascii="Rockwell" w:hAnsi="Rockwell"/>
                <w:b/>
                <w:bCs/>
                <w:color w:val="000000"/>
                <w:sz w:val="22"/>
                <w:szCs w:val="22"/>
              </w:rPr>
              <w:t>NI</w:t>
            </w:r>
          </w:p>
        </w:tc>
        <w:tc>
          <w:tcPr>
            <w:tcW w:w="1127" w:type="dxa"/>
            <w:tcBorders>
              <w:bottom w:val="single" w:sz="8" w:space="0" w:color="000000"/>
              <w:right w:val="single" w:sz="8" w:space="0" w:color="000000"/>
            </w:tcBorders>
            <w:shd w:val="clear" w:color="auto" w:fill="9CC2E5" w:themeFill="accent1" w:themeFillTint="99"/>
            <w:tcMar>
              <w:top w:w="0" w:type="dxa"/>
              <w:left w:w="70" w:type="dxa"/>
              <w:bottom w:w="0" w:type="dxa"/>
              <w:right w:w="70" w:type="dxa"/>
            </w:tcMar>
          </w:tcPr>
          <w:p w14:paraId="2F5EA825" w14:textId="77777777" w:rsidR="00284822" w:rsidRDefault="00F77BF8">
            <w:pPr>
              <w:spacing w:before="120" w:after="120"/>
              <w:jc w:val="center"/>
              <w:rPr>
                <w:rFonts w:ascii="Rockwell" w:hAnsi="Rockwell"/>
                <w:b/>
                <w:bCs/>
                <w:color w:val="000000"/>
                <w:sz w:val="22"/>
                <w:szCs w:val="22"/>
              </w:rPr>
            </w:pPr>
            <w:r>
              <w:rPr>
                <w:rFonts w:ascii="Rockwell" w:hAnsi="Rockwell"/>
                <w:b/>
                <w:bCs/>
                <w:color w:val="000000"/>
                <w:sz w:val="22"/>
                <w:szCs w:val="22"/>
              </w:rPr>
              <w:t>% NI</w:t>
            </w:r>
          </w:p>
        </w:tc>
      </w:tr>
      <w:tr w:rsidR="00284822" w14:paraId="596B3916" w14:textId="77777777">
        <w:trPr>
          <w:trHeight w:val="990"/>
          <w:jc w:val="center"/>
        </w:trPr>
        <w:tc>
          <w:tcPr>
            <w:tcW w:w="1701" w:type="dxa"/>
            <w:tcBorders>
              <w:left w:val="single" w:sz="8" w:space="0" w:color="000000"/>
              <w:bottom w:val="single" w:sz="8" w:space="0" w:color="000000"/>
              <w:right w:val="single" w:sz="8" w:space="0" w:color="000000"/>
            </w:tcBorders>
            <w:shd w:val="clear" w:color="auto" w:fill="BDD6EE"/>
            <w:tcMar>
              <w:top w:w="0" w:type="dxa"/>
              <w:left w:w="70" w:type="dxa"/>
              <w:bottom w:w="0" w:type="dxa"/>
              <w:right w:w="70" w:type="dxa"/>
            </w:tcMar>
            <w:vAlign w:val="center"/>
          </w:tcPr>
          <w:p w14:paraId="13F0B96E" w14:textId="77777777" w:rsidR="00284822" w:rsidRDefault="00F77BF8">
            <w:pPr>
              <w:spacing w:before="120" w:after="120"/>
              <w:rPr>
                <w:rFonts w:ascii="Rockwell" w:hAnsi="Rockwell"/>
                <w:b/>
                <w:color w:val="000000"/>
                <w:sz w:val="22"/>
                <w:szCs w:val="22"/>
              </w:rPr>
            </w:pPr>
            <w:r>
              <w:rPr>
                <w:rFonts w:ascii="Rockwell" w:hAnsi="Rockwell"/>
                <w:b/>
                <w:color w:val="000000"/>
                <w:sz w:val="22"/>
                <w:szCs w:val="22"/>
              </w:rPr>
              <w:t>MPP</w:t>
            </w:r>
          </w:p>
        </w:tc>
        <w:tc>
          <w:tcPr>
            <w:tcW w:w="850" w:type="dxa"/>
            <w:tcBorders>
              <w:bottom w:val="single" w:sz="8" w:space="0" w:color="000000"/>
              <w:right w:val="single" w:sz="8" w:space="0" w:color="000000"/>
            </w:tcBorders>
            <w:shd w:val="clear" w:color="auto" w:fill="auto"/>
            <w:tcMar>
              <w:top w:w="0" w:type="dxa"/>
              <w:left w:w="70" w:type="dxa"/>
              <w:bottom w:w="0" w:type="dxa"/>
              <w:right w:w="70" w:type="dxa"/>
            </w:tcMar>
          </w:tcPr>
          <w:p w14:paraId="1506735A" w14:textId="77777777" w:rsidR="00284822" w:rsidRDefault="00F77BF8">
            <w:pPr>
              <w:spacing w:before="120" w:after="120"/>
              <w:jc w:val="center"/>
              <w:rPr>
                <w:rFonts w:ascii="Rockwell" w:hAnsi="Rockwell"/>
                <w:color w:val="000000"/>
                <w:sz w:val="22"/>
                <w:szCs w:val="22"/>
              </w:rPr>
            </w:pPr>
            <w:r>
              <w:rPr>
                <w:rFonts w:ascii="Rockwell" w:hAnsi="Rockwell"/>
                <w:color w:val="000000"/>
                <w:sz w:val="22"/>
                <w:szCs w:val="22"/>
              </w:rPr>
              <w:t>0</w:t>
            </w:r>
          </w:p>
        </w:tc>
        <w:tc>
          <w:tcPr>
            <w:tcW w:w="1134" w:type="dxa"/>
            <w:tcBorders>
              <w:bottom w:val="single" w:sz="8" w:space="0" w:color="000000"/>
              <w:right w:val="single" w:sz="8" w:space="0" w:color="000000"/>
            </w:tcBorders>
            <w:shd w:val="clear" w:color="auto" w:fill="auto"/>
            <w:tcMar>
              <w:top w:w="0" w:type="dxa"/>
              <w:left w:w="70" w:type="dxa"/>
              <w:bottom w:w="0" w:type="dxa"/>
              <w:right w:w="70" w:type="dxa"/>
            </w:tcMar>
          </w:tcPr>
          <w:p w14:paraId="3383F4A0" w14:textId="77777777" w:rsidR="00284822" w:rsidRDefault="00F77BF8">
            <w:pPr>
              <w:spacing w:before="120" w:after="120"/>
              <w:jc w:val="center"/>
              <w:rPr>
                <w:rFonts w:ascii="Rockwell" w:hAnsi="Rockwell"/>
                <w:sz w:val="22"/>
                <w:szCs w:val="22"/>
              </w:rPr>
            </w:pPr>
            <w:r>
              <w:rPr>
                <w:rFonts w:ascii="Rockwell" w:hAnsi="Rockwell"/>
                <w:color w:val="000000"/>
                <w:sz w:val="22"/>
                <w:szCs w:val="22"/>
              </w:rPr>
              <w:t>00,00%</w:t>
            </w:r>
          </w:p>
        </w:tc>
        <w:tc>
          <w:tcPr>
            <w:tcW w:w="851" w:type="dxa"/>
            <w:tcBorders>
              <w:bottom w:val="single" w:sz="8" w:space="0" w:color="000000"/>
              <w:right w:val="single" w:sz="8" w:space="0" w:color="000000"/>
            </w:tcBorders>
            <w:shd w:val="clear" w:color="auto" w:fill="auto"/>
            <w:tcMar>
              <w:top w:w="0" w:type="dxa"/>
              <w:left w:w="70" w:type="dxa"/>
              <w:bottom w:w="0" w:type="dxa"/>
              <w:right w:w="70" w:type="dxa"/>
            </w:tcMar>
          </w:tcPr>
          <w:p w14:paraId="684C690D" w14:textId="77777777" w:rsidR="00284822" w:rsidRDefault="00F77BF8">
            <w:pPr>
              <w:spacing w:before="120" w:after="120"/>
              <w:jc w:val="center"/>
              <w:rPr>
                <w:rFonts w:ascii="Rockwell" w:hAnsi="Rockwell"/>
                <w:color w:val="000000"/>
                <w:sz w:val="22"/>
                <w:szCs w:val="22"/>
              </w:rPr>
            </w:pPr>
            <w:r>
              <w:rPr>
                <w:rFonts w:ascii="Rockwell" w:hAnsi="Rockwell"/>
                <w:color w:val="000000"/>
                <w:sz w:val="22"/>
                <w:szCs w:val="22"/>
              </w:rPr>
              <w:t>0</w:t>
            </w:r>
          </w:p>
        </w:tc>
        <w:tc>
          <w:tcPr>
            <w:tcW w:w="1275" w:type="dxa"/>
            <w:tcBorders>
              <w:bottom w:val="single" w:sz="8" w:space="0" w:color="000000"/>
              <w:right w:val="single" w:sz="8" w:space="0" w:color="000000"/>
            </w:tcBorders>
            <w:shd w:val="clear" w:color="auto" w:fill="auto"/>
            <w:tcMar>
              <w:top w:w="0" w:type="dxa"/>
              <w:left w:w="70" w:type="dxa"/>
              <w:bottom w:w="0" w:type="dxa"/>
              <w:right w:w="70" w:type="dxa"/>
            </w:tcMar>
          </w:tcPr>
          <w:p w14:paraId="56670A23" w14:textId="77777777" w:rsidR="00284822" w:rsidRDefault="00F77BF8">
            <w:pPr>
              <w:spacing w:before="120" w:after="120"/>
              <w:jc w:val="center"/>
              <w:rPr>
                <w:rFonts w:ascii="Rockwell" w:hAnsi="Rockwell"/>
                <w:sz w:val="22"/>
                <w:szCs w:val="22"/>
              </w:rPr>
            </w:pPr>
            <w:r>
              <w:rPr>
                <w:rFonts w:ascii="Rockwell" w:hAnsi="Rockwell"/>
                <w:color w:val="000000"/>
                <w:sz w:val="22"/>
                <w:szCs w:val="22"/>
              </w:rPr>
              <w:t>00,00%</w:t>
            </w:r>
          </w:p>
        </w:tc>
        <w:tc>
          <w:tcPr>
            <w:tcW w:w="1134" w:type="dxa"/>
            <w:tcBorders>
              <w:bottom w:val="single" w:sz="8" w:space="0" w:color="000000"/>
              <w:right w:val="single" w:sz="8" w:space="0" w:color="000000"/>
            </w:tcBorders>
            <w:shd w:val="clear" w:color="auto" w:fill="auto"/>
            <w:tcMar>
              <w:top w:w="0" w:type="dxa"/>
              <w:left w:w="70" w:type="dxa"/>
              <w:bottom w:w="0" w:type="dxa"/>
              <w:right w:w="70" w:type="dxa"/>
            </w:tcMar>
          </w:tcPr>
          <w:p w14:paraId="49FCC891" w14:textId="77777777" w:rsidR="00284822" w:rsidRDefault="00F77BF8">
            <w:pPr>
              <w:spacing w:before="120" w:after="120"/>
              <w:jc w:val="center"/>
              <w:rPr>
                <w:rFonts w:ascii="Rockwell" w:hAnsi="Rockwell"/>
                <w:color w:val="000000"/>
                <w:sz w:val="22"/>
                <w:szCs w:val="22"/>
              </w:rPr>
            </w:pPr>
            <w:r>
              <w:rPr>
                <w:rFonts w:ascii="Rockwell" w:hAnsi="Rockwell"/>
                <w:color w:val="000000"/>
                <w:sz w:val="22"/>
                <w:szCs w:val="22"/>
              </w:rPr>
              <w:t>2</w:t>
            </w:r>
          </w:p>
        </w:tc>
        <w:tc>
          <w:tcPr>
            <w:tcW w:w="1134" w:type="dxa"/>
            <w:tcBorders>
              <w:bottom w:val="single" w:sz="8" w:space="0" w:color="000000"/>
              <w:right w:val="single" w:sz="8" w:space="0" w:color="000000"/>
            </w:tcBorders>
            <w:shd w:val="clear" w:color="auto" w:fill="auto"/>
            <w:tcMar>
              <w:top w:w="0" w:type="dxa"/>
              <w:left w:w="70" w:type="dxa"/>
              <w:bottom w:w="0" w:type="dxa"/>
              <w:right w:w="70" w:type="dxa"/>
            </w:tcMar>
          </w:tcPr>
          <w:p w14:paraId="01A73314" w14:textId="77777777" w:rsidR="00284822" w:rsidRDefault="00F77BF8">
            <w:pPr>
              <w:spacing w:before="120" w:after="120"/>
              <w:jc w:val="center"/>
              <w:rPr>
                <w:rFonts w:ascii="Rockwell" w:hAnsi="Rockwell"/>
                <w:color w:val="000000"/>
                <w:sz w:val="22"/>
                <w:szCs w:val="22"/>
              </w:rPr>
            </w:pPr>
            <w:r>
              <w:rPr>
                <w:rFonts w:ascii="Rockwell" w:hAnsi="Rockwell"/>
                <w:color w:val="000000"/>
                <w:sz w:val="22"/>
                <w:szCs w:val="22"/>
              </w:rPr>
              <w:t>48,00%</w:t>
            </w:r>
          </w:p>
        </w:tc>
        <w:tc>
          <w:tcPr>
            <w:tcW w:w="851" w:type="dxa"/>
            <w:tcBorders>
              <w:bottom w:val="single" w:sz="8" w:space="0" w:color="000000"/>
              <w:right w:val="single" w:sz="8" w:space="0" w:color="000000"/>
            </w:tcBorders>
            <w:shd w:val="clear" w:color="auto" w:fill="auto"/>
            <w:tcMar>
              <w:top w:w="0" w:type="dxa"/>
              <w:left w:w="70" w:type="dxa"/>
              <w:bottom w:w="0" w:type="dxa"/>
              <w:right w:w="70" w:type="dxa"/>
            </w:tcMar>
          </w:tcPr>
          <w:p w14:paraId="065F35ED" w14:textId="77777777" w:rsidR="00284822" w:rsidRDefault="00F77BF8">
            <w:pPr>
              <w:spacing w:before="120" w:after="120"/>
              <w:jc w:val="center"/>
              <w:rPr>
                <w:rFonts w:ascii="Rockwell" w:hAnsi="Rockwell"/>
                <w:color w:val="000000"/>
                <w:sz w:val="22"/>
                <w:szCs w:val="22"/>
              </w:rPr>
            </w:pPr>
            <w:r>
              <w:rPr>
                <w:rFonts w:ascii="Rockwell" w:hAnsi="Rockwell"/>
                <w:color w:val="000000"/>
                <w:sz w:val="22"/>
                <w:szCs w:val="22"/>
              </w:rPr>
              <w:t>4</w:t>
            </w:r>
          </w:p>
        </w:tc>
        <w:tc>
          <w:tcPr>
            <w:tcW w:w="1134" w:type="dxa"/>
            <w:tcBorders>
              <w:bottom w:val="single" w:sz="8" w:space="0" w:color="000000"/>
              <w:right w:val="single" w:sz="8" w:space="0" w:color="000000"/>
            </w:tcBorders>
            <w:shd w:val="clear" w:color="auto" w:fill="auto"/>
            <w:tcMar>
              <w:top w:w="0" w:type="dxa"/>
              <w:left w:w="70" w:type="dxa"/>
              <w:bottom w:w="0" w:type="dxa"/>
              <w:right w:w="70" w:type="dxa"/>
            </w:tcMar>
          </w:tcPr>
          <w:p w14:paraId="0DA4664C" w14:textId="77777777" w:rsidR="00284822" w:rsidRDefault="00F77BF8">
            <w:pPr>
              <w:spacing w:before="120" w:after="120"/>
              <w:jc w:val="center"/>
              <w:rPr>
                <w:rFonts w:ascii="Rockwell" w:hAnsi="Rockwell"/>
                <w:color w:val="000000"/>
                <w:sz w:val="22"/>
                <w:szCs w:val="22"/>
              </w:rPr>
            </w:pPr>
            <w:r>
              <w:rPr>
                <w:rFonts w:ascii="Rockwell" w:hAnsi="Rockwell"/>
                <w:color w:val="000000"/>
                <w:sz w:val="22"/>
                <w:szCs w:val="22"/>
              </w:rPr>
              <w:t>44,44%</w:t>
            </w:r>
          </w:p>
        </w:tc>
        <w:tc>
          <w:tcPr>
            <w:tcW w:w="859" w:type="dxa"/>
            <w:tcBorders>
              <w:bottom w:val="single" w:sz="8" w:space="0" w:color="000000"/>
              <w:right w:val="single" w:sz="8" w:space="0" w:color="000000"/>
            </w:tcBorders>
            <w:shd w:val="clear" w:color="auto" w:fill="auto"/>
            <w:tcMar>
              <w:top w:w="0" w:type="dxa"/>
              <w:left w:w="70" w:type="dxa"/>
              <w:bottom w:w="0" w:type="dxa"/>
              <w:right w:w="70" w:type="dxa"/>
            </w:tcMar>
          </w:tcPr>
          <w:p w14:paraId="76F51C20"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2</w:t>
            </w:r>
          </w:p>
        </w:tc>
        <w:tc>
          <w:tcPr>
            <w:tcW w:w="1506" w:type="dxa"/>
            <w:tcBorders>
              <w:bottom w:val="single" w:sz="8" w:space="0" w:color="000000"/>
              <w:right w:val="single" w:sz="8" w:space="0" w:color="000000"/>
            </w:tcBorders>
            <w:shd w:val="clear" w:color="auto" w:fill="auto"/>
            <w:tcMar>
              <w:top w:w="0" w:type="dxa"/>
              <w:left w:w="70" w:type="dxa"/>
              <w:bottom w:w="0" w:type="dxa"/>
              <w:right w:w="70" w:type="dxa"/>
            </w:tcMar>
          </w:tcPr>
          <w:p w14:paraId="3444E022"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48,00%</w:t>
            </w:r>
          </w:p>
        </w:tc>
        <w:tc>
          <w:tcPr>
            <w:tcW w:w="751" w:type="dxa"/>
            <w:tcBorders>
              <w:bottom w:val="single" w:sz="8" w:space="0" w:color="000000"/>
              <w:right w:val="single" w:sz="8" w:space="0" w:color="000000"/>
            </w:tcBorders>
            <w:shd w:val="clear" w:color="auto" w:fill="auto"/>
            <w:tcMar>
              <w:top w:w="0" w:type="dxa"/>
              <w:left w:w="70" w:type="dxa"/>
              <w:bottom w:w="0" w:type="dxa"/>
              <w:right w:w="70" w:type="dxa"/>
            </w:tcMar>
          </w:tcPr>
          <w:p w14:paraId="5157429B"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4</w:t>
            </w:r>
          </w:p>
        </w:tc>
        <w:tc>
          <w:tcPr>
            <w:tcW w:w="1127" w:type="dxa"/>
            <w:tcBorders>
              <w:bottom w:val="single" w:sz="8" w:space="0" w:color="000000"/>
              <w:right w:val="single" w:sz="8" w:space="0" w:color="000000"/>
            </w:tcBorders>
            <w:shd w:val="clear" w:color="auto" w:fill="auto"/>
            <w:tcMar>
              <w:top w:w="0" w:type="dxa"/>
              <w:left w:w="70" w:type="dxa"/>
              <w:bottom w:w="0" w:type="dxa"/>
              <w:right w:w="70" w:type="dxa"/>
            </w:tcMar>
          </w:tcPr>
          <w:p w14:paraId="1BA30E60"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44,44%</w:t>
            </w:r>
          </w:p>
        </w:tc>
      </w:tr>
      <w:tr w:rsidR="00284822" w14:paraId="42F91AC3" w14:textId="77777777">
        <w:trPr>
          <w:trHeight w:val="89"/>
          <w:jc w:val="center"/>
        </w:trPr>
        <w:tc>
          <w:tcPr>
            <w:tcW w:w="1701" w:type="dxa"/>
            <w:tcBorders>
              <w:left w:val="single" w:sz="8" w:space="0" w:color="000000"/>
              <w:bottom w:val="single" w:sz="8" w:space="0" w:color="000000"/>
              <w:right w:val="single" w:sz="8" w:space="0" w:color="000000"/>
            </w:tcBorders>
            <w:shd w:val="clear" w:color="auto" w:fill="BDD6EE"/>
            <w:tcMar>
              <w:top w:w="0" w:type="dxa"/>
              <w:left w:w="70" w:type="dxa"/>
              <w:bottom w:w="0" w:type="dxa"/>
              <w:right w:w="70" w:type="dxa"/>
            </w:tcMar>
            <w:vAlign w:val="center"/>
          </w:tcPr>
          <w:p w14:paraId="0179F463" w14:textId="77777777" w:rsidR="00284822" w:rsidRDefault="00F77BF8">
            <w:pPr>
              <w:spacing w:before="120" w:after="120"/>
              <w:rPr>
                <w:rFonts w:ascii="Rockwell" w:hAnsi="Rockwell"/>
                <w:b/>
                <w:color w:val="000000"/>
                <w:sz w:val="22"/>
                <w:szCs w:val="22"/>
              </w:rPr>
            </w:pPr>
            <w:r>
              <w:rPr>
                <w:rFonts w:ascii="Rockwell" w:hAnsi="Rockwell"/>
                <w:b/>
                <w:color w:val="000000"/>
                <w:sz w:val="22"/>
                <w:szCs w:val="22"/>
              </w:rPr>
              <w:t>PPS</w:t>
            </w:r>
          </w:p>
        </w:tc>
        <w:tc>
          <w:tcPr>
            <w:tcW w:w="850" w:type="dxa"/>
            <w:tcBorders>
              <w:bottom w:val="single" w:sz="8" w:space="0" w:color="000000"/>
              <w:right w:val="single" w:sz="8" w:space="0" w:color="000000"/>
            </w:tcBorders>
            <w:shd w:val="clear" w:color="auto" w:fill="auto"/>
            <w:tcMar>
              <w:top w:w="0" w:type="dxa"/>
              <w:left w:w="70" w:type="dxa"/>
              <w:bottom w:w="0" w:type="dxa"/>
              <w:right w:w="70" w:type="dxa"/>
            </w:tcMar>
          </w:tcPr>
          <w:p w14:paraId="3EA122F3" w14:textId="77777777" w:rsidR="00284822" w:rsidRDefault="00F77BF8">
            <w:pPr>
              <w:spacing w:before="120" w:after="120"/>
              <w:jc w:val="center"/>
              <w:rPr>
                <w:rFonts w:ascii="Rockwell" w:hAnsi="Rockwell"/>
                <w:color w:val="000000"/>
                <w:sz w:val="22"/>
                <w:szCs w:val="22"/>
              </w:rPr>
            </w:pPr>
            <w:r>
              <w:rPr>
                <w:rFonts w:ascii="Rockwell" w:hAnsi="Rockwell"/>
                <w:color w:val="000000"/>
                <w:sz w:val="22"/>
                <w:szCs w:val="22"/>
              </w:rPr>
              <w:t>0</w:t>
            </w:r>
          </w:p>
        </w:tc>
        <w:tc>
          <w:tcPr>
            <w:tcW w:w="1134" w:type="dxa"/>
            <w:tcBorders>
              <w:bottom w:val="single" w:sz="8" w:space="0" w:color="000000"/>
              <w:right w:val="single" w:sz="8" w:space="0" w:color="000000"/>
            </w:tcBorders>
            <w:shd w:val="clear" w:color="auto" w:fill="auto"/>
            <w:tcMar>
              <w:top w:w="0" w:type="dxa"/>
              <w:left w:w="70" w:type="dxa"/>
              <w:bottom w:w="0" w:type="dxa"/>
              <w:right w:w="70" w:type="dxa"/>
            </w:tcMar>
          </w:tcPr>
          <w:p w14:paraId="46C6ABD4" w14:textId="77777777" w:rsidR="00284822" w:rsidRDefault="00F77BF8">
            <w:pPr>
              <w:spacing w:before="120" w:after="120"/>
              <w:jc w:val="center"/>
              <w:rPr>
                <w:rFonts w:ascii="Rockwell" w:hAnsi="Rockwell"/>
                <w:sz w:val="22"/>
                <w:szCs w:val="22"/>
              </w:rPr>
            </w:pPr>
            <w:r>
              <w:rPr>
                <w:rFonts w:ascii="Rockwell" w:hAnsi="Rockwell"/>
                <w:color w:val="000000"/>
                <w:sz w:val="22"/>
                <w:szCs w:val="22"/>
              </w:rPr>
              <w:t>00,00%</w:t>
            </w:r>
          </w:p>
        </w:tc>
        <w:tc>
          <w:tcPr>
            <w:tcW w:w="851" w:type="dxa"/>
            <w:tcBorders>
              <w:bottom w:val="single" w:sz="8" w:space="0" w:color="000000"/>
              <w:right w:val="single" w:sz="8" w:space="0" w:color="000000"/>
            </w:tcBorders>
            <w:shd w:val="clear" w:color="auto" w:fill="auto"/>
            <w:tcMar>
              <w:top w:w="0" w:type="dxa"/>
              <w:left w:w="70" w:type="dxa"/>
              <w:bottom w:w="0" w:type="dxa"/>
              <w:right w:w="70" w:type="dxa"/>
            </w:tcMar>
          </w:tcPr>
          <w:p w14:paraId="4EBACA5E" w14:textId="77777777" w:rsidR="00284822" w:rsidRDefault="00F77BF8">
            <w:pPr>
              <w:spacing w:before="120" w:after="120"/>
              <w:jc w:val="center"/>
              <w:rPr>
                <w:rFonts w:ascii="Rockwell" w:hAnsi="Rockwell"/>
                <w:color w:val="000000"/>
                <w:sz w:val="22"/>
                <w:szCs w:val="22"/>
              </w:rPr>
            </w:pPr>
            <w:r>
              <w:rPr>
                <w:rFonts w:ascii="Rockwell" w:hAnsi="Rockwell"/>
                <w:color w:val="000000"/>
                <w:sz w:val="22"/>
                <w:szCs w:val="22"/>
              </w:rPr>
              <w:t>0</w:t>
            </w:r>
          </w:p>
        </w:tc>
        <w:tc>
          <w:tcPr>
            <w:tcW w:w="1275" w:type="dxa"/>
            <w:tcBorders>
              <w:bottom w:val="single" w:sz="8" w:space="0" w:color="000000"/>
              <w:right w:val="single" w:sz="8" w:space="0" w:color="000000"/>
            </w:tcBorders>
            <w:shd w:val="clear" w:color="auto" w:fill="auto"/>
            <w:tcMar>
              <w:top w:w="0" w:type="dxa"/>
              <w:left w:w="70" w:type="dxa"/>
              <w:bottom w:w="0" w:type="dxa"/>
              <w:right w:w="70" w:type="dxa"/>
            </w:tcMar>
          </w:tcPr>
          <w:p w14:paraId="6EF256A1" w14:textId="77777777" w:rsidR="00284822" w:rsidRDefault="00F77BF8">
            <w:pPr>
              <w:spacing w:before="120" w:after="120"/>
              <w:jc w:val="center"/>
              <w:rPr>
                <w:rFonts w:ascii="Rockwell" w:hAnsi="Rockwell"/>
                <w:sz w:val="22"/>
                <w:szCs w:val="22"/>
              </w:rPr>
            </w:pPr>
            <w:r>
              <w:rPr>
                <w:rFonts w:ascii="Rockwell" w:hAnsi="Rockwell"/>
                <w:color w:val="000000"/>
                <w:sz w:val="22"/>
                <w:szCs w:val="22"/>
              </w:rPr>
              <w:t>00,00%</w:t>
            </w:r>
          </w:p>
        </w:tc>
        <w:tc>
          <w:tcPr>
            <w:tcW w:w="1134" w:type="dxa"/>
            <w:tcBorders>
              <w:bottom w:val="single" w:sz="8" w:space="0" w:color="000000"/>
              <w:right w:val="single" w:sz="8" w:space="0" w:color="000000"/>
            </w:tcBorders>
            <w:shd w:val="clear" w:color="auto" w:fill="auto"/>
            <w:tcMar>
              <w:top w:w="0" w:type="dxa"/>
              <w:left w:w="70" w:type="dxa"/>
              <w:bottom w:w="0" w:type="dxa"/>
              <w:right w:w="70" w:type="dxa"/>
            </w:tcMar>
          </w:tcPr>
          <w:p w14:paraId="61F26090" w14:textId="77777777" w:rsidR="00284822" w:rsidRDefault="00F77BF8">
            <w:pPr>
              <w:spacing w:before="120" w:after="120"/>
              <w:jc w:val="center"/>
              <w:rPr>
                <w:rFonts w:ascii="Rockwell" w:hAnsi="Rockwell"/>
                <w:color w:val="000000"/>
                <w:sz w:val="22"/>
                <w:szCs w:val="22"/>
              </w:rPr>
            </w:pPr>
            <w:r>
              <w:rPr>
                <w:rFonts w:ascii="Rockwell" w:hAnsi="Rockwell"/>
                <w:color w:val="000000"/>
                <w:sz w:val="22"/>
                <w:szCs w:val="22"/>
              </w:rPr>
              <w:t>1 ½</w:t>
            </w:r>
          </w:p>
        </w:tc>
        <w:tc>
          <w:tcPr>
            <w:tcW w:w="1134" w:type="dxa"/>
            <w:tcBorders>
              <w:bottom w:val="single" w:sz="8" w:space="0" w:color="000000"/>
              <w:right w:val="single" w:sz="8" w:space="0" w:color="000000"/>
            </w:tcBorders>
            <w:shd w:val="clear" w:color="auto" w:fill="auto"/>
            <w:tcMar>
              <w:top w:w="0" w:type="dxa"/>
              <w:left w:w="70" w:type="dxa"/>
              <w:bottom w:w="0" w:type="dxa"/>
              <w:right w:w="70" w:type="dxa"/>
            </w:tcMar>
          </w:tcPr>
          <w:p w14:paraId="2A6F5ABE" w14:textId="77777777" w:rsidR="00284822" w:rsidRDefault="00F77BF8">
            <w:pPr>
              <w:spacing w:before="120" w:after="120"/>
              <w:jc w:val="center"/>
              <w:rPr>
                <w:rFonts w:ascii="Rockwell" w:hAnsi="Rockwell"/>
                <w:color w:val="000000"/>
                <w:sz w:val="22"/>
                <w:szCs w:val="22"/>
              </w:rPr>
            </w:pPr>
            <w:r>
              <w:rPr>
                <w:rFonts w:ascii="Rockwell" w:hAnsi="Rockwell"/>
                <w:color w:val="000000"/>
                <w:sz w:val="22"/>
                <w:szCs w:val="22"/>
              </w:rPr>
              <w:t>36,00%</w:t>
            </w:r>
          </w:p>
        </w:tc>
        <w:tc>
          <w:tcPr>
            <w:tcW w:w="851" w:type="dxa"/>
            <w:tcBorders>
              <w:bottom w:val="single" w:sz="8" w:space="0" w:color="000000"/>
              <w:right w:val="single" w:sz="8" w:space="0" w:color="000000"/>
            </w:tcBorders>
            <w:shd w:val="clear" w:color="auto" w:fill="auto"/>
            <w:tcMar>
              <w:top w:w="0" w:type="dxa"/>
              <w:left w:w="70" w:type="dxa"/>
              <w:bottom w:w="0" w:type="dxa"/>
              <w:right w:w="70" w:type="dxa"/>
            </w:tcMar>
          </w:tcPr>
          <w:p w14:paraId="0CF8EA1E" w14:textId="77777777" w:rsidR="00284822" w:rsidRDefault="00F77BF8">
            <w:pPr>
              <w:spacing w:before="120" w:after="120"/>
              <w:jc w:val="center"/>
              <w:rPr>
                <w:rFonts w:ascii="Rockwell" w:hAnsi="Rockwell"/>
                <w:color w:val="000000"/>
                <w:sz w:val="22"/>
                <w:szCs w:val="22"/>
              </w:rPr>
            </w:pPr>
            <w:r>
              <w:rPr>
                <w:rFonts w:ascii="Rockwell" w:hAnsi="Rockwell"/>
                <w:color w:val="000000"/>
                <w:sz w:val="22"/>
                <w:szCs w:val="22"/>
              </w:rPr>
              <w:t>4</w:t>
            </w:r>
          </w:p>
        </w:tc>
        <w:tc>
          <w:tcPr>
            <w:tcW w:w="1134" w:type="dxa"/>
            <w:tcBorders>
              <w:bottom w:val="single" w:sz="8" w:space="0" w:color="000000"/>
              <w:right w:val="single" w:sz="8" w:space="0" w:color="000000"/>
            </w:tcBorders>
            <w:shd w:val="clear" w:color="auto" w:fill="auto"/>
            <w:tcMar>
              <w:top w:w="0" w:type="dxa"/>
              <w:left w:w="70" w:type="dxa"/>
              <w:bottom w:w="0" w:type="dxa"/>
              <w:right w:w="70" w:type="dxa"/>
            </w:tcMar>
          </w:tcPr>
          <w:p w14:paraId="443A3220" w14:textId="77777777" w:rsidR="00284822" w:rsidRDefault="00F77BF8">
            <w:pPr>
              <w:spacing w:before="120" w:after="120"/>
              <w:jc w:val="center"/>
              <w:rPr>
                <w:rFonts w:ascii="Rockwell" w:hAnsi="Rockwell"/>
                <w:color w:val="000000"/>
                <w:sz w:val="22"/>
                <w:szCs w:val="22"/>
              </w:rPr>
            </w:pPr>
            <w:r>
              <w:rPr>
                <w:rFonts w:ascii="Rockwell" w:hAnsi="Rockwell"/>
                <w:color w:val="000000"/>
                <w:sz w:val="22"/>
                <w:szCs w:val="22"/>
              </w:rPr>
              <w:t>44,44%</w:t>
            </w:r>
          </w:p>
        </w:tc>
        <w:tc>
          <w:tcPr>
            <w:tcW w:w="859" w:type="dxa"/>
            <w:tcBorders>
              <w:bottom w:val="single" w:sz="8" w:space="0" w:color="000000"/>
              <w:right w:val="single" w:sz="8" w:space="0" w:color="000000"/>
            </w:tcBorders>
            <w:shd w:val="clear" w:color="auto" w:fill="auto"/>
            <w:tcMar>
              <w:top w:w="0" w:type="dxa"/>
              <w:left w:w="70" w:type="dxa"/>
              <w:bottom w:w="0" w:type="dxa"/>
              <w:right w:w="70" w:type="dxa"/>
            </w:tcMar>
          </w:tcPr>
          <w:p w14:paraId="07A1DC6E"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1 1/2</w:t>
            </w:r>
          </w:p>
        </w:tc>
        <w:tc>
          <w:tcPr>
            <w:tcW w:w="1506" w:type="dxa"/>
            <w:tcBorders>
              <w:bottom w:val="single" w:sz="8" w:space="0" w:color="000000"/>
              <w:right w:val="single" w:sz="8" w:space="0" w:color="000000"/>
            </w:tcBorders>
            <w:shd w:val="clear" w:color="auto" w:fill="auto"/>
            <w:tcMar>
              <w:top w:w="0" w:type="dxa"/>
              <w:left w:w="70" w:type="dxa"/>
              <w:bottom w:w="0" w:type="dxa"/>
              <w:right w:w="70" w:type="dxa"/>
            </w:tcMar>
          </w:tcPr>
          <w:p w14:paraId="67922387"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36,00%</w:t>
            </w:r>
          </w:p>
        </w:tc>
        <w:tc>
          <w:tcPr>
            <w:tcW w:w="751" w:type="dxa"/>
            <w:tcBorders>
              <w:bottom w:val="single" w:sz="8" w:space="0" w:color="000000"/>
              <w:right w:val="single" w:sz="8" w:space="0" w:color="000000"/>
            </w:tcBorders>
            <w:shd w:val="clear" w:color="auto" w:fill="auto"/>
            <w:tcMar>
              <w:top w:w="0" w:type="dxa"/>
              <w:left w:w="70" w:type="dxa"/>
              <w:bottom w:w="0" w:type="dxa"/>
              <w:right w:w="70" w:type="dxa"/>
            </w:tcMar>
          </w:tcPr>
          <w:p w14:paraId="6C69DB64"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4</w:t>
            </w:r>
          </w:p>
        </w:tc>
        <w:tc>
          <w:tcPr>
            <w:tcW w:w="1127" w:type="dxa"/>
            <w:tcBorders>
              <w:bottom w:val="single" w:sz="8" w:space="0" w:color="000000"/>
              <w:right w:val="single" w:sz="8" w:space="0" w:color="000000"/>
            </w:tcBorders>
            <w:shd w:val="clear" w:color="auto" w:fill="auto"/>
            <w:tcMar>
              <w:top w:w="0" w:type="dxa"/>
              <w:left w:w="70" w:type="dxa"/>
              <w:bottom w:w="0" w:type="dxa"/>
              <w:right w:w="70" w:type="dxa"/>
            </w:tcMar>
          </w:tcPr>
          <w:p w14:paraId="34127401"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44,44%</w:t>
            </w:r>
          </w:p>
        </w:tc>
      </w:tr>
      <w:tr w:rsidR="00284822" w14:paraId="7C96AC69" w14:textId="77777777">
        <w:trPr>
          <w:trHeight w:val="89"/>
          <w:jc w:val="center"/>
        </w:trPr>
        <w:tc>
          <w:tcPr>
            <w:tcW w:w="1701" w:type="dxa"/>
            <w:tcBorders>
              <w:left w:val="single" w:sz="8" w:space="0" w:color="000000"/>
              <w:bottom w:val="single" w:sz="8" w:space="0" w:color="000000"/>
              <w:right w:val="single" w:sz="8" w:space="0" w:color="000000"/>
            </w:tcBorders>
            <w:shd w:val="clear" w:color="auto" w:fill="BDD6EE"/>
            <w:tcMar>
              <w:top w:w="0" w:type="dxa"/>
              <w:left w:w="70" w:type="dxa"/>
              <w:bottom w:w="0" w:type="dxa"/>
              <w:right w:w="70" w:type="dxa"/>
            </w:tcMar>
            <w:vAlign w:val="center"/>
          </w:tcPr>
          <w:p w14:paraId="698480DB" w14:textId="77777777" w:rsidR="00284822" w:rsidRDefault="00F77BF8">
            <w:pPr>
              <w:spacing w:before="120" w:after="120"/>
              <w:rPr>
                <w:rFonts w:ascii="Rockwell" w:hAnsi="Rockwell"/>
                <w:b/>
                <w:color w:val="000000"/>
                <w:sz w:val="22"/>
                <w:szCs w:val="22"/>
              </w:rPr>
            </w:pPr>
            <w:r>
              <w:rPr>
                <w:rFonts w:ascii="Rockwell" w:hAnsi="Rockwell"/>
                <w:b/>
                <w:color w:val="000000"/>
                <w:sz w:val="22"/>
                <w:szCs w:val="22"/>
              </w:rPr>
              <w:t>MAE</w:t>
            </w:r>
          </w:p>
        </w:tc>
        <w:tc>
          <w:tcPr>
            <w:tcW w:w="850" w:type="dxa"/>
            <w:tcBorders>
              <w:bottom w:val="single" w:sz="8" w:space="0" w:color="000000"/>
              <w:right w:val="single" w:sz="8" w:space="0" w:color="000000"/>
            </w:tcBorders>
            <w:shd w:val="clear" w:color="auto" w:fill="auto"/>
            <w:tcMar>
              <w:top w:w="0" w:type="dxa"/>
              <w:left w:w="70" w:type="dxa"/>
              <w:bottom w:w="0" w:type="dxa"/>
              <w:right w:w="70" w:type="dxa"/>
            </w:tcMar>
          </w:tcPr>
          <w:p w14:paraId="1B503F7B" w14:textId="77777777" w:rsidR="00284822" w:rsidRDefault="00F77BF8">
            <w:pPr>
              <w:spacing w:before="120" w:after="120"/>
              <w:jc w:val="center"/>
              <w:rPr>
                <w:rFonts w:ascii="Rockwell" w:hAnsi="Rockwell"/>
                <w:color w:val="000000"/>
                <w:sz w:val="22"/>
                <w:szCs w:val="22"/>
              </w:rPr>
            </w:pPr>
            <w:r>
              <w:rPr>
                <w:rFonts w:ascii="Rockwell" w:hAnsi="Rockwell"/>
                <w:color w:val="000000"/>
                <w:sz w:val="22"/>
                <w:szCs w:val="22"/>
              </w:rPr>
              <w:t>0</w:t>
            </w:r>
          </w:p>
        </w:tc>
        <w:tc>
          <w:tcPr>
            <w:tcW w:w="1134" w:type="dxa"/>
            <w:tcBorders>
              <w:bottom w:val="single" w:sz="8" w:space="0" w:color="000000"/>
              <w:right w:val="single" w:sz="8" w:space="0" w:color="000000"/>
            </w:tcBorders>
            <w:shd w:val="clear" w:color="auto" w:fill="auto"/>
            <w:tcMar>
              <w:top w:w="0" w:type="dxa"/>
              <w:left w:w="70" w:type="dxa"/>
              <w:bottom w:w="0" w:type="dxa"/>
              <w:right w:w="70" w:type="dxa"/>
            </w:tcMar>
          </w:tcPr>
          <w:p w14:paraId="70A01711" w14:textId="77777777" w:rsidR="00284822" w:rsidRDefault="00F77BF8">
            <w:pPr>
              <w:spacing w:before="120" w:after="120"/>
              <w:jc w:val="center"/>
              <w:rPr>
                <w:rFonts w:ascii="Rockwell" w:hAnsi="Rockwell"/>
                <w:sz w:val="22"/>
                <w:szCs w:val="22"/>
              </w:rPr>
            </w:pPr>
            <w:r>
              <w:rPr>
                <w:rFonts w:ascii="Rockwell" w:hAnsi="Rockwell"/>
                <w:color w:val="000000"/>
                <w:sz w:val="22"/>
                <w:szCs w:val="22"/>
              </w:rPr>
              <w:t>00,00%</w:t>
            </w:r>
          </w:p>
        </w:tc>
        <w:tc>
          <w:tcPr>
            <w:tcW w:w="851" w:type="dxa"/>
            <w:tcBorders>
              <w:bottom w:val="single" w:sz="8" w:space="0" w:color="000000"/>
              <w:right w:val="single" w:sz="8" w:space="0" w:color="000000"/>
            </w:tcBorders>
            <w:shd w:val="clear" w:color="auto" w:fill="auto"/>
            <w:tcMar>
              <w:top w:w="0" w:type="dxa"/>
              <w:left w:w="70" w:type="dxa"/>
              <w:bottom w:w="0" w:type="dxa"/>
              <w:right w:w="70" w:type="dxa"/>
            </w:tcMar>
          </w:tcPr>
          <w:p w14:paraId="48A1C8A8" w14:textId="77777777" w:rsidR="00284822" w:rsidRDefault="00F77BF8">
            <w:pPr>
              <w:spacing w:before="120" w:after="120"/>
              <w:jc w:val="center"/>
              <w:rPr>
                <w:rFonts w:ascii="Rockwell" w:hAnsi="Rockwell"/>
                <w:color w:val="000000"/>
                <w:sz w:val="22"/>
                <w:szCs w:val="22"/>
              </w:rPr>
            </w:pPr>
            <w:r>
              <w:rPr>
                <w:rFonts w:ascii="Rockwell" w:hAnsi="Rockwell"/>
                <w:color w:val="000000"/>
                <w:sz w:val="22"/>
                <w:szCs w:val="22"/>
              </w:rPr>
              <w:t>0</w:t>
            </w:r>
          </w:p>
        </w:tc>
        <w:tc>
          <w:tcPr>
            <w:tcW w:w="1275" w:type="dxa"/>
            <w:tcBorders>
              <w:bottom w:val="single" w:sz="8" w:space="0" w:color="000000"/>
              <w:right w:val="single" w:sz="8" w:space="0" w:color="000000"/>
            </w:tcBorders>
            <w:shd w:val="clear" w:color="auto" w:fill="auto"/>
            <w:tcMar>
              <w:top w:w="0" w:type="dxa"/>
              <w:left w:w="70" w:type="dxa"/>
              <w:bottom w:w="0" w:type="dxa"/>
              <w:right w:w="70" w:type="dxa"/>
            </w:tcMar>
          </w:tcPr>
          <w:p w14:paraId="019BBB03" w14:textId="77777777" w:rsidR="00284822" w:rsidRDefault="00F77BF8">
            <w:pPr>
              <w:spacing w:before="120" w:after="120"/>
              <w:jc w:val="center"/>
              <w:rPr>
                <w:rFonts w:ascii="Rockwell" w:hAnsi="Rockwell"/>
                <w:sz w:val="22"/>
                <w:szCs w:val="22"/>
              </w:rPr>
            </w:pPr>
            <w:r>
              <w:rPr>
                <w:rFonts w:ascii="Rockwell" w:hAnsi="Rockwell"/>
                <w:color w:val="000000"/>
                <w:sz w:val="22"/>
                <w:szCs w:val="22"/>
              </w:rPr>
              <w:t>00,00%</w:t>
            </w:r>
          </w:p>
        </w:tc>
        <w:tc>
          <w:tcPr>
            <w:tcW w:w="1134" w:type="dxa"/>
            <w:tcBorders>
              <w:bottom w:val="single" w:sz="8" w:space="0" w:color="000000"/>
              <w:right w:val="single" w:sz="8" w:space="0" w:color="000000"/>
            </w:tcBorders>
            <w:shd w:val="clear" w:color="auto" w:fill="auto"/>
            <w:tcMar>
              <w:top w:w="0" w:type="dxa"/>
              <w:left w:w="70" w:type="dxa"/>
              <w:bottom w:w="0" w:type="dxa"/>
              <w:right w:w="70" w:type="dxa"/>
            </w:tcMar>
          </w:tcPr>
          <w:p w14:paraId="4E621DBB" w14:textId="77777777" w:rsidR="00284822" w:rsidRDefault="00F77BF8">
            <w:pPr>
              <w:spacing w:before="120" w:after="120"/>
              <w:jc w:val="center"/>
              <w:rPr>
                <w:rFonts w:ascii="Rockwell" w:hAnsi="Rockwell"/>
                <w:color w:val="000000"/>
                <w:sz w:val="22"/>
                <w:szCs w:val="22"/>
              </w:rPr>
            </w:pPr>
            <w:proofErr w:type="gramStart"/>
            <w:r>
              <w:rPr>
                <w:rFonts w:ascii="Rockwell" w:hAnsi="Rockwell"/>
                <w:color w:val="000000"/>
                <w:sz w:val="22"/>
                <w:szCs w:val="22"/>
              </w:rPr>
              <w:t>½</w:t>
            </w:r>
            <w:proofErr w:type="gramEnd"/>
          </w:p>
        </w:tc>
        <w:tc>
          <w:tcPr>
            <w:tcW w:w="1134" w:type="dxa"/>
            <w:tcBorders>
              <w:bottom w:val="single" w:sz="8" w:space="0" w:color="000000"/>
              <w:right w:val="single" w:sz="8" w:space="0" w:color="000000"/>
            </w:tcBorders>
            <w:shd w:val="clear" w:color="auto" w:fill="auto"/>
            <w:tcMar>
              <w:top w:w="0" w:type="dxa"/>
              <w:left w:w="70" w:type="dxa"/>
              <w:bottom w:w="0" w:type="dxa"/>
              <w:right w:w="70" w:type="dxa"/>
            </w:tcMar>
          </w:tcPr>
          <w:p w14:paraId="251B7F41" w14:textId="77777777" w:rsidR="00284822" w:rsidRDefault="00F77BF8">
            <w:pPr>
              <w:spacing w:before="120" w:after="120"/>
              <w:jc w:val="center"/>
              <w:rPr>
                <w:rFonts w:ascii="Rockwell" w:hAnsi="Rockwell"/>
                <w:color w:val="000000"/>
                <w:sz w:val="22"/>
                <w:szCs w:val="22"/>
              </w:rPr>
            </w:pPr>
            <w:r>
              <w:rPr>
                <w:rFonts w:ascii="Rockwell" w:hAnsi="Rockwell"/>
                <w:color w:val="000000"/>
                <w:sz w:val="22"/>
                <w:szCs w:val="22"/>
              </w:rPr>
              <w:t>12,00%</w:t>
            </w:r>
          </w:p>
        </w:tc>
        <w:tc>
          <w:tcPr>
            <w:tcW w:w="851" w:type="dxa"/>
            <w:tcBorders>
              <w:bottom w:val="single" w:sz="8" w:space="0" w:color="000000"/>
              <w:right w:val="single" w:sz="8" w:space="0" w:color="000000"/>
            </w:tcBorders>
            <w:shd w:val="clear" w:color="auto" w:fill="auto"/>
            <w:tcMar>
              <w:top w:w="0" w:type="dxa"/>
              <w:left w:w="70" w:type="dxa"/>
              <w:bottom w:w="0" w:type="dxa"/>
              <w:right w:w="70" w:type="dxa"/>
            </w:tcMar>
          </w:tcPr>
          <w:p w14:paraId="2AEDAA45" w14:textId="77777777" w:rsidR="00284822" w:rsidRDefault="00F77BF8">
            <w:pPr>
              <w:spacing w:before="120" w:after="120"/>
              <w:jc w:val="center"/>
              <w:rPr>
                <w:rFonts w:ascii="Rockwell" w:hAnsi="Rockwell"/>
                <w:color w:val="000000"/>
                <w:sz w:val="22"/>
                <w:szCs w:val="22"/>
              </w:rPr>
            </w:pPr>
            <w:r>
              <w:rPr>
                <w:rFonts w:ascii="Rockwell" w:hAnsi="Rockwell"/>
                <w:color w:val="000000"/>
                <w:sz w:val="22"/>
                <w:szCs w:val="22"/>
              </w:rPr>
              <w:t>1</w:t>
            </w:r>
          </w:p>
        </w:tc>
        <w:tc>
          <w:tcPr>
            <w:tcW w:w="1134" w:type="dxa"/>
            <w:tcBorders>
              <w:bottom w:val="single" w:sz="8" w:space="0" w:color="000000"/>
              <w:right w:val="single" w:sz="8" w:space="0" w:color="000000"/>
            </w:tcBorders>
            <w:shd w:val="clear" w:color="auto" w:fill="auto"/>
            <w:tcMar>
              <w:top w:w="0" w:type="dxa"/>
              <w:left w:w="70" w:type="dxa"/>
              <w:bottom w:w="0" w:type="dxa"/>
              <w:right w:w="70" w:type="dxa"/>
            </w:tcMar>
          </w:tcPr>
          <w:p w14:paraId="7AA9E1BE" w14:textId="77777777" w:rsidR="00284822" w:rsidRDefault="00F77BF8">
            <w:pPr>
              <w:spacing w:before="120" w:after="120"/>
              <w:jc w:val="center"/>
              <w:rPr>
                <w:rFonts w:ascii="Rockwell" w:hAnsi="Rockwell"/>
                <w:color w:val="000000"/>
                <w:sz w:val="22"/>
                <w:szCs w:val="22"/>
              </w:rPr>
            </w:pPr>
            <w:r>
              <w:rPr>
                <w:rFonts w:ascii="Rockwell" w:hAnsi="Rockwell"/>
                <w:color w:val="000000"/>
                <w:sz w:val="22"/>
                <w:szCs w:val="22"/>
              </w:rPr>
              <w:t>11,11%</w:t>
            </w:r>
          </w:p>
        </w:tc>
        <w:tc>
          <w:tcPr>
            <w:tcW w:w="859" w:type="dxa"/>
            <w:tcBorders>
              <w:bottom w:val="single" w:sz="8" w:space="0" w:color="000000"/>
              <w:right w:val="single" w:sz="8" w:space="0" w:color="000000"/>
            </w:tcBorders>
            <w:shd w:val="clear" w:color="auto" w:fill="auto"/>
            <w:tcMar>
              <w:top w:w="0" w:type="dxa"/>
              <w:left w:w="70" w:type="dxa"/>
              <w:bottom w:w="0" w:type="dxa"/>
              <w:right w:w="70" w:type="dxa"/>
            </w:tcMar>
          </w:tcPr>
          <w:p w14:paraId="62463D91"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1/2</w:t>
            </w:r>
          </w:p>
        </w:tc>
        <w:tc>
          <w:tcPr>
            <w:tcW w:w="1506" w:type="dxa"/>
            <w:tcBorders>
              <w:bottom w:val="single" w:sz="8" w:space="0" w:color="000000"/>
              <w:right w:val="single" w:sz="8" w:space="0" w:color="000000"/>
            </w:tcBorders>
            <w:shd w:val="clear" w:color="auto" w:fill="auto"/>
            <w:tcMar>
              <w:top w:w="0" w:type="dxa"/>
              <w:left w:w="70" w:type="dxa"/>
              <w:bottom w:w="0" w:type="dxa"/>
              <w:right w:w="70" w:type="dxa"/>
            </w:tcMar>
          </w:tcPr>
          <w:p w14:paraId="3BB4D425"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12,00%</w:t>
            </w:r>
          </w:p>
        </w:tc>
        <w:tc>
          <w:tcPr>
            <w:tcW w:w="751" w:type="dxa"/>
            <w:tcBorders>
              <w:bottom w:val="single" w:sz="8" w:space="0" w:color="000000"/>
              <w:right w:val="single" w:sz="8" w:space="0" w:color="000000"/>
            </w:tcBorders>
            <w:shd w:val="clear" w:color="auto" w:fill="auto"/>
            <w:tcMar>
              <w:top w:w="0" w:type="dxa"/>
              <w:left w:w="70" w:type="dxa"/>
              <w:bottom w:w="0" w:type="dxa"/>
              <w:right w:w="70" w:type="dxa"/>
            </w:tcMar>
          </w:tcPr>
          <w:p w14:paraId="233B5B92"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1</w:t>
            </w:r>
          </w:p>
        </w:tc>
        <w:tc>
          <w:tcPr>
            <w:tcW w:w="1127" w:type="dxa"/>
            <w:tcBorders>
              <w:bottom w:val="single" w:sz="8" w:space="0" w:color="000000"/>
              <w:right w:val="single" w:sz="8" w:space="0" w:color="000000"/>
            </w:tcBorders>
            <w:shd w:val="clear" w:color="auto" w:fill="auto"/>
            <w:tcMar>
              <w:top w:w="0" w:type="dxa"/>
              <w:left w:w="70" w:type="dxa"/>
              <w:bottom w:w="0" w:type="dxa"/>
              <w:right w:w="70" w:type="dxa"/>
            </w:tcMar>
          </w:tcPr>
          <w:p w14:paraId="3734B87F"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11,11%</w:t>
            </w:r>
          </w:p>
        </w:tc>
      </w:tr>
      <w:tr w:rsidR="00284822" w14:paraId="455B8699" w14:textId="77777777">
        <w:trPr>
          <w:trHeight w:val="89"/>
          <w:jc w:val="center"/>
        </w:trPr>
        <w:tc>
          <w:tcPr>
            <w:tcW w:w="1701" w:type="dxa"/>
            <w:tcBorders>
              <w:left w:val="single" w:sz="8" w:space="0" w:color="000000"/>
              <w:bottom w:val="single" w:sz="8" w:space="0" w:color="000000"/>
              <w:right w:val="single" w:sz="8" w:space="0" w:color="000000"/>
            </w:tcBorders>
            <w:shd w:val="clear" w:color="auto" w:fill="BDD6EE"/>
            <w:tcMar>
              <w:top w:w="0" w:type="dxa"/>
              <w:left w:w="70" w:type="dxa"/>
              <w:bottom w:w="0" w:type="dxa"/>
              <w:right w:w="70" w:type="dxa"/>
            </w:tcMar>
            <w:vAlign w:val="center"/>
          </w:tcPr>
          <w:p w14:paraId="3B6134E7" w14:textId="77777777" w:rsidR="00284822" w:rsidRDefault="00F77BF8">
            <w:pPr>
              <w:spacing w:before="120" w:after="120"/>
              <w:rPr>
                <w:rFonts w:ascii="Rockwell" w:hAnsi="Rockwell"/>
                <w:b/>
                <w:color w:val="000000"/>
                <w:sz w:val="22"/>
                <w:szCs w:val="22"/>
              </w:rPr>
            </w:pPr>
            <w:r>
              <w:rPr>
                <w:rFonts w:ascii="Rockwell" w:hAnsi="Rockwell"/>
                <w:b/>
                <w:color w:val="000000"/>
                <w:sz w:val="22"/>
                <w:szCs w:val="22"/>
              </w:rPr>
              <w:t>NTD</w:t>
            </w:r>
          </w:p>
        </w:tc>
        <w:tc>
          <w:tcPr>
            <w:tcW w:w="850" w:type="dxa"/>
            <w:tcBorders>
              <w:bottom w:val="single" w:sz="8" w:space="0" w:color="000000"/>
              <w:right w:val="single" w:sz="8" w:space="0" w:color="000000"/>
            </w:tcBorders>
            <w:shd w:val="clear" w:color="auto" w:fill="auto"/>
            <w:tcMar>
              <w:top w:w="0" w:type="dxa"/>
              <w:left w:w="70" w:type="dxa"/>
              <w:bottom w:w="0" w:type="dxa"/>
              <w:right w:w="70" w:type="dxa"/>
            </w:tcMar>
          </w:tcPr>
          <w:p w14:paraId="1B374608" w14:textId="77777777" w:rsidR="00284822" w:rsidRDefault="00F77BF8">
            <w:pPr>
              <w:spacing w:before="120" w:after="120"/>
              <w:jc w:val="center"/>
              <w:rPr>
                <w:rFonts w:ascii="Rockwell" w:hAnsi="Rockwell"/>
                <w:color w:val="000000"/>
                <w:sz w:val="22"/>
                <w:szCs w:val="22"/>
              </w:rPr>
            </w:pPr>
            <w:r>
              <w:rPr>
                <w:rFonts w:ascii="Rockwell" w:hAnsi="Rockwell"/>
                <w:color w:val="000000"/>
                <w:sz w:val="22"/>
                <w:szCs w:val="22"/>
              </w:rPr>
              <w:t>0</w:t>
            </w:r>
          </w:p>
        </w:tc>
        <w:tc>
          <w:tcPr>
            <w:tcW w:w="1134" w:type="dxa"/>
            <w:tcBorders>
              <w:bottom w:val="single" w:sz="8" w:space="0" w:color="000000"/>
              <w:right w:val="single" w:sz="8" w:space="0" w:color="000000"/>
            </w:tcBorders>
            <w:shd w:val="clear" w:color="auto" w:fill="auto"/>
            <w:tcMar>
              <w:top w:w="0" w:type="dxa"/>
              <w:left w:w="70" w:type="dxa"/>
              <w:bottom w:w="0" w:type="dxa"/>
              <w:right w:w="70" w:type="dxa"/>
            </w:tcMar>
          </w:tcPr>
          <w:p w14:paraId="328658A7" w14:textId="77777777" w:rsidR="00284822" w:rsidRDefault="00F77BF8">
            <w:pPr>
              <w:spacing w:before="120" w:after="120"/>
              <w:jc w:val="center"/>
              <w:rPr>
                <w:rFonts w:ascii="Rockwell" w:hAnsi="Rockwell"/>
                <w:sz w:val="22"/>
                <w:szCs w:val="22"/>
              </w:rPr>
            </w:pPr>
            <w:r>
              <w:rPr>
                <w:rFonts w:ascii="Rockwell" w:hAnsi="Rockwell"/>
                <w:color w:val="000000"/>
                <w:sz w:val="22"/>
                <w:szCs w:val="22"/>
              </w:rPr>
              <w:t>00,00%</w:t>
            </w:r>
          </w:p>
        </w:tc>
        <w:tc>
          <w:tcPr>
            <w:tcW w:w="851" w:type="dxa"/>
            <w:tcBorders>
              <w:bottom w:val="single" w:sz="8" w:space="0" w:color="000000"/>
              <w:right w:val="single" w:sz="8" w:space="0" w:color="000000"/>
            </w:tcBorders>
            <w:shd w:val="clear" w:color="auto" w:fill="auto"/>
            <w:tcMar>
              <w:top w:w="0" w:type="dxa"/>
              <w:left w:w="70" w:type="dxa"/>
              <w:bottom w:w="0" w:type="dxa"/>
              <w:right w:w="70" w:type="dxa"/>
            </w:tcMar>
          </w:tcPr>
          <w:p w14:paraId="6703DDE6" w14:textId="77777777" w:rsidR="00284822" w:rsidRDefault="00F77BF8">
            <w:pPr>
              <w:spacing w:before="120" w:after="120"/>
              <w:jc w:val="center"/>
              <w:rPr>
                <w:rFonts w:ascii="Rockwell" w:hAnsi="Rockwell"/>
                <w:color w:val="000000"/>
                <w:sz w:val="22"/>
                <w:szCs w:val="22"/>
              </w:rPr>
            </w:pPr>
            <w:r>
              <w:rPr>
                <w:rFonts w:ascii="Rockwell" w:hAnsi="Rockwell"/>
                <w:color w:val="000000"/>
                <w:sz w:val="22"/>
                <w:szCs w:val="22"/>
              </w:rPr>
              <w:t>0</w:t>
            </w:r>
          </w:p>
        </w:tc>
        <w:tc>
          <w:tcPr>
            <w:tcW w:w="1275" w:type="dxa"/>
            <w:tcBorders>
              <w:bottom w:val="single" w:sz="8" w:space="0" w:color="000000"/>
              <w:right w:val="single" w:sz="8" w:space="0" w:color="000000"/>
            </w:tcBorders>
            <w:shd w:val="clear" w:color="auto" w:fill="auto"/>
            <w:tcMar>
              <w:top w:w="0" w:type="dxa"/>
              <w:left w:w="70" w:type="dxa"/>
              <w:bottom w:w="0" w:type="dxa"/>
              <w:right w:w="70" w:type="dxa"/>
            </w:tcMar>
          </w:tcPr>
          <w:p w14:paraId="1A64BB97" w14:textId="77777777" w:rsidR="00284822" w:rsidRDefault="00F77BF8">
            <w:pPr>
              <w:spacing w:before="120" w:after="120"/>
              <w:jc w:val="center"/>
              <w:rPr>
                <w:rFonts w:ascii="Rockwell" w:hAnsi="Rockwell"/>
                <w:sz w:val="22"/>
                <w:szCs w:val="22"/>
              </w:rPr>
            </w:pPr>
            <w:r>
              <w:rPr>
                <w:rFonts w:ascii="Rockwell" w:hAnsi="Rockwell"/>
                <w:color w:val="000000"/>
                <w:sz w:val="22"/>
                <w:szCs w:val="22"/>
              </w:rPr>
              <w:t>00,00%</w:t>
            </w:r>
          </w:p>
        </w:tc>
        <w:tc>
          <w:tcPr>
            <w:tcW w:w="1134" w:type="dxa"/>
            <w:tcBorders>
              <w:bottom w:val="single" w:sz="8" w:space="0" w:color="000000"/>
              <w:right w:val="single" w:sz="8" w:space="0" w:color="000000"/>
            </w:tcBorders>
            <w:shd w:val="clear" w:color="auto" w:fill="auto"/>
            <w:tcMar>
              <w:top w:w="0" w:type="dxa"/>
              <w:left w:w="70" w:type="dxa"/>
              <w:bottom w:w="0" w:type="dxa"/>
              <w:right w:w="70" w:type="dxa"/>
            </w:tcMar>
          </w:tcPr>
          <w:p w14:paraId="257D4D13" w14:textId="77777777" w:rsidR="00284822" w:rsidRDefault="00F77BF8">
            <w:pPr>
              <w:spacing w:before="120" w:after="120"/>
              <w:jc w:val="center"/>
              <w:rPr>
                <w:rFonts w:ascii="Rockwell" w:hAnsi="Rockwell"/>
                <w:color w:val="000000"/>
                <w:sz w:val="22"/>
                <w:szCs w:val="22"/>
              </w:rPr>
            </w:pPr>
            <w:r>
              <w:rPr>
                <w:rFonts w:ascii="Rockwell" w:hAnsi="Rockwell"/>
                <w:color w:val="000000"/>
                <w:sz w:val="22"/>
                <w:szCs w:val="22"/>
              </w:rPr>
              <w:t>1/6</w:t>
            </w:r>
          </w:p>
        </w:tc>
        <w:tc>
          <w:tcPr>
            <w:tcW w:w="1134" w:type="dxa"/>
            <w:tcBorders>
              <w:bottom w:val="single" w:sz="8" w:space="0" w:color="000000"/>
              <w:right w:val="single" w:sz="8" w:space="0" w:color="000000"/>
            </w:tcBorders>
            <w:shd w:val="clear" w:color="auto" w:fill="auto"/>
            <w:tcMar>
              <w:top w:w="0" w:type="dxa"/>
              <w:left w:w="70" w:type="dxa"/>
              <w:bottom w:w="0" w:type="dxa"/>
              <w:right w:w="70" w:type="dxa"/>
            </w:tcMar>
          </w:tcPr>
          <w:p w14:paraId="530294BD" w14:textId="77777777" w:rsidR="00284822" w:rsidRDefault="00F77BF8">
            <w:pPr>
              <w:spacing w:before="120" w:after="120"/>
              <w:jc w:val="center"/>
              <w:rPr>
                <w:rFonts w:ascii="Rockwell" w:hAnsi="Rockwell"/>
                <w:color w:val="000000"/>
                <w:sz w:val="22"/>
                <w:szCs w:val="22"/>
              </w:rPr>
            </w:pPr>
            <w:r>
              <w:rPr>
                <w:rFonts w:ascii="Rockwell" w:hAnsi="Rockwell"/>
                <w:color w:val="000000"/>
                <w:sz w:val="22"/>
                <w:szCs w:val="22"/>
              </w:rPr>
              <w:t>4,00%</w:t>
            </w:r>
          </w:p>
        </w:tc>
        <w:tc>
          <w:tcPr>
            <w:tcW w:w="851" w:type="dxa"/>
            <w:tcBorders>
              <w:bottom w:val="single" w:sz="8" w:space="0" w:color="000000"/>
              <w:right w:val="single" w:sz="8" w:space="0" w:color="000000"/>
            </w:tcBorders>
            <w:shd w:val="clear" w:color="auto" w:fill="auto"/>
            <w:tcMar>
              <w:top w:w="0" w:type="dxa"/>
              <w:left w:w="70" w:type="dxa"/>
              <w:bottom w:w="0" w:type="dxa"/>
              <w:right w:w="70" w:type="dxa"/>
            </w:tcMar>
          </w:tcPr>
          <w:p w14:paraId="2510F166" w14:textId="77777777" w:rsidR="00284822" w:rsidRDefault="00F77BF8">
            <w:pPr>
              <w:spacing w:before="120" w:after="120"/>
              <w:jc w:val="center"/>
              <w:rPr>
                <w:rFonts w:ascii="Rockwell" w:hAnsi="Rockwell"/>
                <w:color w:val="000000"/>
                <w:sz w:val="22"/>
                <w:szCs w:val="22"/>
              </w:rPr>
            </w:pPr>
            <w:r>
              <w:rPr>
                <w:rFonts w:ascii="Rockwell" w:hAnsi="Rockwell"/>
                <w:color w:val="000000"/>
                <w:sz w:val="22"/>
                <w:szCs w:val="22"/>
              </w:rPr>
              <w:t>0</w:t>
            </w:r>
          </w:p>
        </w:tc>
        <w:tc>
          <w:tcPr>
            <w:tcW w:w="1134" w:type="dxa"/>
            <w:tcBorders>
              <w:bottom w:val="single" w:sz="8" w:space="0" w:color="000000"/>
              <w:right w:val="single" w:sz="8" w:space="0" w:color="000000"/>
            </w:tcBorders>
            <w:shd w:val="clear" w:color="auto" w:fill="auto"/>
            <w:tcMar>
              <w:top w:w="0" w:type="dxa"/>
              <w:left w:w="70" w:type="dxa"/>
              <w:bottom w:w="0" w:type="dxa"/>
              <w:right w:w="70" w:type="dxa"/>
            </w:tcMar>
          </w:tcPr>
          <w:p w14:paraId="1609AE9F" w14:textId="77777777" w:rsidR="00284822" w:rsidRDefault="00F77BF8">
            <w:pPr>
              <w:spacing w:before="120" w:after="120"/>
              <w:jc w:val="center"/>
              <w:rPr>
                <w:rFonts w:ascii="Rockwell" w:hAnsi="Rockwell"/>
                <w:color w:val="000000"/>
                <w:sz w:val="22"/>
                <w:szCs w:val="22"/>
              </w:rPr>
            </w:pPr>
            <w:r>
              <w:rPr>
                <w:rFonts w:ascii="Rockwell" w:hAnsi="Rockwell"/>
                <w:color w:val="000000"/>
                <w:sz w:val="22"/>
                <w:szCs w:val="22"/>
              </w:rPr>
              <w:t>0,00%</w:t>
            </w:r>
          </w:p>
        </w:tc>
        <w:tc>
          <w:tcPr>
            <w:tcW w:w="859" w:type="dxa"/>
            <w:tcBorders>
              <w:bottom w:val="single" w:sz="8" w:space="0" w:color="000000"/>
              <w:right w:val="single" w:sz="8" w:space="0" w:color="000000"/>
            </w:tcBorders>
            <w:shd w:val="clear" w:color="auto" w:fill="auto"/>
            <w:tcMar>
              <w:top w:w="0" w:type="dxa"/>
              <w:left w:w="70" w:type="dxa"/>
              <w:bottom w:w="0" w:type="dxa"/>
              <w:right w:w="70" w:type="dxa"/>
            </w:tcMar>
          </w:tcPr>
          <w:p w14:paraId="0C7CD811"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1/6</w:t>
            </w:r>
          </w:p>
        </w:tc>
        <w:tc>
          <w:tcPr>
            <w:tcW w:w="1506" w:type="dxa"/>
            <w:tcBorders>
              <w:bottom w:val="single" w:sz="8" w:space="0" w:color="000000"/>
              <w:right w:val="single" w:sz="8" w:space="0" w:color="000000"/>
            </w:tcBorders>
            <w:shd w:val="clear" w:color="auto" w:fill="auto"/>
            <w:tcMar>
              <w:top w:w="0" w:type="dxa"/>
              <w:left w:w="70" w:type="dxa"/>
              <w:bottom w:w="0" w:type="dxa"/>
              <w:right w:w="70" w:type="dxa"/>
            </w:tcMar>
          </w:tcPr>
          <w:p w14:paraId="2C79B089"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4,00%</w:t>
            </w:r>
          </w:p>
        </w:tc>
        <w:tc>
          <w:tcPr>
            <w:tcW w:w="751" w:type="dxa"/>
            <w:tcBorders>
              <w:bottom w:val="single" w:sz="8" w:space="0" w:color="000000"/>
              <w:right w:val="single" w:sz="8" w:space="0" w:color="000000"/>
            </w:tcBorders>
            <w:shd w:val="clear" w:color="auto" w:fill="auto"/>
            <w:tcMar>
              <w:top w:w="0" w:type="dxa"/>
              <w:left w:w="70" w:type="dxa"/>
              <w:bottom w:w="0" w:type="dxa"/>
              <w:right w:w="70" w:type="dxa"/>
            </w:tcMar>
          </w:tcPr>
          <w:p w14:paraId="53763FA0"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0</w:t>
            </w:r>
          </w:p>
        </w:tc>
        <w:tc>
          <w:tcPr>
            <w:tcW w:w="1127" w:type="dxa"/>
            <w:tcBorders>
              <w:bottom w:val="single" w:sz="8" w:space="0" w:color="000000"/>
              <w:right w:val="single" w:sz="8" w:space="0" w:color="000000"/>
            </w:tcBorders>
            <w:shd w:val="clear" w:color="auto" w:fill="auto"/>
            <w:tcMar>
              <w:top w:w="0" w:type="dxa"/>
              <w:left w:w="70" w:type="dxa"/>
              <w:bottom w:w="0" w:type="dxa"/>
              <w:right w:w="70" w:type="dxa"/>
            </w:tcMar>
          </w:tcPr>
          <w:p w14:paraId="7A73BE61"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0,00%</w:t>
            </w:r>
          </w:p>
        </w:tc>
      </w:tr>
      <w:tr w:rsidR="00284822" w14:paraId="383E856A" w14:textId="77777777">
        <w:trPr>
          <w:trHeight w:val="89"/>
          <w:jc w:val="center"/>
        </w:trPr>
        <w:tc>
          <w:tcPr>
            <w:tcW w:w="1701"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6347830E" w14:textId="77777777" w:rsidR="00284822" w:rsidRDefault="00F77BF8">
            <w:pPr>
              <w:spacing w:before="120" w:after="120"/>
              <w:rPr>
                <w:rFonts w:ascii="Rockwell" w:hAnsi="Rockwell"/>
                <w:b/>
                <w:bCs/>
                <w:color w:val="000000"/>
                <w:sz w:val="22"/>
                <w:szCs w:val="22"/>
              </w:rPr>
            </w:pPr>
            <w:r>
              <w:rPr>
                <w:rFonts w:ascii="Rockwell" w:hAnsi="Rockwell"/>
                <w:b/>
                <w:bCs/>
                <w:color w:val="000000"/>
                <w:sz w:val="22"/>
                <w:szCs w:val="22"/>
              </w:rPr>
              <w:t>TOTAL</w:t>
            </w:r>
          </w:p>
        </w:tc>
        <w:tc>
          <w:tcPr>
            <w:tcW w:w="850" w:type="dxa"/>
            <w:tcBorders>
              <w:bottom w:val="single" w:sz="8" w:space="0" w:color="000000"/>
              <w:right w:val="single" w:sz="8" w:space="0" w:color="000000"/>
            </w:tcBorders>
            <w:shd w:val="clear" w:color="auto" w:fill="auto"/>
            <w:tcMar>
              <w:top w:w="0" w:type="dxa"/>
              <w:left w:w="70" w:type="dxa"/>
              <w:bottom w:w="0" w:type="dxa"/>
              <w:right w:w="70" w:type="dxa"/>
            </w:tcMar>
          </w:tcPr>
          <w:p w14:paraId="497BAA5E"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0</w:t>
            </w:r>
          </w:p>
        </w:tc>
        <w:tc>
          <w:tcPr>
            <w:tcW w:w="1134" w:type="dxa"/>
            <w:tcBorders>
              <w:bottom w:val="single" w:sz="8" w:space="0" w:color="000000"/>
              <w:right w:val="single" w:sz="8" w:space="0" w:color="000000"/>
            </w:tcBorders>
            <w:shd w:val="clear" w:color="auto" w:fill="auto"/>
            <w:tcMar>
              <w:top w:w="0" w:type="dxa"/>
              <w:left w:w="70" w:type="dxa"/>
              <w:bottom w:w="0" w:type="dxa"/>
              <w:right w:w="70" w:type="dxa"/>
            </w:tcMar>
          </w:tcPr>
          <w:p w14:paraId="2843C2C6" w14:textId="77777777" w:rsidR="00284822" w:rsidRDefault="00F77BF8">
            <w:pPr>
              <w:spacing w:before="120" w:after="120"/>
              <w:jc w:val="center"/>
              <w:rPr>
                <w:rFonts w:ascii="Rockwell" w:hAnsi="Rockwell"/>
                <w:sz w:val="22"/>
                <w:szCs w:val="22"/>
              </w:rPr>
            </w:pPr>
            <w:r>
              <w:rPr>
                <w:rFonts w:ascii="Rockwell" w:hAnsi="Rockwell"/>
                <w:b/>
                <w:color w:val="000000"/>
                <w:sz w:val="22"/>
                <w:szCs w:val="22"/>
              </w:rPr>
              <w:t>00,00%</w:t>
            </w:r>
          </w:p>
        </w:tc>
        <w:tc>
          <w:tcPr>
            <w:tcW w:w="851" w:type="dxa"/>
            <w:tcBorders>
              <w:bottom w:val="single" w:sz="8" w:space="0" w:color="000000"/>
              <w:right w:val="single" w:sz="8" w:space="0" w:color="000000"/>
            </w:tcBorders>
            <w:shd w:val="clear" w:color="auto" w:fill="auto"/>
            <w:tcMar>
              <w:top w:w="0" w:type="dxa"/>
              <w:left w:w="70" w:type="dxa"/>
              <w:bottom w:w="0" w:type="dxa"/>
              <w:right w:w="70" w:type="dxa"/>
            </w:tcMar>
          </w:tcPr>
          <w:p w14:paraId="4A93EB9D"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0</w:t>
            </w:r>
          </w:p>
        </w:tc>
        <w:tc>
          <w:tcPr>
            <w:tcW w:w="1275" w:type="dxa"/>
            <w:tcBorders>
              <w:bottom w:val="single" w:sz="8" w:space="0" w:color="000000"/>
              <w:right w:val="single" w:sz="8" w:space="0" w:color="000000"/>
            </w:tcBorders>
            <w:shd w:val="clear" w:color="auto" w:fill="auto"/>
            <w:tcMar>
              <w:top w:w="0" w:type="dxa"/>
              <w:left w:w="70" w:type="dxa"/>
              <w:bottom w:w="0" w:type="dxa"/>
              <w:right w:w="70" w:type="dxa"/>
            </w:tcMar>
          </w:tcPr>
          <w:p w14:paraId="27C2BD07" w14:textId="77777777" w:rsidR="00284822" w:rsidRDefault="00F77BF8">
            <w:pPr>
              <w:spacing w:before="120" w:after="120"/>
              <w:jc w:val="center"/>
              <w:rPr>
                <w:rFonts w:ascii="Rockwell" w:hAnsi="Rockwell"/>
                <w:sz w:val="22"/>
                <w:szCs w:val="22"/>
              </w:rPr>
            </w:pPr>
            <w:r>
              <w:rPr>
                <w:rFonts w:ascii="Rockwell" w:hAnsi="Rockwell"/>
                <w:b/>
                <w:color w:val="000000"/>
                <w:sz w:val="22"/>
                <w:szCs w:val="22"/>
              </w:rPr>
              <w:t>00,00%</w:t>
            </w:r>
          </w:p>
        </w:tc>
        <w:tc>
          <w:tcPr>
            <w:tcW w:w="1134" w:type="dxa"/>
            <w:tcBorders>
              <w:bottom w:val="single" w:sz="8" w:space="0" w:color="000000"/>
              <w:right w:val="single" w:sz="8" w:space="0" w:color="000000"/>
            </w:tcBorders>
            <w:shd w:val="clear" w:color="auto" w:fill="auto"/>
            <w:tcMar>
              <w:top w:w="0" w:type="dxa"/>
              <w:left w:w="70" w:type="dxa"/>
              <w:bottom w:w="0" w:type="dxa"/>
              <w:right w:w="70" w:type="dxa"/>
            </w:tcMar>
          </w:tcPr>
          <w:p w14:paraId="74DA8AF5"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4 1/6</w:t>
            </w:r>
          </w:p>
        </w:tc>
        <w:tc>
          <w:tcPr>
            <w:tcW w:w="1134" w:type="dxa"/>
            <w:tcBorders>
              <w:bottom w:val="single" w:sz="8" w:space="0" w:color="000000"/>
              <w:right w:val="single" w:sz="8" w:space="0" w:color="000000"/>
            </w:tcBorders>
            <w:shd w:val="clear" w:color="auto" w:fill="auto"/>
            <w:tcMar>
              <w:top w:w="0" w:type="dxa"/>
              <w:left w:w="70" w:type="dxa"/>
              <w:bottom w:w="0" w:type="dxa"/>
              <w:right w:w="70" w:type="dxa"/>
            </w:tcMar>
          </w:tcPr>
          <w:p w14:paraId="7F11DBE6"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100,00%</w:t>
            </w:r>
          </w:p>
        </w:tc>
        <w:tc>
          <w:tcPr>
            <w:tcW w:w="851" w:type="dxa"/>
            <w:tcBorders>
              <w:bottom w:val="single" w:sz="8" w:space="0" w:color="000000"/>
              <w:right w:val="single" w:sz="8" w:space="0" w:color="000000"/>
            </w:tcBorders>
            <w:shd w:val="clear" w:color="auto" w:fill="auto"/>
            <w:tcMar>
              <w:top w:w="0" w:type="dxa"/>
              <w:left w:w="70" w:type="dxa"/>
              <w:bottom w:w="0" w:type="dxa"/>
              <w:right w:w="70" w:type="dxa"/>
            </w:tcMar>
          </w:tcPr>
          <w:p w14:paraId="6B2E1358"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9</w:t>
            </w:r>
          </w:p>
        </w:tc>
        <w:tc>
          <w:tcPr>
            <w:tcW w:w="1134" w:type="dxa"/>
            <w:tcBorders>
              <w:bottom w:val="single" w:sz="8" w:space="0" w:color="000000"/>
              <w:right w:val="single" w:sz="8" w:space="0" w:color="000000"/>
            </w:tcBorders>
            <w:shd w:val="clear" w:color="auto" w:fill="auto"/>
            <w:tcMar>
              <w:top w:w="0" w:type="dxa"/>
              <w:left w:w="70" w:type="dxa"/>
              <w:bottom w:w="0" w:type="dxa"/>
              <w:right w:w="70" w:type="dxa"/>
            </w:tcMar>
          </w:tcPr>
          <w:p w14:paraId="61A8FC7F"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100,00%</w:t>
            </w:r>
          </w:p>
        </w:tc>
        <w:tc>
          <w:tcPr>
            <w:tcW w:w="859" w:type="dxa"/>
            <w:tcBorders>
              <w:bottom w:val="single" w:sz="8" w:space="0" w:color="000000"/>
              <w:right w:val="single" w:sz="8" w:space="0" w:color="000000"/>
            </w:tcBorders>
            <w:shd w:val="clear" w:color="auto" w:fill="auto"/>
            <w:tcMar>
              <w:top w:w="0" w:type="dxa"/>
              <w:left w:w="70" w:type="dxa"/>
              <w:bottom w:w="0" w:type="dxa"/>
              <w:right w:w="70" w:type="dxa"/>
            </w:tcMar>
          </w:tcPr>
          <w:p w14:paraId="2AEB72C6"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4 1/6</w:t>
            </w:r>
          </w:p>
        </w:tc>
        <w:tc>
          <w:tcPr>
            <w:tcW w:w="1506" w:type="dxa"/>
            <w:tcBorders>
              <w:bottom w:val="single" w:sz="8" w:space="0" w:color="000000"/>
              <w:right w:val="single" w:sz="8" w:space="0" w:color="000000"/>
            </w:tcBorders>
            <w:shd w:val="clear" w:color="auto" w:fill="auto"/>
            <w:tcMar>
              <w:top w:w="0" w:type="dxa"/>
              <w:left w:w="70" w:type="dxa"/>
              <w:bottom w:w="0" w:type="dxa"/>
              <w:right w:w="70" w:type="dxa"/>
            </w:tcMar>
          </w:tcPr>
          <w:p w14:paraId="259ED938"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100,00%</w:t>
            </w:r>
          </w:p>
        </w:tc>
        <w:tc>
          <w:tcPr>
            <w:tcW w:w="751" w:type="dxa"/>
            <w:tcBorders>
              <w:bottom w:val="single" w:sz="8" w:space="0" w:color="000000"/>
              <w:right w:val="single" w:sz="8" w:space="0" w:color="000000"/>
            </w:tcBorders>
            <w:shd w:val="clear" w:color="auto" w:fill="auto"/>
            <w:tcMar>
              <w:top w:w="0" w:type="dxa"/>
              <w:left w:w="70" w:type="dxa"/>
              <w:bottom w:w="0" w:type="dxa"/>
              <w:right w:w="70" w:type="dxa"/>
            </w:tcMar>
          </w:tcPr>
          <w:p w14:paraId="59FFF12A"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9</w:t>
            </w:r>
          </w:p>
        </w:tc>
        <w:tc>
          <w:tcPr>
            <w:tcW w:w="1127" w:type="dxa"/>
            <w:tcBorders>
              <w:bottom w:val="single" w:sz="8" w:space="0" w:color="000000"/>
              <w:right w:val="single" w:sz="8" w:space="0" w:color="000000"/>
            </w:tcBorders>
            <w:shd w:val="clear" w:color="auto" w:fill="auto"/>
            <w:tcMar>
              <w:top w:w="0" w:type="dxa"/>
              <w:left w:w="70" w:type="dxa"/>
              <w:bottom w:w="0" w:type="dxa"/>
              <w:right w:w="70" w:type="dxa"/>
            </w:tcMar>
          </w:tcPr>
          <w:p w14:paraId="4AD3BE76" w14:textId="77777777" w:rsidR="00284822" w:rsidRDefault="00F77BF8">
            <w:pPr>
              <w:spacing w:before="120" w:after="120"/>
              <w:jc w:val="center"/>
              <w:rPr>
                <w:rFonts w:ascii="Rockwell" w:hAnsi="Rockwell"/>
                <w:b/>
                <w:color w:val="000000"/>
                <w:sz w:val="22"/>
                <w:szCs w:val="22"/>
              </w:rPr>
            </w:pPr>
            <w:r>
              <w:rPr>
                <w:rFonts w:ascii="Rockwell" w:hAnsi="Rockwell"/>
                <w:b/>
                <w:color w:val="000000"/>
                <w:sz w:val="22"/>
                <w:szCs w:val="22"/>
              </w:rPr>
              <w:t>100,00%</w:t>
            </w:r>
          </w:p>
        </w:tc>
      </w:tr>
    </w:tbl>
    <w:p w14:paraId="51911776" w14:textId="77777777" w:rsidR="00284822" w:rsidRDefault="00F77BF8">
      <w:pPr>
        <w:tabs>
          <w:tab w:val="left" w:pos="895"/>
        </w:tabs>
        <w:spacing w:before="120" w:after="120"/>
        <w:ind w:left="-709" w:firstLine="567"/>
        <w:rPr>
          <w:rFonts w:ascii="Rockwell" w:hAnsi="Rockwell"/>
          <w:i/>
          <w:sz w:val="20"/>
          <w:szCs w:val="20"/>
        </w:rPr>
      </w:pPr>
      <w:r>
        <w:rPr>
          <w:rFonts w:ascii="Rockwell" w:hAnsi="Rockwell"/>
          <w:i/>
          <w:sz w:val="20"/>
          <w:szCs w:val="20"/>
          <w:u w:val="single"/>
        </w:rPr>
        <w:t>Source</w:t>
      </w:r>
      <w:r>
        <w:rPr>
          <w:rFonts w:ascii="Rockwell" w:hAnsi="Rockwell"/>
          <w:i/>
          <w:sz w:val="20"/>
          <w:szCs w:val="20"/>
        </w:rPr>
        <w:t> : Monitoring CSC</w:t>
      </w:r>
    </w:p>
    <w:p w14:paraId="2B57C567" w14:textId="77777777" w:rsidR="00284822" w:rsidRDefault="00284822">
      <w:pPr>
        <w:spacing w:before="120" w:after="120"/>
        <w:rPr>
          <w:rFonts w:ascii="Rockwell" w:hAnsi="Rockwell"/>
          <w:szCs w:val="26"/>
        </w:rPr>
        <w:sectPr w:rsidR="00284822">
          <w:pgSz w:w="16838" w:h="11906" w:orient="landscape"/>
          <w:pgMar w:top="1418" w:right="1418" w:bottom="1418" w:left="1418" w:header="170" w:footer="170" w:gutter="0"/>
          <w:cols w:space="720"/>
          <w:docGrid w:linePitch="354"/>
        </w:sectPr>
      </w:pPr>
    </w:p>
    <w:p w14:paraId="511B93FE" w14:textId="77777777" w:rsidR="00284822" w:rsidRDefault="00F77BF8">
      <w:pPr>
        <w:pStyle w:val="Titre4"/>
        <w:spacing w:before="120" w:after="120"/>
        <w:ind w:left="-993"/>
        <w:rPr>
          <w:rFonts w:ascii="Rockwell" w:hAnsi="Rockwell"/>
          <w:sz w:val="28"/>
          <w:szCs w:val="28"/>
        </w:rPr>
      </w:pPr>
      <w:bookmarkStart w:id="148" w:name="_Toc175048670"/>
      <w:r>
        <w:rPr>
          <w:rFonts w:ascii="Rockwell" w:hAnsi="Rockwell"/>
          <w:sz w:val="28"/>
          <w:szCs w:val="28"/>
        </w:rPr>
        <w:lastRenderedPageBreak/>
        <w:t>Paragraphe 3 : Appréciation du pluralisme et de l’équilibre de l’information dans les colonnes des organes de presse écrite du Centre</w:t>
      </w:r>
      <w:bookmarkEnd w:id="148"/>
    </w:p>
    <w:p w14:paraId="2A0951B7" w14:textId="77777777" w:rsidR="00284822" w:rsidRDefault="00284822">
      <w:pPr>
        <w:spacing w:before="120" w:after="120"/>
        <w:rPr>
          <w:sz w:val="4"/>
          <w:szCs w:val="4"/>
        </w:rPr>
      </w:pPr>
    </w:p>
    <w:p w14:paraId="4290962C" w14:textId="77777777" w:rsidR="00284822" w:rsidRDefault="00F77BF8">
      <w:pPr>
        <w:spacing w:before="120" w:after="120"/>
        <w:ind w:left="-284"/>
        <w:rPr>
          <w:rFonts w:ascii="Rockwell" w:hAnsi="Rockwell"/>
          <w:szCs w:val="26"/>
        </w:rPr>
      </w:pPr>
      <w:r>
        <w:rPr>
          <w:rFonts w:ascii="Rockwell" w:hAnsi="Rockwell"/>
          <w:szCs w:val="26"/>
        </w:rPr>
        <w:t xml:space="preserve">Les six (06) quotidiens analysés au cours de l’année 2022 ont traité de l’actualité de 58 partis politiques, soit un total de </w:t>
      </w:r>
      <w:r>
        <w:rPr>
          <w:rFonts w:ascii="Rockwell" w:hAnsi="Rockwell"/>
          <w:bCs/>
          <w:szCs w:val="26"/>
        </w:rPr>
        <w:t xml:space="preserve">430 </w:t>
      </w:r>
      <w:r>
        <w:rPr>
          <w:rFonts w:ascii="Rockwell" w:hAnsi="Rockwell"/>
          <w:szCs w:val="26"/>
        </w:rPr>
        <w:t xml:space="preserve">pages </w:t>
      </w:r>
      <w:r>
        <w:rPr>
          <w:rFonts w:ascii="Rockwell" w:hAnsi="Rockwell"/>
          <w:bCs/>
          <w:szCs w:val="26"/>
        </w:rPr>
        <w:t>1/6</w:t>
      </w:r>
      <w:r>
        <w:rPr>
          <w:rFonts w:ascii="Rockwell" w:hAnsi="Rockwell"/>
          <w:szCs w:val="26"/>
        </w:rPr>
        <w:t xml:space="preserve"> et </w:t>
      </w:r>
      <w:r>
        <w:rPr>
          <w:rFonts w:ascii="Rockwell" w:hAnsi="Rockwell"/>
          <w:bCs/>
          <w:szCs w:val="26"/>
        </w:rPr>
        <w:t>751</w:t>
      </w:r>
      <w:r>
        <w:rPr>
          <w:rFonts w:ascii="Rockwell" w:hAnsi="Rockwell"/>
          <w:szCs w:val="26"/>
        </w:rPr>
        <w:t xml:space="preserve"> illustrations.</w:t>
      </w:r>
    </w:p>
    <w:p w14:paraId="3FDDF4C5" w14:textId="77777777" w:rsidR="00284822" w:rsidRDefault="00F77BF8">
      <w:pPr>
        <w:spacing w:before="120" w:after="120"/>
        <w:rPr>
          <w:rFonts w:ascii="Rockwell" w:hAnsi="Rockwell"/>
          <w:szCs w:val="26"/>
        </w:rPr>
      </w:pPr>
      <w:r>
        <w:rPr>
          <w:rFonts w:ascii="Rockwell" w:hAnsi="Rockwell"/>
          <w:szCs w:val="26"/>
        </w:rPr>
        <w:t xml:space="preserve">Le CDP, avec </w:t>
      </w:r>
      <w:r>
        <w:rPr>
          <w:rFonts w:ascii="Rockwell" w:hAnsi="Rockwell"/>
          <w:bCs/>
          <w:szCs w:val="26"/>
        </w:rPr>
        <w:t xml:space="preserve">24,84% </w:t>
      </w:r>
      <w:r>
        <w:rPr>
          <w:rFonts w:ascii="Rockwell" w:hAnsi="Rockwell"/>
          <w:szCs w:val="26"/>
        </w:rPr>
        <w:t xml:space="preserve">de NP et </w:t>
      </w:r>
      <w:r>
        <w:rPr>
          <w:rFonts w:ascii="Rockwell" w:hAnsi="Rockwell"/>
          <w:bCs/>
          <w:szCs w:val="26"/>
        </w:rPr>
        <w:t xml:space="preserve">23,97% </w:t>
      </w:r>
      <w:r>
        <w:rPr>
          <w:rFonts w:ascii="Rockwell" w:hAnsi="Rockwell"/>
          <w:szCs w:val="26"/>
        </w:rPr>
        <w:t>de NI, occupe le premier rang des partis politiques ayant reçu le plus de pages et d’illustrations. Il est suivi de :</w:t>
      </w:r>
    </w:p>
    <w:p w14:paraId="4103FACA" w14:textId="77777777" w:rsidR="00284822" w:rsidRDefault="00F77BF8">
      <w:pPr>
        <w:pStyle w:val="Paragraphedeliste"/>
        <w:numPr>
          <w:ilvl w:val="0"/>
          <w:numId w:val="16"/>
        </w:numPr>
        <w:rPr>
          <w:rFonts w:ascii="Rockwell" w:hAnsi="Rockwell"/>
        </w:rPr>
      </w:pPr>
      <w:r>
        <w:rPr>
          <w:rFonts w:ascii="Rockwell" w:hAnsi="Rockwell"/>
        </w:rPr>
        <w:t xml:space="preserve"> MPP avec </w:t>
      </w:r>
      <w:r>
        <w:rPr>
          <w:rFonts w:ascii="Rockwell" w:hAnsi="Rockwell"/>
          <w:bCs/>
        </w:rPr>
        <w:t xml:space="preserve">14,58% </w:t>
      </w:r>
      <w:r>
        <w:rPr>
          <w:rFonts w:ascii="Rockwell" w:hAnsi="Rockwell"/>
        </w:rPr>
        <w:t xml:space="preserve">de NP et </w:t>
      </w:r>
      <w:r>
        <w:rPr>
          <w:rFonts w:ascii="Rockwell" w:hAnsi="Rockwell"/>
          <w:bCs/>
        </w:rPr>
        <w:t xml:space="preserve">14,91% de </w:t>
      </w:r>
      <w:r>
        <w:rPr>
          <w:rFonts w:ascii="Rockwell" w:hAnsi="Rockwell"/>
        </w:rPr>
        <w:t>NI ;</w:t>
      </w:r>
    </w:p>
    <w:p w14:paraId="50B8ED53" w14:textId="77777777" w:rsidR="00284822" w:rsidRDefault="00F77BF8">
      <w:pPr>
        <w:pStyle w:val="Paragraphedeliste"/>
        <w:numPr>
          <w:ilvl w:val="0"/>
          <w:numId w:val="16"/>
        </w:numPr>
        <w:rPr>
          <w:rFonts w:ascii="Rockwell" w:hAnsi="Rockwell"/>
        </w:rPr>
      </w:pPr>
      <w:r>
        <w:rPr>
          <w:rFonts w:ascii="Rockwell" w:hAnsi="Rockwell"/>
        </w:rPr>
        <w:t xml:space="preserve">PPS qui bénéficie de </w:t>
      </w:r>
      <w:r>
        <w:rPr>
          <w:rFonts w:ascii="Rockwell" w:hAnsi="Rockwell"/>
          <w:bCs/>
        </w:rPr>
        <w:t xml:space="preserve">7,61% </w:t>
      </w:r>
      <w:r>
        <w:rPr>
          <w:rFonts w:ascii="Rockwell" w:hAnsi="Rockwell"/>
        </w:rPr>
        <w:t xml:space="preserve">de NP et </w:t>
      </w:r>
      <w:r>
        <w:rPr>
          <w:rFonts w:ascii="Rockwell" w:hAnsi="Rockwell"/>
          <w:bCs/>
        </w:rPr>
        <w:t xml:space="preserve">7,99% </w:t>
      </w:r>
      <w:r>
        <w:rPr>
          <w:rFonts w:ascii="Rockwell" w:hAnsi="Rockwell"/>
        </w:rPr>
        <w:t>de NI ;</w:t>
      </w:r>
    </w:p>
    <w:p w14:paraId="6175701A" w14:textId="77777777" w:rsidR="00284822" w:rsidRDefault="00F77BF8">
      <w:pPr>
        <w:pStyle w:val="Paragraphedeliste"/>
        <w:numPr>
          <w:ilvl w:val="0"/>
          <w:numId w:val="16"/>
        </w:numPr>
        <w:rPr>
          <w:rFonts w:ascii="Rockwell" w:hAnsi="Rockwell"/>
        </w:rPr>
      </w:pPr>
      <w:r>
        <w:rPr>
          <w:rFonts w:ascii="Rockwell" w:hAnsi="Rockwell"/>
        </w:rPr>
        <w:t xml:space="preserve"> UNIR/MPS avec </w:t>
      </w:r>
      <w:r>
        <w:rPr>
          <w:rFonts w:ascii="Rockwell" w:hAnsi="Rockwell"/>
          <w:bCs/>
        </w:rPr>
        <w:t xml:space="preserve">6,70% </w:t>
      </w:r>
      <w:r>
        <w:rPr>
          <w:rFonts w:ascii="Rockwell" w:hAnsi="Rockwell"/>
        </w:rPr>
        <w:t xml:space="preserve">de NP et </w:t>
      </w:r>
      <w:r>
        <w:rPr>
          <w:rFonts w:ascii="Rockwell" w:hAnsi="Rockwell"/>
          <w:bCs/>
        </w:rPr>
        <w:t xml:space="preserve">5,46% </w:t>
      </w:r>
      <w:r>
        <w:rPr>
          <w:rFonts w:ascii="Rockwell" w:hAnsi="Rockwell"/>
        </w:rPr>
        <w:t>de NI ;</w:t>
      </w:r>
    </w:p>
    <w:p w14:paraId="715A8550" w14:textId="77777777" w:rsidR="00284822" w:rsidRDefault="00F77BF8">
      <w:pPr>
        <w:pStyle w:val="Paragraphedeliste"/>
        <w:numPr>
          <w:ilvl w:val="0"/>
          <w:numId w:val="16"/>
        </w:numPr>
        <w:rPr>
          <w:rFonts w:ascii="Rockwell" w:hAnsi="Rockwell"/>
        </w:rPr>
      </w:pPr>
      <w:r>
        <w:rPr>
          <w:rFonts w:ascii="Rockwell" w:hAnsi="Rockwell"/>
        </w:rPr>
        <w:t xml:space="preserve"> UNDD qui obtient </w:t>
      </w:r>
      <w:r>
        <w:rPr>
          <w:rFonts w:ascii="Rockwell" w:hAnsi="Rockwell"/>
          <w:bCs/>
        </w:rPr>
        <w:t xml:space="preserve">5,64% </w:t>
      </w:r>
      <w:r>
        <w:rPr>
          <w:rFonts w:ascii="Rockwell" w:hAnsi="Rockwell"/>
        </w:rPr>
        <w:t xml:space="preserve">de NP et </w:t>
      </w:r>
      <w:r>
        <w:rPr>
          <w:rFonts w:ascii="Rockwell" w:hAnsi="Rockwell"/>
          <w:bCs/>
        </w:rPr>
        <w:t xml:space="preserve">7,32% </w:t>
      </w:r>
      <w:r>
        <w:rPr>
          <w:rFonts w:ascii="Rockwell" w:hAnsi="Rockwell"/>
        </w:rPr>
        <w:t>de NI.</w:t>
      </w:r>
    </w:p>
    <w:p w14:paraId="38B92F2C" w14:textId="77777777" w:rsidR="00284822" w:rsidRDefault="00F77BF8">
      <w:pPr>
        <w:spacing w:before="120" w:after="120"/>
        <w:rPr>
          <w:rFonts w:ascii="Rockwell" w:hAnsi="Rockwell"/>
          <w:szCs w:val="26"/>
        </w:rPr>
      </w:pPr>
      <w:r>
        <w:rPr>
          <w:rFonts w:ascii="Rockwell" w:hAnsi="Rockwell"/>
          <w:szCs w:val="26"/>
        </w:rPr>
        <w:t>Le nombre de pages et d’illustrations total de ces 5 partis politiques est estimé à environ 60%. Les 53 autres se partagent les 40% restants. Il en résulte un déséquilibre de l’information au profit du CDP.</w:t>
      </w:r>
    </w:p>
    <w:p w14:paraId="33536E0C" w14:textId="77777777" w:rsidR="00284822" w:rsidRDefault="00F77BF8">
      <w:pPr>
        <w:spacing w:before="120" w:after="120"/>
        <w:rPr>
          <w:rFonts w:ascii="Rockwell" w:hAnsi="Rockwell"/>
          <w:szCs w:val="26"/>
        </w:rPr>
      </w:pPr>
      <w:r>
        <w:rPr>
          <w:rFonts w:ascii="Rockwell" w:hAnsi="Rockwell"/>
          <w:szCs w:val="26"/>
        </w:rPr>
        <w:t xml:space="preserve">Avec </w:t>
      </w:r>
      <w:r>
        <w:rPr>
          <w:rFonts w:ascii="Rockwell" w:hAnsi="Rockwell"/>
          <w:color w:val="000000"/>
          <w:szCs w:val="26"/>
        </w:rPr>
        <w:t xml:space="preserve">32,98% de NP et 31,56% de NI, le journal </w:t>
      </w:r>
      <w:r>
        <w:rPr>
          <w:rFonts w:ascii="Rockwell" w:hAnsi="Rockwell"/>
          <w:i/>
          <w:color w:val="000000"/>
          <w:szCs w:val="26"/>
        </w:rPr>
        <w:t>Le Pays</w:t>
      </w:r>
      <w:r>
        <w:rPr>
          <w:rFonts w:ascii="Rockwell" w:hAnsi="Rockwell"/>
          <w:color w:val="000000"/>
          <w:szCs w:val="26"/>
        </w:rPr>
        <w:t xml:space="preserve"> occupe l</w:t>
      </w:r>
      <w:r>
        <w:rPr>
          <w:rFonts w:ascii="Rockwell" w:hAnsi="Rockwell"/>
          <w:szCs w:val="26"/>
        </w:rPr>
        <w:t>a première place des quotidiens qui ont accordé plus d’intérêt à l’actualité politique. Viennent ensuite :</w:t>
      </w:r>
    </w:p>
    <w:p w14:paraId="22B18BA4" w14:textId="77777777" w:rsidR="00284822" w:rsidRDefault="00F77BF8">
      <w:pPr>
        <w:pStyle w:val="Paragraphedeliste"/>
        <w:numPr>
          <w:ilvl w:val="0"/>
          <w:numId w:val="17"/>
        </w:numPr>
        <w:rPr>
          <w:rFonts w:ascii="Rockwell" w:hAnsi="Rockwell"/>
        </w:rPr>
      </w:pPr>
      <w:r>
        <w:rPr>
          <w:rFonts w:ascii="Rockwell" w:hAnsi="Rockwell"/>
          <w:i/>
          <w:iCs/>
        </w:rPr>
        <w:t>Le Quotidien</w:t>
      </w:r>
      <w:r>
        <w:rPr>
          <w:rFonts w:ascii="Rockwell" w:hAnsi="Rockwell"/>
        </w:rPr>
        <w:t xml:space="preserve"> avec </w:t>
      </w:r>
      <w:r>
        <w:rPr>
          <w:rFonts w:ascii="Rockwell" w:hAnsi="Rockwell"/>
          <w:color w:val="000000"/>
        </w:rPr>
        <w:t>21,04%</w:t>
      </w:r>
      <w:r>
        <w:rPr>
          <w:rFonts w:ascii="Rockwell" w:hAnsi="Rockwell"/>
        </w:rPr>
        <w:t xml:space="preserve"> de NP et </w:t>
      </w:r>
      <w:r>
        <w:rPr>
          <w:rFonts w:ascii="Rockwell" w:hAnsi="Rockwell"/>
          <w:color w:val="000000"/>
        </w:rPr>
        <w:t>21,57%</w:t>
      </w:r>
      <w:r>
        <w:rPr>
          <w:rFonts w:ascii="Rockwell" w:hAnsi="Rockwell"/>
        </w:rPr>
        <w:t xml:space="preserve"> de NI ;</w:t>
      </w:r>
    </w:p>
    <w:p w14:paraId="1046DEC9" w14:textId="77777777" w:rsidR="00284822" w:rsidRDefault="00F77BF8">
      <w:pPr>
        <w:pStyle w:val="Paragraphedeliste"/>
        <w:numPr>
          <w:ilvl w:val="0"/>
          <w:numId w:val="17"/>
        </w:numPr>
        <w:rPr>
          <w:rFonts w:ascii="Rockwell" w:hAnsi="Rockwell"/>
        </w:rPr>
      </w:pPr>
      <w:r>
        <w:rPr>
          <w:rFonts w:ascii="Rockwell" w:hAnsi="Rockwell"/>
          <w:i/>
        </w:rPr>
        <w:t xml:space="preserve"> L’Observateur</w:t>
      </w:r>
      <w:r>
        <w:rPr>
          <w:rFonts w:ascii="Rockwell" w:hAnsi="Rockwell"/>
          <w:i/>
          <w:iCs/>
        </w:rPr>
        <w:t xml:space="preserve"> </w:t>
      </w:r>
      <w:proofErr w:type="spellStart"/>
      <w:r>
        <w:rPr>
          <w:rFonts w:ascii="Rockwell" w:hAnsi="Rockwell"/>
          <w:i/>
          <w:iCs/>
        </w:rPr>
        <w:t>Paalga</w:t>
      </w:r>
      <w:proofErr w:type="spellEnd"/>
      <w:r>
        <w:rPr>
          <w:rFonts w:ascii="Rockwell" w:hAnsi="Rockwell"/>
          <w:iCs/>
        </w:rPr>
        <w:t xml:space="preserve"> qui leur a consacré </w:t>
      </w:r>
      <w:r>
        <w:rPr>
          <w:rFonts w:ascii="Rockwell" w:hAnsi="Rockwell"/>
          <w:color w:val="000000"/>
        </w:rPr>
        <w:t>15,15%</w:t>
      </w:r>
      <w:r>
        <w:rPr>
          <w:rFonts w:ascii="Rockwell" w:hAnsi="Rockwell"/>
        </w:rPr>
        <w:t xml:space="preserve"> de NP et </w:t>
      </w:r>
      <w:r>
        <w:rPr>
          <w:rFonts w:ascii="Rockwell" w:hAnsi="Rockwell"/>
          <w:color w:val="000000"/>
        </w:rPr>
        <w:t>15,45%</w:t>
      </w:r>
      <w:r>
        <w:rPr>
          <w:rFonts w:ascii="Rockwell" w:hAnsi="Rockwell"/>
        </w:rPr>
        <w:t xml:space="preserve"> de NI ;</w:t>
      </w:r>
    </w:p>
    <w:p w14:paraId="09DD6E15" w14:textId="77777777" w:rsidR="00284822" w:rsidRDefault="00F77BF8">
      <w:pPr>
        <w:pStyle w:val="Paragraphedeliste"/>
        <w:numPr>
          <w:ilvl w:val="0"/>
          <w:numId w:val="17"/>
        </w:numPr>
        <w:rPr>
          <w:rFonts w:ascii="Rockwell" w:hAnsi="Rockwell"/>
        </w:rPr>
      </w:pPr>
      <w:r>
        <w:rPr>
          <w:rFonts w:ascii="Rockwell" w:hAnsi="Rockwell"/>
        </w:rPr>
        <w:t xml:space="preserve"> </w:t>
      </w:r>
      <w:r>
        <w:rPr>
          <w:rFonts w:ascii="Rockwell" w:hAnsi="Rockwell"/>
          <w:i/>
          <w:iCs/>
        </w:rPr>
        <w:t>Aujourd'hui au Faso</w:t>
      </w:r>
      <w:r>
        <w:rPr>
          <w:rFonts w:ascii="Rockwell" w:hAnsi="Rockwell"/>
          <w:iCs/>
        </w:rPr>
        <w:t xml:space="preserve"> avec </w:t>
      </w:r>
      <w:r>
        <w:rPr>
          <w:rFonts w:ascii="Rockwell" w:hAnsi="Rockwell"/>
          <w:color w:val="000000"/>
        </w:rPr>
        <w:t>13,13%</w:t>
      </w:r>
      <w:r>
        <w:rPr>
          <w:rFonts w:ascii="Rockwell" w:hAnsi="Rockwell"/>
        </w:rPr>
        <w:t xml:space="preserve"> de NP et </w:t>
      </w:r>
      <w:r>
        <w:rPr>
          <w:rFonts w:ascii="Rockwell" w:hAnsi="Rockwell"/>
          <w:color w:val="000000"/>
        </w:rPr>
        <w:t>11,85%</w:t>
      </w:r>
      <w:r>
        <w:rPr>
          <w:rFonts w:ascii="Rockwell" w:hAnsi="Rockwell"/>
        </w:rPr>
        <w:t xml:space="preserve"> de NI ;</w:t>
      </w:r>
    </w:p>
    <w:p w14:paraId="0ED4E3CA" w14:textId="77777777" w:rsidR="00284822" w:rsidRDefault="00F77BF8">
      <w:pPr>
        <w:pStyle w:val="Paragraphedeliste"/>
        <w:numPr>
          <w:ilvl w:val="0"/>
          <w:numId w:val="17"/>
        </w:numPr>
        <w:rPr>
          <w:rFonts w:ascii="Rockwell" w:hAnsi="Rockwell"/>
        </w:rPr>
      </w:pPr>
      <w:r>
        <w:rPr>
          <w:rFonts w:ascii="Rockwell" w:hAnsi="Rockwell"/>
          <w:i/>
          <w:iCs/>
        </w:rPr>
        <w:t>L'Express du Faso</w:t>
      </w:r>
      <w:r>
        <w:rPr>
          <w:rFonts w:ascii="Rockwell" w:hAnsi="Rockwell"/>
        </w:rPr>
        <w:t>, qui leur a accordé</w:t>
      </w:r>
      <w:r>
        <w:rPr>
          <w:rFonts w:ascii="Rockwell" w:hAnsi="Rockwell"/>
          <w:color w:val="000000"/>
        </w:rPr>
        <w:t>10,34%</w:t>
      </w:r>
      <w:r>
        <w:rPr>
          <w:rFonts w:ascii="Rockwell" w:hAnsi="Rockwell"/>
        </w:rPr>
        <w:t xml:space="preserve"> de NP et </w:t>
      </w:r>
      <w:r>
        <w:rPr>
          <w:rFonts w:ascii="Rockwell" w:hAnsi="Rockwell"/>
          <w:color w:val="000000"/>
        </w:rPr>
        <w:t>11,32%</w:t>
      </w:r>
      <w:r>
        <w:rPr>
          <w:rFonts w:ascii="Rockwell" w:hAnsi="Rockwell"/>
        </w:rPr>
        <w:t xml:space="preserve"> de NI ;</w:t>
      </w:r>
    </w:p>
    <w:p w14:paraId="18336CCA" w14:textId="77777777" w:rsidR="00284822" w:rsidRDefault="00F77BF8">
      <w:pPr>
        <w:pStyle w:val="Paragraphedeliste"/>
        <w:numPr>
          <w:ilvl w:val="0"/>
          <w:numId w:val="17"/>
        </w:numPr>
        <w:rPr>
          <w:rFonts w:ascii="Rockwell" w:hAnsi="Rockwell"/>
        </w:rPr>
      </w:pPr>
      <w:proofErr w:type="spellStart"/>
      <w:r>
        <w:rPr>
          <w:rFonts w:ascii="Rockwell" w:hAnsi="Rockwell"/>
          <w:i/>
          <w:iCs/>
        </w:rPr>
        <w:t>Sidwaya</w:t>
      </w:r>
      <w:proofErr w:type="spellEnd"/>
      <w:r>
        <w:rPr>
          <w:rFonts w:ascii="Rockwell" w:hAnsi="Rockwell"/>
        </w:rPr>
        <w:t xml:space="preserve"> avec </w:t>
      </w:r>
      <w:r>
        <w:rPr>
          <w:rFonts w:ascii="Rockwell" w:hAnsi="Rockwell"/>
          <w:color w:val="000000"/>
        </w:rPr>
        <w:t xml:space="preserve">7,36% </w:t>
      </w:r>
      <w:r>
        <w:rPr>
          <w:rFonts w:ascii="Rockwell" w:hAnsi="Rockwell"/>
        </w:rPr>
        <w:t xml:space="preserve">de NP et </w:t>
      </w:r>
      <w:r>
        <w:rPr>
          <w:rFonts w:ascii="Rockwell" w:hAnsi="Rockwell"/>
          <w:color w:val="000000"/>
        </w:rPr>
        <w:t>8,26%</w:t>
      </w:r>
      <w:r>
        <w:rPr>
          <w:rFonts w:ascii="Rockwell" w:hAnsi="Rockwell"/>
        </w:rPr>
        <w:t xml:space="preserve"> de </w:t>
      </w:r>
      <w:commentRangeStart w:id="149"/>
      <w:r>
        <w:rPr>
          <w:rFonts w:ascii="Rockwell" w:hAnsi="Rockwell"/>
        </w:rPr>
        <w:t>NI</w:t>
      </w:r>
      <w:commentRangeEnd w:id="149"/>
      <w:r>
        <w:rPr>
          <w:rStyle w:val="Marquedecommentaire"/>
        </w:rPr>
        <w:commentReference w:id="149"/>
      </w:r>
      <w:r>
        <w:rPr>
          <w:rFonts w:ascii="Rockwell" w:hAnsi="Rockwell"/>
        </w:rPr>
        <w:t>.</w:t>
      </w:r>
    </w:p>
    <w:p w14:paraId="07E141E6" w14:textId="77777777" w:rsidR="00284822" w:rsidRDefault="00F77BF8">
      <w:pPr>
        <w:spacing w:before="120" w:after="120"/>
        <w:rPr>
          <w:rFonts w:ascii="Rockwell" w:hAnsi="Rockwell"/>
          <w:szCs w:val="26"/>
        </w:rPr>
      </w:pPr>
      <w:r>
        <w:rPr>
          <w:rFonts w:ascii="Rockwell" w:hAnsi="Rockwell"/>
          <w:szCs w:val="26"/>
        </w:rPr>
        <w:t>Ces quotidiens se sont intéressés à 58 partis politiques sur les 152</w:t>
      </w:r>
      <w:r>
        <w:rPr>
          <w:rStyle w:val="Appelnotedebasdep"/>
          <w:rFonts w:ascii="Rockwell" w:hAnsi="Rockwell"/>
          <w:szCs w:val="26"/>
        </w:rPr>
        <w:footnoteReference w:id="7"/>
      </w:r>
      <w:r>
        <w:rPr>
          <w:rFonts w:ascii="Rockwell" w:hAnsi="Rockwell"/>
          <w:szCs w:val="26"/>
        </w:rPr>
        <w:t xml:space="preserve"> déclarés au Burkina, soit plus du tiers. L’on constate que le pluralisme n’est donc pas </w:t>
      </w:r>
      <w:r>
        <w:rPr>
          <w:rFonts w:ascii="Rockwell" w:hAnsi="Rockwell"/>
          <w:szCs w:val="26"/>
        </w:rPr>
        <w:lastRenderedPageBreak/>
        <w:t>respecté. Cet état de fait pourrait se justifier par l’absence de dynamisme de la plupart des partis politiques.</w:t>
      </w:r>
    </w:p>
    <w:p w14:paraId="67A9D717" w14:textId="77777777" w:rsidR="00284822" w:rsidRDefault="00F77BF8">
      <w:pPr>
        <w:spacing w:before="120" w:after="120"/>
        <w:rPr>
          <w:rFonts w:ascii="Rockwell" w:hAnsi="Rockwell"/>
          <w:szCs w:val="26"/>
        </w:rPr>
      </w:pPr>
      <w:r>
        <w:rPr>
          <w:rFonts w:ascii="Rockwell" w:hAnsi="Rockwell"/>
          <w:szCs w:val="26"/>
        </w:rPr>
        <w:t xml:space="preserve">Au titre des périodiques, seul l’hebdomadaire </w:t>
      </w:r>
      <w:r>
        <w:rPr>
          <w:rFonts w:ascii="Rockwell" w:hAnsi="Rockwell"/>
          <w:i/>
          <w:szCs w:val="26"/>
        </w:rPr>
        <w:t>La Lettre du Faso</w:t>
      </w:r>
      <w:r>
        <w:rPr>
          <w:rFonts w:ascii="Rockwell" w:hAnsi="Rockwell"/>
          <w:szCs w:val="26"/>
        </w:rPr>
        <w:t xml:space="preserve"> a traité de l’actualité politique. Ainsi, 4 partis politiques (MPP, PPS, MAE et NTD) ont obtenu 4 pages 1/6 et 9 illustrations. Le pluralisme et l’équilibre de l’information ne sont pas non plus respectés dans les périodiques.</w:t>
      </w:r>
    </w:p>
    <w:p w14:paraId="79AD7295" w14:textId="77777777" w:rsidR="00284822" w:rsidRDefault="00284822">
      <w:pPr>
        <w:spacing w:before="120" w:after="120"/>
        <w:rPr>
          <w:rFonts w:ascii="Rockwell" w:hAnsi="Rockwell"/>
          <w:szCs w:val="26"/>
        </w:rPr>
      </w:pPr>
    </w:p>
    <w:p w14:paraId="0E11A72F" w14:textId="77777777" w:rsidR="00284822" w:rsidRDefault="00F77BF8">
      <w:pPr>
        <w:pStyle w:val="Titre3"/>
        <w:spacing w:before="120" w:after="120"/>
        <w:rPr>
          <w:rFonts w:ascii="Rockwell" w:hAnsi="Rockwell"/>
          <w:i w:val="0"/>
        </w:rPr>
      </w:pPr>
      <w:bookmarkStart w:id="150" w:name="_Toc175048671"/>
      <w:bookmarkStart w:id="151" w:name="_Toc170304753"/>
      <w:bookmarkEnd w:id="147"/>
      <w:r>
        <w:rPr>
          <w:rFonts w:ascii="Rockwell" w:hAnsi="Rockwell"/>
          <w:i w:val="0"/>
        </w:rPr>
        <w:t>SECTION 2 : PRESSE ECRITE DE LA REGION DE L’OUEST</w:t>
      </w:r>
      <w:bookmarkEnd w:id="150"/>
      <w:bookmarkEnd w:id="151"/>
    </w:p>
    <w:p w14:paraId="56475CA9" w14:textId="77777777" w:rsidR="00284822" w:rsidRDefault="00284822">
      <w:pPr>
        <w:spacing w:before="120" w:after="120"/>
        <w:rPr>
          <w:sz w:val="10"/>
          <w:szCs w:val="10"/>
        </w:rPr>
      </w:pPr>
    </w:p>
    <w:p w14:paraId="0ABAAE24" w14:textId="77777777" w:rsidR="00284822" w:rsidRDefault="00F77BF8">
      <w:pPr>
        <w:spacing w:before="120" w:after="120"/>
        <w:rPr>
          <w:rFonts w:ascii="Rockwell" w:hAnsi="Rockwell"/>
          <w:szCs w:val="26"/>
        </w:rPr>
      </w:pPr>
      <w:r>
        <w:rPr>
          <w:rFonts w:ascii="Rockwell" w:hAnsi="Rockwell"/>
          <w:szCs w:val="26"/>
        </w:rPr>
        <w:t>L’observation</w:t>
      </w:r>
      <w:r>
        <w:rPr>
          <w:rFonts w:ascii="Rockwell" w:hAnsi="Rockwell"/>
          <w:color w:val="000000" w:themeColor="text1"/>
          <w:szCs w:val="26"/>
        </w:rPr>
        <w:t xml:space="preserve"> du pluralisme et de l’équilibre de l’information dans la presse écrite relevant de la Délégation régionale de l’Ouest n’a pu se faire en raison de l’absence de supports d’information. En effet, le suivi du fonctionnement de ces médias a permis de relever un non-respect du dépôt légal.</w:t>
      </w:r>
      <w:r>
        <w:rPr>
          <w:rFonts w:ascii="Rockwell" w:hAnsi="Rockwell"/>
          <w:color w:val="FF0000"/>
          <w:szCs w:val="26"/>
        </w:rPr>
        <w:t xml:space="preserve"> </w:t>
      </w:r>
      <w:r>
        <w:rPr>
          <w:rFonts w:ascii="Rockwell" w:hAnsi="Rockwell"/>
          <w:szCs w:val="26"/>
        </w:rPr>
        <w:t>L’échantillon disponible, en ce qu’il n’est pas représentatif des publications annuelles de la localité, ne donne pas un aperçu objectif des activités politiques couvertes au cours de la période sous revue.</w:t>
      </w:r>
    </w:p>
    <w:p w14:paraId="36B76063" w14:textId="77777777" w:rsidR="00284822" w:rsidRDefault="00284822">
      <w:pPr>
        <w:spacing w:before="120" w:after="120"/>
        <w:rPr>
          <w:rFonts w:ascii="Rockwell" w:hAnsi="Rockwell"/>
          <w:szCs w:val="26"/>
        </w:rPr>
      </w:pPr>
    </w:p>
    <w:p w14:paraId="33F9907B" w14:textId="77777777" w:rsidR="00284822" w:rsidRDefault="00F77BF8">
      <w:pPr>
        <w:pStyle w:val="Titre3"/>
        <w:spacing w:before="120" w:after="120"/>
        <w:rPr>
          <w:rFonts w:ascii="Rockwell" w:hAnsi="Rockwell"/>
        </w:rPr>
      </w:pPr>
      <w:bookmarkStart w:id="152" w:name="_Toc170304754"/>
      <w:bookmarkStart w:id="153" w:name="_Toc175048672"/>
      <w:r>
        <w:rPr>
          <w:rFonts w:ascii="Rockwell" w:hAnsi="Rockwell"/>
        </w:rPr>
        <w:t>SECTION 3 : PRESSE EN LIGNE</w:t>
      </w:r>
      <w:bookmarkEnd w:id="152"/>
      <w:bookmarkEnd w:id="153"/>
    </w:p>
    <w:p w14:paraId="08288259" w14:textId="69552DF7" w:rsidR="00284822" w:rsidRDefault="00F77BF8">
      <w:pPr>
        <w:pStyle w:val="Titre4"/>
        <w:spacing w:before="120" w:after="120"/>
        <w:rPr>
          <w:rFonts w:ascii="Rockwell" w:hAnsi="Rockwell"/>
          <w:sz w:val="28"/>
          <w:szCs w:val="28"/>
        </w:rPr>
      </w:pPr>
      <w:bookmarkStart w:id="154" w:name="_Toc175048673"/>
      <w:bookmarkStart w:id="155" w:name="_Toc122608662"/>
      <w:r>
        <w:rPr>
          <w:rFonts w:ascii="Rockwell" w:hAnsi="Rockwell"/>
          <w:bCs/>
          <w:sz w:val="28"/>
          <w:szCs w:val="28"/>
        </w:rPr>
        <w:t xml:space="preserve">Paragraphe 1 : </w:t>
      </w:r>
      <w:r w:rsidR="000A1561">
        <w:rPr>
          <w:rFonts w:ascii="Rockwell" w:hAnsi="Rockwell"/>
          <w:sz w:val="28"/>
          <w:szCs w:val="28"/>
        </w:rPr>
        <w:t>O</w:t>
      </w:r>
      <w:r>
        <w:rPr>
          <w:rFonts w:ascii="Rockwell" w:hAnsi="Rockwell"/>
          <w:sz w:val="28"/>
          <w:szCs w:val="28"/>
        </w:rPr>
        <w:t>bservation du respect du pluralisme et de l’équilibre de l’information dans la presse en ligne</w:t>
      </w:r>
      <w:bookmarkEnd w:id="154"/>
    </w:p>
    <w:p w14:paraId="151D44A3" w14:textId="77777777" w:rsidR="00284822" w:rsidRDefault="00F77BF8">
      <w:pPr>
        <w:spacing w:before="120" w:after="120"/>
        <w:ind w:right="-284"/>
        <w:rPr>
          <w:rFonts w:ascii="Rockwell" w:hAnsi="Rockwell"/>
          <w:szCs w:val="26"/>
        </w:rPr>
      </w:pPr>
      <w:r>
        <w:rPr>
          <w:rFonts w:ascii="Rockwell" w:hAnsi="Rockwell"/>
          <w:szCs w:val="26"/>
        </w:rPr>
        <w:t>L’observation des médias en ligne a porté sur un échantillon de douze (</w:t>
      </w:r>
      <w:r>
        <w:rPr>
          <w:rFonts w:ascii="Rockwell" w:hAnsi="Rockwell"/>
          <w:color w:val="000000" w:themeColor="text1"/>
          <w:szCs w:val="26"/>
        </w:rPr>
        <w:t>12)</w:t>
      </w:r>
      <w:r>
        <w:rPr>
          <w:rFonts w:ascii="Rockwell" w:hAnsi="Rockwell"/>
          <w:szCs w:val="26"/>
        </w:rPr>
        <w:t xml:space="preserve"> médias en ligne publiant de l’information politique. Ce sont : </w:t>
      </w:r>
    </w:p>
    <w:p w14:paraId="1EDECC73" w14:textId="77777777" w:rsidR="00284822" w:rsidRDefault="003148F1">
      <w:pPr>
        <w:pStyle w:val="Paragraphedeliste"/>
        <w:numPr>
          <w:ilvl w:val="0"/>
          <w:numId w:val="18"/>
        </w:numPr>
        <w:textAlignment w:val="auto"/>
        <w:rPr>
          <w:rFonts w:ascii="Rockwell" w:hAnsi="Rockwell"/>
          <w:i/>
        </w:rPr>
      </w:pPr>
      <w:hyperlink r:id="rId50" w:history="1">
        <w:r w:rsidR="00F77BF8">
          <w:rPr>
            <w:rStyle w:val="Lienhypertexte"/>
            <w:rFonts w:ascii="Rockwell" w:hAnsi="Rockwell"/>
            <w:i/>
            <w:color w:val="auto"/>
            <w:u w:val="none"/>
          </w:rPr>
          <w:t>www.lefaso.net</w:t>
        </w:r>
      </w:hyperlink>
    </w:p>
    <w:p w14:paraId="64562A32" w14:textId="77777777" w:rsidR="00284822" w:rsidRDefault="00F77BF8">
      <w:pPr>
        <w:numPr>
          <w:ilvl w:val="0"/>
          <w:numId w:val="18"/>
        </w:numPr>
        <w:spacing w:before="120" w:after="120"/>
        <w:ind w:right="-284"/>
        <w:textAlignment w:val="auto"/>
        <w:rPr>
          <w:rFonts w:ascii="Rockwell" w:hAnsi="Rockwell"/>
          <w:i/>
          <w:szCs w:val="26"/>
        </w:rPr>
      </w:pPr>
      <w:r>
        <w:rPr>
          <w:rFonts w:ascii="Rockwell" w:hAnsi="Rockwell"/>
          <w:i/>
          <w:szCs w:val="26"/>
        </w:rPr>
        <w:t xml:space="preserve">www.infowakat.net   </w:t>
      </w:r>
    </w:p>
    <w:p w14:paraId="589DB8DF" w14:textId="77777777" w:rsidR="00284822" w:rsidRDefault="003148F1">
      <w:pPr>
        <w:numPr>
          <w:ilvl w:val="0"/>
          <w:numId w:val="18"/>
        </w:numPr>
        <w:spacing w:before="120" w:after="120"/>
        <w:ind w:right="-284"/>
        <w:textAlignment w:val="auto"/>
        <w:rPr>
          <w:rFonts w:ascii="Rockwell" w:hAnsi="Rockwell"/>
          <w:i/>
          <w:szCs w:val="26"/>
        </w:rPr>
      </w:pPr>
      <w:hyperlink r:id="rId51" w:history="1">
        <w:r w:rsidR="00F77BF8">
          <w:rPr>
            <w:rStyle w:val="Lienhypertexte"/>
            <w:rFonts w:ascii="Rockwell" w:hAnsi="Rockwell"/>
            <w:i/>
            <w:color w:val="auto"/>
            <w:szCs w:val="26"/>
            <w:u w:val="none"/>
          </w:rPr>
          <w:t>www.kaceto.net</w:t>
        </w:r>
      </w:hyperlink>
      <w:r w:rsidR="00F77BF8">
        <w:rPr>
          <w:rFonts w:ascii="Rockwell" w:hAnsi="Rockwell"/>
          <w:i/>
          <w:szCs w:val="26"/>
        </w:rPr>
        <w:t xml:space="preserve"> </w:t>
      </w:r>
    </w:p>
    <w:p w14:paraId="35CA34C1" w14:textId="77777777" w:rsidR="00284822" w:rsidRDefault="003148F1">
      <w:pPr>
        <w:numPr>
          <w:ilvl w:val="0"/>
          <w:numId w:val="18"/>
        </w:numPr>
        <w:spacing w:before="120" w:after="120"/>
        <w:ind w:right="-284"/>
        <w:textAlignment w:val="auto"/>
        <w:rPr>
          <w:rFonts w:ascii="Rockwell" w:hAnsi="Rockwell"/>
          <w:i/>
          <w:szCs w:val="26"/>
        </w:rPr>
      </w:pPr>
      <w:hyperlink r:id="rId52" w:history="1">
        <w:r w:rsidR="00F77BF8">
          <w:rPr>
            <w:rFonts w:ascii="Rockwell" w:hAnsi="Rockwell"/>
            <w:i/>
            <w:szCs w:val="26"/>
          </w:rPr>
          <w:t>www.burkina24.com</w:t>
        </w:r>
      </w:hyperlink>
      <w:r w:rsidR="00F77BF8">
        <w:rPr>
          <w:rFonts w:ascii="Rockwell" w:hAnsi="Rockwell"/>
          <w:i/>
          <w:szCs w:val="26"/>
        </w:rPr>
        <w:t xml:space="preserve"> </w:t>
      </w:r>
    </w:p>
    <w:p w14:paraId="29569F9D" w14:textId="77777777" w:rsidR="00284822" w:rsidRDefault="00F77BF8">
      <w:pPr>
        <w:numPr>
          <w:ilvl w:val="0"/>
          <w:numId w:val="18"/>
        </w:numPr>
        <w:spacing w:before="120" w:after="120"/>
        <w:ind w:right="-284"/>
        <w:textAlignment w:val="auto"/>
        <w:rPr>
          <w:rFonts w:ascii="Rockwell" w:hAnsi="Rockwell"/>
          <w:i/>
          <w:szCs w:val="26"/>
        </w:rPr>
      </w:pPr>
      <w:r>
        <w:rPr>
          <w:rFonts w:ascii="Rockwell" w:hAnsi="Rockwell"/>
          <w:i/>
          <w:szCs w:val="26"/>
        </w:rPr>
        <w:t xml:space="preserve">www.minute.bf </w:t>
      </w:r>
    </w:p>
    <w:p w14:paraId="7B361928" w14:textId="77777777" w:rsidR="00284822" w:rsidRDefault="003148F1">
      <w:pPr>
        <w:numPr>
          <w:ilvl w:val="0"/>
          <w:numId w:val="18"/>
        </w:numPr>
        <w:spacing w:before="120" w:after="120"/>
        <w:ind w:right="-284"/>
        <w:textAlignment w:val="auto"/>
        <w:rPr>
          <w:rFonts w:ascii="Rockwell" w:hAnsi="Rockwell"/>
          <w:i/>
          <w:szCs w:val="26"/>
        </w:rPr>
      </w:pPr>
      <w:hyperlink r:id="rId53" w:history="1">
        <w:r w:rsidR="00F77BF8">
          <w:rPr>
            <w:rFonts w:ascii="Rockwell" w:hAnsi="Rockwell"/>
            <w:i/>
            <w:szCs w:val="26"/>
          </w:rPr>
          <w:t>www.actualite.bf</w:t>
        </w:r>
      </w:hyperlink>
    </w:p>
    <w:p w14:paraId="65700C8A" w14:textId="77777777" w:rsidR="00284822" w:rsidRDefault="003148F1">
      <w:pPr>
        <w:numPr>
          <w:ilvl w:val="0"/>
          <w:numId w:val="18"/>
        </w:numPr>
        <w:spacing w:before="120" w:after="120"/>
        <w:ind w:right="-284"/>
        <w:textAlignment w:val="auto"/>
        <w:rPr>
          <w:rFonts w:ascii="Rockwell" w:hAnsi="Rockwell"/>
          <w:i/>
          <w:szCs w:val="26"/>
        </w:rPr>
      </w:pPr>
      <w:hyperlink r:id="rId54" w:history="1">
        <w:r w:rsidR="00F77BF8">
          <w:rPr>
            <w:rFonts w:ascii="Rockwell" w:hAnsi="Rockwell"/>
            <w:i/>
            <w:szCs w:val="26"/>
          </w:rPr>
          <w:t>www.infoh24.info</w:t>
        </w:r>
      </w:hyperlink>
    </w:p>
    <w:p w14:paraId="169DF176" w14:textId="77777777" w:rsidR="00284822" w:rsidRDefault="003148F1">
      <w:pPr>
        <w:numPr>
          <w:ilvl w:val="0"/>
          <w:numId w:val="18"/>
        </w:numPr>
        <w:spacing w:before="120" w:after="120"/>
        <w:ind w:right="-284"/>
        <w:textAlignment w:val="auto"/>
        <w:rPr>
          <w:rFonts w:ascii="Rockwell" w:hAnsi="Rockwell"/>
          <w:i/>
          <w:szCs w:val="26"/>
        </w:rPr>
      </w:pPr>
      <w:hyperlink r:id="rId55" w:history="1">
        <w:r w:rsidR="00F77BF8">
          <w:rPr>
            <w:rFonts w:ascii="Rockwell" w:hAnsi="Rockwell"/>
            <w:i/>
            <w:szCs w:val="26"/>
          </w:rPr>
          <w:t>www.filinfos.net</w:t>
        </w:r>
      </w:hyperlink>
    </w:p>
    <w:p w14:paraId="444501DA" w14:textId="77777777" w:rsidR="00284822" w:rsidRDefault="003148F1">
      <w:pPr>
        <w:numPr>
          <w:ilvl w:val="0"/>
          <w:numId w:val="18"/>
        </w:numPr>
        <w:spacing w:before="120" w:after="120"/>
        <w:ind w:right="-284"/>
        <w:textAlignment w:val="auto"/>
        <w:rPr>
          <w:rFonts w:ascii="Rockwell" w:hAnsi="Rockwell"/>
          <w:i/>
          <w:szCs w:val="26"/>
        </w:rPr>
      </w:pPr>
      <w:hyperlink r:id="rId56" w:history="1">
        <w:r w:rsidR="00F77BF8">
          <w:rPr>
            <w:rFonts w:ascii="Rockwell" w:hAnsi="Rockwell"/>
            <w:i/>
            <w:szCs w:val="26"/>
          </w:rPr>
          <w:t>www.directinfoburkina.net</w:t>
        </w:r>
      </w:hyperlink>
    </w:p>
    <w:p w14:paraId="2664D4B3" w14:textId="77777777" w:rsidR="00284822" w:rsidRDefault="003148F1">
      <w:pPr>
        <w:numPr>
          <w:ilvl w:val="0"/>
          <w:numId w:val="18"/>
        </w:numPr>
        <w:spacing w:before="120" w:after="120"/>
        <w:ind w:right="-284"/>
        <w:textAlignment w:val="auto"/>
        <w:rPr>
          <w:rFonts w:ascii="Rockwell" w:hAnsi="Rockwell"/>
          <w:i/>
          <w:szCs w:val="26"/>
        </w:rPr>
      </w:pPr>
      <w:hyperlink r:id="rId57" w:history="1">
        <w:r w:rsidR="00F77BF8">
          <w:rPr>
            <w:rFonts w:ascii="Rockwell" w:hAnsi="Rockwell"/>
            <w:i/>
            <w:szCs w:val="26"/>
          </w:rPr>
          <w:t>www.libreinfo.net</w:t>
        </w:r>
      </w:hyperlink>
    </w:p>
    <w:p w14:paraId="05409BF7" w14:textId="118F6DE8" w:rsidR="00284822" w:rsidRDefault="003148F1">
      <w:pPr>
        <w:numPr>
          <w:ilvl w:val="0"/>
          <w:numId w:val="18"/>
        </w:numPr>
        <w:spacing w:before="120" w:after="120"/>
        <w:ind w:right="-284"/>
        <w:textAlignment w:val="auto"/>
        <w:rPr>
          <w:rFonts w:ascii="Rockwell" w:hAnsi="Rockwell"/>
          <w:i/>
          <w:color w:val="000000" w:themeColor="text1"/>
          <w:szCs w:val="26"/>
        </w:rPr>
      </w:pPr>
      <w:hyperlink r:id="rId58" w:history="1">
        <w:r w:rsidR="00F77BF8">
          <w:rPr>
            <w:rStyle w:val="Lienhypertexte"/>
            <w:rFonts w:ascii="Rockwell" w:hAnsi="Rockwell"/>
            <w:i/>
            <w:color w:val="auto"/>
            <w:szCs w:val="26"/>
            <w:u w:val="none"/>
          </w:rPr>
          <w:t>www.ouestinfo.net</w:t>
        </w:r>
      </w:hyperlink>
    </w:p>
    <w:p w14:paraId="1AAC0A68" w14:textId="46781554" w:rsidR="00284822" w:rsidRDefault="003148F1">
      <w:pPr>
        <w:numPr>
          <w:ilvl w:val="0"/>
          <w:numId w:val="18"/>
        </w:numPr>
        <w:spacing w:before="120" w:after="120"/>
        <w:ind w:right="-284"/>
        <w:textAlignment w:val="auto"/>
        <w:rPr>
          <w:rStyle w:val="Lienhypertexte"/>
          <w:rFonts w:ascii="Rockwell" w:hAnsi="Rockwell"/>
          <w:color w:val="000000" w:themeColor="text1"/>
          <w:szCs w:val="26"/>
          <w:u w:val="none"/>
        </w:rPr>
      </w:pPr>
      <w:hyperlink r:id="rId59" w:history="1">
        <w:r w:rsidR="00F77BF8">
          <w:rPr>
            <w:rStyle w:val="Lienhypertexte"/>
            <w:rFonts w:ascii="Rockwell" w:hAnsi="Rockwell"/>
            <w:i/>
            <w:color w:val="000000" w:themeColor="text1"/>
            <w:szCs w:val="26"/>
            <w:u w:val="none"/>
          </w:rPr>
          <w:t>www.ouestactu.net</w:t>
        </w:r>
      </w:hyperlink>
    </w:p>
    <w:p w14:paraId="5517E9AF" w14:textId="77777777" w:rsidR="00284822" w:rsidRDefault="00284822">
      <w:pPr>
        <w:spacing w:before="120" w:after="120"/>
        <w:ind w:left="1440" w:right="990"/>
        <w:jc w:val="center"/>
        <w:textAlignment w:val="auto"/>
        <w:rPr>
          <w:rFonts w:ascii="Rockwell" w:hAnsi="Rockwell"/>
          <w:color w:val="000000" w:themeColor="text1"/>
          <w:sz w:val="4"/>
          <w:szCs w:val="4"/>
        </w:rPr>
      </w:pPr>
    </w:p>
    <w:p w14:paraId="116CB75E" w14:textId="77777777" w:rsidR="00284822" w:rsidRDefault="003148F1">
      <w:pPr>
        <w:pStyle w:val="Titre5"/>
        <w:numPr>
          <w:ilvl w:val="1"/>
          <w:numId w:val="19"/>
        </w:numPr>
        <w:ind w:right="990"/>
        <w:rPr>
          <w:rFonts w:ascii="Rockwell" w:hAnsi="Rockwell"/>
          <w:i/>
        </w:rPr>
      </w:pPr>
      <w:hyperlink r:id="rId60" w:history="1">
        <w:bookmarkStart w:id="156" w:name="_Toc175048674"/>
        <w:r w:rsidR="00F77BF8">
          <w:rPr>
            <w:rFonts w:ascii="Rockwell" w:hAnsi="Rockwell"/>
            <w:i/>
          </w:rPr>
          <w:t>Lefaso.net</w:t>
        </w:r>
        <w:bookmarkEnd w:id="156"/>
      </w:hyperlink>
    </w:p>
    <w:p w14:paraId="27787FC0" w14:textId="77777777" w:rsidR="00284822" w:rsidRDefault="00F77BF8">
      <w:pPr>
        <w:spacing w:before="120" w:after="120"/>
        <w:rPr>
          <w:rFonts w:ascii="Rockwell" w:hAnsi="Rockwell"/>
          <w:szCs w:val="26"/>
        </w:rPr>
        <w:sectPr w:rsidR="00284822">
          <w:headerReference w:type="default" r:id="rId61"/>
          <w:footerReference w:type="default" r:id="rId62"/>
          <w:pgSz w:w="11906" w:h="16838"/>
          <w:pgMar w:top="1418" w:right="1418" w:bottom="1418" w:left="1418" w:header="720" w:footer="720" w:gutter="0"/>
          <w:cols w:space="720"/>
        </w:sectPr>
      </w:pPr>
      <w:r>
        <w:rPr>
          <w:rFonts w:ascii="Rockwell" w:hAnsi="Rockwell"/>
          <w:szCs w:val="26"/>
        </w:rPr>
        <w:t xml:space="preserve">Les activités de 46 partis politiques ont été couvertes par </w:t>
      </w:r>
      <w:r>
        <w:rPr>
          <w:rFonts w:ascii="Rockwell" w:hAnsi="Rockwell"/>
          <w:i/>
          <w:szCs w:val="26"/>
        </w:rPr>
        <w:t>Lefaso.net</w:t>
      </w:r>
      <w:r>
        <w:rPr>
          <w:rFonts w:ascii="Rockwell" w:hAnsi="Rockwell"/>
          <w:szCs w:val="26"/>
        </w:rPr>
        <w:t xml:space="preserve">. Ils ont bénéficié de </w:t>
      </w:r>
      <w:r>
        <w:rPr>
          <w:rFonts w:ascii="Rockwell" w:hAnsi="Rockwell"/>
          <w:bCs/>
          <w:color w:val="000000"/>
          <w:szCs w:val="26"/>
        </w:rPr>
        <w:t>158</w:t>
      </w:r>
      <w:r>
        <w:rPr>
          <w:rFonts w:ascii="Rockwell" w:hAnsi="Rockwell"/>
          <w:szCs w:val="26"/>
        </w:rPr>
        <w:t xml:space="preserve"> articles et </w:t>
      </w:r>
      <w:r>
        <w:rPr>
          <w:rFonts w:ascii="Rockwell" w:hAnsi="Rockwell"/>
          <w:bCs/>
          <w:color w:val="000000"/>
          <w:szCs w:val="26"/>
        </w:rPr>
        <w:t>198</w:t>
      </w:r>
      <w:r>
        <w:rPr>
          <w:rFonts w:ascii="Rockwell" w:hAnsi="Rockwell"/>
          <w:szCs w:val="26"/>
        </w:rPr>
        <w:t xml:space="preserve"> illustrations. Les 10 premiers partis sont classés ainsi qu’il suit : </w:t>
      </w:r>
    </w:p>
    <w:p w14:paraId="6993CFA1" w14:textId="77777777" w:rsidR="00284822" w:rsidRDefault="00F77BF8">
      <w:pPr>
        <w:spacing w:before="120" w:after="120"/>
        <w:jc w:val="center"/>
        <w:rPr>
          <w:rFonts w:ascii="Rockwell" w:hAnsi="Rockwell"/>
          <w:i/>
          <w:sz w:val="20"/>
          <w:szCs w:val="20"/>
          <w:u w:val="single"/>
        </w:rPr>
      </w:pPr>
      <w:r>
        <w:rPr>
          <w:rFonts w:ascii="Rockwell" w:hAnsi="Rockwell"/>
          <w:b/>
          <w:color w:val="000000" w:themeColor="text1"/>
          <w:sz w:val="20"/>
          <w:szCs w:val="20"/>
          <w:u w:val="single"/>
        </w:rPr>
        <w:lastRenderedPageBreak/>
        <w:t>Tableau 9</w:t>
      </w:r>
      <w:r>
        <w:rPr>
          <w:rFonts w:ascii="Rockwell" w:hAnsi="Rockwell"/>
          <w:color w:val="000000" w:themeColor="text1"/>
          <w:sz w:val="20"/>
          <w:szCs w:val="20"/>
        </w:rPr>
        <w:t xml:space="preserve"> : </w:t>
      </w:r>
      <w:r>
        <w:rPr>
          <w:rFonts w:ascii="Rockwell" w:hAnsi="Rockwell"/>
          <w:i/>
          <w:color w:val="000000" w:themeColor="text1"/>
          <w:sz w:val="20"/>
          <w:szCs w:val="20"/>
        </w:rPr>
        <w:t>Classement des dix premiers partis politiques selon les NA et NI publiés dans Lefaso.net</w:t>
      </w:r>
      <w:r>
        <w:rPr>
          <w:rFonts w:ascii="Rockwell" w:hAnsi="Rockwell"/>
          <w:i/>
          <w:color w:val="000000" w:themeColor="text1"/>
          <w:sz w:val="20"/>
          <w:szCs w:val="20"/>
          <w:u w:val="single"/>
        </w:rPr>
        <w:t xml:space="preserve"> </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71"/>
        <w:gridCol w:w="2247"/>
        <w:gridCol w:w="1418"/>
        <w:gridCol w:w="1559"/>
        <w:gridCol w:w="1701"/>
        <w:gridCol w:w="2431"/>
      </w:tblGrid>
      <w:tr w:rsidR="00284822" w14:paraId="6DBDBC12" w14:textId="77777777">
        <w:trPr>
          <w:trHeight w:val="571"/>
          <w:jc w:val="center"/>
        </w:trPr>
        <w:tc>
          <w:tcPr>
            <w:tcW w:w="10627" w:type="dxa"/>
            <w:gridSpan w:val="6"/>
            <w:shd w:val="clear" w:color="auto" w:fill="BDD6EE" w:themeFill="accent1" w:themeFillTint="66"/>
            <w:noWrap/>
            <w:tcMar>
              <w:top w:w="0" w:type="dxa"/>
              <w:left w:w="108" w:type="dxa"/>
              <w:bottom w:w="0" w:type="dxa"/>
              <w:right w:w="108" w:type="dxa"/>
            </w:tcMar>
          </w:tcPr>
          <w:p w14:paraId="669142D4" w14:textId="77777777" w:rsidR="00284822" w:rsidRDefault="003148F1">
            <w:pPr>
              <w:spacing w:before="120" w:after="120"/>
              <w:ind w:left="360"/>
              <w:jc w:val="center"/>
              <w:rPr>
                <w:rFonts w:ascii="Rockwell" w:hAnsi="Rockwell"/>
                <w:i/>
              </w:rPr>
            </w:pPr>
            <w:hyperlink r:id="rId63" w:history="1">
              <w:r w:rsidR="00F77BF8">
                <w:rPr>
                  <w:rFonts w:ascii="Rockwell" w:hAnsi="Rockwell"/>
                  <w:b/>
                  <w:bCs/>
                  <w:i/>
                </w:rPr>
                <w:t>LEFASO.NET</w:t>
              </w:r>
            </w:hyperlink>
          </w:p>
        </w:tc>
      </w:tr>
      <w:tr w:rsidR="00284822" w14:paraId="2BF0C63B" w14:textId="77777777">
        <w:trPr>
          <w:trHeight w:val="580"/>
          <w:jc w:val="center"/>
        </w:trPr>
        <w:tc>
          <w:tcPr>
            <w:tcW w:w="1271" w:type="dxa"/>
            <w:shd w:val="clear" w:color="auto" w:fill="BDD6EE" w:themeFill="accent1" w:themeFillTint="66"/>
            <w:noWrap/>
            <w:tcMar>
              <w:top w:w="0" w:type="dxa"/>
              <w:left w:w="108" w:type="dxa"/>
              <w:bottom w:w="0" w:type="dxa"/>
              <w:right w:w="108" w:type="dxa"/>
            </w:tcMar>
          </w:tcPr>
          <w:p w14:paraId="22E4DE73" w14:textId="77777777" w:rsidR="00284822" w:rsidRDefault="00F77BF8">
            <w:pPr>
              <w:spacing w:before="120" w:after="120"/>
              <w:ind w:left="360"/>
              <w:jc w:val="center"/>
              <w:rPr>
                <w:rFonts w:ascii="Rockwell" w:hAnsi="Rockwell"/>
                <w:b/>
                <w:bCs/>
              </w:rPr>
            </w:pPr>
            <w:r>
              <w:rPr>
                <w:rFonts w:ascii="Rockwell" w:hAnsi="Rockwell" w:cs="Calibri"/>
                <w:b/>
                <w:bCs/>
              </w:rPr>
              <w:t>Rang</w:t>
            </w:r>
          </w:p>
        </w:tc>
        <w:tc>
          <w:tcPr>
            <w:tcW w:w="2247" w:type="dxa"/>
            <w:shd w:val="clear" w:color="auto" w:fill="BDD6EE" w:themeFill="accent1" w:themeFillTint="66"/>
            <w:tcMar>
              <w:top w:w="0" w:type="dxa"/>
              <w:left w:w="108" w:type="dxa"/>
              <w:bottom w:w="0" w:type="dxa"/>
              <w:right w:w="108" w:type="dxa"/>
            </w:tcMar>
          </w:tcPr>
          <w:p w14:paraId="4136A86F" w14:textId="6D800078" w:rsidR="00284822" w:rsidRDefault="00746D14">
            <w:pPr>
              <w:spacing w:before="120" w:after="120"/>
              <w:ind w:left="360"/>
              <w:jc w:val="center"/>
              <w:rPr>
                <w:rFonts w:ascii="Rockwell" w:hAnsi="Rockwell"/>
              </w:rPr>
            </w:pPr>
            <w:r>
              <w:rPr>
                <w:rFonts w:ascii="Rockwell" w:hAnsi="Rockwell"/>
                <w:b/>
                <w:bCs/>
              </w:rPr>
              <w:t>PARTI</w:t>
            </w:r>
            <w:r w:rsidR="00F77BF8">
              <w:rPr>
                <w:rFonts w:ascii="Rockwell" w:hAnsi="Rockwell"/>
                <w:b/>
                <w:bCs/>
              </w:rPr>
              <w:t>S POLITIQUES</w:t>
            </w:r>
          </w:p>
        </w:tc>
        <w:tc>
          <w:tcPr>
            <w:tcW w:w="1418" w:type="dxa"/>
            <w:shd w:val="clear" w:color="auto" w:fill="BDD6EE" w:themeFill="accent1" w:themeFillTint="66"/>
            <w:tcMar>
              <w:top w:w="0" w:type="dxa"/>
              <w:left w:w="108" w:type="dxa"/>
              <w:bottom w:w="0" w:type="dxa"/>
              <w:right w:w="108" w:type="dxa"/>
            </w:tcMar>
          </w:tcPr>
          <w:p w14:paraId="68E88F2D" w14:textId="77777777" w:rsidR="00284822" w:rsidRDefault="00F77BF8">
            <w:pPr>
              <w:spacing w:before="120" w:after="120"/>
              <w:ind w:left="360"/>
              <w:jc w:val="center"/>
              <w:rPr>
                <w:rFonts w:ascii="Rockwell" w:hAnsi="Rockwell"/>
                <w:b/>
              </w:rPr>
            </w:pPr>
            <w:r>
              <w:rPr>
                <w:rFonts w:ascii="Rockwell" w:hAnsi="Rockwell"/>
                <w:b/>
              </w:rPr>
              <w:t>NA</w:t>
            </w:r>
          </w:p>
        </w:tc>
        <w:tc>
          <w:tcPr>
            <w:tcW w:w="1559" w:type="dxa"/>
            <w:shd w:val="clear" w:color="auto" w:fill="BDD6EE" w:themeFill="accent1" w:themeFillTint="66"/>
            <w:tcMar>
              <w:top w:w="0" w:type="dxa"/>
              <w:left w:w="108" w:type="dxa"/>
              <w:bottom w:w="0" w:type="dxa"/>
              <w:right w:w="108" w:type="dxa"/>
            </w:tcMar>
          </w:tcPr>
          <w:p w14:paraId="3CC99DEB" w14:textId="77777777" w:rsidR="00284822" w:rsidRDefault="00F77BF8">
            <w:pPr>
              <w:spacing w:before="120" w:after="120"/>
              <w:ind w:left="360"/>
              <w:jc w:val="center"/>
              <w:rPr>
                <w:rFonts w:ascii="Rockwell" w:hAnsi="Rockwell"/>
                <w:b/>
              </w:rPr>
            </w:pPr>
            <w:r>
              <w:rPr>
                <w:rFonts w:ascii="Rockwell" w:hAnsi="Rockwell"/>
                <w:b/>
              </w:rPr>
              <w:t>% NA</w:t>
            </w:r>
          </w:p>
        </w:tc>
        <w:tc>
          <w:tcPr>
            <w:tcW w:w="1701" w:type="dxa"/>
            <w:shd w:val="clear" w:color="auto" w:fill="BDD6EE" w:themeFill="accent1" w:themeFillTint="66"/>
            <w:tcMar>
              <w:top w:w="0" w:type="dxa"/>
              <w:left w:w="108" w:type="dxa"/>
              <w:bottom w:w="0" w:type="dxa"/>
              <w:right w:w="108" w:type="dxa"/>
            </w:tcMar>
          </w:tcPr>
          <w:p w14:paraId="1DBC21C8" w14:textId="77777777" w:rsidR="00284822" w:rsidRDefault="00F77BF8">
            <w:pPr>
              <w:spacing w:before="120" w:after="120"/>
              <w:ind w:left="360"/>
              <w:jc w:val="center"/>
              <w:rPr>
                <w:rFonts w:ascii="Rockwell" w:hAnsi="Rockwell"/>
                <w:b/>
              </w:rPr>
            </w:pPr>
            <w:r>
              <w:rPr>
                <w:rFonts w:ascii="Rockwell" w:hAnsi="Rockwell"/>
                <w:b/>
              </w:rPr>
              <w:t>NI</w:t>
            </w:r>
          </w:p>
        </w:tc>
        <w:tc>
          <w:tcPr>
            <w:tcW w:w="2431" w:type="dxa"/>
            <w:shd w:val="clear" w:color="auto" w:fill="BDD6EE" w:themeFill="accent1" w:themeFillTint="66"/>
            <w:tcMar>
              <w:top w:w="0" w:type="dxa"/>
              <w:left w:w="108" w:type="dxa"/>
              <w:bottom w:w="0" w:type="dxa"/>
              <w:right w:w="108" w:type="dxa"/>
            </w:tcMar>
          </w:tcPr>
          <w:p w14:paraId="5568AE3A" w14:textId="77777777" w:rsidR="00284822" w:rsidRDefault="00F77BF8">
            <w:pPr>
              <w:spacing w:before="120" w:after="120"/>
              <w:ind w:left="360"/>
              <w:jc w:val="center"/>
              <w:rPr>
                <w:rFonts w:ascii="Rockwell" w:hAnsi="Rockwell"/>
                <w:b/>
              </w:rPr>
            </w:pPr>
            <w:r>
              <w:rPr>
                <w:rFonts w:ascii="Rockwell" w:hAnsi="Rockwell"/>
                <w:b/>
              </w:rPr>
              <w:t>% NI</w:t>
            </w:r>
          </w:p>
        </w:tc>
      </w:tr>
      <w:tr w:rsidR="00284822" w14:paraId="5710DD0F" w14:textId="77777777">
        <w:trPr>
          <w:trHeight w:val="70"/>
          <w:jc w:val="center"/>
        </w:trPr>
        <w:tc>
          <w:tcPr>
            <w:tcW w:w="1271" w:type="dxa"/>
            <w:shd w:val="clear" w:color="auto" w:fill="auto"/>
            <w:noWrap/>
            <w:tcMar>
              <w:top w:w="0" w:type="dxa"/>
              <w:left w:w="108" w:type="dxa"/>
              <w:bottom w:w="0" w:type="dxa"/>
              <w:right w:w="108" w:type="dxa"/>
            </w:tcMar>
          </w:tcPr>
          <w:p w14:paraId="4EF19322" w14:textId="77777777" w:rsidR="00284822" w:rsidRDefault="00F77BF8">
            <w:pPr>
              <w:spacing w:before="120" w:after="120"/>
              <w:ind w:left="360"/>
              <w:jc w:val="left"/>
              <w:rPr>
                <w:rFonts w:ascii="Rockwell" w:hAnsi="Rockwell"/>
              </w:rPr>
            </w:pPr>
            <w:r>
              <w:rPr>
                <w:rFonts w:ascii="Rockwell" w:hAnsi="Rockwell"/>
                <w:b/>
                <w:bCs/>
              </w:rPr>
              <w:t>1</w:t>
            </w:r>
            <w:r>
              <w:rPr>
                <w:rFonts w:ascii="Rockwell" w:hAnsi="Rockwell"/>
                <w:b/>
                <w:bCs/>
                <w:vertAlign w:val="superscript"/>
              </w:rPr>
              <w:t>er</w:t>
            </w:r>
          </w:p>
        </w:tc>
        <w:tc>
          <w:tcPr>
            <w:tcW w:w="2247" w:type="dxa"/>
            <w:shd w:val="clear" w:color="auto" w:fill="auto"/>
            <w:tcMar>
              <w:top w:w="0" w:type="dxa"/>
              <w:left w:w="108" w:type="dxa"/>
              <w:bottom w:w="0" w:type="dxa"/>
              <w:right w:w="108" w:type="dxa"/>
            </w:tcMar>
          </w:tcPr>
          <w:p w14:paraId="24A6670E" w14:textId="77777777" w:rsidR="00284822" w:rsidRDefault="00F77BF8">
            <w:pPr>
              <w:spacing w:before="120" w:after="120"/>
              <w:ind w:left="360"/>
              <w:jc w:val="left"/>
              <w:rPr>
                <w:rFonts w:ascii="Rockwell" w:hAnsi="Rockwell"/>
                <w:b/>
              </w:rPr>
            </w:pPr>
            <w:r>
              <w:rPr>
                <w:rFonts w:ascii="Rockwell" w:hAnsi="Rockwell"/>
                <w:b/>
              </w:rPr>
              <w:t>CDP</w:t>
            </w:r>
          </w:p>
        </w:tc>
        <w:tc>
          <w:tcPr>
            <w:tcW w:w="1418" w:type="dxa"/>
            <w:shd w:val="clear" w:color="auto" w:fill="auto"/>
            <w:tcMar>
              <w:top w:w="0" w:type="dxa"/>
              <w:left w:w="108" w:type="dxa"/>
              <w:bottom w:w="0" w:type="dxa"/>
              <w:right w:w="108" w:type="dxa"/>
            </w:tcMar>
          </w:tcPr>
          <w:p w14:paraId="1ECC468D" w14:textId="77777777" w:rsidR="00284822" w:rsidRDefault="00F77BF8">
            <w:pPr>
              <w:spacing w:before="120" w:after="120"/>
              <w:ind w:left="360"/>
              <w:jc w:val="left"/>
              <w:rPr>
                <w:rFonts w:ascii="Rockwell" w:hAnsi="Rockwell"/>
              </w:rPr>
            </w:pPr>
            <w:r>
              <w:rPr>
                <w:rFonts w:ascii="Rockwell" w:hAnsi="Rockwell"/>
              </w:rPr>
              <w:t>34</w:t>
            </w:r>
          </w:p>
        </w:tc>
        <w:tc>
          <w:tcPr>
            <w:tcW w:w="1559" w:type="dxa"/>
            <w:shd w:val="clear" w:color="auto" w:fill="auto"/>
            <w:tcMar>
              <w:top w:w="0" w:type="dxa"/>
              <w:left w:w="108" w:type="dxa"/>
              <w:bottom w:w="0" w:type="dxa"/>
              <w:right w:w="108" w:type="dxa"/>
            </w:tcMar>
          </w:tcPr>
          <w:p w14:paraId="1DBB471F" w14:textId="77777777" w:rsidR="00284822" w:rsidRDefault="00F77BF8">
            <w:pPr>
              <w:spacing w:before="120" w:after="120"/>
              <w:ind w:left="360"/>
              <w:jc w:val="center"/>
              <w:rPr>
                <w:rFonts w:ascii="Rockwell" w:hAnsi="Rockwell"/>
              </w:rPr>
            </w:pPr>
            <w:r>
              <w:rPr>
                <w:rFonts w:ascii="Rockwell" w:hAnsi="Rockwell"/>
              </w:rPr>
              <w:t>21,66%</w:t>
            </w:r>
          </w:p>
        </w:tc>
        <w:tc>
          <w:tcPr>
            <w:tcW w:w="1701" w:type="dxa"/>
            <w:shd w:val="clear" w:color="auto" w:fill="auto"/>
            <w:tcMar>
              <w:top w:w="0" w:type="dxa"/>
              <w:left w:w="108" w:type="dxa"/>
              <w:bottom w:w="0" w:type="dxa"/>
              <w:right w:w="108" w:type="dxa"/>
            </w:tcMar>
          </w:tcPr>
          <w:p w14:paraId="34A43712" w14:textId="77777777" w:rsidR="00284822" w:rsidRDefault="00F77BF8">
            <w:pPr>
              <w:spacing w:before="120" w:after="120"/>
              <w:ind w:left="360"/>
              <w:jc w:val="center"/>
              <w:rPr>
                <w:rFonts w:ascii="Rockwell" w:hAnsi="Rockwell"/>
              </w:rPr>
            </w:pPr>
            <w:r>
              <w:rPr>
                <w:rFonts w:ascii="Rockwell" w:hAnsi="Rockwell"/>
              </w:rPr>
              <w:t>69</w:t>
            </w:r>
          </w:p>
        </w:tc>
        <w:tc>
          <w:tcPr>
            <w:tcW w:w="2431" w:type="dxa"/>
            <w:shd w:val="clear" w:color="auto" w:fill="auto"/>
            <w:tcMar>
              <w:top w:w="0" w:type="dxa"/>
              <w:left w:w="108" w:type="dxa"/>
              <w:bottom w:w="0" w:type="dxa"/>
              <w:right w:w="108" w:type="dxa"/>
            </w:tcMar>
          </w:tcPr>
          <w:p w14:paraId="1AE179F8" w14:textId="77777777" w:rsidR="00284822" w:rsidRDefault="00F77BF8">
            <w:pPr>
              <w:spacing w:before="120" w:after="120"/>
              <w:ind w:left="360"/>
              <w:jc w:val="center"/>
              <w:rPr>
                <w:rFonts w:ascii="Rockwell" w:hAnsi="Rockwell"/>
              </w:rPr>
            </w:pPr>
            <w:r>
              <w:rPr>
                <w:rFonts w:ascii="Rockwell" w:hAnsi="Rockwell"/>
              </w:rPr>
              <w:t>20,91%</w:t>
            </w:r>
          </w:p>
        </w:tc>
      </w:tr>
      <w:tr w:rsidR="00284822" w14:paraId="66DF129D" w14:textId="77777777">
        <w:trPr>
          <w:trHeight w:val="70"/>
          <w:jc w:val="center"/>
        </w:trPr>
        <w:tc>
          <w:tcPr>
            <w:tcW w:w="1271" w:type="dxa"/>
            <w:shd w:val="clear" w:color="auto" w:fill="auto"/>
            <w:noWrap/>
            <w:tcMar>
              <w:top w:w="0" w:type="dxa"/>
              <w:left w:w="108" w:type="dxa"/>
              <w:bottom w:w="0" w:type="dxa"/>
              <w:right w:w="108" w:type="dxa"/>
            </w:tcMar>
          </w:tcPr>
          <w:p w14:paraId="3CFD6A9B" w14:textId="77777777" w:rsidR="00284822" w:rsidRDefault="00F77BF8">
            <w:pPr>
              <w:spacing w:before="120" w:after="120"/>
              <w:ind w:left="360"/>
              <w:jc w:val="left"/>
              <w:rPr>
                <w:rFonts w:ascii="Rockwell" w:hAnsi="Rockwell"/>
              </w:rPr>
            </w:pPr>
            <w:r>
              <w:rPr>
                <w:rFonts w:ascii="Rockwell" w:hAnsi="Rockwell"/>
                <w:b/>
                <w:bCs/>
              </w:rPr>
              <w:t>2</w:t>
            </w:r>
            <w:r>
              <w:rPr>
                <w:rFonts w:ascii="Rockwell" w:hAnsi="Rockwell"/>
                <w:b/>
                <w:bCs/>
                <w:vertAlign w:val="superscript"/>
              </w:rPr>
              <w:t>e</w:t>
            </w:r>
          </w:p>
        </w:tc>
        <w:tc>
          <w:tcPr>
            <w:tcW w:w="2247" w:type="dxa"/>
            <w:shd w:val="clear" w:color="auto" w:fill="auto"/>
            <w:tcMar>
              <w:top w:w="0" w:type="dxa"/>
              <w:left w:w="108" w:type="dxa"/>
              <w:bottom w:w="0" w:type="dxa"/>
              <w:right w:w="108" w:type="dxa"/>
            </w:tcMar>
          </w:tcPr>
          <w:p w14:paraId="60EF9433" w14:textId="77777777" w:rsidR="00284822" w:rsidRDefault="00F77BF8">
            <w:pPr>
              <w:spacing w:before="120" w:after="120"/>
              <w:ind w:left="360"/>
              <w:jc w:val="left"/>
              <w:rPr>
                <w:rFonts w:ascii="Rockwell" w:hAnsi="Rockwell"/>
                <w:b/>
              </w:rPr>
            </w:pPr>
            <w:r>
              <w:rPr>
                <w:rFonts w:ascii="Rockwell" w:hAnsi="Rockwell"/>
                <w:b/>
              </w:rPr>
              <w:t>MPP</w:t>
            </w:r>
          </w:p>
        </w:tc>
        <w:tc>
          <w:tcPr>
            <w:tcW w:w="1418" w:type="dxa"/>
            <w:shd w:val="clear" w:color="auto" w:fill="auto"/>
            <w:tcMar>
              <w:top w:w="0" w:type="dxa"/>
              <w:left w:w="108" w:type="dxa"/>
              <w:bottom w:w="0" w:type="dxa"/>
              <w:right w:w="108" w:type="dxa"/>
            </w:tcMar>
          </w:tcPr>
          <w:p w14:paraId="621544D6" w14:textId="77777777" w:rsidR="00284822" w:rsidRDefault="00F77BF8">
            <w:pPr>
              <w:spacing w:before="120" w:after="120"/>
              <w:ind w:left="360"/>
              <w:jc w:val="left"/>
              <w:rPr>
                <w:rFonts w:ascii="Rockwell" w:hAnsi="Rockwell"/>
              </w:rPr>
            </w:pPr>
            <w:r>
              <w:rPr>
                <w:rFonts w:ascii="Rockwell" w:hAnsi="Rockwell"/>
              </w:rPr>
              <w:t>31</w:t>
            </w:r>
          </w:p>
        </w:tc>
        <w:tc>
          <w:tcPr>
            <w:tcW w:w="1559" w:type="dxa"/>
            <w:shd w:val="clear" w:color="auto" w:fill="auto"/>
            <w:tcMar>
              <w:top w:w="0" w:type="dxa"/>
              <w:left w:w="108" w:type="dxa"/>
              <w:bottom w:w="0" w:type="dxa"/>
              <w:right w:w="108" w:type="dxa"/>
            </w:tcMar>
          </w:tcPr>
          <w:p w14:paraId="64FEBD8D" w14:textId="77777777" w:rsidR="00284822" w:rsidRDefault="00F77BF8">
            <w:pPr>
              <w:spacing w:before="120" w:after="120"/>
              <w:ind w:left="360"/>
              <w:jc w:val="center"/>
              <w:rPr>
                <w:rFonts w:ascii="Rockwell" w:hAnsi="Rockwell"/>
              </w:rPr>
            </w:pPr>
            <w:r>
              <w:rPr>
                <w:rFonts w:ascii="Rockwell" w:hAnsi="Rockwell"/>
              </w:rPr>
              <w:t>19,75%</w:t>
            </w:r>
          </w:p>
        </w:tc>
        <w:tc>
          <w:tcPr>
            <w:tcW w:w="1701" w:type="dxa"/>
            <w:shd w:val="clear" w:color="auto" w:fill="auto"/>
            <w:tcMar>
              <w:top w:w="0" w:type="dxa"/>
              <w:left w:w="108" w:type="dxa"/>
              <w:bottom w:w="0" w:type="dxa"/>
              <w:right w:w="108" w:type="dxa"/>
            </w:tcMar>
          </w:tcPr>
          <w:p w14:paraId="1BBAB513" w14:textId="77777777" w:rsidR="00284822" w:rsidRDefault="00F77BF8">
            <w:pPr>
              <w:spacing w:before="120" w:after="120"/>
              <w:ind w:left="360"/>
              <w:jc w:val="center"/>
              <w:rPr>
                <w:rFonts w:ascii="Rockwell" w:hAnsi="Rockwell"/>
              </w:rPr>
            </w:pPr>
            <w:r>
              <w:rPr>
                <w:rFonts w:ascii="Rockwell" w:hAnsi="Rockwell"/>
              </w:rPr>
              <w:t>69</w:t>
            </w:r>
          </w:p>
        </w:tc>
        <w:tc>
          <w:tcPr>
            <w:tcW w:w="2431" w:type="dxa"/>
            <w:shd w:val="clear" w:color="auto" w:fill="auto"/>
            <w:tcMar>
              <w:top w:w="0" w:type="dxa"/>
              <w:left w:w="108" w:type="dxa"/>
              <w:bottom w:w="0" w:type="dxa"/>
              <w:right w:w="108" w:type="dxa"/>
            </w:tcMar>
          </w:tcPr>
          <w:p w14:paraId="64C14E20" w14:textId="77777777" w:rsidR="00284822" w:rsidRDefault="00F77BF8">
            <w:pPr>
              <w:spacing w:before="120" w:after="120"/>
              <w:ind w:left="360"/>
              <w:jc w:val="center"/>
              <w:rPr>
                <w:rFonts w:ascii="Rockwell" w:hAnsi="Rockwell"/>
              </w:rPr>
            </w:pPr>
            <w:r>
              <w:rPr>
                <w:rFonts w:ascii="Rockwell" w:hAnsi="Rockwell"/>
              </w:rPr>
              <w:t>20,91%</w:t>
            </w:r>
          </w:p>
        </w:tc>
      </w:tr>
      <w:tr w:rsidR="00284822" w14:paraId="7E404067" w14:textId="77777777">
        <w:trPr>
          <w:trHeight w:val="70"/>
          <w:jc w:val="center"/>
        </w:trPr>
        <w:tc>
          <w:tcPr>
            <w:tcW w:w="1271" w:type="dxa"/>
            <w:shd w:val="clear" w:color="auto" w:fill="auto"/>
            <w:noWrap/>
            <w:tcMar>
              <w:top w:w="0" w:type="dxa"/>
              <w:left w:w="108" w:type="dxa"/>
              <w:bottom w:w="0" w:type="dxa"/>
              <w:right w:w="108" w:type="dxa"/>
            </w:tcMar>
          </w:tcPr>
          <w:p w14:paraId="16DA0DF2" w14:textId="77777777" w:rsidR="00284822" w:rsidRDefault="00F77BF8">
            <w:pPr>
              <w:spacing w:before="120" w:after="120"/>
              <w:ind w:left="360"/>
              <w:jc w:val="left"/>
              <w:rPr>
                <w:rFonts w:ascii="Rockwell" w:hAnsi="Rockwell"/>
              </w:rPr>
            </w:pPr>
            <w:r>
              <w:rPr>
                <w:rFonts w:ascii="Rockwell" w:hAnsi="Rockwell"/>
                <w:b/>
                <w:bCs/>
              </w:rPr>
              <w:t>3</w:t>
            </w:r>
            <w:r>
              <w:rPr>
                <w:rFonts w:ascii="Rockwell" w:hAnsi="Rockwell"/>
                <w:b/>
                <w:bCs/>
                <w:vertAlign w:val="superscript"/>
              </w:rPr>
              <w:t>e</w:t>
            </w:r>
          </w:p>
        </w:tc>
        <w:tc>
          <w:tcPr>
            <w:tcW w:w="2247" w:type="dxa"/>
            <w:shd w:val="clear" w:color="auto" w:fill="auto"/>
            <w:tcMar>
              <w:top w:w="0" w:type="dxa"/>
              <w:left w:w="108" w:type="dxa"/>
              <w:bottom w:w="0" w:type="dxa"/>
              <w:right w:w="108" w:type="dxa"/>
            </w:tcMar>
          </w:tcPr>
          <w:p w14:paraId="4655A886" w14:textId="77777777" w:rsidR="00284822" w:rsidRDefault="00F77BF8">
            <w:pPr>
              <w:spacing w:before="120" w:after="120"/>
              <w:ind w:left="360"/>
              <w:jc w:val="left"/>
              <w:rPr>
                <w:rFonts w:ascii="Rockwell" w:hAnsi="Rockwell"/>
                <w:b/>
              </w:rPr>
            </w:pPr>
            <w:r>
              <w:rPr>
                <w:rFonts w:ascii="Rockwell" w:hAnsi="Rockwell"/>
                <w:b/>
              </w:rPr>
              <w:t>UPC</w:t>
            </w:r>
          </w:p>
        </w:tc>
        <w:tc>
          <w:tcPr>
            <w:tcW w:w="1418" w:type="dxa"/>
            <w:shd w:val="clear" w:color="auto" w:fill="auto"/>
            <w:tcMar>
              <w:top w:w="0" w:type="dxa"/>
              <w:left w:w="108" w:type="dxa"/>
              <w:bottom w:w="0" w:type="dxa"/>
              <w:right w:w="108" w:type="dxa"/>
            </w:tcMar>
          </w:tcPr>
          <w:p w14:paraId="5F2EEB94" w14:textId="77777777" w:rsidR="00284822" w:rsidRDefault="00F77BF8">
            <w:pPr>
              <w:spacing w:before="120" w:after="120"/>
              <w:ind w:left="360"/>
              <w:jc w:val="left"/>
              <w:rPr>
                <w:rFonts w:ascii="Rockwell" w:hAnsi="Rockwell"/>
              </w:rPr>
            </w:pPr>
            <w:r>
              <w:rPr>
                <w:rFonts w:ascii="Rockwell" w:hAnsi="Rockwell"/>
              </w:rPr>
              <w:t>16</w:t>
            </w:r>
          </w:p>
        </w:tc>
        <w:tc>
          <w:tcPr>
            <w:tcW w:w="1559" w:type="dxa"/>
            <w:shd w:val="clear" w:color="auto" w:fill="auto"/>
            <w:tcMar>
              <w:top w:w="0" w:type="dxa"/>
              <w:left w:w="108" w:type="dxa"/>
              <w:bottom w:w="0" w:type="dxa"/>
              <w:right w:w="108" w:type="dxa"/>
            </w:tcMar>
          </w:tcPr>
          <w:p w14:paraId="261070DF" w14:textId="77777777" w:rsidR="00284822" w:rsidRDefault="00F77BF8">
            <w:pPr>
              <w:spacing w:before="120" w:after="120"/>
              <w:ind w:left="360"/>
              <w:jc w:val="center"/>
              <w:rPr>
                <w:rFonts w:ascii="Rockwell" w:hAnsi="Rockwell"/>
              </w:rPr>
            </w:pPr>
            <w:r>
              <w:rPr>
                <w:rFonts w:ascii="Rockwell" w:hAnsi="Rockwell"/>
              </w:rPr>
              <w:t>10,19%</w:t>
            </w:r>
          </w:p>
        </w:tc>
        <w:tc>
          <w:tcPr>
            <w:tcW w:w="1701" w:type="dxa"/>
            <w:shd w:val="clear" w:color="auto" w:fill="auto"/>
            <w:tcMar>
              <w:top w:w="0" w:type="dxa"/>
              <w:left w:w="108" w:type="dxa"/>
              <w:bottom w:w="0" w:type="dxa"/>
              <w:right w:w="108" w:type="dxa"/>
            </w:tcMar>
          </w:tcPr>
          <w:p w14:paraId="5FC6E843" w14:textId="77777777" w:rsidR="00284822" w:rsidRDefault="00F77BF8">
            <w:pPr>
              <w:spacing w:before="120" w:after="120"/>
              <w:ind w:left="360"/>
              <w:jc w:val="center"/>
              <w:rPr>
                <w:rFonts w:ascii="Rockwell" w:hAnsi="Rockwell"/>
              </w:rPr>
            </w:pPr>
            <w:r>
              <w:rPr>
                <w:rFonts w:ascii="Rockwell" w:hAnsi="Rockwell"/>
              </w:rPr>
              <w:t>48</w:t>
            </w:r>
          </w:p>
        </w:tc>
        <w:tc>
          <w:tcPr>
            <w:tcW w:w="2431" w:type="dxa"/>
            <w:shd w:val="clear" w:color="auto" w:fill="auto"/>
            <w:tcMar>
              <w:top w:w="0" w:type="dxa"/>
              <w:left w:w="108" w:type="dxa"/>
              <w:bottom w:w="0" w:type="dxa"/>
              <w:right w:w="108" w:type="dxa"/>
            </w:tcMar>
          </w:tcPr>
          <w:p w14:paraId="6CC93697" w14:textId="77777777" w:rsidR="00284822" w:rsidRDefault="00F77BF8">
            <w:pPr>
              <w:spacing w:before="120" w:after="120"/>
              <w:ind w:left="360"/>
              <w:jc w:val="center"/>
              <w:rPr>
                <w:rFonts w:ascii="Rockwell" w:hAnsi="Rockwell"/>
              </w:rPr>
            </w:pPr>
            <w:r>
              <w:rPr>
                <w:rFonts w:ascii="Rockwell" w:hAnsi="Rockwell"/>
              </w:rPr>
              <w:t>14,55%</w:t>
            </w:r>
          </w:p>
        </w:tc>
      </w:tr>
      <w:tr w:rsidR="00284822" w14:paraId="7990A4C3" w14:textId="77777777">
        <w:trPr>
          <w:trHeight w:val="70"/>
          <w:jc w:val="center"/>
        </w:trPr>
        <w:tc>
          <w:tcPr>
            <w:tcW w:w="1271" w:type="dxa"/>
            <w:shd w:val="clear" w:color="auto" w:fill="auto"/>
            <w:noWrap/>
            <w:tcMar>
              <w:top w:w="0" w:type="dxa"/>
              <w:left w:w="108" w:type="dxa"/>
              <w:bottom w:w="0" w:type="dxa"/>
              <w:right w:w="108" w:type="dxa"/>
            </w:tcMar>
          </w:tcPr>
          <w:p w14:paraId="01F3B1DF" w14:textId="77777777" w:rsidR="00284822" w:rsidRDefault="00F77BF8">
            <w:pPr>
              <w:spacing w:before="120" w:after="120"/>
              <w:ind w:left="360"/>
              <w:jc w:val="left"/>
              <w:rPr>
                <w:rFonts w:ascii="Rockwell" w:hAnsi="Rockwell"/>
              </w:rPr>
            </w:pPr>
            <w:r>
              <w:rPr>
                <w:rFonts w:ascii="Rockwell" w:hAnsi="Rockwell"/>
                <w:b/>
                <w:bCs/>
              </w:rPr>
              <w:t>4</w:t>
            </w:r>
            <w:r>
              <w:rPr>
                <w:rFonts w:ascii="Rockwell" w:hAnsi="Rockwell"/>
                <w:b/>
                <w:bCs/>
                <w:vertAlign w:val="superscript"/>
              </w:rPr>
              <w:t>e</w:t>
            </w:r>
          </w:p>
        </w:tc>
        <w:tc>
          <w:tcPr>
            <w:tcW w:w="2247" w:type="dxa"/>
            <w:shd w:val="clear" w:color="auto" w:fill="auto"/>
            <w:tcMar>
              <w:top w:w="0" w:type="dxa"/>
              <w:left w:w="108" w:type="dxa"/>
              <w:bottom w:w="0" w:type="dxa"/>
              <w:right w:w="108" w:type="dxa"/>
            </w:tcMar>
          </w:tcPr>
          <w:p w14:paraId="7CFB74A0" w14:textId="77777777" w:rsidR="00284822" w:rsidRDefault="00F77BF8">
            <w:pPr>
              <w:spacing w:before="120" w:after="120"/>
              <w:ind w:left="360"/>
              <w:jc w:val="left"/>
              <w:rPr>
                <w:rFonts w:ascii="Rockwell" w:hAnsi="Rockwell"/>
                <w:b/>
              </w:rPr>
            </w:pPr>
            <w:r>
              <w:rPr>
                <w:rFonts w:ascii="Rockwell" w:hAnsi="Rockwell"/>
                <w:b/>
              </w:rPr>
              <w:t>PPS</w:t>
            </w:r>
          </w:p>
        </w:tc>
        <w:tc>
          <w:tcPr>
            <w:tcW w:w="1418" w:type="dxa"/>
            <w:shd w:val="clear" w:color="auto" w:fill="auto"/>
            <w:tcMar>
              <w:top w:w="0" w:type="dxa"/>
              <w:left w:w="108" w:type="dxa"/>
              <w:bottom w:w="0" w:type="dxa"/>
              <w:right w:w="108" w:type="dxa"/>
            </w:tcMar>
          </w:tcPr>
          <w:p w14:paraId="55B61C4E" w14:textId="77777777" w:rsidR="00284822" w:rsidRDefault="00F77BF8">
            <w:pPr>
              <w:spacing w:before="120" w:after="120"/>
              <w:ind w:left="360"/>
              <w:jc w:val="left"/>
              <w:rPr>
                <w:rFonts w:ascii="Rockwell" w:hAnsi="Rockwell"/>
              </w:rPr>
            </w:pPr>
            <w:r>
              <w:rPr>
                <w:rFonts w:ascii="Rockwell" w:hAnsi="Rockwell"/>
              </w:rPr>
              <w:t>16</w:t>
            </w:r>
          </w:p>
        </w:tc>
        <w:tc>
          <w:tcPr>
            <w:tcW w:w="1559" w:type="dxa"/>
            <w:shd w:val="clear" w:color="auto" w:fill="auto"/>
            <w:tcMar>
              <w:top w:w="0" w:type="dxa"/>
              <w:left w:w="108" w:type="dxa"/>
              <w:bottom w:w="0" w:type="dxa"/>
              <w:right w:w="108" w:type="dxa"/>
            </w:tcMar>
          </w:tcPr>
          <w:p w14:paraId="4668C8C2" w14:textId="77777777" w:rsidR="00284822" w:rsidRDefault="00F77BF8">
            <w:pPr>
              <w:spacing w:before="120" w:after="120"/>
              <w:ind w:left="360"/>
              <w:jc w:val="center"/>
              <w:rPr>
                <w:rFonts w:ascii="Rockwell" w:hAnsi="Rockwell"/>
              </w:rPr>
            </w:pPr>
            <w:r>
              <w:rPr>
                <w:rFonts w:ascii="Rockwell" w:hAnsi="Rockwell"/>
              </w:rPr>
              <w:t>10,19%</w:t>
            </w:r>
          </w:p>
        </w:tc>
        <w:tc>
          <w:tcPr>
            <w:tcW w:w="1701" w:type="dxa"/>
            <w:shd w:val="clear" w:color="auto" w:fill="auto"/>
            <w:tcMar>
              <w:top w:w="0" w:type="dxa"/>
              <w:left w:w="108" w:type="dxa"/>
              <w:bottom w:w="0" w:type="dxa"/>
              <w:right w:w="108" w:type="dxa"/>
            </w:tcMar>
          </w:tcPr>
          <w:p w14:paraId="3CEA8DF2" w14:textId="77777777" w:rsidR="00284822" w:rsidRDefault="00F77BF8">
            <w:pPr>
              <w:spacing w:before="120" w:after="120"/>
              <w:ind w:left="360"/>
              <w:jc w:val="center"/>
              <w:rPr>
                <w:rFonts w:ascii="Rockwell" w:hAnsi="Rockwell"/>
              </w:rPr>
            </w:pPr>
            <w:r>
              <w:rPr>
                <w:rFonts w:ascii="Rockwell" w:hAnsi="Rockwell"/>
              </w:rPr>
              <w:t>35</w:t>
            </w:r>
          </w:p>
        </w:tc>
        <w:tc>
          <w:tcPr>
            <w:tcW w:w="2431" w:type="dxa"/>
            <w:shd w:val="clear" w:color="auto" w:fill="auto"/>
            <w:tcMar>
              <w:top w:w="0" w:type="dxa"/>
              <w:left w:w="108" w:type="dxa"/>
              <w:bottom w:w="0" w:type="dxa"/>
              <w:right w:w="108" w:type="dxa"/>
            </w:tcMar>
          </w:tcPr>
          <w:p w14:paraId="0D546418" w14:textId="77777777" w:rsidR="00284822" w:rsidRDefault="00F77BF8">
            <w:pPr>
              <w:spacing w:before="120" w:after="120"/>
              <w:ind w:left="360"/>
              <w:jc w:val="center"/>
              <w:rPr>
                <w:rFonts w:ascii="Rockwell" w:hAnsi="Rockwell"/>
              </w:rPr>
            </w:pPr>
            <w:r>
              <w:rPr>
                <w:rFonts w:ascii="Rockwell" w:hAnsi="Rockwell"/>
              </w:rPr>
              <w:t>10,61%</w:t>
            </w:r>
          </w:p>
        </w:tc>
      </w:tr>
      <w:tr w:rsidR="00284822" w14:paraId="3A5F36CC" w14:textId="77777777">
        <w:trPr>
          <w:trHeight w:val="70"/>
          <w:jc w:val="center"/>
        </w:trPr>
        <w:tc>
          <w:tcPr>
            <w:tcW w:w="1271" w:type="dxa"/>
            <w:shd w:val="clear" w:color="auto" w:fill="auto"/>
            <w:noWrap/>
            <w:tcMar>
              <w:top w:w="0" w:type="dxa"/>
              <w:left w:w="108" w:type="dxa"/>
              <w:bottom w:w="0" w:type="dxa"/>
              <w:right w:w="108" w:type="dxa"/>
            </w:tcMar>
          </w:tcPr>
          <w:p w14:paraId="3D0DC7F3" w14:textId="77777777" w:rsidR="00284822" w:rsidRDefault="00F77BF8">
            <w:pPr>
              <w:spacing w:before="120" w:after="120"/>
              <w:ind w:left="360"/>
              <w:jc w:val="left"/>
              <w:rPr>
                <w:rFonts w:ascii="Rockwell" w:hAnsi="Rockwell"/>
              </w:rPr>
            </w:pPr>
            <w:r>
              <w:rPr>
                <w:rFonts w:ascii="Rockwell" w:hAnsi="Rockwell"/>
                <w:b/>
                <w:bCs/>
              </w:rPr>
              <w:t>5</w:t>
            </w:r>
            <w:r>
              <w:rPr>
                <w:rFonts w:ascii="Rockwell" w:hAnsi="Rockwell"/>
                <w:b/>
                <w:bCs/>
                <w:vertAlign w:val="superscript"/>
              </w:rPr>
              <w:t>e</w:t>
            </w:r>
          </w:p>
        </w:tc>
        <w:tc>
          <w:tcPr>
            <w:tcW w:w="2247" w:type="dxa"/>
            <w:shd w:val="clear" w:color="auto" w:fill="auto"/>
            <w:tcMar>
              <w:top w:w="0" w:type="dxa"/>
              <w:left w:w="108" w:type="dxa"/>
              <w:bottom w:w="0" w:type="dxa"/>
              <w:right w:w="108" w:type="dxa"/>
            </w:tcMar>
          </w:tcPr>
          <w:p w14:paraId="54BC7989" w14:textId="77777777" w:rsidR="00284822" w:rsidRDefault="00F77BF8">
            <w:pPr>
              <w:spacing w:before="120" w:after="120"/>
              <w:ind w:left="360"/>
              <w:jc w:val="left"/>
              <w:rPr>
                <w:rFonts w:ascii="Rockwell" w:hAnsi="Rockwell"/>
                <w:b/>
              </w:rPr>
            </w:pPr>
            <w:r>
              <w:rPr>
                <w:rFonts w:ascii="Rockwell" w:hAnsi="Rockwell"/>
                <w:b/>
              </w:rPr>
              <w:t>UNIR/MPS</w:t>
            </w:r>
          </w:p>
        </w:tc>
        <w:tc>
          <w:tcPr>
            <w:tcW w:w="1418" w:type="dxa"/>
            <w:shd w:val="clear" w:color="auto" w:fill="auto"/>
            <w:tcMar>
              <w:top w:w="0" w:type="dxa"/>
              <w:left w:w="108" w:type="dxa"/>
              <w:bottom w:w="0" w:type="dxa"/>
              <w:right w:w="108" w:type="dxa"/>
            </w:tcMar>
          </w:tcPr>
          <w:p w14:paraId="5D8F68D1" w14:textId="77777777" w:rsidR="00284822" w:rsidRDefault="00F77BF8">
            <w:pPr>
              <w:spacing w:before="120" w:after="120"/>
              <w:ind w:left="360"/>
              <w:jc w:val="left"/>
              <w:rPr>
                <w:rFonts w:ascii="Rockwell" w:hAnsi="Rockwell"/>
              </w:rPr>
            </w:pPr>
            <w:r>
              <w:rPr>
                <w:rFonts w:ascii="Rockwell" w:hAnsi="Rockwell"/>
              </w:rPr>
              <w:t>10</w:t>
            </w:r>
          </w:p>
        </w:tc>
        <w:tc>
          <w:tcPr>
            <w:tcW w:w="1559" w:type="dxa"/>
            <w:shd w:val="clear" w:color="auto" w:fill="auto"/>
            <w:tcMar>
              <w:top w:w="0" w:type="dxa"/>
              <w:left w:w="108" w:type="dxa"/>
              <w:bottom w:w="0" w:type="dxa"/>
              <w:right w:w="108" w:type="dxa"/>
            </w:tcMar>
          </w:tcPr>
          <w:p w14:paraId="61B4F0EA" w14:textId="77777777" w:rsidR="00284822" w:rsidRDefault="00F77BF8">
            <w:pPr>
              <w:spacing w:before="120" w:after="120"/>
              <w:ind w:left="360"/>
              <w:jc w:val="center"/>
              <w:rPr>
                <w:rFonts w:ascii="Rockwell" w:hAnsi="Rockwell"/>
              </w:rPr>
            </w:pPr>
            <w:r>
              <w:rPr>
                <w:rFonts w:ascii="Rockwell" w:hAnsi="Rockwell"/>
              </w:rPr>
              <w:t>6,37%</w:t>
            </w:r>
          </w:p>
        </w:tc>
        <w:tc>
          <w:tcPr>
            <w:tcW w:w="1701" w:type="dxa"/>
            <w:shd w:val="clear" w:color="auto" w:fill="auto"/>
            <w:tcMar>
              <w:top w:w="0" w:type="dxa"/>
              <w:left w:w="108" w:type="dxa"/>
              <w:bottom w:w="0" w:type="dxa"/>
              <w:right w:w="108" w:type="dxa"/>
            </w:tcMar>
          </w:tcPr>
          <w:p w14:paraId="758B3CC9" w14:textId="77777777" w:rsidR="00284822" w:rsidRDefault="00F77BF8">
            <w:pPr>
              <w:spacing w:before="120" w:after="120"/>
              <w:ind w:left="360"/>
              <w:jc w:val="center"/>
              <w:rPr>
                <w:rFonts w:ascii="Rockwell" w:hAnsi="Rockwell"/>
              </w:rPr>
            </w:pPr>
            <w:r>
              <w:rPr>
                <w:rFonts w:ascii="Rockwell" w:hAnsi="Rockwell"/>
              </w:rPr>
              <w:t>19</w:t>
            </w:r>
          </w:p>
        </w:tc>
        <w:tc>
          <w:tcPr>
            <w:tcW w:w="2431" w:type="dxa"/>
            <w:shd w:val="clear" w:color="auto" w:fill="auto"/>
            <w:tcMar>
              <w:top w:w="0" w:type="dxa"/>
              <w:left w:w="108" w:type="dxa"/>
              <w:bottom w:w="0" w:type="dxa"/>
              <w:right w:w="108" w:type="dxa"/>
            </w:tcMar>
          </w:tcPr>
          <w:p w14:paraId="79A7EDEB" w14:textId="77777777" w:rsidR="00284822" w:rsidRDefault="00F77BF8">
            <w:pPr>
              <w:spacing w:before="120" w:after="120"/>
              <w:ind w:left="360"/>
              <w:jc w:val="center"/>
              <w:rPr>
                <w:rFonts w:ascii="Rockwell" w:hAnsi="Rockwell"/>
              </w:rPr>
            </w:pPr>
            <w:r>
              <w:rPr>
                <w:rFonts w:ascii="Rockwell" w:hAnsi="Rockwell"/>
              </w:rPr>
              <w:t>5,76%</w:t>
            </w:r>
          </w:p>
        </w:tc>
      </w:tr>
      <w:tr w:rsidR="00284822" w14:paraId="0D6537D0" w14:textId="77777777">
        <w:trPr>
          <w:trHeight w:val="417"/>
          <w:jc w:val="center"/>
        </w:trPr>
        <w:tc>
          <w:tcPr>
            <w:tcW w:w="1271" w:type="dxa"/>
            <w:shd w:val="clear" w:color="auto" w:fill="auto"/>
            <w:noWrap/>
            <w:tcMar>
              <w:top w:w="0" w:type="dxa"/>
              <w:left w:w="108" w:type="dxa"/>
              <w:bottom w:w="0" w:type="dxa"/>
              <w:right w:w="108" w:type="dxa"/>
            </w:tcMar>
          </w:tcPr>
          <w:p w14:paraId="71C615A2" w14:textId="77777777" w:rsidR="00284822" w:rsidRDefault="00F77BF8">
            <w:pPr>
              <w:spacing w:before="120" w:after="120"/>
              <w:ind w:left="360"/>
              <w:jc w:val="left"/>
              <w:rPr>
                <w:rFonts w:ascii="Rockwell" w:hAnsi="Rockwell"/>
              </w:rPr>
            </w:pPr>
            <w:r>
              <w:rPr>
                <w:rFonts w:ascii="Rockwell" w:hAnsi="Rockwell"/>
                <w:b/>
                <w:bCs/>
              </w:rPr>
              <w:t>6</w:t>
            </w:r>
            <w:r>
              <w:rPr>
                <w:rFonts w:ascii="Rockwell" w:hAnsi="Rockwell"/>
                <w:b/>
                <w:bCs/>
                <w:vertAlign w:val="superscript"/>
              </w:rPr>
              <w:t>e</w:t>
            </w:r>
          </w:p>
        </w:tc>
        <w:tc>
          <w:tcPr>
            <w:tcW w:w="2247" w:type="dxa"/>
            <w:shd w:val="clear" w:color="auto" w:fill="auto"/>
            <w:tcMar>
              <w:top w:w="0" w:type="dxa"/>
              <w:left w:w="108" w:type="dxa"/>
              <w:bottom w:w="0" w:type="dxa"/>
              <w:right w:w="108" w:type="dxa"/>
            </w:tcMar>
          </w:tcPr>
          <w:p w14:paraId="5738ECC6" w14:textId="77777777" w:rsidR="00284822" w:rsidRDefault="00F77BF8">
            <w:pPr>
              <w:spacing w:before="120" w:after="120"/>
              <w:ind w:left="360"/>
              <w:jc w:val="left"/>
              <w:rPr>
                <w:rFonts w:ascii="Rockwell" w:hAnsi="Rockwell"/>
                <w:b/>
              </w:rPr>
            </w:pPr>
            <w:r>
              <w:rPr>
                <w:rFonts w:ascii="Rockwell" w:hAnsi="Rockwell"/>
                <w:b/>
              </w:rPr>
              <w:t>FA</w:t>
            </w:r>
          </w:p>
        </w:tc>
        <w:tc>
          <w:tcPr>
            <w:tcW w:w="1418" w:type="dxa"/>
            <w:shd w:val="clear" w:color="auto" w:fill="auto"/>
            <w:tcMar>
              <w:top w:w="0" w:type="dxa"/>
              <w:left w:w="108" w:type="dxa"/>
              <w:bottom w:w="0" w:type="dxa"/>
              <w:right w:w="108" w:type="dxa"/>
            </w:tcMar>
          </w:tcPr>
          <w:p w14:paraId="3DE04AC3" w14:textId="77777777" w:rsidR="00284822" w:rsidRDefault="00F77BF8">
            <w:pPr>
              <w:spacing w:before="120" w:after="120"/>
              <w:ind w:left="360"/>
              <w:jc w:val="left"/>
              <w:rPr>
                <w:rFonts w:ascii="Rockwell" w:hAnsi="Rockwell"/>
              </w:rPr>
            </w:pPr>
            <w:r>
              <w:rPr>
                <w:rFonts w:ascii="Rockwell" w:hAnsi="Rockwell"/>
              </w:rPr>
              <w:t>6</w:t>
            </w:r>
          </w:p>
        </w:tc>
        <w:tc>
          <w:tcPr>
            <w:tcW w:w="1559" w:type="dxa"/>
            <w:shd w:val="clear" w:color="auto" w:fill="auto"/>
            <w:tcMar>
              <w:top w:w="0" w:type="dxa"/>
              <w:left w:w="108" w:type="dxa"/>
              <w:bottom w:w="0" w:type="dxa"/>
              <w:right w:w="108" w:type="dxa"/>
            </w:tcMar>
          </w:tcPr>
          <w:p w14:paraId="60A0E4B8" w14:textId="77777777" w:rsidR="00284822" w:rsidRDefault="00F77BF8">
            <w:pPr>
              <w:spacing w:before="120" w:after="120"/>
              <w:ind w:left="360"/>
              <w:jc w:val="center"/>
              <w:rPr>
                <w:rFonts w:ascii="Rockwell" w:hAnsi="Rockwell"/>
              </w:rPr>
            </w:pPr>
            <w:r>
              <w:rPr>
                <w:rFonts w:ascii="Rockwell" w:hAnsi="Rockwell"/>
              </w:rPr>
              <w:t>3,82%</w:t>
            </w:r>
          </w:p>
        </w:tc>
        <w:tc>
          <w:tcPr>
            <w:tcW w:w="1701" w:type="dxa"/>
            <w:shd w:val="clear" w:color="auto" w:fill="auto"/>
            <w:tcMar>
              <w:top w:w="0" w:type="dxa"/>
              <w:left w:w="108" w:type="dxa"/>
              <w:bottom w:w="0" w:type="dxa"/>
              <w:right w:w="108" w:type="dxa"/>
            </w:tcMar>
          </w:tcPr>
          <w:p w14:paraId="1773446F" w14:textId="77777777" w:rsidR="00284822" w:rsidRDefault="00F77BF8">
            <w:pPr>
              <w:spacing w:before="120" w:after="120"/>
              <w:ind w:left="360"/>
              <w:jc w:val="center"/>
              <w:rPr>
                <w:rFonts w:ascii="Rockwell" w:hAnsi="Rockwell"/>
              </w:rPr>
            </w:pPr>
            <w:r>
              <w:rPr>
                <w:rFonts w:ascii="Rockwell" w:hAnsi="Rockwell"/>
              </w:rPr>
              <w:t>7</w:t>
            </w:r>
          </w:p>
        </w:tc>
        <w:tc>
          <w:tcPr>
            <w:tcW w:w="2431" w:type="dxa"/>
            <w:shd w:val="clear" w:color="auto" w:fill="auto"/>
            <w:tcMar>
              <w:top w:w="0" w:type="dxa"/>
              <w:left w:w="108" w:type="dxa"/>
              <w:bottom w:w="0" w:type="dxa"/>
              <w:right w:w="108" w:type="dxa"/>
            </w:tcMar>
          </w:tcPr>
          <w:p w14:paraId="3C1504C8" w14:textId="77777777" w:rsidR="00284822" w:rsidRDefault="00F77BF8">
            <w:pPr>
              <w:spacing w:before="120" w:after="120"/>
              <w:ind w:left="360"/>
              <w:jc w:val="center"/>
              <w:rPr>
                <w:rFonts w:ascii="Rockwell" w:hAnsi="Rockwell"/>
              </w:rPr>
            </w:pPr>
            <w:r>
              <w:rPr>
                <w:rFonts w:ascii="Rockwell" w:hAnsi="Rockwell"/>
              </w:rPr>
              <w:t>2,12%</w:t>
            </w:r>
          </w:p>
        </w:tc>
      </w:tr>
      <w:tr w:rsidR="00284822" w14:paraId="59209943" w14:textId="77777777">
        <w:trPr>
          <w:trHeight w:val="70"/>
          <w:jc w:val="center"/>
        </w:trPr>
        <w:tc>
          <w:tcPr>
            <w:tcW w:w="1271" w:type="dxa"/>
            <w:shd w:val="clear" w:color="auto" w:fill="auto"/>
            <w:noWrap/>
            <w:tcMar>
              <w:top w:w="0" w:type="dxa"/>
              <w:left w:w="108" w:type="dxa"/>
              <w:bottom w:w="0" w:type="dxa"/>
              <w:right w:w="108" w:type="dxa"/>
            </w:tcMar>
          </w:tcPr>
          <w:p w14:paraId="7F1AE127" w14:textId="77777777" w:rsidR="00284822" w:rsidRDefault="00F77BF8">
            <w:pPr>
              <w:spacing w:before="120" w:after="120"/>
              <w:ind w:left="360"/>
              <w:jc w:val="left"/>
              <w:rPr>
                <w:rFonts w:ascii="Rockwell" w:hAnsi="Rockwell"/>
              </w:rPr>
            </w:pPr>
            <w:r>
              <w:rPr>
                <w:rFonts w:ascii="Rockwell" w:hAnsi="Rockwell"/>
                <w:b/>
                <w:bCs/>
              </w:rPr>
              <w:t>7</w:t>
            </w:r>
            <w:r>
              <w:rPr>
                <w:rFonts w:ascii="Rockwell" w:hAnsi="Rockwell"/>
                <w:b/>
                <w:bCs/>
                <w:vertAlign w:val="superscript"/>
              </w:rPr>
              <w:t>e</w:t>
            </w:r>
          </w:p>
        </w:tc>
        <w:tc>
          <w:tcPr>
            <w:tcW w:w="2247" w:type="dxa"/>
            <w:shd w:val="clear" w:color="auto" w:fill="auto"/>
            <w:tcMar>
              <w:top w:w="0" w:type="dxa"/>
              <w:left w:w="108" w:type="dxa"/>
              <w:bottom w:w="0" w:type="dxa"/>
              <w:right w:w="108" w:type="dxa"/>
            </w:tcMar>
          </w:tcPr>
          <w:p w14:paraId="453C9705" w14:textId="77777777" w:rsidR="00284822" w:rsidRDefault="00F77BF8">
            <w:pPr>
              <w:spacing w:before="120" w:after="120"/>
              <w:ind w:left="360"/>
              <w:jc w:val="left"/>
              <w:rPr>
                <w:rFonts w:ascii="Rockwell" w:hAnsi="Rockwell"/>
                <w:b/>
              </w:rPr>
            </w:pPr>
            <w:r>
              <w:rPr>
                <w:rFonts w:ascii="Rockwell" w:hAnsi="Rockwell"/>
                <w:b/>
              </w:rPr>
              <w:t>NTD</w:t>
            </w:r>
          </w:p>
        </w:tc>
        <w:tc>
          <w:tcPr>
            <w:tcW w:w="1418" w:type="dxa"/>
            <w:shd w:val="clear" w:color="auto" w:fill="auto"/>
            <w:tcMar>
              <w:top w:w="0" w:type="dxa"/>
              <w:left w:w="108" w:type="dxa"/>
              <w:bottom w:w="0" w:type="dxa"/>
              <w:right w:w="108" w:type="dxa"/>
            </w:tcMar>
          </w:tcPr>
          <w:p w14:paraId="407A6C6A" w14:textId="77777777" w:rsidR="00284822" w:rsidRDefault="00F77BF8">
            <w:pPr>
              <w:spacing w:before="120" w:after="120"/>
              <w:ind w:left="360"/>
              <w:jc w:val="left"/>
              <w:rPr>
                <w:rFonts w:ascii="Rockwell" w:hAnsi="Rockwell"/>
              </w:rPr>
            </w:pPr>
            <w:r>
              <w:rPr>
                <w:rFonts w:ascii="Rockwell" w:hAnsi="Rockwell"/>
              </w:rPr>
              <w:t>4</w:t>
            </w:r>
          </w:p>
        </w:tc>
        <w:tc>
          <w:tcPr>
            <w:tcW w:w="1559" w:type="dxa"/>
            <w:shd w:val="clear" w:color="auto" w:fill="auto"/>
            <w:tcMar>
              <w:top w:w="0" w:type="dxa"/>
              <w:left w:w="108" w:type="dxa"/>
              <w:bottom w:w="0" w:type="dxa"/>
              <w:right w:w="108" w:type="dxa"/>
            </w:tcMar>
          </w:tcPr>
          <w:p w14:paraId="339DF0EE" w14:textId="77777777" w:rsidR="00284822" w:rsidRDefault="00F77BF8">
            <w:pPr>
              <w:spacing w:before="120" w:after="120"/>
              <w:ind w:left="360"/>
              <w:jc w:val="center"/>
              <w:rPr>
                <w:rFonts w:ascii="Rockwell" w:hAnsi="Rockwell"/>
              </w:rPr>
            </w:pPr>
            <w:r>
              <w:rPr>
                <w:rFonts w:ascii="Rockwell" w:hAnsi="Rockwell"/>
              </w:rPr>
              <w:t>2,55%</w:t>
            </w:r>
          </w:p>
        </w:tc>
        <w:tc>
          <w:tcPr>
            <w:tcW w:w="1701" w:type="dxa"/>
            <w:shd w:val="clear" w:color="auto" w:fill="auto"/>
            <w:tcMar>
              <w:top w:w="0" w:type="dxa"/>
              <w:left w:w="108" w:type="dxa"/>
              <w:bottom w:w="0" w:type="dxa"/>
              <w:right w:w="108" w:type="dxa"/>
            </w:tcMar>
          </w:tcPr>
          <w:p w14:paraId="4D30ACCF" w14:textId="77777777" w:rsidR="00284822" w:rsidRDefault="00F77BF8">
            <w:pPr>
              <w:spacing w:before="120" w:after="120"/>
              <w:ind w:left="360"/>
              <w:jc w:val="center"/>
              <w:rPr>
                <w:rFonts w:ascii="Rockwell" w:hAnsi="Rockwell"/>
              </w:rPr>
            </w:pPr>
            <w:r>
              <w:rPr>
                <w:rFonts w:ascii="Rockwell" w:hAnsi="Rockwell"/>
              </w:rPr>
              <w:t>8</w:t>
            </w:r>
          </w:p>
        </w:tc>
        <w:tc>
          <w:tcPr>
            <w:tcW w:w="2431" w:type="dxa"/>
            <w:shd w:val="clear" w:color="auto" w:fill="auto"/>
            <w:tcMar>
              <w:top w:w="0" w:type="dxa"/>
              <w:left w:w="108" w:type="dxa"/>
              <w:bottom w:w="0" w:type="dxa"/>
              <w:right w:w="108" w:type="dxa"/>
            </w:tcMar>
          </w:tcPr>
          <w:p w14:paraId="5F624C93" w14:textId="77777777" w:rsidR="00284822" w:rsidRDefault="00F77BF8">
            <w:pPr>
              <w:spacing w:before="120" w:after="120"/>
              <w:ind w:left="360"/>
              <w:jc w:val="center"/>
              <w:rPr>
                <w:rFonts w:ascii="Rockwell" w:hAnsi="Rockwell"/>
              </w:rPr>
            </w:pPr>
            <w:r>
              <w:rPr>
                <w:rFonts w:ascii="Rockwell" w:hAnsi="Rockwell"/>
              </w:rPr>
              <w:t>2,42%</w:t>
            </w:r>
          </w:p>
        </w:tc>
      </w:tr>
      <w:tr w:rsidR="00284822" w14:paraId="662736BB" w14:textId="77777777">
        <w:trPr>
          <w:trHeight w:val="70"/>
          <w:jc w:val="center"/>
        </w:trPr>
        <w:tc>
          <w:tcPr>
            <w:tcW w:w="1271" w:type="dxa"/>
            <w:shd w:val="clear" w:color="auto" w:fill="auto"/>
            <w:noWrap/>
            <w:tcMar>
              <w:top w:w="0" w:type="dxa"/>
              <w:left w:w="108" w:type="dxa"/>
              <w:bottom w:w="0" w:type="dxa"/>
              <w:right w:w="108" w:type="dxa"/>
            </w:tcMar>
          </w:tcPr>
          <w:p w14:paraId="52A494D4" w14:textId="77777777" w:rsidR="00284822" w:rsidRDefault="00F77BF8">
            <w:pPr>
              <w:spacing w:before="120" w:after="120"/>
              <w:ind w:left="360"/>
              <w:jc w:val="left"/>
              <w:rPr>
                <w:rFonts w:ascii="Rockwell" w:hAnsi="Rockwell"/>
              </w:rPr>
            </w:pPr>
            <w:r>
              <w:rPr>
                <w:rFonts w:ascii="Rockwell" w:hAnsi="Rockwell"/>
                <w:b/>
                <w:bCs/>
              </w:rPr>
              <w:t>8</w:t>
            </w:r>
            <w:r>
              <w:rPr>
                <w:rFonts w:ascii="Rockwell" w:hAnsi="Rockwell"/>
                <w:b/>
                <w:bCs/>
                <w:vertAlign w:val="superscript"/>
              </w:rPr>
              <w:t>e</w:t>
            </w:r>
          </w:p>
        </w:tc>
        <w:tc>
          <w:tcPr>
            <w:tcW w:w="2247" w:type="dxa"/>
            <w:shd w:val="clear" w:color="auto" w:fill="auto"/>
            <w:tcMar>
              <w:top w:w="0" w:type="dxa"/>
              <w:left w:w="108" w:type="dxa"/>
              <w:bottom w:w="0" w:type="dxa"/>
              <w:right w:w="108" w:type="dxa"/>
            </w:tcMar>
          </w:tcPr>
          <w:p w14:paraId="0EEE5BAA" w14:textId="77777777" w:rsidR="00284822" w:rsidRDefault="00F77BF8">
            <w:pPr>
              <w:spacing w:before="120" w:after="120"/>
              <w:ind w:left="360"/>
              <w:jc w:val="left"/>
              <w:rPr>
                <w:rFonts w:ascii="Rockwell" w:hAnsi="Rockwell"/>
                <w:b/>
              </w:rPr>
            </w:pPr>
            <w:r>
              <w:rPr>
                <w:rFonts w:ascii="Rockwell" w:hAnsi="Rockwell"/>
                <w:b/>
              </w:rPr>
              <w:t>MRB</w:t>
            </w:r>
          </w:p>
        </w:tc>
        <w:tc>
          <w:tcPr>
            <w:tcW w:w="1418" w:type="dxa"/>
            <w:shd w:val="clear" w:color="auto" w:fill="auto"/>
            <w:tcMar>
              <w:top w:w="0" w:type="dxa"/>
              <w:left w:w="108" w:type="dxa"/>
              <w:bottom w:w="0" w:type="dxa"/>
              <w:right w:w="108" w:type="dxa"/>
            </w:tcMar>
          </w:tcPr>
          <w:p w14:paraId="693F49A5" w14:textId="77777777" w:rsidR="00284822" w:rsidRDefault="00F77BF8">
            <w:pPr>
              <w:spacing w:before="120" w:after="120"/>
              <w:ind w:left="360"/>
              <w:jc w:val="left"/>
              <w:rPr>
                <w:rFonts w:ascii="Rockwell" w:hAnsi="Rockwell"/>
              </w:rPr>
            </w:pPr>
            <w:r>
              <w:rPr>
                <w:rFonts w:ascii="Rockwell" w:hAnsi="Rockwell"/>
              </w:rPr>
              <w:t>3</w:t>
            </w:r>
          </w:p>
        </w:tc>
        <w:tc>
          <w:tcPr>
            <w:tcW w:w="1559" w:type="dxa"/>
            <w:shd w:val="clear" w:color="auto" w:fill="auto"/>
            <w:tcMar>
              <w:top w:w="0" w:type="dxa"/>
              <w:left w:w="108" w:type="dxa"/>
              <w:bottom w:w="0" w:type="dxa"/>
              <w:right w:w="108" w:type="dxa"/>
            </w:tcMar>
          </w:tcPr>
          <w:p w14:paraId="3BF92452" w14:textId="77777777" w:rsidR="00284822" w:rsidRDefault="00F77BF8">
            <w:pPr>
              <w:spacing w:before="120" w:after="120"/>
              <w:ind w:left="360"/>
              <w:jc w:val="center"/>
              <w:rPr>
                <w:rFonts w:ascii="Rockwell" w:hAnsi="Rockwell"/>
              </w:rPr>
            </w:pPr>
            <w:r>
              <w:rPr>
                <w:rFonts w:ascii="Rockwell" w:hAnsi="Rockwell"/>
              </w:rPr>
              <w:t>1,91%</w:t>
            </w:r>
          </w:p>
        </w:tc>
        <w:tc>
          <w:tcPr>
            <w:tcW w:w="1701" w:type="dxa"/>
            <w:shd w:val="clear" w:color="auto" w:fill="auto"/>
            <w:tcMar>
              <w:top w:w="0" w:type="dxa"/>
              <w:left w:w="108" w:type="dxa"/>
              <w:bottom w:w="0" w:type="dxa"/>
              <w:right w:w="108" w:type="dxa"/>
            </w:tcMar>
          </w:tcPr>
          <w:p w14:paraId="5FF32E69" w14:textId="77777777" w:rsidR="00284822" w:rsidRDefault="00F77BF8">
            <w:pPr>
              <w:spacing w:before="120" w:after="120"/>
              <w:ind w:left="360"/>
              <w:jc w:val="center"/>
              <w:rPr>
                <w:rFonts w:ascii="Rockwell" w:hAnsi="Rockwell"/>
              </w:rPr>
            </w:pPr>
            <w:r>
              <w:rPr>
                <w:rFonts w:ascii="Rockwell" w:hAnsi="Rockwell"/>
              </w:rPr>
              <w:t>12</w:t>
            </w:r>
          </w:p>
        </w:tc>
        <w:tc>
          <w:tcPr>
            <w:tcW w:w="2431" w:type="dxa"/>
            <w:shd w:val="clear" w:color="auto" w:fill="auto"/>
            <w:tcMar>
              <w:top w:w="0" w:type="dxa"/>
              <w:left w:w="108" w:type="dxa"/>
              <w:bottom w:w="0" w:type="dxa"/>
              <w:right w:w="108" w:type="dxa"/>
            </w:tcMar>
          </w:tcPr>
          <w:p w14:paraId="0F485D12" w14:textId="77777777" w:rsidR="00284822" w:rsidRDefault="00F77BF8">
            <w:pPr>
              <w:spacing w:before="120" w:after="120"/>
              <w:ind w:left="360"/>
              <w:jc w:val="center"/>
              <w:rPr>
                <w:rFonts w:ascii="Rockwell" w:hAnsi="Rockwell"/>
              </w:rPr>
            </w:pPr>
            <w:r>
              <w:rPr>
                <w:rFonts w:ascii="Rockwell" w:hAnsi="Rockwell"/>
              </w:rPr>
              <w:t>3,64%</w:t>
            </w:r>
          </w:p>
        </w:tc>
      </w:tr>
      <w:tr w:rsidR="00284822" w14:paraId="2F442805" w14:textId="77777777">
        <w:trPr>
          <w:trHeight w:val="70"/>
          <w:jc w:val="center"/>
        </w:trPr>
        <w:tc>
          <w:tcPr>
            <w:tcW w:w="1271" w:type="dxa"/>
            <w:shd w:val="clear" w:color="auto" w:fill="auto"/>
            <w:noWrap/>
            <w:tcMar>
              <w:top w:w="0" w:type="dxa"/>
              <w:left w:w="108" w:type="dxa"/>
              <w:bottom w:w="0" w:type="dxa"/>
              <w:right w:w="108" w:type="dxa"/>
            </w:tcMar>
          </w:tcPr>
          <w:p w14:paraId="096B90CF" w14:textId="77777777" w:rsidR="00284822" w:rsidRDefault="00F77BF8">
            <w:pPr>
              <w:spacing w:before="120" w:after="120"/>
              <w:ind w:left="360"/>
              <w:jc w:val="left"/>
              <w:rPr>
                <w:rFonts w:ascii="Rockwell" w:hAnsi="Rockwell"/>
              </w:rPr>
            </w:pPr>
            <w:r>
              <w:rPr>
                <w:rFonts w:ascii="Rockwell" w:hAnsi="Rockwell"/>
                <w:b/>
                <w:bCs/>
              </w:rPr>
              <w:t>8</w:t>
            </w:r>
            <w:r>
              <w:rPr>
                <w:rFonts w:ascii="Rockwell" w:hAnsi="Rockwell"/>
                <w:b/>
                <w:bCs/>
                <w:vertAlign w:val="superscript"/>
              </w:rPr>
              <w:t>e</w:t>
            </w:r>
            <w:r>
              <w:rPr>
                <w:rFonts w:ascii="Rockwell" w:hAnsi="Rockwell"/>
                <w:b/>
                <w:bCs/>
              </w:rPr>
              <w:t xml:space="preserve"> Ex</w:t>
            </w:r>
          </w:p>
        </w:tc>
        <w:tc>
          <w:tcPr>
            <w:tcW w:w="2247" w:type="dxa"/>
            <w:shd w:val="clear" w:color="auto" w:fill="auto"/>
            <w:tcMar>
              <w:top w:w="0" w:type="dxa"/>
              <w:left w:w="108" w:type="dxa"/>
              <w:bottom w:w="0" w:type="dxa"/>
              <w:right w:w="108" w:type="dxa"/>
            </w:tcMar>
          </w:tcPr>
          <w:p w14:paraId="7E9F05C0" w14:textId="77777777" w:rsidR="00284822" w:rsidRDefault="00F77BF8">
            <w:pPr>
              <w:spacing w:before="120" w:after="120"/>
              <w:ind w:left="360"/>
              <w:jc w:val="left"/>
              <w:rPr>
                <w:rFonts w:ascii="Rockwell" w:hAnsi="Rockwell"/>
                <w:b/>
              </w:rPr>
            </w:pPr>
            <w:r>
              <w:rPr>
                <w:rFonts w:ascii="Rockwell" w:hAnsi="Rockwell"/>
                <w:b/>
              </w:rPr>
              <w:t>SENS</w:t>
            </w:r>
          </w:p>
        </w:tc>
        <w:tc>
          <w:tcPr>
            <w:tcW w:w="1418" w:type="dxa"/>
            <w:shd w:val="clear" w:color="auto" w:fill="auto"/>
            <w:tcMar>
              <w:top w:w="0" w:type="dxa"/>
              <w:left w:w="108" w:type="dxa"/>
              <w:bottom w:w="0" w:type="dxa"/>
              <w:right w:w="108" w:type="dxa"/>
            </w:tcMar>
          </w:tcPr>
          <w:p w14:paraId="35AC8B90" w14:textId="77777777" w:rsidR="00284822" w:rsidRDefault="00F77BF8">
            <w:pPr>
              <w:spacing w:before="120" w:after="120"/>
              <w:ind w:left="360"/>
              <w:jc w:val="left"/>
              <w:rPr>
                <w:rFonts w:ascii="Rockwell" w:hAnsi="Rockwell"/>
              </w:rPr>
            </w:pPr>
            <w:r>
              <w:rPr>
                <w:rFonts w:ascii="Rockwell" w:hAnsi="Rockwell"/>
              </w:rPr>
              <w:t>3</w:t>
            </w:r>
          </w:p>
        </w:tc>
        <w:tc>
          <w:tcPr>
            <w:tcW w:w="1559" w:type="dxa"/>
            <w:shd w:val="clear" w:color="auto" w:fill="auto"/>
            <w:tcMar>
              <w:top w:w="0" w:type="dxa"/>
              <w:left w:w="108" w:type="dxa"/>
              <w:bottom w:w="0" w:type="dxa"/>
              <w:right w:w="108" w:type="dxa"/>
            </w:tcMar>
          </w:tcPr>
          <w:p w14:paraId="3772F40C" w14:textId="77777777" w:rsidR="00284822" w:rsidRDefault="00F77BF8">
            <w:pPr>
              <w:spacing w:before="120" w:after="120"/>
              <w:ind w:left="360"/>
              <w:jc w:val="center"/>
              <w:rPr>
                <w:rFonts w:ascii="Rockwell" w:hAnsi="Rockwell"/>
              </w:rPr>
            </w:pPr>
            <w:r>
              <w:rPr>
                <w:rFonts w:ascii="Rockwell" w:hAnsi="Rockwell"/>
              </w:rPr>
              <w:t>1,91%</w:t>
            </w:r>
          </w:p>
        </w:tc>
        <w:tc>
          <w:tcPr>
            <w:tcW w:w="1701" w:type="dxa"/>
            <w:shd w:val="clear" w:color="auto" w:fill="auto"/>
            <w:tcMar>
              <w:top w:w="0" w:type="dxa"/>
              <w:left w:w="108" w:type="dxa"/>
              <w:bottom w:w="0" w:type="dxa"/>
              <w:right w:w="108" w:type="dxa"/>
            </w:tcMar>
          </w:tcPr>
          <w:p w14:paraId="500936F1" w14:textId="77777777" w:rsidR="00284822" w:rsidRDefault="00F77BF8">
            <w:pPr>
              <w:spacing w:before="120" w:after="120"/>
              <w:ind w:left="360"/>
              <w:jc w:val="center"/>
              <w:rPr>
                <w:rFonts w:ascii="Rockwell" w:hAnsi="Rockwell"/>
              </w:rPr>
            </w:pPr>
            <w:r>
              <w:rPr>
                <w:rFonts w:ascii="Rockwell" w:hAnsi="Rockwell"/>
              </w:rPr>
              <w:t>7</w:t>
            </w:r>
          </w:p>
        </w:tc>
        <w:tc>
          <w:tcPr>
            <w:tcW w:w="2431" w:type="dxa"/>
            <w:shd w:val="clear" w:color="auto" w:fill="auto"/>
            <w:tcMar>
              <w:top w:w="0" w:type="dxa"/>
              <w:left w:w="108" w:type="dxa"/>
              <w:bottom w:w="0" w:type="dxa"/>
              <w:right w:w="108" w:type="dxa"/>
            </w:tcMar>
          </w:tcPr>
          <w:p w14:paraId="0C8D9970" w14:textId="77777777" w:rsidR="00284822" w:rsidRDefault="00F77BF8">
            <w:pPr>
              <w:spacing w:before="120" w:after="120"/>
              <w:ind w:left="360"/>
              <w:jc w:val="center"/>
              <w:rPr>
                <w:rFonts w:ascii="Rockwell" w:hAnsi="Rockwell"/>
              </w:rPr>
            </w:pPr>
            <w:r>
              <w:rPr>
                <w:rFonts w:ascii="Rockwell" w:hAnsi="Rockwell"/>
              </w:rPr>
              <w:t>2,12%</w:t>
            </w:r>
          </w:p>
        </w:tc>
      </w:tr>
      <w:tr w:rsidR="00284822" w14:paraId="787E9165" w14:textId="77777777">
        <w:trPr>
          <w:trHeight w:val="70"/>
          <w:jc w:val="center"/>
        </w:trPr>
        <w:tc>
          <w:tcPr>
            <w:tcW w:w="1271" w:type="dxa"/>
            <w:shd w:val="clear" w:color="auto" w:fill="auto"/>
            <w:noWrap/>
            <w:tcMar>
              <w:top w:w="0" w:type="dxa"/>
              <w:left w:w="108" w:type="dxa"/>
              <w:bottom w:w="0" w:type="dxa"/>
              <w:right w:w="108" w:type="dxa"/>
            </w:tcMar>
          </w:tcPr>
          <w:p w14:paraId="64C0027C" w14:textId="77777777" w:rsidR="00284822" w:rsidRDefault="00F77BF8">
            <w:pPr>
              <w:spacing w:before="120" w:after="120"/>
              <w:ind w:left="360"/>
              <w:jc w:val="left"/>
              <w:rPr>
                <w:rFonts w:ascii="Rockwell" w:hAnsi="Rockwell"/>
              </w:rPr>
            </w:pPr>
            <w:r>
              <w:rPr>
                <w:rFonts w:ascii="Rockwell" w:hAnsi="Rockwell"/>
                <w:b/>
                <w:bCs/>
              </w:rPr>
              <w:t>8</w:t>
            </w:r>
            <w:r>
              <w:rPr>
                <w:rFonts w:ascii="Rockwell" w:hAnsi="Rockwell"/>
                <w:b/>
                <w:bCs/>
                <w:vertAlign w:val="superscript"/>
              </w:rPr>
              <w:t>e</w:t>
            </w:r>
            <w:r>
              <w:rPr>
                <w:rFonts w:ascii="Rockwell" w:hAnsi="Rockwell"/>
                <w:b/>
                <w:bCs/>
              </w:rPr>
              <w:t xml:space="preserve"> Ex</w:t>
            </w:r>
          </w:p>
        </w:tc>
        <w:tc>
          <w:tcPr>
            <w:tcW w:w="2247" w:type="dxa"/>
            <w:shd w:val="clear" w:color="auto" w:fill="auto"/>
            <w:tcMar>
              <w:top w:w="0" w:type="dxa"/>
              <w:left w:w="108" w:type="dxa"/>
              <w:bottom w:w="0" w:type="dxa"/>
              <w:right w:w="108" w:type="dxa"/>
            </w:tcMar>
          </w:tcPr>
          <w:p w14:paraId="352C3181" w14:textId="77777777" w:rsidR="00284822" w:rsidRDefault="00F77BF8">
            <w:pPr>
              <w:spacing w:before="120" w:after="120"/>
              <w:ind w:left="360"/>
              <w:jc w:val="left"/>
              <w:rPr>
                <w:rFonts w:ascii="Rockwell" w:hAnsi="Rockwell"/>
                <w:b/>
              </w:rPr>
            </w:pPr>
            <w:r>
              <w:rPr>
                <w:rFonts w:ascii="Rockwell" w:hAnsi="Rockwell"/>
                <w:b/>
              </w:rPr>
              <w:t>RMB</w:t>
            </w:r>
          </w:p>
        </w:tc>
        <w:tc>
          <w:tcPr>
            <w:tcW w:w="1418" w:type="dxa"/>
            <w:shd w:val="clear" w:color="auto" w:fill="auto"/>
            <w:tcMar>
              <w:top w:w="0" w:type="dxa"/>
              <w:left w:w="108" w:type="dxa"/>
              <w:bottom w:w="0" w:type="dxa"/>
              <w:right w:w="108" w:type="dxa"/>
            </w:tcMar>
          </w:tcPr>
          <w:p w14:paraId="7B73EF43" w14:textId="77777777" w:rsidR="00284822" w:rsidRDefault="00F77BF8">
            <w:pPr>
              <w:spacing w:before="120" w:after="120"/>
              <w:ind w:left="360"/>
              <w:jc w:val="left"/>
              <w:rPr>
                <w:rFonts w:ascii="Rockwell" w:hAnsi="Rockwell"/>
              </w:rPr>
            </w:pPr>
            <w:r>
              <w:rPr>
                <w:rFonts w:ascii="Rockwell" w:hAnsi="Rockwell"/>
              </w:rPr>
              <w:t>3</w:t>
            </w:r>
          </w:p>
        </w:tc>
        <w:tc>
          <w:tcPr>
            <w:tcW w:w="1559" w:type="dxa"/>
            <w:shd w:val="clear" w:color="auto" w:fill="auto"/>
            <w:tcMar>
              <w:top w:w="0" w:type="dxa"/>
              <w:left w:w="108" w:type="dxa"/>
              <w:bottom w:w="0" w:type="dxa"/>
              <w:right w:w="108" w:type="dxa"/>
            </w:tcMar>
          </w:tcPr>
          <w:p w14:paraId="29AECF88" w14:textId="77777777" w:rsidR="00284822" w:rsidRDefault="00F77BF8">
            <w:pPr>
              <w:spacing w:before="120" w:after="120"/>
              <w:ind w:left="360"/>
              <w:jc w:val="center"/>
              <w:rPr>
                <w:rFonts w:ascii="Rockwell" w:hAnsi="Rockwell"/>
              </w:rPr>
            </w:pPr>
            <w:r>
              <w:rPr>
                <w:rFonts w:ascii="Rockwell" w:hAnsi="Rockwell"/>
              </w:rPr>
              <w:t>1,91%</w:t>
            </w:r>
          </w:p>
        </w:tc>
        <w:tc>
          <w:tcPr>
            <w:tcW w:w="1701" w:type="dxa"/>
            <w:shd w:val="clear" w:color="auto" w:fill="auto"/>
            <w:tcMar>
              <w:top w:w="0" w:type="dxa"/>
              <w:left w:w="108" w:type="dxa"/>
              <w:bottom w:w="0" w:type="dxa"/>
              <w:right w:w="108" w:type="dxa"/>
            </w:tcMar>
          </w:tcPr>
          <w:p w14:paraId="325C675A" w14:textId="77777777" w:rsidR="00284822" w:rsidRDefault="00F77BF8">
            <w:pPr>
              <w:spacing w:before="120" w:after="120"/>
              <w:ind w:left="360"/>
              <w:jc w:val="center"/>
              <w:rPr>
                <w:rFonts w:ascii="Rockwell" w:hAnsi="Rockwell"/>
              </w:rPr>
            </w:pPr>
            <w:r>
              <w:rPr>
                <w:rFonts w:ascii="Rockwell" w:hAnsi="Rockwell"/>
              </w:rPr>
              <w:t>6</w:t>
            </w:r>
          </w:p>
        </w:tc>
        <w:tc>
          <w:tcPr>
            <w:tcW w:w="2431" w:type="dxa"/>
            <w:shd w:val="clear" w:color="auto" w:fill="auto"/>
            <w:tcMar>
              <w:top w:w="0" w:type="dxa"/>
              <w:left w:w="108" w:type="dxa"/>
              <w:bottom w:w="0" w:type="dxa"/>
              <w:right w:w="108" w:type="dxa"/>
            </w:tcMar>
          </w:tcPr>
          <w:p w14:paraId="1DF5C475" w14:textId="77777777" w:rsidR="00284822" w:rsidRDefault="00F77BF8">
            <w:pPr>
              <w:spacing w:before="120" w:after="120"/>
              <w:ind w:left="360"/>
              <w:jc w:val="center"/>
              <w:rPr>
                <w:rFonts w:ascii="Rockwell" w:hAnsi="Rockwell"/>
              </w:rPr>
            </w:pPr>
            <w:r>
              <w:rPr>
                <w:rFonts w:ascii="Rockwell" w:hAnsi="Rockwell"/>
              </w:rPr>
              <w:t>1,82%</w:t>
            </w:r>
          </w:p>
        </w:tc>
      </w:tr>
    </w:tbl>
    <w:p w14:paraId="2A9CC82D" w14:textId="77777777" w:rsidR="00284822" w:rsidRDefault="00F77BF8">
      <w:pPr>
        <w:tabs>
          <w:tab w:val="left" w:pos="895"/>
        </w:tabs>
        <w:spacing w:before="120" w:after="120"/>
        <w:ind w:left="-709"/>
        <w:rPr>
          <w:rFonts w:ascii="Rockwell" w:hAnsi="Rockwell"/>
          <w:i/>
          <w:sz w:val="20"/>
          <w:szCs w:val="20"/>
        </w:rPr>
      </w:pPr>
      <w:r>
        <w:rPr>
          <w:rFonts w:ascii="Rockwell" w:hAnsi="Rockwell"/>
          <w:i/>
          <w:sz w:val="20"/>
          <w:szCs w:val="20"/>
          <w:u w:val="single"/>
        </w:rPr>
        <w:t>Source</w:t>
      </w:r>
      <w:r>
        <w:rPr>
          <w:rFonts w:ascii="Rockwell" w:hAnsi="Rockwell"/>
          <w:i/>
          <w:sz w:val="20"/>
          <w:szCs w:val="20"/>
        </w:rPr>
        <w:t> : Monitoring CSC</w:t>
      </w:r>
    </w:p>
    <w:p w14:paraId="2A391618" w14:textId="77777777" w:rsidR="00284822" w:rsidRDefault="00284822">
      <w:pPr>
        <w:tabs>
          <w:tab w:val="left" w:pos="895"/>
        </w:tabs>
        <w:spacing w:before="120" w:after="120"/>
        <w:ind w:left="-709"/>
        <w:rPr>
          <w:rFonts w:ascii="Rockwell" w:hAnsi="Rockwell"/>
          <w:i/>
          <w:sz w:val="10"/>
          <w:szCs w:val="10"/>
        </w:rPr>
        <w:sectPr w:rsidR="00284822">
          <w:pgSz w:w="11906" w:h="16838"/>
          <w:pgMar w:top="1418" w:right="1418" w:bottom="1418" w:left="1418" w:header="720" w:footer="720" w:gutter="0"/>
          <w:cols w:space="720"/>
        </w:sectPr>
      </w:pPr>
    </w:p>
    <w:p w14:paraId="46F63DF0" w14:textId="77777777" w:rsidR="00284822" w:rsidRDefault="00F77BF8">
      <w:pPr>
        <w:tabs>
          <w:tab w:val="left" w:pos="1230"/>
        </w:tabs>
        <w:spacing w:before="120" w:after="120"/>
        <w:jc w:val="center"/>
        <w:rPr>
          <w:rFonts w:ascii="Rockwell" w:hAnsi="Rockwell"/>
          <w:i/>
          <w:sz w:val="20"/>
          <w:szCs w:val="20"/>
        </w:rPr>
      </w:pPr>
      <w:r>
        <w:rPr>
          <w:rFonts w:ascii="Rockwell" w:hAnsi="Rockwell"/>
          <w:i/>
          <w:sz w:val="20"/>
          <w:szCs w:val="20"/>
          <w:u w:val="single"/>
        </w:rPr>
        <w:lastRenderedPageBreak/>
        <w:t>Représentation graphique des NA et NI obtenus par les dix premiers partis politiques dans lefaso.net</w:t>
      </w:r>
    </w:p>
    <w:p w14:paraId="6FB2EE2F" w14:textId="77777777" w:rsidR="00284822" w:rsidRDefault="00F77BF8">
      <w:pPr>
        <w:spacing w:before="120" w:after="120"/>
        <w:jc w:val="center"/>
        <w:rPr>
          <w:rFonts w:ascii="Rockwell" w:hAnsi="Rockwell"/>
          <w:szCs w:val="26"/>
        </w:rPr>
      </w:pPr>
      <w:r>
        <w:rPr>
          <w:rFonts w:ascii="Rockwell" w:hAnsi="Rockwell"/>
          <w:noProof/>
          <w:szCs w:val="26"/>
        </w:rPr>
        <w:drawing>
          <wp:inline distT="0" distB="0" distL="0" distR="0" wp14:anchorId="7F3A9B52" wp14:editId="0665A5A8">
            <wp:extent cx="5808345" cy="2823845"/>
            <wp:effectExtent l="0" t="0" r="1905" b="14605"/>
            <wp:docPr id="28" name="Graphique 71"/>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3E6884A6" w14:textId="77777777" w:rsidR="00284822" w:rsidRDefault="003148F1">
      <w:pPr>
        <w:pStyle w:val="Titre5"/>
        <w:numPr>
          <w:ilvl w:val="1"/>
          <w:numId w:val="19"/>
        </w:numPr>
        <w:ind w:hanging="447"/>
        <w:rPr>
          <w:rFonts w:ascii="Rockwell" w:hAnsi="Rockwell"/>
          <w:i/>
        </w:rPr>
      </w:pPr>
      <w:hyperlink r:id="rId65" w:history="1">
        <w:bookmarkStart w:id="157" w:name="_Toc175048675"/>
        <w:r w:rsidR="00F77BF8">
          <w:rPr>
            <w:rFonts w:ascii="Rockwell" w:hAnsi="Rockwell"/>
            <w:i/>
          </w:rPr>
          <w:t>Burkina 24</w:t>
        </w:r>
        <w:bookmarkEnd w:id="157"/>
      </w:hyperlink>
    </w:p>
    <w:p w14:paraId="4AB5ACA5" w14:textId="77777777" w:rsidR="00284822" w:rsidRDefault="00F77BF8">
      <w:pPr>
        <w:spacing w:before="120" w:after="120"/>
        <w:rPr>
          <w:rFonts w:ascii="Rockwell" w:hAnsi="Rockwell"/>
          <w:szCs w:val="26"/>
        </w:rPr>
      </w:pPr>
      <w:r>
        <w:rPr>
          <w:rFonts w:ascii="Rockwell" w:hAnsi="Rockwell"/>
          <w:i/>
          <w:szCs w:val="26"/>
        </w:rPr>
        <w:t>Burkina 24</w:t>
      </w:r>
      <w:r>
        <w:rPr>
          <w:rFonts w:ascii="Rockwell" w:hAnsi="Rockwell"/>
          <w:szCs w:val="26"/>
        </w:rPr>
        <w:t xml:space="preserve"> s’est intéressé à l’actualité de 18 partis politiques avec un total de 73 articles et 148 illustrations. Ci-après, les rangs occupés par les 10 premiers partis :</w:t>
      </w:r>
    </w:p>
    <w:p w14:paraId="36AD15B3" w14:textId="77777777" w:rsidR="00284822" w:rsidRDefault="00F77BF8">
      <w:pPr>
        <w:spacing w:before="120" w:after="120"/>
        <w:jc w:val="center"/>
        <w:rPr>
          <w:rFonts w:ascii="Rockwell" w:hAnsi="Rockwell"/>
          <w:i/>
          <w:sz w:val="20"/>
          <w:szCs w:val="20"/>
        </w:rPr>
      </w:pPr>
      <w:r>
        <w:rPr>
          <w:rFonts w:ascii="Rockwell" w:hAnsi="Rockwell"/>
          <w:b/>
          <w:sz w:val="20"/>
          <w:szCs w:val="20"/>
          <w:u w:val="single"/>
        </w:rPr>
        <w:t>Tableau 9</w:t>
      </w:r>
      <w:r>
        <w:rPr>
          <w:rFonts w:ascii="Rockwell" w:hAnsi="Rockwell"/>
          <w:sz w:val="20"/>
          <w:szCs w:val="20"/>
        </w:rPr>
        <w:t> :</w:t>
      </w:r>
      <w:r>
        <w:rPr>
          <w:rFonts w:ascii="Rockwell" w:hAnsi="Rockwell"/>
          <w:sz w:val="20"/>
          <w:szCs w:val="20"/>
          <w:u w:val="single"/>
        </w:rPr>
        <w:t xml:space="preserve"> </w:t>
      </w:r>
      <w:r>
        <w:rPr>
          <w:rFonts w:ascii="Rockwell" w:hAnsi="Rockwell"/>
          <w:i/>
          <w:sz w:val="20"/>
          <w:szCs w:val="20"/>
        </w:rPr>
        <w:t xml:space="preserve">Classement des dix premiers partis politiques selon les NA et NI publiés dans burkina24 </w:t>
      </w: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29"/>
        <w:gridCol w:w="2552"/>
        <w:gridCol w:w="1701"/>
        <w:gridCol w:w="1843"/>
        <w:gridCol w:w="1417"/>
        <w:gridCol w:w="2126"/>
      </w:tblGrid>
      <w:tr w:rsidR="00284822" w14:paraId="02478A87" w14:textId="77777777">
        <w:trPr>
          <w:trHeight w:val="667"/>
          <w:jc w:val="center"/>
        </w:trPr>
        <w:tc>
          <w:tcPr>
            <w:tcW w:w="1129" w:type="dxa"/>
            <w:vMerge w:val="restart"/>
            <w:shd w:val="clear" w:color="auto" w:fill="BDD6EE"/>
            <w:noWrap/>
            <w:tcMar>
              <w:top w:w="0" w:type="dxa"/>
              <w:left w:w="108" w:type="dxa"/>
              <w:bottom w:w="0" w:type="dxa"/>
              <w:right w:w="108" w:type="dxa"/>
            </w:tcMar>
            <w:vAlign w:val="center"/>
          </w:tcPr>
          <w:p w14:paraId="2926531D" w14:textId="77777777" w:rsidR="00284822" w:rsidRDefault="00F77BF8">
            <w:pPr>
              <w:spacing w:before="120" w:after="120"/>
              <w:rPr>
                <w:rFonts w:ascii="Rockwell" w:hAnsi="Rockwell"/>
                <w:b/>
                <w:bCs/>
                <w:szCs w:val="26"/>
              </w:rPr>
            </w:pPr>
            <w:r>
              <w:rPr>
                <w:rFonts w:ascii="Rockwell" w:hAnsi="Rockwell" w:cs="Calibri"/>
                <w:b/>
                <w:bCs/>
                <w:color w:val="000000"/>
                <w:szCs w:val="26"/>
              </w:rPr>
              <w:t>Rang</w:t>
            </w:r>
          </w:p>
        </w:tc>
        <w:tc>
          <w:tcPr>
            <w:tcW w:w="9639" w:type="dxa"/>
            <w:gridSpan w:val="5"/>
            <w:shd w:val="clear" w:color="auto" w:fill="BDD6EE"/>
            <w:tcMar>
              <w:top w:w="0" w:type="dxa"/>
              <w:left w:w="10" w:type="dxa"/>
              <w:bottom w:w="0" w:type="dxa"/>
              <w:right w:w="10" w:type="dxa"/>
            </w:tcMar>
            <w:vAlign w:val="center"/>
          </w:tcPr>
          <w:p w14:paraId="3E4F4645" w14:textId="77777777" w:rsidR="00284822" w:rsidRDefault="00F77BF8">
            <w:pPr>
              <w:tabs>
                <w:tab w:val="center" w:pos="4077"/>
              </w:tabs>
              <w:spacing w:before="120" w:after="120"/>
              <w:ind w:left="1235"/>
              <w:jc w:val="center"/>
              <w:rPr>
                <w:rFonts w:ascii="Rockwell" w:hAnsi="Rockwell"/>
                <w:b/>
                <w:bCs/>
                <w:szCs w:val="26"/>
              </w:rPr>
            </w:pPr>
            <w:r>
              <w:rPr>
                <w:rFonts w:ascii="Rockwell" w:hAnsi="Rockwell"/>
                <w:b/>
                <w:bCs/>
                <w:szCs w:val="26"/>
              </w:rPr>
              <w:t>BURKINA24</w:t>
            </w:r>
          </w:p>
        </w:tc>
      </w:tr>
      <w:tr w:rsidR="00284822" w14:paraId="7560A9D6" w14:textId="77777777">
        <w:trPr>
          <w:jc w:val="center"/>
        </w:trPr>
        <w:tc>
          <w:tcPr>
            <w:tcW w:w="1129" w:type="dxa"/>
            <w:vMerge/>
            <w:shd w:val="clear" w:color="auto" w:fill="BDD6EE"/>
            <w:noWrap/>
            <w:tcMar>
              <w:top w:w="0" w:type="dxa"/>
              <w:left w:w="108" w:type="dxa"/>
              <w:bottom w:w="0" w:type="dxa"/>
              <w:right w:w="108" w:type="dxa"/>
            </w:tcMar>
            <w:vAlign w:val="center"/>
          </w:tcPr>
          <w:p w14:paraId="0D9A1F22" w14:textId="77777777" w:rsidR="00284822" w:rsidRDefault="00284822">
            <w:pPr>
              <w:spacing w:before="120" w:after="120"/>
              <w:rPr>
                <w:rFonts w:ascii="Rockwell" w:hAnsi="Rockwell"/>
                <w:b/>
                <w:bCs/>
                <w:szCs w:val="26"/>
              </w:rPr>
            </w:pPr>
          </w:p>
        </w:tc>
        <w:tc>
          <w:tcPr>
            <w:tcW w:w="2552" w:type="dxa"/>
            <w:shd w:val="clear" w:color="auto" w:fill="BDD6EE"/>
            <w:tcMar>
              <w:top w:w="0" w:type="dxa"/>
              <w:left w:w="108" w:type="dxa"/>
              <w:bottom w:w="0" w:type="dxa"/>
              <w:right w:w="108" w:type="dxa"/>
            </w:tcMar>
          </w:tcPr>
          <w:p w14:paraId="6CA916C5" w14:textId="23159585" w:rsidR="00284822" w:rsidRDefault="00746D14">
            <w:pPr>
              <w:spacing w:before="120" w:after="120"/>
              <w:jc w:val="center"/>
              <w:rPr>
                <w:rFonts w:ascii="Rockwell" w:hAnsi="Rockwell"/>
                <w:szCs w:val="26"/>
              </w:rPr>
            </w:pPr>
            <w:r>
              <w:rPr>
                <w:rFonts w:ascii="Rockwell" w:hAnsi="Rockwell"/>
                <w:b/>
                <w:bCs/>
              </w:rPr>
              <w:t>PARTIS</w:t>
            </w:r>
            <w:r w:rsidR="00F77BF8">
              <w:rPr>
                <w:rFonts w:ascii="Rockwell" w:hAnsi="Rockwell"/>
                <w:b/>
                <w:bCs/>
                <w:szCs w:val="26"/>
              </w:rPr>
              <w:t xml:space="preserve"> POLITIQUES</w:t>
            </w:r>
          </w:p>
        </w:tc>
        <w:tc>
          <w:tcPr>
            <w:tcW w:w="1701" w:type="dxa"/>
            <w:shd w:val="clear" w:color="auto" w:fill="BDD6EE"/>
            <w:tcMar>
              <w:top w:w="0" w:type="dxa"/>
              <w:left w:w="108" w:type="dxa"/>
              <w:bottom w:w="0" w:type="dxa"/>
              <w:right w:w="108" w:type="dxa"/>
            </w:tcMar>
          </w:tcPr>
          <w:p w14:paraId="2DDB75FC" w14:textId="77777777" w:rsidR="00284822" w:rsidRDefault="00F77BF8">
            <w:pPr>
              <w:spacing w:before="120" w:after="120"/>
              <w:jc w:val="center"/>
              <w:rPr>
                <w:rFonts w:ascii="Rockwell" w:hAnsi="Rockwell"/>
                <w:b/>
                <w:szCs w:val="26"/>
              </w:rPr>
            </w:pPr>
            <w:r>
              <w:rPr>
                <w:rFonts w:ascii="Rockwell" w:hAnsi="Rockwell"/>
                <w:b/>
                <w:szCs w:val="26"/>
              </w:rPr>
              <w:t>NA</w:t>
            </w:r>
          </w:p>
        </w:tc>
        <w:tc>
          <w:tcPr>
            <w:tcW w:w="1843" w:type="dxa"/>
            <w:shd w:val="clear" w:color="auto" w:fill="BDD6EE"/>
            <w:tcMar>
              <w:top w:w="0" w:type="dxa"/>
              <w:left w:w="108" w:type="dxa"/>
              <w:bottom w:w="0" w:type="dxa"/>
              <w:right w:w="108" w:type="dxa"/>
            </w:tcMar>
          </w:tcPr>
          <w:p w14:paraId="574A061C" w14:textId="77777777" w:rsidR="00284822" w:rsidRDefault="00F77BF8">
            <w:pPr>
              <w:spacing w:before="120" w:after="120"/>
              <w:jc w:val="center"/>
              <w:rPr>
                <w:rFonts w:ascii="Rockwell" w:hAnsi="Rockwell"/>
                <w:b/>
                <w:szCs w:val="26"/>
              </w:rPr>
            </w:pPr>
            <w:r>
              <w:rPr>
                <w:rFonts w:ascii="Rockwell" w:hAnsi="Rockwell"/>
                <w:b/>
                <w:szCs w:val="26"/>
              </w:rPr>
              <w:t>% NA</w:t>
            </w:r>
          </w:p>
        </w:tc>
        <w:tc>
          <w:tcPr>
            <w:tcW w:w="1417" w:type="dxa"/>
            <w:shd w:val="clear" w:color="auto" w:fill="BDD6EE"/>
            <w:tcMar>
              <w:top w:w="0" w:type="dxa"/>
              <w:left w:w="108" w:type="dxa"/>
              <w:bottom w:w="0" w:type="dxa"/>
              <w:right w:w="108" w:type="dxa"/>
            </w:tcMar>
          </w:tcPr>
          <w:p w14:paraId="4DD9378A" w14:textId="77777777" w:rsidR="00284822" w:rsidRDefault="00F77BF8">
            <w:pPr>
              <w:spacing w:before="120" w:after="120"/>
              <w:jc w:val="center"/>
              <w:rPr>
                <w:rFonts w:ascii="Rockwell" w:hAnsi="Rockwell"/>
                <w:b/>
                <w:szCs w:val="26"/>
              </w:rPr>
            </w:pPr>
            <w:r>
              <w:rPr>
                <w:rFonts w:ascii="Rockwell" w:hAnsi="Rockwell"/>
                <w:b/>
                <w:szCs w:val="26"/>
              </w:rPr>
              <w:t>NI</w:t>
            </w:r>
          </w:p>
        </w:tc>
        <w:tc>
          <w:tcPr>
            <w:tcW w:w="2126" w:type="dxa"/>
            <w:shd w:val="clear" w:color="auto" w:fill="BDD6EE"/>
            <w:tcMar>
              <w:top w:w="0" w:type="dxa"/>
              <w:left w:w="108" w:type="dxa"/>
              <w:bottom w:w="0" w:type="dxa"/>
              <w:right w:w="108" w:type="dxa"/>
            </w:tcMar>
          </w:tcPr>
          <w:p w14:paraId="21347B08" w14:textId="77777777" w:rsidR="00284822" w:rsidRDefault="00F77BF8">
            <w:pPr>
              <w:spacing w:before="120" w:after="120"/>
              <w:jc w:val="center"/>
              <w:rPr>
                <w:rFonts w:ascii="Rockwell" w:hAnsi="Rockwell"/>
                <w:b/>
                <w:szCs w:val="26"/>
              </w:rPr>
            </w:pPr>
            <w:r>
              <w:rPr>
                <w:rFonts w:ascii="Rockwell" w:hAnsi="Rockwell"/>
                <w:b/>
                <w:szCs w:val="26"/>
              </w:rPr>
              <w:t>% NI</w:t>
            </w:r>
          </w:p>
        </w:tc>
      </w:tr>
      <w:tr w:rsidR="00284822" w14:paraId="0013575D" w14:textId="77777777">
        <w:trPr>
          <w:trHeight w:val="475"/>
          <w:jc w:val="center"/>
        </w:trPr>
        <w:tc>
          <w:tcPr>
            <w:tcW w:w="1129" w:type="dxa"/>
            <w:shd w:val="clear" w:color="auto" w:fill="FFFFFF"/>
            <w:noWrap/>
            <w:tcMar>
              <w:top w:w="0" w:type="dxa"/>
              <w:left w:w="108" w:type="dxa"/>
              <w:bottom w:w="0" w:type="dxa"/>
              <w:right w:w="108" w:type="dxa"/>
            </w:tcMar>
          </w:tcPr>
          <w:p w14:paraId="18605EF8" w14:textId="77777777" w:rsidR="00284822" w:rsidRDefault="00F77BF8">
            <w:pPr>
              <w:spacing w:before="120" w:after="120"/>
              <w:rPr>
                <w:rFonts w:ascii="Rockwell" w:hAnsi="Rockwell"/>
                <w:szCs w:val="26"/>
              </w:rPr>
            </w:pPr>
            <w:r>
              <w:rPr>
                <w:rFonts w:ascii="Rockwell" w:hAnsi="Rockwell"/>
                <w:b/>
                <w:bCs/>
                <w:szCs w:val="26"/>
              </w:rPr>
              <w:t>1</w:t>
            </w:r>
            <w:r>
              <w:rPr>
                <w:rFonts w:ascii="Rockwell" w:hAnsi="Rockwell"/>
                <w:b/>
                <w:bCs/>
                <w:szCs w:val="26"/>
                <w:vertAlign w:val="superscript"/>
              </w:rPr>
              <w:t>er</w:t>
            </w:r>
            <w:r>
              <w:rPr>
                <w:rFonts w:ascii="Rockwell" w:hAnsi="Rockwell"/>
                <w:b/>
                <w:bCs/>
                <w:szCs w:val="26"/>
              </w:rPr>
              <w:t xml:space="preserve"> </w:t>
            </w:r>
          </w:p>
        </w:tc>
        <w:tc>
          <w:tcPr>
            <w:tcW w:w="2552" w:type="dxa"/>
            <w:shd w:val="clear" w:color="auto" w:fill="auto"/>
            <w:tcMar>
              <w:top w:w="0" w:type="dxa"/>
              <w:left w:w="108" w:type="dxa"/>
              <w:bottom w:w="0" w:type="dxa"/>
              <w:right w:w="108" w:type="dxa"/>
            </w:tcMar>
          </w:tcPr>
          <w:p w14:paraId="44281D0C" w14:textId="77777777" w:rsidR="00284822" w:rsidRDefault="00F77BF8">
            <w:pPr>
              <w:spacing w:before="120" w:after="120"/>
              <w:jc w:val="center"/>
              <w:rPr>
                <w:rFonts w:ascii="Rockwell" w:hAnsi="Rockwell"/>
                <w:b/>
                <w:szCs w:val="26"/>
              </w:rPr>
            </w:pPr>
            <w:r>
              <w:rPr>
                <w:rFonts w:ascii="Rockwell" w:hAnsi="Rockwell"/>
                <w:b/>
                <w:szCs w:val="26"/>
              </w:rPr>
              <w:t>CDP</w:t>
            </w:r>
          </w:p>
        </w:tc>
        <w:tc>
          <w:tcPr>
            <w:tcW w:w="1701" w:type="dxa"/>
            <w:shd w:val="clear" w:color="auto" w:fill="auto"/>
            <w:tcMar>
              <w:top w:w="0" w:type="dxa"/>
              <w:left w:w="108" w:type="dxa"/>
              <w:bottom w:w="0" w:type="dxa"/>
              <w:right w:w="108" w:type="dxa"/>
            </w:tcMar>
          </w:tcPr>
          <w:p w14:paraId="51EF1DBD" w14:textId="77777777" w:rsidR="00284822" w:rsidRDefault="00F77BF8">
            <w:pPr>
              <w:spacing w:before="120" w:after="120"/>
              <w:jc w:val="center"/>
              <w:rPr>
                <w:rFonts w:ascii="Rockwell" w:hAnsi="Rockwell"/>
                <w:szCs w:val="26"/>
              </w:rPr>
            </w:pPr>
            <w:r>
              <w:rPr>
                <w:rFonts w:ascii="Rockwell" w:hAnsi="Rockwell"/>
                <w:szCs w:val="26"/>
              </w:rPr>
              <w:t>18</w:t>
            </w:r>
          </w:p>
        </w:tc>
        <w:tc>
          <w:tcPr>
            <w:tcW w:w="1843" w:type="dxa"/>
            <w:shd w:val="clear" w:color="auto" w:fill="auto"/>
            <w:tcMar>
              <w:top w:w="0" w:type="dxa"/>
              <w:left w:w="108" w:type="dxa"/>
              <w:bottom w:w="0" w:type="dxa"/>
              <w:right w:w="108" w:type="dxa"/>
            </w:tcMar>
          </w:tcPr>
          <w:p w14:paraId="5D54C755" w14:textId="77777777" w:rsidR="00284822" w:rsidRDefault="00F77BF8">
            <w:pPr>
              <w:spacing w:before="120" w:after="120"/>
              <w:jc w:val="center"/>
              <w:rPr>
                <w:rFonts w:ascii="Rockwell" w:hAnsi="Rockwell"/>
                <w:szCs w:val="26"/>
              </w:rPr>
            </w:pPr>
            <w:r>
              <w:rPr>
                <w:rFonts w:ascii="Rockwell" w:hAnsi="Rockwell"/>
                <w:szCs w:val="26"/>
              </w:rPr>
              <w:t>24,66%</w:t>
            </w:r>
          </w:p>
        </w:tc>
        <w:tc>
          <w:tcPr>
            <w:tcW w:w="1417" w:type="dxa"/>
            <w:shd w:val="clear" w:color="auto" w:fill="auto"/>
            <w:tcMar>
              <w:top w:w="0" w:type="dxa"/>
              <w:left w:w="108" w:type="dxa"/>
              <w:bottom w:w="0" w:type="dxa"/>
              <w:right w:w="108" w:type="dxa"/>
            </w:tcMar>
          </w:tcPr>
          <w:p w14:paraId="186FE265" w14:textId="77777777" w:rsidR="00284822" w:rsidRDefault="00F77BF8">
            <w:pPr>
              <w:spacing w:before="120" w:after="120"/>
              <w:jc w:val="center"/>
              <w:rPr>
                <w:rFonts w:ascii="Rockwell" w:hAnsi="Rockwell"/>
                <w:szCs w:val="26"/>
              </w:rPr>
            </w:pPr>
            <w:r>
              <w:rPr>
                <w:rFonts w:ascii="Rockwell" w:hAnsi="Rockwell"/>
                <w:szCs w:val="26"/>
              </w:rPr>
              <w:t>41</w:t>
            </w:r>
          </w:p>
        </w:tc>
        <w:tc>
          <w:tcPr>
            <w:tcW w:w="2126" w:type="dxa"/>
            <w:shd w:val="clear" w:color="auto" w:fill="auto"/>
            <w:tcMar>
              <w:top w:w="0" w:type="dxa"/>
              <w:left w:w="108" w:type="dxa"/>
              <w:bottom w:w="0" w:type="dxa"/>
              <w:right w:w="108" w:type="dxa"/>
            </w:tcMar>
          </w:tcPr>
          <w:p w14:paraId="174D005B" w14:textId="77777777" w:rsidR="00284822" w:rsidRDefault="00F77BF8">
            <w:pPr>
              <w:spacing w:before="120" w:after="120"/>
              <w:jc w:val="center"/>
              <w:rPr>
                <w:rFonts w:ascii="Rockwell" w:hAnsi="Rockwell"/>
                <w:szCs w:val="26"/>
              </w:rPr>
            </w:pPr>
            <w:r>
              <w:rPr>
                <w:rFonts w:ascii="Rockwell" w:hAnsi="Rockwell"/>
                <w:szCs w:val="26"/>
              </w:rPr>
              <w:t>27,70%</w:t>
            </w:r>
          </w:p>
        </w:tc>
      </w:tr>
      <w:tr w:rsidR="00284822" w14:paraId="20F94BBA" w14:textId="77777777">
        <w:trPr>
          <w:trHeight w:val="505"/>
          <w:jc w:val="center"/>
        </w:trPr>
        <w:tc>
          <w:tcPr>
            <w:tcW w:w="1129" w:type="dxa"/>
            <w:shd w:val="clear" w:color="auto" w:fill="FFFFFF"/>
            <w:noWrap/>
            <w:tcMar>
              <w:top w:w="0" w:type="dxa"/>
              <w:left w:w="108" w:type="dxa"/>
              <w:bottom w:w="0" w:type="dxa"/>
              <w:right w:w="108" w:type="dxa"/>
            </w:tcMar>
          </w:tcPr>
          <w:p w14:paraId="010B3606" w14:textId="77777777" w:rsidR="00284822" w:rsidRDefault="00F77BF8">
            <w:pPr>
              <w:spacing w:before="120" w:after="120"/>
              <w:rPr>
                <w:rFonts w:ascii="Rockwell" w:hAnsi="Rockwell"/>
                <w:szCs w:val="26"/>
              </w:rPr>
            </w:pPr>
            <w:r>
              <w:rPr>
                <w:rFonts w:ascii="Rockwell" w:hAnsi="Rockwell"/>
                <w:b/>
                <w:bCs/>
                <w:szCs w:val="26"/>
              </w:rPr>
              <w:t>2</w:t>
            </w:r>
            <w:r>
              <w:rPr>
                <w:rFonts w:ascii="Rockwell" w:hAnsi="Rockwell"/>
                <w:b/>
                <w:bCs/>
                <w:szCs w:val="26"/>
                <w:vertAlign w:val="superscript"/>
              </w:rPr>
              <w:t>e</w:t>
            </w:r>
            <w:r>
              <w:rPr>
                <w:rFonts w:ascii="Rockwell" w:hAnsi="Rockwell"/>
                <w:b/>
                <w:bCs/>
                <w:szCs w:val="26"/>
              </w:rPr>
              <w:t xml:space="preserve"> </w:t>
            </w:r>
          </w:p>
        </w:tc>
        <w:tc>
          <w:tcPr>
            <w:tcW w:w="2552" w:type="dxa"/>
            <w:shd w:val="clear" w:color="auto" w:fill="auto"/>
            <w:tcMar>
              <w:top w:w="0" w:type="dxa"/>
              <w:left w:w="108" w:type="dxa"/>
              <w:bottom w:w="0" w:type="dxa"/>
              <w:right w:w="108" w:type="dxa"/>
            </w:tcMar>
          </w:tcPr>
          <w:p w14:paraId="2624303E" w14:textId="77777777" w:rsidR="00284822" w:rsidRDefault="00F77BF8">
            <w:pPr>
              <w:spacing w:before="120" w:after="120"/>
              <w:jc w:val="center"/>
              <w:rPr>
                <w:rFonts w:ascii="Rockwell" w:hAnsi="Rockwell"/>
                <w:b/>
                <w:szCs w:val="26"/>
              </w:rPr>
            </w:pPr>
            <w:r>
              <w:rPr>
                <w:rFonts w:ascii="Rockwell" w:hAnsi="Rockwell"/>
                <w:b/>
                <w:szCs w:val="26"/>
              </w:rPr>
              <w:t>UPC</w:t>
            </w:r>
          </w:p>
        </w:tc>
        <w:tc>
          <w:tcPr>
            <w:tcW w:w="1701" w:type="dxa"/>
            <w:shd w:val="clear" w:color="auto" w:fill="auto"/>
            <w:tcMar>
              <w:top w:w="0" w:type="dxa"/>
              <w:left w:w="108" w:type="dxa"/>
              <w:bottom w:w="0" w:type="dxa"/>
              <w:right w:w="108" w:type="dxa"/>
            </w:tcMar>
          </w:tcPr>
          <w:p w14:paraId="555B7429" w14:textId="77777777" w:rsidR="00284822" w:rsidRDefault="00F77BF8">
            <w:pPr>
              <w:spacing w:before="120" w:after="120"/>
              <w:jc w:val="center"/>
              <w:rPr>
                <w:rFonts w:ascii="Rockwell" w:hAnsi="Rockwell"/>
                <w:szCs w:val="26"/>
              </w:rPr>
            </w:pPr>
            <w:r>
              <w:rPr>
                <w:rFonts w:ascii="Rockwell" w:hAnsi="Rockwell"/>
                <w:szCs w:val="26"/>
              </w:rPr>
              <w:t>11</w:t>
            </w:r>
          </w:p>
        </w:tc>
        <w:tc>
          <w:tcPr>
            <w:tcW w:w="1843" w:type="dxa"/>
            <w:shd w:val="clear" w:color="auto" w:fill="auto"/>
            <w:tcMar>
              <w:top w:w="0" w:type="dxa"/>
              <w:left w:w="108" w:type="dxa"/>
              <w:bottom w:w="0" w:type="dxa"/>
              <w:right w:w="108" w:type="dxa"/>
            </w:tcMar>
          </w:tcPr>
          <w:p w14:paraId="3084298E" w14:textId="77777777" w:rsidR="00284822" w:rsidRDefault="00F77BF8">
            <w:pPr>
              <w:spacing w:before="120" w:after="120"/>
              <w:jc w:val="center"/>
              <w:rPr>
                <w:rFonts w:ascii="Rockwell" w:hAnsi="Rockwell"/>
                <w:szCs w:val="26"/>
              </w:rPr>
            </w:pPr>
            <w:r>
              <w:rPr>
                <w:rFonts w:ascii="Rockwell" w:hAnsi="Rockwell"/>
                <w:szCs w:val="26"/>
              </w:rPr>
              <w:t>15,07%</w:t>
            </w:r>
          </w:p>
        </w:tc>
        <w:tc>
          <w:tcPr>
            <w:tcW w:w="1417" w:type="dxa"/>
            <w:shd w:val="clear" w:color="auto" w:fill="auto"/>
            <w:tcMar>
              <w:top w:w="0" w:type="dxa"/>
              <w:left w:w="108" w:type="dxa"/>
              <w:bottom w:w="0" w:type="dxa"/>
              <w:right w:w="108" w:type="dxa"/>
            </w:tcMar>
          </w:tcPr>
          <w:p w14:paraId="593AEC33" w14:textId="77777777" w:rsidR="00284822" w:rsidRDefault="00F77BF8">
            <w:pPr>
              <w:spacing w:before="120" w:after="120"/>
              <w:jc w:val="center"/>
              <w:rPr>
                <w:rFonts w:ascii="Rockwell" w:hAnsi="Rockwell"/>
                <w:szCs w:val="26"/>
              </w:rPr>
            </w:pPr>
            <w:r>
              <w:rPr>
                <w:rFonts w:ascii="Rockwell" w:hAnsi="Rockwell"/>
                <w:szCs w:val="26"/>
              </w:rPr>
              <w:t>26</w:t>
            </w:r>
          </w:p>
        </w:tc>
        <w:tc>
          <w:tcPr>
            <w:tcW w:w="2126" w:type="dxa"/>
            <w:shd w:val="clear" w:color="auto" w:fill="auto"/>
            <w:tcMar>
              <w:top w:w="0" w:type="dxa"/>
              <w:left w:w="108" w:type="dxa"/>
              <w:bottom w:w="0" w:type="dxa"/>
              <w:right w:w="108" w:type="dxa"/>
            </w:tcMar>
          </w:tcPr>
          <w:p w14:paraId="44844289" w14:textId="77777777" w:rsidR="00284822" w:rsidRDefault="00F77BF8">
            <w:pPr>
              <w:spacing w:before="120" w:after="120"/>
              <w:jc w:val="center"/>
              <w:rPr>
                <w:rFonts w:ascii="Rockwell" w:hAnsi="Rockwell"/>
                <w:szCs w:val="26"/>
              </w:rPr>
            </w:pPr>
            <w:r>
              <w:rPr>
                <w:rFonts w:ascii="Rockwell" w:hAnsi="Rockwell"/>
                <w:szCs w:val="26"/>
              </w:rPr>
              <w:t>17,57%</w:t>
            </w:r>
          </w:p>
        </w:tc>
      </w:tr>
      <w:tr w:rsidR="00284822" w14:paraId="22AEA195" w14:textId="77777777">
        <w:trPr>
          <w:trHeight w:val="567"/>
          <w:jc w:val="center"/>
        </w:trPr>
        <w:tc>
          <w:tcPr>
            <w:tcW w:w="1129" w:type="dxa"/>
            <w:shd w:val="clear" w:color="auto" w:fill="FFFFFF"/>
            <w:noWrap/>
            <w:tcMar>
              <w:top w:w="0" w:type="dxa"/>
              <w:left w:w="108" w:type="dxa"/>
              <w:bottom w:w="0" w:type="dxa"/>
              <w:right w:w="108" w:type="dxa"/>
            </w:tcMar>
          </w:tcPr>
          <w:p w14:paraId="16DADCC3" w14:textId="77777777" w:rsidR="00284822" w:rsidRDefault="00F77BF8">
            <w:pPr>
              <w:spacing w:before="120" w:after="120"/>
              <w:rPr>
                <w:rFonts w:ascii="Rockwell" w:hAnsi="Rockwell"/>
                <w:szCs w:val="26"/>
              </w:rPr>
            </w:pPr>
            <w:r>
              <w:rPr>
                <w:rFonts w:ascii="Rockwell" w:hAnsi="Rockwell"/>
                <w:b/>
                <w:bCs/>
                <w:szCs w:val="26"/>
              </w:rPr>
              <w:t>3</w:t>
            </w:r>
            <w:r>
              <w:rPr>
                <w:rFonts w:ascii="Rockwell" w:hAnsi="Rockwell"/>
                <w:b/>
                <w:bCs/>
                <w:szCs w:val="26"/>
                <w:vertAlign w:val="superscript"/>
              </w:rPr>
              <w:t>e</w:t>
            </w:r>
            <w:r>
              <w:rPr>
                <w:rFonts w:ascii="Rockwell" w:hAnsi="Rockwell"/>
                <w:b/>
                <w:bCs/>
                <w:szCs w:val="26"/>
              </w:rPr>
              <w:t xml:space="preserve"> </w:t>
            </w:r>
          </w:p>
        </w:tc>
        <w:tc>
          <w:tcPr>
            <w:tcW w:w="2552" w:type="dxa"/>
            <w:shd w:val="clear" w:color="auto" w:fill="auto"/>
            <w:tcMar>
              <w:top w:w="0" w:type="dxa"/>
              <w:left w:w="108" w:type="dxa"/>
              <w:bottom w:w="0" w:type="dxa"/>
              <w:right w:w="108" w:type="dxa"/>
            </w:tcMar>
          </w:tcPr>
          <w:p w14:paraId="6553F589" w14:textId="77777777" w:rsidR="00284822" w:rsidRDefault="00F77BF8">
            <w:pPr>
              <w:spacing w:before="120" w:after="120"/>
              <w:jc w:val="center"/>
              <w:rPr>
                <w:rFonts w:ascii="Rockwell" w:hAnsi="Rockwell"/>
                <w:b/>
                <w:szCs w:val="26"/>
              </w:rPr>
            </w:pPr>
            <w:r>
              <w:rPr>
                <w:rFonts w:ascii="Rockwell" w:hAnsi="Rockwell"/>
                <w:b/>
                <w:szCs w:val="26"/>
              </w:rPr>
              <w:t>MPP</w:t>
            </w:r>
          </w:p>
        </w:tc>
        <w:tc>
          <w:tcPr>
            <w:tcW w:w="1701" w:type="dxa"/>
            <w:shd w:val="clear" w:color="auto" w:fill="auto"/>
            <w:tcMar>
              <w:top w:w="0" w:type="dxa"/>
              <w:left w:w="108" w:type="dxa"/>
              <w:bottom w:w="0" w:type="dxa"/>
              <w:right w:w="108" w:type="dxa"/>
            </w:tcMar>
          </w:tcPr>
          <w:p w14:paraId="60FF7AA9" w14:textId="77777777" w:rsidR="00284822" w:rsidRDefault="00F77BF8">
            <w:pPr>
              <w:spacing w:before="120" w:after="120"/>
              <w:jc w:val="center"/>
              <w:rPr>
                <w:rFonts w:ascii="Rockwell" w:hAnsi="Rockwell"/>
                <w:szCs w:val="26"/>
              </w:rPr>
            </w:pPr>
            <w:r>
              <w:rPr>
                <w:rFonts w:ascii="Rockwell" w:hAnsi="Rockwell"/>
                <w:szCs w:val="26"/>
              </w:rPr>
              <w:t>10</w:t>
            </w:r>
          </w:p>
        </w:tc>
        <w:tc>
          <w:tcPr>
            <w:tcW w:w="1843" w:type="dxa"/>
            <w:shd w:val="clear" w:color="auto" w:fill="auto"/>
            <w:tcMar>
              <w:top w:w="0" w:type="dxa"/>
              <w:left w:w="108" w:type="dxa"/>
              <w:bottom w:w="0" w:type="dxa"/>
              <w:right w:w="108" w:type="dxa"/>
            </w:tcMar>
          </w:tcPr>
          <w:p w14:paraId="441182D5" w14:textId="77777777" w:rsidR="00284822" w:rsidRDefault="00F77BF8">
            <w:pPr>
              <w:spacing w:before="120" w:after="120"/>
              <w:jc w:val="center"/>
              <w:rPr>
                <w:rFonts w:ascii="Rockwell" w:hAnsi="Rockwell"/>
                <w:szCs w:val="26"/>
              </w:rPr>
            </w:pPr>
            <w:r>
              <w:rPr>
                <w:rFonts w:ascii="Rockwell" w:hAnsi="Rockwell"/>
                <w:szCs w:val="26"/>
              </w:rPr>
              <w:t>13,70%</w:t>
            </w:r>
          </w:p>
        </w:tc>
        <w:tc>
          <w:tcPr>
            <w:tcW w:w="1417" w:type="dxa"/>
            <w:shd w:val="clear" w:color="auto" w:fill="auto"/>
            <w:tcMar>
              <w:top w:w="0" w:type="dxa"/>
              <w:left w:w="108" w:type="dxa"/>
              <w:bottom w:w="0" w:type="dxa"/>
              <w:right w:w="108" w:type="dxa"/>
            </w:tcMar>
          </w:tcPr>
          <w:p w14:paraId="6ED4EC42" w14:textId="77777777" w:rsidR="00284822" w:rsidRDefault="00F77BF8">
            <w:pPr>
              <w:spacing w:before="120" w:after="120"/>
              <w:jc w:val="center"/>
              <w:rPr>
                <w:rFonts w:ascii="Rockwell" w:hAnsi="Rockwell"/>
                <w:szCs w:val="26"/>
              </w:rPr>
            </w:pPr>
            <w:r>
              <w:rPr>
                <w:rFonts w:ascii="Rockwell" w:hAnsi="Rockwell"/>
                <w:szCs w:val="26"/>
              </w:rPr>
              <w:t>17</w:t>
            </w:r>
          </w:p>
        </w:tc>
        <w:tc>
          <w:tcPr>
            <w:tcW w:w="2126" w:type="dxa"/>
            <w:shd w:val="clear" w:color="auto" w:fill="auto"/>
            <w:tcMar>
              <w:top w:w="0" w:type="dxa"/>
              <w:left w:w="108" w:type="dxa"/>
              <w:bottom w:w="0" w:type="dxa"/>
              <w:right w:w="108" w:type="dxa"/>
            </w:tcMar>
          </w:tcPr>
          <w:p w14:paraId="797899BB" w14:textId="77777777" w:rsidR="00284822" w:rsidRDefault="00F77BF8">
            <w:pPr>
              <w:spacing w:before="120" w:after="120"/>
              <w:jc w:val="center"/>
              <w:rPr>
                <w:rFonts w:ascii="Rockwell" w:hAnsi="Rockwell"/>
                <w:szCs w:val="26"/>
              </w:rPr>
            </w:pPr>
            <w:r>
              <w:rPr>
                <w:rFonts w:ascii="Rockwell" w:hAnsi="Rockwell"/>
                <w:szCs w:val="26"/>
              </w:rPr>
              <w:t>11,49%</w:t>
            </w:r>
          </w:p>
        </w:tc>
      </w:tr>
      <w:tr w:rsidR="00284822" w14:paraId="648E45E9" w14:textId="77777777">
        <w:trPr>
          <w:trHeight w:val="549"/>
          <w:jc w:val="center"/>
        </w:trPr>
        <w:tc>
          <w:tcPr>
            <w:tcW w:w="1129" w:type="dxa"/>
            <w:shd w:val="clear" w:color="auto" w:fill="FFFFFF"/>
            <w:noWrap/>
            <w:tcMar>
              <w:top w:w="0" w:type="dxa"/>
              <w:left w:w="108" w:type="dxa"/>
              <w:bottom w:w="0" w:type="dxa"/>
              <w:right w:w="108" w:type="dxa"/>
            </w:tcMar>
          </w:tcPr>
          <w:p w14:paraId="20799458" w14:textId="77777777" w:rsidR="00284822" w:rsidRDefault="00F77BF8">
            <w:pPr>
              <w:spacing w:before="120" w:after="120"/>
              <w:rPr>
                <w:rFonts w:ascii="Rockwell" w:hAnsi="Rockwell"/>
                <w:szCs w:val="26"/>
              </w:rPr>
            </w:pPr>
            <w:r>
              <w:rPr>
                <w:rFonts w:ascii="Rockwell" w:hAnsi="Rockwell"/>
                <w:b/>
                <w:bCs/>
                <w:szCs w:val="26"/>
              </w:rPr>
              <w:t>4</w:t>
            </w:r>
            <w:r>
              <w:rPr>
                <w:rFonts w:ascii="Rockwell" w:hAnsi="Rockwell"/>
                <w:b/>
                <w:bCs/>
                <w:szCs w:val="26"/>
                <w:vertAlign w:val="superscript"/>
              </w:rPr>
              <w:t>e</w:t>
            </w:r>
            <w:r>
              <w:rPr>
                <w:rFonts w:ascii="Rockwell" w:hAnsi="Rockwell"/>
                <w:b/>
                <w:bCs/>
                <w:szCs w:val="26"/>
              </w:rPr>
              <w:t xml:space="preserve"> </w:t>
            </w:r>
          </w:p>
        </w:tc>
        <w:tc>
          <w:tcPr>
            <w:tcW w:w="2552" w:type="dxa"/>
            <w:shd w:val="clear" w:color="auto" w:fill="auto"/>
            <w:tcMar>
              <w:top w:w="0" w:type="dxa"/>
              <w:left w:w="108" w:type="dxa"/>
              <w:bottom w:w="0" w:type="dxa"/>
              <w:right w:w="108" w:type="dxa"/>
            </w:tcMar>
          </w:tcPr>
          <w:p w14:paraId="733CA4D2" w14:textId="77777777" w:rsidR="00284822" w:rsidRDefault="00F77BF8">
            <w:pPr>
              <w:spacing w:before="120" w:after="120"/>
              <w:jc w:val="center"/>
              <w:rPr>
                <w:rFonts w:ascii="Rockwell" w:hAnsi="Rockwell"/>
                <w:b/>
                <w:szCs w:val="26"/>
              </w:rPr>
            </w:pPr>
            <w:r>
              <w:rPr>
                <w:rFonts w:ascii="Rockwell" w:hAnsi="Rockwell"/>
                <w:b/>
                <w:szCs w:val="26"/>
              </w:rPr>
              <w:t>PPS</w:t>
            </w:r>
          </w:p>
        </w:tc>
        <w:tc>
          <w:tcPr>
            <w:tcW w:w="1701" w:type="dxa"/>
            <w:shd w:val="clear" w:color="auto" w:fill="auto"/>
            <w:tcMar>
              <w:top w:w="0" w:type="dxa"/>
              <w:left w:w="108" w:type="dxa"/>
              <w:bottom w:w="0" w:type="dxa"/>
              <w:right w:w="108" w:type="dxa"/>
            </w:tcMar>
          </w:tcPr>
          <w:p w14:paraId="788BF69C" w14:textId="77777777" w:rsidR="00284822" w:rsidRDefault="00F77BF8">
            <w:pPr>
              <w:spacing w:before="120" w:after="120"/>
              <w:jc w:val="center"/>
              <w:rPr>
                <w:rFonts w:ascii="Rockwell" w:hAnsi="Rockwell"/>
                <w:szCs w:val="26"/>
              </w:rPr>
            </w:pPr>
            <w:r>
              <w:rPr>
                <w:rFonts w:ascii="Rockwell" w:hAnsi="Rockwell"/>
                <w:szCs w:val="26"/>
              </w:rPr>
              <w:t>8</w:t>
            </w:r>
          </w:p>
        </w:tc>
        <w:tc>
          <w:tcPr>
            <w:tcW w:w="1843" w:type="dxa"/>
            <w:shd w:val="clear" w:color="auto" w:fill="auto"/>
            <w:tcMar>
              <w:top w:w="0" w:type="dxa"/>
              <w:left w:w="108" w:type="dxa"/>
              <w:bottom w:w="0" w:type="dxa"/>
              <w:right w:w="108" w:type="dxa"/>
            </w:tcMar>
          </w:tcPr>
          <w:p w14:paraId="2C80B549" w14:textId="77777777" w:rsidR="00284822" w:rsidRDefault="00F77BF8">
            <w:pPr>
              <w:spacing w:before="120" w:after="120"/>
              <w:jc w:val="center"/>
              <w:rPr>
                <w:rFonts w:ascii="Rockwell" w:hAnsi="Rockwell"/>
                <w:szCs w:val="26"/>
              </w:rPr>
            </w:pPr>
            <w:r>
              <w:rPr>
                <w:rFonts w:ascii="Rockwell" w:hAnsi="Rockwell"/>
                <w:szCs w:val="26"/>
              </w:rPr>
              <w:t>10,96%</w:t>
            </w:r>
          </w:p>
        </w:tc>
        <w:tc>
          <w:tcPr>
            <w:tcW w:w="1417" w:type="dxa"/>
            <w:shd w:val="clear" w:color="auto" w:fill="auto"/>
            <w:tcMar>
              <w:top w:w="0" w:type="dxa"/>
              <w:left w:w="108" w:type="dxa"/>
              <w:bottom w:w="0" w:type="dxa"/>
              <w:right w:w="108" w:type="dxa"/>
            </w:tcMar>
          </w:tcPr>
          <w:p w14:paraId="60B779AC" w14:textId="77777777" w:rsidR="00284822" w:rsidRDefault="00F77BF8">
            <w:pPr>
              <w:spacing w:before="120" w:after="120"/>
              <w:jc w:val="center"/>
              <w:rPr>
                <w:rFonts w:ascii="Rockwell" w:hAnsi="Rockwell"/>
                <w:szCs w:val="26"/>
              </w:rPr>
            </w:pPr>
            <w:r>
              <w:rPr>
                <w:rFonts w:ascii="Rockwell" w:hAnsi="Rockwell"/>
                <w:szCs w:val="26"/>
              </w:rPr>
              <w:t>15</w:t>
            </w:r>
          </w:p>
        </w:tc>
        <w:tc>
          <w:tcPr>
            <w:tcW w:w="2126" w:type="dxa"/>
            <w:shd w:val="clear" w:color="auto" w:fill="auto"/>
            <w:tcMar>
              <w:top w:w="0" w:type="dxa"/>
              <w:left w:w="108" w:type="dxa"/>
              <w:bottom w:w="0" w:type="dxa"/>
              <w:right w:w="108" w:type="dxa"/>
            </w:tcMar>
          </w:tcPr>
          <w:p w14:paraId="79C3B89D" w14:textId="77777777" w:rsidR="00284822" w:rsidRDefault="00F77BF8">
            <w:pPr>
              <w:spacing w:before="120" w:after="120"/>
              <w:jc w:val="center"/>
              <w:rPr>
                <w:rFonts w:ascii="Rockwell" w:hAnsi="Rockwell"/>
                <w:szCs w:val="26"/>
              </w:rPr>
            </w:pPr>
            <w:r>
              <w:rPr>
                <w:rFonts w:ascii="Rockwell" w:hAnsi="Rockwell"/>
                <w:szCs w:val="26"/>
              </w:rPr>
              <w:t>10,14%</w:t>
            </w:r>
          </w:p>
        </w:tc>
      </w:tr>
      <w:tr w:rsidR="00284822" w14:paraId="29712B57" w14:textId="77777777">
        <w:trPr>
          <w:trHeight w:val="557"/>
          <w:jc w:val="center"/>
        </w:trPr>
        <w:tc>
          <w:tcPr>
            <w:tcW w:w="1129" w:type="dxa"/>
            <w:shd w:val="clear" w:color="auto" w:fill="FFFFFF"/>
            <w:noWrap/>
            <w:tcMar>
              <w:top w:w="0" w:type="dxa"/>
              <w:left w:w="108" w:type="dxa"/>
              <w:bottom w:w="0" w:type="dxa"/>
              <w:right w:w="108" w:type="dxa"/>
            </w:tcMar>
          </w:tcPr>
          <w:p w14:paraId="411CE49F" w14:textId="77777777" w:rsidR="00284822" w:rsidRDefault="00F77BF8">
            <w:pPr>
              <w:spacing w:before="120" w:after="120"/>
              <w:rPr>
                <w:rFonts w:ascii="Rockwell" w:hAnsi="Rockwell"/>
                <w:szCs w:val="26"/>
              </w:rPr>
            </w:pPr>
            <w:r>
              <w:rPr>
                <w:rFonts w:ascii="Rockwell" w:hAnsi="Rockwell"/>
                <w:b/>
                <w:bCs/>
                <w:szCs w:val="26"/>
              </w:rPr>
              <w:t>5</w:t>
            </w:r>
            <w:r>
              <w:rPr>
                <w:rFonts w:ascii="Rockwell" w:hAnsi="Rockwell"/>
                <w:b/>
                <w:bCs/>
                <w:szCs w:val="26"/>
                <w:vertAlign w:val="superscript"/>
              </w:rPr>
              <w:t>e</w:t>
            </w:r>
            <w:r>
              <w:rPr>
                <w:rFonts w:ascii="Rockwell" w:hAnsi="Rockwell"/>
                <w:b/>
                <w:bCs/>
                <w:szCs w:val="26"/>
              </w:rPr>
              <w:t xml:space="preserve"> </w:t>
            </w:r>
          </w:p>
        </w:tc>
        <w:tc>
          <w:tcPr>
            <w:tcW w:w="2552" w:type="dxa"/>
            <w:shd w:val="clear" w:color="auto" w:fill="auto"/>
            <w:tcMar>
              <w:top w:w="0" w:type="dxa"/>
              <w:left w:w="108" w:type="dxa"/>
              <w:bottom w:w="0" w:type="dxa"/>
              <w:right w:w="108" w:type="dxa"/>
            </w:tcMar>
          </w:tcPr>
          <w:p w14:paraId="0C7B6D99" w14:textId="77777777" w:rsidR="00284822" w:rsidRDefault="00F77BF8">
            <w:pPr>
              <w:spacing w:before="120" w:after="120"/>
              <w:jc w:val="center"/>
              <w:rPr>
                <w:rFonts w:ascii="Rockwell" w:hAnsi="Rockwell"/>
                <w:b/>
                <w:szCs w:val="26"/>
              </w:rPr>
            </w:pPr>
            <w:r>
              <w:rPr>
                <w:rFonts w:ascii="Rockwell" w:hAnsi="Rockwell"/>
                <w:b/>
                <w:szCs w:val="26"/>
              </w:rPr>
              <w:t>UNIR/MPS</w:t>
            </w:r>
          </w:p>
        </w:tc>
        <w:tc>
          <w:tcPr>
            <w:tcW w:w="1701" w:type="dxa"/>
            <w:shd w:val="clear" w:color="auto" w:fill="auto"/>
            <w:tcMar>
              <w:top w:w="0" w:type="dxa"/>
              <w:left w:w="108" w:type="dxa"/>
              <w:bottom w:w="0" w:type="dxa"/>
              <w:right w:w="108" w:type="dxa"/>
            </w:tcMar>
          </w:tcPr>
          <w:p w14:paraId="76284525" w14:textId="77777777" w:rsidR="00284822" w:rsidRDefault="00F77BF8">
            <w:pPr>
              <w:spacing w:before="120" w:after="120"/>
              <w:jc w:val="center"/>
              <w:rPr>
                <w:rFonts w:ascii="Rockwell" w:hAnsi="Rockwell"/>
                <w:szCs w:val="26"/>
              </w:rPr>
            </w:pPr>
            <w:r>
              <w:rPr>
                <w:rFonts w:ascii="Rockwell" w:hAnsi="Rockwell"/>
                <w:szCs w:val="26"/>
              </w:rPr>
              <w:t>5</w:t>
            </w:r>
          </w:p>
        </w:tc>
        <w:tc>
          <w:tcPr>
            <w:tcW w:w="1843" w:type="dxa"/>
            <w:shd w:val="clear" w:color="auto" w:fill="auto"/>
            <w:tcMar>
              <w:top w:w="0" w:type="dxa"/>
              <w:left w:w="108" w:type="dxa"/>
              <w:bottom w:w="0" w:type="dxa"/>
              <w:right w:w="108" w:type="dxa"/>
            </w:tcMar>
          </w:tcPr>
          <w:p w14:paraId="01F18FFC" w14:textId="77777777" w:rsidR="00284822" w:rsidRDefault="00F77BF8">
            <w:pPr>
              <w:spacing w:before="120" w:after="120"/>
              <w:jc w:val="center"/>
              <w:rPr>
                <w:rFonts w:ascii="Rockwell" w:hAnsi="Rockwell"/>
                <w:szCs w:val="26"/>
              </w:rPr>
            </w:pPr>
            <w:r>
              <w:rPr>
                <w:rFonts w:ascii="Rockwell" w:hAnsi="Rockwell"/>
                <w:szCs w:val="26"/>
              </w:rPr>
              <w:t>6,85%</w:t>
            </w:r>
          </w:p>
        </w:tc>
        <w:tc>
          <w:tcPr>
            <w:tcW w:w="1417" w:type="dxa"/>
            <w:shd w:val="clear" w:color="auto" w:fill="auto"/>
            <w:tcMar>
              <w:top w:w="0" w:type="dxa"/>
              <w:left w:w="108" w:type="dxa"/>
              <w:bottom w:w="0" w:type="dxa"/>
              <w:right w:w="108" w:type="dxa"/>
            </w:tcMar>
          </w:tcPr>
          <w:p w14:paraId="2B2D6D9F" w14:textId="77777777" w:rsidR="00284822" w:rsidRDefault="00F77BF8">
            <w:pPr>
              <w:spacing w:before="120" w:after="120"/>
              <w:jc w:val="center"/>
              <w:rPr>
                <w:rFonts w:ascii="Rockwell" w:hAnsi="Rockwell"/>
                <w:szCs w:val="26"/>
              </w:rPr>
            </w:pPr>
            <w:r>
              <w:rPr>
                <w:rFonts w:ascii="Rockwell" w:hAnsi="Rockwell"/>
                <w:szCs w:val="26"/>
              </w:rPr>
              <w:t>7</w:t>
            </w:r>
          </w:p>
        </w:tc>
        <w:tc>
          <w:tcPr>
            <w:tcW w:w="2126" w:type="dxa"/>
            <w:shd w:val="clear" w:color="auto" w:fill="auto"/>
            <w:tcMar>
              <w:top w:w="0" w:type="dxa"/>
              <w:left w:w="108" w:type="dxa"/>
              <w:bottom w:w="0" w:type="dxa"/>
              <w:right w:w="108" w:type="dxa"/>
            </w:tcMar>
          </w:tcPr>
          <w:p w14:paraId="08D333A6" w14:textId="77777777" w:rsidR="00284822" w:rsidRDefault="00F77BF8">
            <w:pPr>
              <w:spacing w:before="120" w:after="120"/>
              <w:jc w:val="center"/>
              <w:rPr>
                <w:rFonts w:ascii="Rockwell" w:hAnsi="Rockwell"/>
                <w:szCs w:val="26"/>
              </w:rPr>
            </w:pPr>
            <w:r>
              <w:rPr>
                <w:rFonts w:ascii="Rockwell" w:hAnsi="Rockwell"/>
                <w:szCs w:val="26"/>
              </w:rPr>
              <w:t>4,73%</w:t>
            </w:r>
          </w:p>
        </w:tc>
      </w:tr>
      <w:tr w:rsidR="00284822" w14:paraId="70915EC2" w14:textId="77777777">
        <w:trPr>
          <w:trHeight w:val="409"/>
          <w:jc w:val="center"/>
        </w:trPr>
        <w:tc>
          <w:tcPr>
            <w:tcW w:w="1129" w:type="dxa"/>
            <w:shd w:val="clear" w:color="auto" w:fill="FFFFFF"/>
            <w:noWrap/>
            <w:tcMar>
              <w:top w:w="0" w:type="dxa"/>
              <w:left w:w="108" w:type="dxa"/>
              <w:bottom w:w="0" w:type="dxa"/>
              <w:right w:w="108" w:type="dxa"/>
            </w:tcMar>
          </w:tcPr>
          <w:p w14:paraId="75987FBE" w14:textId="77777777" w:rsidR="00284822" w:rsidRDefault="00F77BF8">
            <w:pPr>
              <w:spacing w:before="120" w:after="120"/>
              <w:rPr>
                <w:rFonts w:ascii="Rockwell" w:hAnsi="Rockwell"/>
                <w:szCs w:val="26"/>
              </w:rPr>
            </w:pPr>
            <w:r>
              <w:rPr>
                <w:rFonts w:ascii="Rockwell" w:hAnsi="Rockwell"/>
                <w:b/>
                <w:bCs/>
                <w:szCs w:val="26"/>
              </w:rPr>
              <w:lastRenderedPageBreak/>
              <w:t>6</w:t>
            </w:r>
            <w:r>
              <w:rPr>
                <w:rFonts w:ascii="Rockwell" w:hAnsi="Rockwell"/>
                <w:b/>
                <w:bCs/>
                <w:szCs w:val="26"/>
                <w:vertAlign w:val="superscript"/>
              </w:rPr>
              <w:t>e</w:t>
            </w:r>
          </w:p>
        </w:tc>
        <w:tc>
          <w:tcPr>
            <w:tcW w:w="2552" w:type="dxa"/>
            <w:shd w:val="clear" w:color="auto" w:fill="auto"/>
            <w:tcMar>
              <w:top w:w="0" w:type="dxa"/>
              <w:left w:w="108" w:type="dxa"/>
              <w:bottom w:w="0" w:type="dxa"/>
              <w:right w:w="108" w:type="dxa"/>
            </w:tcMar>
          </w:tcPr>
          <w:p w14:paraId="7669A5BD" w14:textId="77777777" w:rsidR="00284822" w:rsidRDefault="00F77BF8">
            <w:pPr>
              <w:spacing w:before="120" w:after="120"/>
              <w:jc w:val="center"/>
              <w:rPr>
                <w:rFonts w:ascii="Rockwell" w:hAnsi="Rockwell"/>
                <w:b/>
                <w:szCs w:val="26"/>
              </w:rPr>
            </w:pPr>
            <w:r>
              <w:rPr>
                <w:rFonts w:ascii="Rockwell" w:hAnsi="Rockwell"/>
                <w:b/>
                <w:szCs w:val="26"/>
              </w:rPr>
              <w:t>UNDD</w:t>
            </w:r>
          </w:p>
        </w:tc>
        <w:tc>
          <w:tcPr>
            <w:tcW w:w="1701" w:type="dxa"/>
            <w:shd w:val="clear" w:color="auto" w:fill="auto"/>
            <w:tcMar>
              <w:top w:w="0" w:type="dxa"/>
              <w:left w:w="108" w:type="dxa"/>
              <w:bottom w:w="0" w:type="dxa"/>
              <w:right w:w="108" w:type="dxa"/>
            </w:tcMar>
          </w:tcPr>
          <w:p w14:paraId="4E083E78" w14:textId="77777777" w:rsidR="00284822" w:rsidRDefault="00F77BF8">
            <w:pPr>
              <w:spacing w:before="120" w:after="120"/>
              <w:jc w:val="center"/>
              <w:rPr>
                <w:rFonts w:ascii="Rockwell" w:hAnsi="Rockwell"/>
                <w:szCs w:val="26"/>
              </w:rPr>
            </w:pPr>
            <w:r>
              <w:rPr>
                <w:rFonts w:ascii="Rockwell" w:hAnsi="Rockwell"/>
                <w:szCs w:val="26"/>
              </w:rPr>
              <w:t>4</w:t>
            </w:r>
          </w:p>
        </w:tc>
        <w:tc>
          <w:tcPr>
            <w:tcW w:w="1843" w:type="dxa"/>
            <w:shd w:val="clear" w:color="auto" w:fill="auto"/>
            <w:tcMar>
              <w:top w:w="0" w:type="dxa"/>
              <w:left w:w="108" w:type="dxa"/>
              <w:bottom w:w="0" w:type="dxa"/>
              <w:right w:w="108" w:type="dxa"/>
            </w:tcMar>
          </w:tcPr>
          <w:p w14:paraId="2D515058" w14:textId="77777777" w:rsidR="00284822" w:rsidRDefault="00F77BF8">
            <w:pPr>
              <w:spacing w:before="120" w:after="120"/>
              <w:jc w:val="center"/>
              <w:rPr>
                <w:rFonts w:ascii="Rockwell" w:hAnsi="Rockwell"/>
                <w:szCs w:val="26"/>
              </w:rPr>
            </w:pPr>
            <w:r>
              <w:rPr>
                <w:rFonts w:ascii="Rockwell" w:hAnsi="Rockwell"/>
                <w:szCs w:val="26"/>
              </w:rPr>
              <w:t>5,48%</w:t>
            </w:r>
          </w:p>
        </w:tc>
        <w:tc>
          <w:tcPr>
            <w:tcW w:w="1417" w:type="dxa"/>
            <w:shd w:val="clear" w:color="auto" w:fill="auto"/>
            <w:tcMar>
              <w:top w:w="0" w:type="dxa"/>
              <w:left w:w="108" w:type="dxa"/>
              <w:bottom w:w="0" w:type="dxa"/>
              <w:right w:w="108" w:type="dxa"/>
            </w:tcMar>
          </w:tcPr>
          <w:p w14:paraId="23841623" w14:textId="77777777" w:rsidR="00284822" w:rsidRDefault="00F77BF8">
            <w:pPr>
              <w:spacing w:before="120" w:after="120"/>
              <w:jc w:val="center"/>
              <w:rPr>
                <w:rFonts w:ascii="Rockwell" w:hAnsi="Rockwell"/>
                <w:szCs w:val="26"/>
              </w:rPr>
            </w:pPr>
            <w:r>
              <w:rPr>
                <w:rFonts w:ascii="Rockwell" w:hAnsi="Rockwell"/>
                <w:szCs w:val="26"/>
              </w:rPr>
              <w:t>10</w:t>
            </w:r>
          </w:p>
        </w:tc>
        <w:tc>
          <w:tcPr>
            <w:tcW w:w="2126" w:type="dxa"/>
            <w:shd w:val="clear" w:color="auto" w:fill="auto"/>
            <w:tcMar>
              <w:top w:w="0" w:type="dxa"/>
              <w:left w:w="108" w:type="dxa"/>
              <w:bottom w:w="0" w:type="dxa"/>
              <w:right w:w="108" w:type="dxa"/>
            </w:tcMar>
          </w:tcPr>
          <w:p w14:paraId="1D521236" w14:textId="77777777" w:rsidR="00284822" w:rsidRDefault="00F77BF8">
            <w:pPr>
              <w:spacing w:before="120" w:after="120"/>
              <w:jc w:val="center"/>
              <w:rPr>
                <w:rFonts w:ascii="Rockwell" w:hAnsi="Rockwell"/>
                <w:szCs w:val="26"/>
              </w:rPr>
            </w:pPr>
            <w:r>
              <w:rPr>
                <w:rFonts w:ascii="Rockwell" w:hAnsi="Rockwell"/>
                <w:szCs w:val="26"/>
              </w:rPr>
              <w:t>6,76%</w:t>
            </w:r>
          </w:p>
        </w:tc>
      </w:tr>
      <w:tr w:rsidR="00284822" w14:paraId="5CB16040" w14:textId="77777777">
        <w:trPr>
          <w:trHeight w:val="429"/>
          <w:jc w:val="center"/>
        </w:trPr>
        <w:tc>
          <w:tcPr>
            <w:tcW w:w="1129" w:type="dxa"/>
            <w:shd w:val="clear" w:color="auto" w:fill="FFFFFF"/>
            <w:noWrap/>
            <w:tcMar>
              <w:top w:w="0" w:type="dxa"/>
              <w:left w:w="108" w:type="dxa"/>
              <w:bottom w:w="0" w:type="dxa"/>
              <w:right w:w="108" w:type="dxa"/>
            </w:tcMar>
          </w:tcPr>
          <w:p w14:paraId="13ED1AB6" w14:textId="77777777" w:rsidR="00284822" w:rsidRDefault="00F77BF8">
            <w:pPr>
              <w:spacing w:before="120" w:after="120"/>
              <w:rPr>
                <w:rFonts w:ascii="Rockwell" w:hAnsi="Rockwell"/>
                <w:szCs w:val="26"/>
              </w:rPr>
            </w:pPr>
            <w:r>
              <w:rPr>
                <w:rFonts w:ascii="Rockwell" w:hAnsi="Rockwell"/>
                <w:b/>
                <w:bCs/>
                <w:szCs w:val="26"/>
              </w:rPr>
              <w:t>7</w:t>
            </w:r>
            <w:r>
              <w:rPr>
                <w:rFonts w:ascii="Rockwell" w:hAnsi="Rockwell"/>
                <w:b/>
                <w:bCs/>
                <w:szCs w:val="26"/>
                <w:vertAlign w:val="superscript"/>
              </w:rPr>
              <w:t>e</w:t>
            </w:r>
          </w:p>
        </w:tc>
        <w:tc>
          <w:tcPr>
            <w:tcW w:w="2552" w:type="dxa"/>
            <w:shd w:val="clear" w:color="auto" w:fill="auto"/>
            <w:tcMar>
              <w:top w:w="0" w:type="dxa"/>
              <w:left w:w="108" w:type="dxa"/>
              <w:bottom w:w="0" w:type="dxa"/>
              <w:right w:w="108" w:type="dxa"/>
            </w:tcMar>
          </w:tcPr>
          <w:p w14:paraId="0A2670B1" w14:textId="77777777" w:rsidR="00284822" w:rsidRDefault="00F77BF8">
            <w:pPr>
              <w:spacing w:before="120" w:after="120"/>
              <w:jc w:val="center"/>
              <w:rPr>
                <w:rFonts w:ascii="Rockwell" w:hAnsi="Rockwell"/>
                <w:b/>
                <w:szCs w:val="26"/>
              </w:rPr>
            </w:pPr>
            <w:r>
              <w:rPr>
                <w:rFonts w:ascii="Rockwell" w:hAnsi="Rockwell"/>
                <w:b/>
                <w:szCs w:val="26"/>
              </w:rPr>
              <w:t>ADF/RDA</w:t>
            </w:r>
          </w:p>
        </w:tc>
        <w:tc>
          <w:tcPr>
            <w:tcW w:w="1701" w:type="dxa"/>
            <w:shd w:val="clear" w:color="auto" w:fill="auto"/>
            <w:tcMar>
              <w:top w:w="0" w:type="dxa"/>
              <w:left w:w="108" w:type="dxa"/>
              <w:bottom w:w="0" w:type="dxa"/>
              <w:right w:w="108" w:type="dxa"/>
            </w:tcMar>
          </w:tcPr>
          <w:p w14:paraId="7FBDEF18" w14:textId="77777777" w:rsidR="00284822" w:rsidRDefault="00F77BF8">
            <w:pPr>
              <w:spacing w:before="120" w:after="120"/>
              <w:jc w:val="center"/>
              <w:rPr>
                <w:rFonts w:ascii="Rockwell" w:hAnsi="Rockwell"/>
                <w:szCs w:val="26"/>
              </w:rPr>
            </w:pPr>
            <w:r>
              <w:rPr>
                <w:rFonts w:ascii="Rockwell" w:hAnsi="Rockwell"/>
                <w:szCs w:val="26"/>
              </w:rPr>
              <w:t>2</w:t>
            </w:r>
          </w:p>
        </w:tc>
        <w:tc>
          <w:tcPr>
            <w:tcW w:w="1843" w:type="dxa"/>
            <w:shd w:val="clear" w:color="auto" w:fill="auto"/>
            <w:tcMar>
              <w:top w:w="0" w:type="dxa"/>
              <w:left w:w="108" w:type="dxa"/>
              <w:bottom w:w="0" w:type="dxa"/>
              <w:right w:w="108" w:type="dxa"/>
            </w:tcMar>
          </w:tcPr>
          <w:p w14:paraId="348A5FC9" w14:textId="77777777" w:rsidR="00284822" w:rsidRDefault="00F77BF8">
            <w:pPr>
              <w:spacing w:before="120" w:after="120"/>
              <w:jc w:val="center"/>
              <w:rPr>
                <w:rFonts w:ascii="Rockwell" w:hAnsi="Rockwell"/>
                <w:szCs w:val="26"/>
              </w:rPr>
            </w:pPr>
            <w:r>
              <w:rPr>
                <w:rFonts w:ascii="Rockwell" w:hAnsi="Rockwell"/>
                <w:szCs w:val="26"/>
              </w:rPr>
              <w:t>2,74%</w:t>
            </w:r>
          </w:p>
        </w:tc>
        <w:tc>
          <w:tcPr>
            <w:tcW w:w="1417" w:type="dxa"/>
            <w:shd w:val="clear" w:color="auto" w:fill="auto"/>
            <w:tcMar>
              <w:top w:w="0" w:type="dxa"/>
              <w:left w:w="108" w:type="dxa"/>
              <w:bottom w:w="0" w:type="dxa"/>
              <w:right w:w="108" w:type="dxa"/>
            </w:tcMar>
          </w:tcPr>
          <w:p w14:paraId="3B89636F" w14:textId="77777777" w:rsidR="00284822" w:rsidRDefault="00F77BF8">
            <w:pPr>
              <w:spacing w:before="120" w:after="120"/>
              <w:jc w:val="center"/>
              <w:rPr>
                <w:rFonts w:ascii="Rockwell" w:hAnsi="Rockwell"/>
                <w:szCs w:val="26"/>
              </w:rPr>
            </w:pPr>
            <w:r>
              <w:rPr>
                <w:rFonts w:ascii="Rockwell" w:hAnsi="Rockwell"/>
                <w:szCs w:val="26"/>
              </w:rPr>
              <w:t>5</w:t>
            </w:r>
          </w:p>
        </w:tc>
        <w:tc>
          <w:tcPr>
            <w:tcW w:w="2126" w:type="dxa"/>
            <w:shd w:val="clear" w:color="auto" w:fill="auto"/>
            <w:tcMar>
              <w:top w:w="0" w:type="dxa"/>
              <w:left w:w="108" w:type="dxa"/>
              <w:bottom w:w="0" w:type="dxa"/>
              <w:right w:w="108" w:type="dxa"/>
            </w:tcMar>
          </w:tcPr>
          <w:p w14:paraId="20B862C2" w14:textId="77777777" w:rsidR="00284822" w:rsidRDefault="00F77BF8">
            <w:pPr>
              <w:spacing w:before="120" w:after="120"/>
              <w:jc w:val="center"/>
              <w:rPr>
                <w:rFonts w:ascii="Rockwell" w:hAnsi="Rockwell"/>
                <w:szCs w:val="26"/>
              </w:rPr>
            </w:pPr>
            <w:r>
              <w:rPr>
                <w:rFonts w:ascii="Rockwell" w:hAnsi="Rockwell"/>
                <w:szCs w:val="26"/>
              </w:rPr>
              <w:t>3,38%</w:t>
            </w:r>
          </w:p>
        </w:tc>
      </w:tr>
      <w:tr w:rsidR="00284822" w14:paraId="6B580C1D" w14:textId="77777777">
        <w:trPr>
          <w:trHeight w:val="407"/>
          <w:jc w:val="center"/>
        </w:trPr>
        <w:tc>
          <w:tcPr>
            <w:tcW w:w="1129" w:type="dxa"/>
            <w:shd w:val="clear" w:color="auto" w:fill="FFFFFF"/>
            <w:noWrap/>
            <w:tcMar>
              <w:top w:w="0" w:type="dxa"/>
              <w:left w:w="108" w:type="dxa"/>
              <w:bottom w:w="0" w:type="dxa"/>
              <w:right w:w="108" w:type="dxa"/>
            </w:tcMar>
          </w:tcPr>
          <w:p w14:paraId="1BC664CC" w14:textId="77777777" w:rsidR="00284822" w:rsidRDefault="00F77BF8">
            <w:pPr>
              <w:spacing w:before="120" w:after="120"/>
              <w:rPr>
                <w:rFonts w:ascii="Rockwell" w:hAnsi="Rockwell"/>
                <w:szCs w:val="26"/>
              </w:rPr>
            </w:pPr>
            <w:r>
              <w:rPr>
                <w:rFonts w:ascii="Rockwell" w:hAnsi="Rockwell"/>
                <w:b/>
                <w:bCs/>
                <w:szCs w:val="26"/>
              </w:rPr>
              <w:t>7</w:t>
            </w:r>
            <w:r>
              <w:rPr>
                <w:rFonts w:ascii="Rockwell" w:hAnsi="Rockwell"/>
                <w:b/>
                <w:bCs/>
                <w:szCs w:val="26"/>
                <w:vertAlign w:val="superscript"/>
              </w:rPr>
              <w:t>e</w:t>
            </w:r>
            <w:r>
              <w:rPr>
                <w:rFonts w:ascii="Rockwell" w:hAnsi="Rockwell"/>
                <w:b/>
                <w:bCs/>
                <w:szCs w:val="26"/>
              </w:rPr>
              <w:t xml:space="preserve"> ex</w:t>
            </w:r>
          </w:p>
        </w:tc>
        <w:tc>
          <w:tcPr>
            <w:tcW w:w="2552" w:type="dxa"/>
            <w:shd w:val="clear" w:color="auto" w:fill="auto"/>
            <w:tcMar>
              <w:top w:w="0" w:type="dxa"/>
              <w:left w:w="108" w:type="dxa"/>
              <w:bottom w:w="0" w:type="dxa"/>
              <w:right w:w="108" w:type="dxa"/>
            </w:tcMar>
          </w:tcPr>
          <w:p w14:paraId="2515AF04" w14:textId="77777777" w:rsidR="00284822" w:rsidRDefault="00F77BF8">
            <w:pPr>
              <w:spacing w:before="120" w:after="120"/>
              <w:jc w:val="center"/>
              <w:rPr>
                <w:rFonts w:ascii="Rockwell" w:hAnsi="Rockwell"/>
                <w:b/>
                <w:szCs w:val="26"/>
              </w:rPr>
            </w:pPr>
            <w:r>
              <w:rPr>
                <w:rFonts w:ascii="Rockwell" w:hAnsi="Rockwell"/>
                <w:b/>
                <w:szCs w:val="26"/>
              </w:rPr>
              <w:t>LES DEMOCRATES</w:t>
            </w:r>
          </w:p>
        </w:tc>
        <w:tc>
          <w:tcPr>
            <w:tcW w:w="1701" w:type="dxa"/>
            <w:shd w:val="clear" w:color="auto" w:fill="auto"/>
            <w:tcMar>
              <w:top w:w="0" w:type="dxa"/>
              <w:left w:w="108" w:type="dxa"/>
              <w:bottom w:w="0" w:type="dxa"/>
              <w:right w:w="108" w:type="dxa"/>
            </w:tcMar>
          </w:tcPr>
          <w:p w14:paraId="4BE7FC2D" w14:textId="77777777" w:rsidR="00284822" w:rsidRDefault="00F77BF8">
            <w:pPr>
              <w:spacing w:before="120" w:after="120"/>
              <w:jc w:val="center"/>
              <w:rPr>
                <w:rFonts w:ascii="Rockwell" w:hAnsi="Rockwell"/>
                <w:szCs w:val="26"/>
              </w:rPr>
            </w:pPr>
            <w:r>
              <w:rPr>
                <w:rFonts w:ascii="Rockwell" w:hAnsi="Rockwell"/>
                <w:szCs w:val="26"/>
              </w:rPr>
              <w:t>2</w:t>
            </w:r>
          </w:p>
        </w:tc>
        <w:tc>
          <w:tcPr>
            <w:tcW w:w="1843" w:type="dxa"/>
            <w:shd w:val="clear" w:color="auto" w:fill="auto"/>
            <w:tcMar>
              <w:top w:w="0" w:type="dxa"/>
              <w:left w:w="108" w:type="dxa"/>
              <w:bottom w:w="0" w:type="dxa"/>
              <w:right w:w="108" w:type="dxa"/>
            </w:tcMar>
          </w:tcPr>
          <w:p w14:paraId="1DC22E61" w14:textId="77777777" w:rsidR="00284822" w:rsidRDefault="00F77BF8">
            <w:pPr>
              <w:spacing w:before="120" w:after="120"/>
              <w:jc w:val="center"/>
              <w:rPr>
                <w:rFonts w:ascii="Rockwell" w:hAnsi="Rockwell"/>
                <w:szCs w:val="26"/>
              </w:rPr>
            </w:pPr>
            <w:r>
              <w:rPr>
                <w:rFonts w:ascii="Rockwell" w:hAnsi="Rockwell"/>
                <w:szCs w:val="26"/>
              </w:rPr>
              <w:t>2,74%</w:t>
            </w:r>
          </w:p>
        </w:tc>
        <w:tc>
          <w:tcPr>
            <w:tcW w:w="1417" w:type="dxa"/>
            <w:shd w:val="clear" w:color="auto" w:fill="auto"/>
            <w:tcMar>
              <w:top w:w="0" w:type="dxa"/>
              <w:left w:w="108" w:type="dxa"/>
              <w:bottom w:w="0" w:type="dxa"/>
              <w:right w:w="108" w:type="dxa"/>
            </w:tcMar>
          </w:tcPr>
          <w:p w14:paraId="3D7A0586" w14:textId="77777777" w:rsidR="00284822" w:rsidRDefault="00F77BF8">
            <w:pPr>
              <w:spacing w:before="120" w:after="120"/>
              <w:jc w:val="center"/>
              <w:rPr>
                <w:rFonts w:ascii="Rockwell" w:hAnsi="Rockwell"/>
                <w:szCs w:val="26"/>
              </w:rPr>
            </w:pPr>
            <w:r>
              <w:rPr>
                <w:rFonts w:ascii="Rockwell" w:hAnsi="Rockwell"/>
                <w:szCs w:val="26"/>
              </w:rPr>
              <w:t>5</w:t>
            </w:r>
          </w:p>
        </w:tc>
        <w:tc>
          <w:tcPr>
            <w:tcW w:w="2126" w:type="dxa"/>
            <w:shd w:val="clear" w:color="auto" w:fill="auto"/>
            <w:tcMar>
              <w:top w:w="0" w:type="dxa"/>
              <w:left w:w="108" w:type="dxa"/>
              <w:bottom w:w="0" w:type="dxa"/>
              <w:right w:w="108" w:type="dxa"/>
            </w:tcMar>
          </w:tcPr>
          <w:p w14:paraId="0D32A7B2" w14:textId="77777777" w:rsidR="00284822" w:rsidRDefault="00F77BF8">
            <w:pPr>
              <w:spacing w:before="120" w:after="120"/>
              <w:jc w:val="center"/>
              <w:rPr>
                <w:rFonts w:ascii="Rockwell" w:hAnsi="Rockwell"/>
                <w:szCs w:val="26"/>
              </w:rPr>
            </w:pPr>
            <w:r>
              <w:rPr>
                <w:rFonts w:ascii="Rockwell" w:hAnsi="Rockwell"/>
                <w:szCs w:val="26"/>
              </w:rPr>
              <w:t>3,38%</w:t>
            </w:r>
          </w:p>
        </w:tc>
      </w:tr>
      <w:tr w:rsidR="00284822" w14:paraId="41CB3E44" w14:textId="77777777">
        <w:trPr>
          <w:trHeight w:val="555"/>
          <w:jc w:val="center"/>
        </w:trPr>
        <w:tc>
          <w:tcPr>
            <w:tcW w:w="1129" w:type="dxa"/>
            <w:shd w:val="clear" w:color="auto" w:fill="FFFFFF"/>
            <w:noWrap/>
            <w:tcMar>
              <w:top w:w="0" w:type="dxa"/>
              <w:left w:w="108" w:type="dxa"/>
              <w:bottom w:w="0" w:type="dxa"/>
              <w:right w:w="108" w:type="dxa"/>
            </w:tcMar>
          </w:tcPr>
          <w:p w14:paraId="2BD59412" w14:textId="77777777" w:rsidR="00284822" w:rsidRDefault="00F77BF8">
            <w:pPr>
              <w:spacing w:before="120" w:after="120"/>
              <w:rPr>
                <w:rFonts w:ascii="Rockwell" w:hAnsi="Rockwell"/>
                <w:szCs w:val="26"/>
              </w:rPr>
            </w:pPr>
            <w:r>
              <w:rPr>
                <w:rFonts w:ascii="Rockwell" w:hAnsi="Rockwell"/>
                <w:b/>
                <w:bCs/>
                <w:szCs w:val="26"/>
              </w:rPr>
              <w:t>7</w:t>
            </w:r>
            <w:r>
              <w:rPr>
                <w:rFonts w:ascii="Rockwell" w:hAnsi="Rockwell"/>
                <w:b/>
                <w:bCs/>
                <w:szCs w:val="26"/>
                <w:vertAlign w:val="superscript"/>
              </w:rPr>
              <w:t>e</w:t>
            </w:r>
            <w:r>
              <w:rPr>
                <w:rFonts w:ascii="Rockwell" w:hAnsi="Rockwell"/>
                <w:b/>
                <w:bCs/>
                <w:szCs w:val="26"/>
              </w:rPr>
              <w:t xml:space="preserve"> ex</w:t>
            </w:r>
          </w:p>
        </w:tc>
        <w:tc>
          <w:tcPr>
            <w:tcW w:w="2552" w:type="dxa"/>
            <w:shd w:val="clear" w:color="auto" w:fill="auto"/>
            <w:tcMar>
              <w:top w:w="0" w:type="dxa"/>
              <w:left w:w="108" w:type="dxa"/>
              <w:bottom w:w="0" w:type="dxa"/>
              <w:right w:w="108" w:type="dxa"/>
            </w:tcMar>
          </w:tcPr>
          <w:p w14:paraId="3B9E40CB" w14:textId="77777777" w:rsidR="00284822" w:rsidRDefault="00F77BF8">
            <w:pPr>
              <w:spacing w:before="120" w:after="120"/>
              <w:jc w:val="center"/>
              <w:rPr>
                <w:rFonts w:ascii="Rockwell" w:hAnsi="Rockwell"/>
                <w:b/>
                <w:szCs w:val="26"/>
              </w:rPr>
            </w:pPr>
            <w:r>
              <w:rPr>
                <w:rFonts w:ascii="Rockwell" w:hAnsi="Rockwell"/>
                <w:b/>
                <w:szCs w:val="26"/>
              </w:rPr>
              <w:t>NOVI</w:t>
            </w:r>
          </w:p>
        </w:tc>
        <w:tc>
          <w:tcPr>
            <w:tcW w:w="1701" w:type="dxa"/>
            <w:shd w:val="clear" w:color="auto" w:fill="auto"/>
            <w:tcMar>
              <w:top w:w="0" w:type="dxa"/>
              <w:left w:w="108" w:type="dxa"/>
              <w:bottom w:w="0" w:type="dxa"/>
              <w:right w:w="108" w:type="dxa"/>
            </w:tcMar>
          </w:tcPr>
          <w:p w14:paraId="412885CF" w14:textId="77777777" w:rsidR="00284822" w:rsidRDefault="00F77BF8">
            <w:pPr>
              <w:spacing w:before="120" w:after="120"/>
              <w:jc w:val="center"/>
              <w:rPr>
                <w:rFonts w:ascii="Rockwell" w:hAnsi="Rockwell"/>
                <w:szCs w:val="26"/>
              </w:rPr>
            </w:pPr>
            <w:r>
              <w:rPr>
                <w:rFonts w:ascii="Rockwell" w:hAnsi="Rockwell"/>
                <w:szCs w:val="26"/>
              </w:rPr>
              <w:t>2</w:t>
            </w:r>
          </w:p>
        </w:tc>
        <w:tc>
          <w:tcPr>
            <w:tcW w:w="1843" w:type="dxa"/>
            <w:shd w:val="clear" w:color="auto" w:fill="auto"/>
            <w:tcMar>
              <w:top w:w="0" w:type="dxa"/>
              <w:left w:w="108" w:type="dxa"/>
              <w:bottom w:w="0" w:type="dxa"/>
              <w:right w:w="108" w:type="dxa"/>
            </w:tcMar>
          </w:tcPr>
          <w:p w14:paraId="4AA23CC7" w14:textId="77777777" w:rsidR="00284822" w:rsidRDefault="00F77BF8">
            <w:pPr>
              <w:spacing w:before="120" w:after="120"/>
              <w:jc w:val="center"/>
              <w:rPr>
                <w:rFonts w:ascii="Rockwell" w:hAnsi="Rockwell"/>
                <w:szCs w:val="26"/>
              </w:rPr>
            </w:pPr>
            <w:r>
              <w:rPr>
                <w:rFonts w:ascii="Rockwell" w:hAnsi="Rockwell"/>
                <w:szCs w:val="26"/>
              </w:rPr>
              <w:t>2,74%</w:t>
            </w:r>
          </w:p>
        </w:tc>
        <w:tc>
          <w:tcPr>
            <w:tcW w:w="1417" w:type="dxa"/>
            <w:shd w:val="clear" w:color="auto" w:fill="auto"/>
            <w:tcMar>
              <w:top w:w="0" w:type="dxa"/>
              <w:left w:w="108" w:type="dxa"/>
              <w:bottom w:w="0" w:type="dxa"/>
              <w:right w:w="108" w:type="dxa"/>
            </w:tcMar>
          </w:tcPr>
          <w:p w14:paraId="4D026B52" w14:textId="77777777" w:rsidR="00284822" w:rsidRDefault="00F77BF8">
            <w:pPr>
              <w:spacing w:before="120" w:after="120"/>
              <w:jc w:val="center"/>
              <w:rPr>
                <w:rFonts w:ascii="Rockwell" w:hAnsi="Rockwell"/>
                <w:szCs w:val="26"/>
              </w:rPr>
            </w:pPr>
            <w:r>
              <w:rPr>
                <w:rFonts w:ascii="Rockwell" w:hAnsi="Rockwell"/>
                <w:szCs w:val="26"/>
              </w:rPr>
              <w:t>4</w:t>
            </w:r>
          </w:p>
        </w:tc>
        <w:tc>
          <w:tcPr>
            <w:tcW w:w="2126" w:type="dxa"/>
            <w:shd w:val="clear" w:color="auto" w:fill="auto"/>
            <w:tcMar>
              <w:top w:w="0" w:type="dxa"/>
              <w:left w:w="108" w:type="dxa"/>
              <w:bottom w:w="0" w:type="dxa"/>
              <w:right w:w="108" w:type="dxa"/>
            </w:tcMar>
          </w:tcPr>
          <w:p w14:paraId="70DBF823" w14:textId="77777777" w:rsidR="00284822" w:rsidRDefault="00F77BF8">
            <w:pPr>
              <w:spacing w:before="120" w:after="120"/>
              <w:jc w:val="center"/>
              <w:rPr>
                <w:rFonts w:ascii="Rockwell" w:hAnsi="Rockwell"/>
                <w:szCs w:val="26"/>
              </w:rPr>
            </w:pPr>
            <w:r>
              <w:rPr>
                <w:rFonts w:ascii="Rockwell" w:hAnsi="Rockwell"/>
                <w:szCs w:val="26"/>
              </w:rPr>
              <w:t>2,70%</w:t>
            </w:r>
          </w:p>
        </w:tc>
      </w:tr>
      <w:tr w:rsidR="00284822" w14:paraId="16F5184B" w14:textId="77777777">
        <w:trPr>
          <w:trHeight w:val="408"/>
          <w:jc w:val="center"/>
        </w:trPr>
        <w:tc>
          <w:tcPr>
            <w:tcW w:w="1129" w:type="dxa"/>
            <w:shd w:val="clear" w:color="auto" w:fill="FFFFFF"/>
            <w:noWrap/>
            <w:tcMar>
              <w:top w:w="0" w:type="dxa"/>
              <w:left w:w="108" w:type="dxa"/>
              <w:bottom w:w="0" w:type="dxa"/>
              <w:right w:w="108" w:type="dxa"/>
            </w:tcMar>
          </w:tcPr>
          <w:p w14:paraId="2D2091BE" w14:textId="77777777" w:rsidR="00284822" w:rsidRDefault="00F77BF8">
            <w:pPr>
              <w:spacing w:before="120" w:after="120"/>
              <w:rPr>
                <w:rFonts w:ascii="Rockwell" w:hAnsi="Rockwell"/>
                <w:szCs w:val="26"/>
              </w:rPr>
            </w:pPr>
            <w:r>
              <w:rPr>
                <w:rFonts w:ascii="Rockwell" w:hAnsi="Rockwell"/>
                <w:b/>
                <w:bCs/>
                <w:szCs w:val="26"/>
              </w:rPr>
              <w:t>7</w:t>
            </w:r>
            <w:r>
              <w:rPr>
                <w:rFonts w:ascii="Rockwell" w:hAnsi="Rockwell"/>
                <w:b/>
                <w:bCs/>
                <w:szCs w:val="26"/>
                <w:vertAlign w:val="superscript"/>
              </w:rPr>
              <w:t>e</w:t>
            </w:r>
            <w:r>
              <w:rPr>
                <w:rFonts w:ascii="Rockwell" w:hAnsi="Rockwell"/>
                <w:b/>
                <w:bCs/>
                <w:szCs w:val="26"/>
              </w:rPr>
              <w:t xml:space="preserve"> ex</w:t>
            </w:r>
          </w:p>
        </w:tc>
        <w:tc>
          <w:tcPr>
            <w:tcW w:w="2552" w:type="dxa"/>
            <w:shd w:val="clear" w:color="auto" w:fill="auto"/>
            <w:tcMar>
              <w:top w:w="0" w:type="dxa"/>
              <w:left w:w="108" w:type="dxa"/>
              <w:bottom w:w="0" w:type="dxa"/>
              <w:right w:w="108" w:type="dxa"/>
            </w:tcMar>
          </w:tcPr>
          <w:p w14:paraId="5583F419" w14:textId="77777777" w:rsidR="00284822" w:rsidRDefault="00F77BF8">
            <w:pPr>
              <w:spacing w:before="120" w:after="120"/>
              <w:jc w:val="center"/>
              <w:rPr>
                <w:rFonts w:ascii="Rockwell" w:hAnsi="Rockwell"/>
                <w:b/>
                <w:szCs w:val="26"/>
              </w:rPr>
            </w:pPr>
            <w:r>
              <w:rPr>
                <w:rFonts w:ascii="Rockwell" w:hAnsi="Rockwell"/>
                <w:b/>
                <w:szCs w:val="26"/>
              </w:rPr>
              <w:t>SOCL</w:t>
            </w:r>
          </w:p>
        </w:tc>
        <w:tc>
          <w:tcPr>
            <w:tcW w:w="1701" w:type="dxa"/>
            <w:shd w:val="clear" w:color="auto" w:fill="auto"/>
            <w:tcMar>
              <w:top w:w="0" w:type="dxa"/>
              <w:left w:w="108" w:type="dxa"/>
              <w:bottom w:w="0" w:type="dxa"/>
              <w:right w:w="108" w:type="dxa"/>
            </w:tcMar>
          </w:tcPr>
          <w:p w14:paraId="42384743" w14:textId="77777777" w:rsidR="00284822" w:rsidRDefault="00F77BF8">
            <w:pPr>
              <w:spacing w:before="120" w:after="120"/>
              <w:jc w:val="center"/>
              <w:rPr>
                <w:rFonts w:ascii="Rockwell" w:hAnsi="Rockwell"/>
                <w:szCs w:val="26"/>
              </w:rPr>
            </w:pPr>
            <w:r>
              <w:rPr>
                <w:rFonts w:ascii="Rockwell" w:hAnsi="Rockwell"/>
                <w:szCs w:val="26"/>
              </w:rPr>
              <w:t>2</w:t>
            </w:r>
          </w:p>
        </w:tc>
        <w:tc>
          <w:tcPr>
            <w:tcW w:w="1843" w:type="dxa"/>
            <w:shd w:val="clear" w:color="auto" w:fill="auto"/>
            <w:tcMar>
              <w:top w:w="0" w:type="dxa"/>
              <w:left w:w="108" w:type="dxa"/>
              <w:bottom w:w="0" w:type="dxa"/>
              <w:right w:w="108" w:type="dxa"/>
            </w:tcMar>
          </w:tcPr>
          <w:p w14:paraId="0412A990" w14:textId="77777777" w:rsidR="00284822" w:rsidRDefault="00F77BF8">
            <w:pPr>
              <w:spacing w:before="120" w:after="120"/>
              <w:jc w:val="center"/>
              <w:rPr>
                <w:rFonts w:ascii="Rockwell" w:hAnsi="Rockwell"/>
                <w:szCs w:val="26"/>
              </w:rPr>
            </w:pPr>
            <w:r>
              <w:rPr>
                <w:rFonts w:ascii="Rockwell" w:hAnsi="Rockwell"/>
                <w:szCs w:val="26"/>
              </w:rPr>
              <w:t>2,74%</w:t>
            </w:r>
          </w:p>
        </w:tc>
        <w:tc>
          <w:tcPr>
            <w:tcW w:w="1417" w:type="dxa"/>
            <w:shd w:val="clear" w:color="auto" w:fill="auto"/>
            <w:tcMar>
              <w:top w:w="0" w:type="dxa"/>
              <w:left w:w="108" w:type="dxa"/>
              <w:bottom w:w="0" w:type="dxa"/>
              <w:right w:w="108" w:type="dxa"/>
            </w:tcMar>
          </w:tcPr>
          <w:p w14:paraId="5AFFB315" w14:textId="77777777" w:rsidR="00284822" w:rsidRDefault="00F77BF8">
            <w:pPr>
              <w:spacing w:before="120" w:after="120"/>
              <w:jc w:val="center"/>
              <w:rPr>
                <w:rFonts w:ascii="Rockwell" w:hAnsi="Rockwell"/>
                <w:szCs w:val="26"/>
              </w:rPr>
            </w:pPr>
            <w:r>
              <w:rPr>
                <w:rFonts w:ascii="Rockwell" w:hAnsi="Rockwell"/>
                <w:szCs w:val="26"/>
              </w:rPr>
              <w:t>3</w:t>
            </w:r>
          </w:p>
        </w:tc>
        <w:tc>
          <w:tcPr>
            <w:tcW w:w="2126" w:type="dxa"/>
            <w:shd w:val="clear" w:color="auto" w:fill="auto"/>
            <w:tcMar>
              <w:top w:w="0" w:type="dxa"/>
              <w:left w:w="108" w:type="dxa"/>
              <w:bottom w:w="0" w:type="dxa"/>
              <w:right w:w="108" w:type="dxa"/>
            </w:tcMar>
          </w:tcPr>
          <w:p w14:paraId="1E860832" w14:textId="77777777" w:rsidR="00284822" w:rsidRDefault="00F77BF8">
            <w:pPr>
              <w:spacing w:before="120" w:after="120"/>
              <w:jc w:val="center"/>
              <w:rPr>
                <w:rFonts w:ascii="Rockwell" w:hAnsi="Rockwell"/>
                <w:szCs w:val="26"/>
              </w:rPr>
            </w:pPr>
            <w:r>
              <w:rPr>
                <w:rFonts w:ascii="Rockwell" w:hAnsi="Rockwell"/>
                <w:szCs w:val="26"/>
              </w:rPr>
              <w:t>2,03%</w:t>
            </w:r>
          </w:p>
        </w:tc>
      </w:tr>
    </w:tbl>
    <w:p w14:paraId="53B1BC94" w14:textId="77777777" w:rsidR="00284822" w:rsidRDefault="00F77BF8">
      <w:pPr>
        <w:tabs>
          <w:tab w:val="left" w:pos="895"/>
        </w:tabs>
        <w:spacing w:before="120" w:after="120"/>
        <w:ind w:left="-709" w:hanging="142"/>
        <w:rPr>
          <w:rFonts w:ascii="Rockwell" w:hAnsi="Rockwell"/>
          <w:i/>
          <w:sz w:val="20"/>
          <w:szCs w:val="20"/>
        </w:rPr>
      </w:pPr>
      <w:r>
        <w:rPr>
          <w:rFonts w:ascii="Rockwell" w:hAnsi="Rockwell"/>
          <w:i/>
          <w:sz w:val="20"/>
          <w:szCs w:val="20"/>
          <w:u w:val="single"/>
        </w:rPr>
        <w:t>Source</w:t>
      </w:r>
      <w:r>
        <w:rPr>
          <w:rFonts w:ascii="Rockwell" w:hAnsi="Rockwell"/>
          <w:i/>
          <w:sz w:val="20"/>
          <w:szCs w:val="20"/>
        </w:rPr>
        <w:t> : Monitoring CSC</w:t>
      </w:r>
    </w:p>
    <w:p w14:paraId="649FFCDA" w14:textId="77777777" w:rsidR="00284822" w:rsidRDefault="00284822">
      <w:pPr>
        <w:spacing w:before="120" w:after="120"/>
        <w:rPr>
          <w:rFonts w:ascii="Rockwell" w:hAnsi="Rockwell"/>
          <w:szCs w:val="26"/>
        </w:rPr>
        <w:sectPr w:rsidR="00284822">
          <w:pgSz w:w="11906" w:h="16838"/>
          <w:pgMar w:top="1418" w:right="1418" w:bottom="1418" w:left="1418" w:header="720" w:footer="720" w:gutter="0"/>
          <w:cols w:space="720"/>
        </w:sectPr>
      </w:pPr>
    </w:p>
    <w:p w14:paraId="5BCD3827" w14:textId="77777777" w:rsidR="00284822" w:rsidRDefault="00F77BF8">
      <w:pPr>
        <w:spacing w:before="120" w:after="120"/>
        <w:jc w:val="center"/>
        <w:rPr>
          <w:rFonts w:ascii="Rockwell" w:hAnsi="Rockwell"/>
          <w:i/>
          <w:sz w:val="20"/>
          <w:szCs w:val="20"/>
          <w:u w:val="single"/>
        </w:rPr>
      </w:pPr>
      <w:r>
        <w:rPr>
          <w:rFonts w:ascii="Rockwell" w:hAnsi="Rockwell"/>
          <w:i/>
          <w:sz w:val="20"/>
          <w:szCs w:val="20"/>
          <w:u w:val="single"/>
        </w:rPr>
        <w:lastRenderedPageBreak/>
        <w:t>Représentation graphique des NA et NI obtenus par les dix premiers partis politiques dans burkina24</w:t>
      </w:r>
    </w:p>
    <w:p w14:paraId="6AF014F2" w14:textId="77777777" w:rsidR="00284822" w:rsidRDefault="00F77BF8">
      <w:pPr>
        <w:spacing w:before="120" w:after="120"/>
        <w:jc w:val="center"/>
        <w:rPr>
          <w:rFonts w:ascii="Rockwell" w:hAnsi="Rockwell"/>
          <w:szCs w:val="26"/>
        </w:rPr>
      </w:pPr>
      <w:r>
        <w:rPr>
          <w:rFonts w:ascii="Rockwell" w:hAnsi="Rockwell"/>
          <w:noProof/>
          <w:szCs w:val="26"/>
        </w:rPr>
        <w:drawing>
          <wp:inline distT="0" distB="0" distL="0" distR="0" wp14:anchorId="0490E418" wp14:editId="458B19D3">
            <wp:extent cx="5758815" cy="2625725"/>
            <wp:effectExtent l="0" t="0" r="0" b="0"/>
            <wp:docPr id="29" name="Graphique 80"/>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14:paraId="17606D85" w14:textId="77777777" w:rsidR="00284822" w:rsidRDefault="00284822">
      <w:pPr>
        <w:spacing w:before="120" w:after="120"/>
        <w:jc w:val="center"/>
        <w:rPr>
          <w:rFonts w:ascii="Rockwell" w:hAnsi="Rockwell"/>
          <w:sz w:val="4"/>
          <w:szCs w:val="4"/>
        </w:rPr>
      </w:pPr>
    </w:p>
    <w:p w14:paraId="6956467B" w14:textId="77777777" w:rsidR="00284822" w:rsidRDefault="00F77BF8">
      <w:pPr>
        <w:pStyle w:val="Titre5"/>
        <w:numPr>
          <w:ilvl w:val="1"/>
          <w:numId w:val="19"/>
        </w:numPr>
        <w:ind w:right="565" w:hanging="589"/>
        <w:rPr>
          <w:rFonts w:ascii="Rockwell" w:hAnsi="Rockwell"/>
          <w:i/>
        </w:rPr>
      </w:pPr>
      <w:bookmarkStart w:id="158" w:name="_Toc175048676"/>
      <w:proofErr w:type="spellStart"/>
      <w:r>
        <w:rPr>
          <w:rFonts w:ascii="Rockwell" w:hAnsi="Rockwell"/>
          <w:i/>
        </w:rPr>
        <w:t>Infowakat</w:t>
      </w:r>
      <w:bookmarkEnd w:id="158"/>
      <w:proofErr w:type="spellEnd"/>
    </w:p>
    <w:p w14:paraId="2DDABB3F" w14:textId="77777777" w:rsidR="00284822" w:rsidRDefault="00F77BF8">
      <w:pPr>
        <w:spacing w:before="120" w:after="120"/>
        <w:rPr>
          <w:rFonts w:ascii="Rockwell" w:hAnsi="Rockwell"/>
          <w:szCs w:val="26"/>
        </w:rPr>
      </w:pPr>
      <w:proofErr w:type="spellStart"/>
      <w:r>
        <w:rPr>
          <w:rFonts w:ascii="Rockwell" w:hAnsi="Rockwell"/>
          <w:szCs w:val="26"/>
        </w:rPr>
        <w:t>I</w:t>
      </w:r>
      <w:r>
        <w:rPr>
          <w:rFonts w:ascii="Rockwell" w:hAnsi="Rockwell"/>
          <w:i/>
          <w:szCs w:val="26"/>
        </w:rPr>
        <w:t>nfowakat</w:t>
      </w:r>
      <w:proofErr w:type="spellEnd"/>
      <w:r>
        <w:rPr>
          <w:rFonts w:ascii="Rockwell" w:hAnsi="Rockwell"/>
          <w:i/>
          <w:szCs w:val="26"/>
        </w:rPr>
        <w:t xml:space="preserve"> </w:t>
      </w:r>
      <w:r>
        <w:rPr>
          <w:rFonts w:ascii="Rockwell" w:hAnsi="Rockwell"/>
          <w:szCs w:val="26"/>
        </w:rPr>
        <w:t>a accordé 68 articles et 108 illustrations à 16 partis politiques dont on retrouve le classement dans le tableau qui suit.</w:t>
      </w:r>
    </w:p>
    <w:p w14:paraId="3B4E1C34" w14:textId="77777777" w:rsidR="00284822" w:rsidRDefault="00284822">
      <w:pPr>
        <w:spacing w:before="120" w:after="120"/>
        <w:rPr>
          <w:rFonts w:ascii="Rockwell" w:hAnsi="Rockwell"/>
          <w:sz w:val="10"/>
          <w:szCs w:val="10"/>
        </w:rPr>
      </w:pPr>
    </w:p>
    <w:p w14:paraId="3E9CD932" w14:textId="77777777" w:rsidR="00284822" w:rsidRDefault="00F77BF8">
      <w:pPr>
        <w:spacing w:before="120" w:after="120"/>
        <w:jc w:val="center"/>
        <w:rPr>
          <w:rFonts w:ascii="Rockwell" w:hAnsi="Rockwell"/>
          <w:i/>
          <w:sz w:val="20"/>
          <w:szCs w:val="20"/>
        </w:rPr>
      </w:pPr>
      <w:r>
        <w:rPr>
          <w:rFonts w:ascii="Rockwell" w:hAnsi="Rockwell"/>
          <w:b/>
          <w:sz w:val="20"/>
          <w:szCs w:val="20"/>
          <w:u w:val="single"/>
        </w:rPr>
        <w:t>Tableau 10 </w:t>
      </w:r>
      <w:r>
        <w:rPr>
          <w:rFonts w:ascii="Rockwell" w:hAnsi="Rockwell"/>
          <w:b/>
          <w:sz w:val="20"/>
          <w:szCs w:val="20"/>
        </w:rPr>
        <w:t>:</w:t>
      </w:r>
      <w:r>
        <w:rPr>
          <w:rFonts w:ascii="Rockwell" w:hAnsi="Rockwell"/>
          <w:i/>
          <w:sz w:val="20"/>
          <w:szCs w:val="20"/>
        </w:rPr>
        <w:t xml:space="preserve"> Classement des dix premiers partis politiques selon les NA et NI publiés dans </w:t>
      </w:r>
      <w:proofErr w:type="spellStart"/>
      <w:r>
        <w:rPr>
          <w:rFonts w:ascii="Rockwell" w:hAnsi="Rockwell"/>
          <w:i/>
          <w:sz w:val="20"/>
          <w:szCs w:val="20"/>
        </w:rPr>
        <w:t>infowakat</w:t>
      </w:r>
      <w:proofErr w:type="spellEnd"/>
    </w:p>
    <w:tbl>
      <w:tblPr>
        <w:tblW w:w="5895" w:type="pct"/>
        <w:tblInd w:w="-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77"/>
        <w:gridCol w:w="3515"/>
        <w:gridCol w:w="1984"/>
        <w:gridCol w:w="1560"/>
        <w:gridCol w:w="1275"/>
        <w:gridCol w:w="1345"/>
        <w:gridCol w:w="26"/>
      </w:tblGrid>
      <w:tr w:rsidR="00284822" w14:paraId="551FCE2A" w14:textId="77777777">
        <w:trPr>
          <w:trHeight w:val="351"/>
        </w:trPr>
        <w:tc>
          <w:tcPr>
            <w:tcW w:w="10656" w:type="dxa"/>
            <w:gridSpan w:val="6"/>
            <w:shd w:val="clear" w:color="auto" w:fill="BDD6EE"/>
            <w:noWrap/>
            <w:tcMar>
              <w:top w:w="0" w:type="dxa"/>
              <w:left w:w="108" w:type="dxa"/>
              <w:bottom w:w="0" w:type="dxa"/>
              <w:right w:w="108" w:type="dxa"/>
            </w:tcMar>
          </w:tcPr>
          <w:p w14:paraId="224538FE" w14:textId="77777777" w:rsidR="00284822" w:rsidRDefault="00F77BF8">
            <w:pPr>
              <w:spacing w:before="120" w:after="120"/>
              <w:jc w:val="center"/>
              <w:rPr>
                <w:rFonts w:ascii="Rockwell" w:hAnsi="Rockwell"/>
                <w:b/>
                <w:bCs/>
                <w:szCs w:val="26"/>
              </w:rPr>
            </w:pPr>
            <w:r>
              <w:rPr>
                <w:rFonts w:ascii="Rockwell" w:hAnsi="Rockwell"/>
                <w:b/>
                <w:bCs/>
                <w:szCs w:val="26"/>
              </w:rPr>
              <w:t>INFOWAKAT</w:t>
            </w:r>
          </w:p>
        </w:tc>
        <w:tc>
          <w:tcPr>
            <w:tcW w:w="26" w:type="dxa"/>
            <w:shd w:val="clear" w:color="auto" w:fill="auto"/>
            <w:tcMar>
              <w:top w:w="0" w:type="dxa"/>
              <w:left w:w="10" w:type="dxa"/>
              <w:bottom w:w="0" w:type="dxa"/>
              <w:right w:w="10" w:type="dxa"/>
            </w:tcMar>
          </w:tcPr>
          <w:p w14:paraId="54A83C58" w14:textId="77777777" w:rsidR="00284822" w:rsidRDefault="00284822">
            <w:pPr>
              <w:spacing w:before="120" w:after="120"/>
              <w:rPr>
                <w:rFonts w:ascii="Rockwell" w:hAnsi="Rockwell"/>
                <w:b/>
                <w:bCs/>
                <w:szCs w:val="26"/>
              </w:rPr>
            </w:pPr>
          </w:p>
        </w:tc>
      </w:tr>
      <w:tr w:rsidR="00284822" w14:paraId="07B6A470" w14:textId="77777777">
        <w:trPr>
          <w:trHeight w:val="457"/>
        </w:trPr>
        <w:tc>
          <w:tcPr>
            <w:tcW w:w="977" w:type="dxa"/>
            <w:shd w:val="clear" w:color="auto" w:fill="BDD6EE"/>
            <w:noWrap/>
            <w:tcMar>
              <w:top w:w="0" w:type="dxa"/>
              <w:left w:w="108" w:type="dxa"/>
              <w:bottom w:w="0" w:type="dxa"/>
              <w:right w:w="108" w:type="dxa"/>
            </w:tcMar>
            <w:vAlign w:val="center"/>
          </w:tcPr>
          <w:p w14:paraId="40350510" w14:textId="77777777" w:rsidR="00284822" w:rsidRDefault="00F77BF8">
            <w:pPr>
              <w:spacing w:before="120" w:after="120"/>
              <w:rPr>
                <w:rFonts w:ascii="Rockwell" w:hAnsi="Rockwell"/>
                <w:b/>
                <w:bCs/>
                <w:szCs w:val="26"/>
              </w:rPr>
            </w:pPr>
            <w:r>
              <w:rPr>
                <w:rFonts w:ascii="Rockwell" w:hAnsi="Rockwell" w:cs="Calibri"/>
                <w:b/>
                <w:bCs/>
                <w:color w:val="000000"/>
                <w:szCs w:val="26"/>
              </w:rPr>
              <w:t>Rang</w:t>
            </w:r>
          </w:p>
        </w:tc>
        <w:tc>
          <w:tcPr>
            <w:tcW w:w="3515" w:type="dxa"/>
            <w:shd w:val="clear" w:color="auto" w:fill="BDD6EE"/>
            <w:tcMar>
              <w:top w:w="0" w:type="dxa"/>
              <w:left w:w="108" w:type="dxa"/>
              <w:bottom w:w="0" w:type="dxa"/>
              <w:right w:w="108" w:type="dxa"/>
            </w:tcMar>
          </w:tcPr>
          <w:p w14:paraId="4D100E8E" w14:textId="7756EF74" w:rsidR="00284822" w:rsidRDefault="00746D14">
            <w:pPr>
              <w:spacing w:before="120" w:after="120"/>
              <w:jc w:val="center"/>
              <w:rPr>
                <w:rFonts w:ascii="Rockwell" w:hAnsi="Rockwell"/>
                <w:szCs w:val="26"/>
              </w:rPr>
            </w:pPr>
            <w:r>
              <w:rPr>
                <w:rFonts w:ascii="Rockwell" w:hAnsi="Rockwell"/>
                <w:b/>
                <w:bCs/>
              </w:rPr>
              <w:t>PARTIS</w:t>
            </w:r>
            <w:r w:rsidR="00F77BF8">
              <w:rPr>
                <w:rFonts w:ascii="Rockwell" w:hAnsi="Rockwell"/>
                <w:b/>
                <w:bCs/>
                <w:szCs w:val="26"/>
              </w:rPr>
              <w:t xml:space="preserve"> POLITIQUES</w:t>
            </w:r>
          </w:p>
        </w:tc>
        <w:tc>
          <w:tcPr>
            <w:tcW w:w="1984" w:type="dxa"/>
            <w:shd w:val="clear" w:color="auto" w:fill="BDD6EE"/>
            <w:tcMar>
              <w:top w:w="0" w:type="dxa"/>
              <w:left w:w="108" w:type="dxa"/>
              <w:bottom w:w="0" w:type="dxa"/>
              <w:right w:w="108" w:type="dxa"/>
            </w:tcMar>
          </w:tcPr>
          <w:p w14:paraId="7C0B2BF5" w14:textId="77777777" w:rsidR="00284822" w:rsidRDefault="00F77BF8">
            <w:pPr>
              <w:spacing w:before="120" w:after="120"/>
              <w:jc w:val="center"/>
              <w:rPr>
                <w:rFonts w:ascii="Rockwell" w:hAnsi="Rockwell"/>
                <w:b/>
                <w:szCs w:val="26"/>
              </w:rPr>
            </w:pPr>
            <w:r>
              <w:rPr>
                <w:rFonts w:ascii="Rockwell" w:hAnsi="Rockwell"/>
                <w:b/>
                <w:szCs w:val="26"/>
              </w:rPr>
              <w:t>NA</w:t>
            </w:r>
          </w:p>
        </w:tc>
        <w:tc>
          <w:tcPr>
            <w:tcW w:w="1560" w:type="dxa"/>
            <w:shd w:val="clear" w:color="auto" w:fill="BDD6EE"/>
            <w:tcMar>
              <w:top w:w="0" w:type="dxa"/>
              <w:left w:w="108" w:type="dxa"/>
              <w:bottom w:w="0" w:type="dxa"/>
              <w:right w:w="108" w:type="dxa"/>
            </w:tcMar>
          </w:tcPr>
          <w:p w14:paraId="53A2560E" w14:textId="77777777" w:rsidR="00284822" w:rsidRDefault="00F77BF8">
            <w:pPr>
              <w:spacing w:before="120" w:after="120"/>
              <w:jc w:val="center"/>
              <w:rPr>
                <w:rFonts w:ascii="Rockwell" w:hAnsi="Rockwell"/>
                <w:b/>
                <w:szCs w:val="26"/>
              </w:rPr>
            </w:pPr>
            <w:r>
              <w:rPr>
                <w:rFonts w:ascii="Rockwell" w:hAnsi="Rockwell"/>
                <w:b/>
                <w:szCs w:val="26"/>
              </w:rPr>
              <w:t>% NA</w:t>
            </w:r>
          </w:p>
        </w:tc>
        <w:tc>
          <w:tcPr>
            <w:tcW w:w="1275" w:type="dxa"/>
            <w:shd w:val="clear" w:color="auto" w:fill="BDD6EE"/>
            <w:tcMar>
              <w:top w:w="0" w:type="dxa"/>
              <w:left w:w="108" w:type="dxa"/>
              <w:bottom w:w="0" w:type="dxa"/>
              <w:right w:w="108" w:type="dxa"/>
            </w:tcMar>
          </w:tcPr>
          <w:p w14:paraId="15CC4143" w14:textId="77777777" w:rsidR="00284822" w:rsidRDefault="00F77BF8">
            <w:pPr>
              <w:spacing w:before="120" w:after="120"/>
              <w:jc w:val="center"/>
              <w:rPr>
                <w:rFonts w:ascii="Rockwell" w:hAnsi="Rockwell"/>
                <w:b/>
                <w:szCs w:val="26"/>
              </w:rPr>
            </w:pPr>
            <w:r>
              <w:rPr>
                <w:rFonts w:ascii="Rockwell" w:hAnsi="Rockwell"/>
                <w:b/>
                <w:szCs w:val="26"/>
              </w:rPr>
              <w:t>NI</w:t>
            </w:r>
          </w:p>
        </w:tc>
        <w:tc>
          <w:tcPr>
            <w:tcW w:w="1345" w:type="dxa"/>
            <w:shd w:val="clear" w:color="auto" w:fill="BDD6EE"/>
            <w:tcMar>
              <w:top w:w="0" w:type="dxa"/>
              <w:left w:w="108" w:type="dxa"/>
              <w:bottom w:w="0" w:type="dxa"/>
              <w:right w:w="108" w:type="dxa"/>
            </w:tcMar>
          </w:tcPr>
          <w:p w14:paraId="57F06993" w14:textId="77777777" w:rsidR="00284822" w:rsidRDefault="00F77BF8">
            <w:pPr>
              <w:spacing w:before="120" w:after="120"/>
              <w:jc w:val="center"/>
              <w:rPr>
                <w:rFonts w:ascii="Rockwell" w:hAnsi="Rockwell"/>
                <w:b/>
                <w:szCs w:val="26"/>
              </w:rPr>
            </w:pPr>
            <w:r>
              <w:rPr>
                <w:rFonts w:ascii="Rockwell" w:hAnsi="Rockwell"/>
                <w:b/>
                <w:szCs w:val="26"/>
              </w:rPr>
              <w:t>% NI</w:t>
            </w:r>
          </w:p>
        </w:tc>
        <w:tc>
          <w:tcPr>
            <w:tcW w:w="26" w:type="dxa"/>
            <w:shd w:val="clear" w:color="auto" w:fill="auto"/>
            <w:tcMar>
              <w:top w:w="0" w:type="dxa"/>
              <w:left w:w="10" w:type="dxa"/>
              <w:bottom w:w="0" w:type="dxa"/>
              <w:right w:w="10" w:type="dxa"/>
            </w:tcMar>
          </w:tcPr>
          <w:p w14:paraId="3D0F1C1F" w14:textId="77777777" w:rsidR="00284822" w:rsidRDefault="00284822">
            <w:pPr>
              <w:spacing w:before="120" w:after="120"/>
              <w:rPr>
                <w:rFonts w:ascii="Rockwell" w:hAnsi="Rockwell"/>
                <w:b/>
                <w:szCs w:val="26"/>
              </w:rPr>
            </w:pPr>
          </w:p>
        </w:tc>
      </w:tr>
      <w:tr w:rsidR="00284822" w14:paraId="004ED5AA" w14:textId="77777777">
        <w:trPr>
          <w:trHeight w:val="70"/>
        </w:trPr>
        <w:tc>
          <w:tcPr>
            <w:tcW w:w="977" w:type="dxa"/>
            <w:shd w:val="clear" w:color="auto" w:fill="FFFFFF"/>
            <w:noWrap/>
            <w:tcMar>
              <w:top w:w="0" w:type="dxa"/>
              <w:left w:w="108" w:type="dxa"/>
              <w:bottom w:w="0" w:type="dxa"/>
              <w:right w:w="108" w:type="dxa"/>
            </w:tcMar>
            <w:vAlign w:val="bottom"/>
          </w:tcPr>
          <w:p w14:paraId="04CF01A2" w14:textId="77777777" w:rsidR="00284822" w:rsidRDefault="00F77BF8">
            <w:pPr>
              <w:spacing w:before="120" w:after="120"/>
              <w:rPr>
                <w:rFonts w:ascii="Rockwell" w:hAnsi="Rockwell"/>
                <w:szCs w:val="26"/>
              </w:rPr>
            </w:pPr>
            <w:r>
              <w:rPr>
                <w:rFonts w:ascii="Rockwell" w:hAnsi="Rockwell"/>
                <w:bCs/>
                <w:szCs w:val="26"/>
              </w:rPr>
              <w:t>1</w:t>
            </w:r>
            <w:r>
              <w:rPr>
                <w:rFonts w:ascii="Rockwell" w:hAnsi="Rockwell"/>
                <w:bCs/>
                <w:szCs w:val="26"/>
                <w:vertAlign w:val="superscript"/>
              </w:rPr>
              <w:t>er</w:t>
            </w:r>
          </w:p>
        </w:tc>
        <w:tc>
          <w:tcPr>
            <w:tcW w:w="3515" w:type="dxa"/>
            <w:shd w:val="clear" w:color="auto" w:fill="auto"/>
            <w:tcMar>
              <w:top w:w="0" w:type="dxa"/>
              <w:left w:w="108" w:type="dxa"/>
              <w:bottom w:w="0" w:type="dxa"/>
              <w:right w:w="108" w:type="dxa"/>
            </w:tcMar>
          </w:tcPr>
          <w:p w14:paraId="147E4606" w14:textId="77777777" w:rsidR="00284822" w:rsidRDefault="00F77BF8">
            <w:pPr>
              <w:spacing w:before="120" w:after="120"/>
              <w:jc w:val="center"/>
              <w:rPr>
                <w:rFonts w:ascii="Rockwell" w:hAnsi="Rockwell"/>
                <w:b/>
                <w:szCs w:val="26"/>
              </w:rPr>
            </w:pPr>
            <w:r>
              <w:rPr>
                <w:rFonts w:ascii="Rockwell" w:hAnsi="Rockwell"/>
                <w:b/>
                <w:szCs w:val="26"/>
              </w:rPr>
              <w:t>MPP</w:t>
            </w:r>
          </w:p>
        </w:tc>
        <w:tc>
          <w:tcPr>
            <w:tcW w:w="1984" w:type="dxa"/>
            <w:shd w:val="clear" w:color="auto" w:fill="auto"/>
            <w:tcMar>
              <w:top w:w="0" w:type="dxa"/>
              <w:left w:w="108" w:type="dxa"/>
              <w:bottom w:w="0" w:type="dxa"/>
              <w:right w:w="108" w:type="dxa"/>
            </w:tcMar>
          </w:tcPr>
          <w:p w14:paraId="4B510110" w14:textId="77777777" w:rsidR="00284822" w:rsidRDefault="00F77BF8">
            <w:pPr>
              <w:spacing w:before="120" w:after="120"/>
              <w:jc w:val="center"/>
              <w:rPr>
                <w:rFonts w:ascii="Rockwell" w:hAnsi="Rockwell"/>
                <w:szCs w:val="26"/>
              </w:rPr>
            </w:pPr>
            <w:r>
              <w:rPr>
                <w:rFonts w:ascii="Rockwell" w:hAnsi="Rockwell"/>
                <w:szCs w:val="26"/>
              </w:rPr>
              <w:t>19</w:t>
            </w:r>
          </w:p>
        </w:tc>
        <w:tc>
          <w:tcPr>
            <w:tcW w:w="1560" w:type="dxa"/>
            <w:shd w:val="clear" w:color="auto" w:fill="auto"/>
            <w:tcMar>
              <w:top w:w="0" w:type="dxa"/>
              <w:left w:w="108" w:type="dxa"/>
              <w:bottom w:w="0" w:type="dxa"/>
              <w:right w:w="108" w:type="dxa"/>
            </w:tcMar>
          </w:tcPr>
          <w:p w14:paraId="7DA29515" w14:textId="77777777" w:rsidR="00284822" w:rsidRDefault="00F77BF8">
            <w:pPr>
              <w:spacing w:before="120" w:after="120"/>
              <w:jc w:val="center"/>
              <w:rPr>
                <w:rFonts w:ascii="Rockwell" w:hAnsi="Rockwell"/>
                <w:szCs w:val="26"/>
              </w:rPr>
            </w:pPr>
            <w:r>
              <w:rPr>
                <w:rFonts w:ascii="Rockwell" w:hAnsi="Rockwell"/>
                <w:szCs w:val="26"/>
              </w:rPr>
              <w:t>27,94%</w:t>
            </w:r>
          </w:p>
        </w:tc>
        <w:tc>
          <w:tcPr>
            <w:tcW w:w="1275" w:type="dxa"/>
            <w:shd w:val="clear" w:color="auto" w:fill="auto"/>
            <w:tcMar>
              <w:top w:w="0" w:type="dxa"/>
              <w:left w:w="108" w:type="dxa"/>
              <w:bottom w:w="0" w:type="dxa"/>
              <w:right w:w="108" w:type="dxa"/>
            </w:tcMar>
          </w:tcPr>
          <w:p w14:paraId="613E3166" w14:textId="77777777" w:rsidR="00284822" w:rsidRDefault="00F77BF8">
            <w:pPr>
              <w:spacing w:before="120" w:after="120"/>
              <w:jc w:val="center"/>
              <w:rPr>
                <w:rFonts w:ascii="Rockwell" w:hAnsi="Rockwell"/>
                <w:szCs w:val="26"/>
              </w:rPr>
            </w:pPr>
            <w:r>
              <w:rPr>
                <w:rFonts w:ascii="Rockwell" w:hAnsi="Rockwell"/>
                <w:szCs w:val="26"/>
              </w:rPr>
              <w:t>42</w:t>
            </w:r>
          </w:p>
        </w:tc>
        <w:tc>
          <w:tcPr>
            <w:tcW w:w="1345" w:type="dxa"/>
            <w:shd w:val="clear" w:color="auto" w:fill="auto"/>
            <w:tcMar>
              <w:top w:w="0" w:type="dxa"/>
              <w:left w:w="108" w:type="dxa"/>
              <w:bottom w:w="0" w:type="dxa"/>
              <w:right w:w="108" w:type="dxa"/>
            </w:tcMar>
          </w:tcPr>
          <w:p w14:paraId="29FA101D" w14:textId="77777777" w:rsidR="00284822" w:rsidRDefault="00F77BF8">
            <w:pPr>
              <w:spacing w:before="120" w:after="120"/>
              <w:jc w:val="center"/>
              <w:rPr>
                <w:rFonts w:ascii="Rockwell" w:hAnsi="Rockwell"/>
                <w:szCs w:val="26"/>
              </w:rPr>
            </w:pPr>
            <w:r>
              <w:rPr>
                <w:rFonts w:ascii="Rockwell" w:hAnsi="Rockwell"/>
                <w:szCs w:val="26"/>
              </w:rPr>
              <w:t>38,89%</w:t>
            </w:r>
          </w:p>
        </w:tc>
        <w:tc>
          <w:tcPr>
            <w:tcW w:w="26" w:type="dxa"/>
            <w:shd w:val="clear" w:color="auto" w:fill="auto"/>
            <w:tcMar>
              <w:top w:w="0" w:type="dxa"/>
              <w:left w:w="10" w:type="dxa"/>
              <w:bottom w:w="0" w:type="dxa"/>
              <w:right w:w="10" w:type="dxa"/>
            </w:tcMar>
            <w:vAlign w:val="center"/>
          </w:tcPr>
          <w:p w14:paraId="7948FE40" w14:textId="77777777" w:rsidR="00284822" w:rsidRDefault="00284822">
            <w:pPr>
              <w:spacing w:before="120" w:after="120"/>
              <w:rPr>
                <w:rFonts w:ascii="Rockwell" w:hAnsi="Rockwell"/>
                <w:szCs w:val="26"/>
              </w:rPr>
            </w:pPr>
          </w:p>
        </w:tc>
      </w:tr>
      <w:tr w:rsidR="00284822" w14:paraId="2AE83E3E" w14:textId="77777777">
        <w:trPr>
          <w:trHeight w:val="70"/>
        </w:trPr>
        <w:tc>
          <w:tcPr>
            <w:tcW w:w="977" w:type="dxa"/>
            <w:shd w:val="clear" w:color="auto" w:fill="FFFFFF"/>
            <w:noWrap/>
            <w:tcMar>
              <w:top w:w="0" w:type="dxa"/>
              <w:left w:w="108" w:type="dxa"/>
              <w:bottom w:w="0" w:type="dxa"/>
              <w:right w:w="108" w:type="dxa"/>
            </w:tcMar>
            <w:vAlign w:val="bottom"/>
          </w:tcPr>
          <w:p w14:paraId="6B678A56" w14:textId="77777777" w:rsidR="00284822" w:rsidRDefault="00F77BF8">
            <w:pPr>
              <w:spacing w:before="120" w:after="120"/>
              <w:rPr>
                <w:rFonts w:ascii="Rockwell" w:hAnsi="Rockwell"/>
                <w:szCs w:val="26"/>
              </w:rPr>
            </w:pPr>
            <w:r>
              <w:rPr>
                <w:rFonts w:ascii="Rockwell" w:hAnsi="Rockwell"/>
                <w:bCs/>
                <w:szCs w:val="26"/>
              </w:rPr>
              <w:t>2</w:t>
            </w:r>
            <w:r>
              <w:rPr>
                <w:rFonts w:ascii="Rockwell" w:hAnsi="Rockwell"/>
                <w:bCs/>
                <w:szCs w:val="26"/>
                <w:vertAlign w:val="superscript"/>
              </w:rPr>
              <w:t>e</w:t>
            </w:r>
          </w:p>
        </w:tc>
        <w:tc>
          <w:tcPr>
            <w:tcW w:w="3515" w:type="dxa"/>
            <w:shd w:val="clear" w:color="auto" w:fill="auto"/>
            <w:tcMar>
              <w:top w:w="0" w:type="dxa"/>
              <w:left w:w="108" w:type="dxa"/>
              <w:bottom w:w="0" w:type="dxa"/>
              <w:right w:w="108" w:type="dxa"/>
            </w:tcMar>
          </w:tcPr>
          <w:p w14:paraId="7E32EC31" w14:textId="77777777" w:rsidR="00284822" w:rsidRDefault="00F77BF8">
            <w:pPr>
              <w:spacing w:before="120" w:after="120"/>
              <w:jc w:val="center"/>
              <w:rPr>
                <w:rFonts w:ascii="Rockwell" w:hAnsi="Rockwell"/>
                <w:b/>
                <w:szCs w:val="26"/>
              </w:rPr>
            </w:pPr>
            <w:r>
              <w:rPr>
                <w:rFonts w:ascii="Rockwell" w:hAnsi="Rockwell"/>
                <w:b/>
                <w:szCs w:val="26"/>
              </w:rPr>
              <w:t>CDP</w:t>
            </w:r>
          </w:p>
        </w:tc>
        <w:tc>
          <w:tcPr>
            <w:tcW w:w="1984" w:type="dxa"/>
            <w:shd w:val="clear" w:color="auto" w:fill="auto"/>
            <w:tcMar>
              <w:top w:w="0" w:type="dxa"/>
              <w:left w:w="108" w:type="dxa"/>
              <w:bottom w:w="0" w:type="dxa"/>
              <w:right w:w="108" w:type="dxa"/>
            </w:tcMar>
          </w:tcPr>
          <w:p w14:paraId="029C120F" w14:textId="77777777" w:rsidR="00284822" w:rsidRDefault="00F77BF8">
            <w:pPr>
              <w:spacing w:before="120" w:after="120"/>
              <w:jc w:val="center"/>
              <w:rPr>
                <w:rFonts w:ascii="Rockwell" w:hAnsi="Rockwell"/>
                <w:szCs w:val="26"/>
              </w:rPr>
            </w:pPr>
            <w:r>
              <w:rPr>
                <w:rFonts w:ascii="Rockwell" w:hAnsi="Rockwell"/>
                <w:szCs w:val="26"/>
              </w:rPr>
              <w:t>12</w:t>
            </w:r>
          </w:p>
        </w:tc>
        <w:tc>
          <w:tcPr>
            <w:tcW w:w="1560" w:type="dxa"/>
            <w:shd w:val="clear" w:color="auto" w:fill="auto"/>
            <w:tcMar>
              <w:top w:w="0" w:type="dxa"/>
              <w:left w:w="108" w:type="dxa"/>
              <w:bottom w:w="0" w:type="dxa"/>
              <w:right w:w="108" w:type="dxa"/>
            </w:tcMar>
          </w:tcPr>
          <w:p w14:paraId="386D7F79" w14:textId="77777777" w:rsidR="00284822" w:rsidRDefault="00F77BF8">
            <w:pPr>
              <w:spacing w:before="120" w:after="120"/>
              <w:jc w:val="center"/>
              <w:rPr>
                <w:rFonts w:ascii="Rockwell" w:hAnsi="Rockwell"/>
                <w:szCs w:val="26"/>
              </w:rPr>
            </w:pPr>
            <w:r>
              <w:rPr>
                <w:rFonts w:ascii="Rockwell" w:hAnsi="Rockwell"/>
                <w:szCs w:val="26"/>
              </w:rPr>
              <w:t>17,65%</w:t>
            </w:r>
          </w:p>
        </w:tc>
        <w:tc>
          <w:tcPr>
            <w:tcW w:w="1275" w:type="dxa"/>
            <w:shd w:val="clear" w:color="auto" w:fill="auto"/>
            <w:tcMar>
              <w:top w:w="0" w:type="dxa"/>
              <w:left w:w="108" w:type="dxa"/>
              <w:bottom w:w="0" w:type="dxa"/>
              <w:right w:w="108" w:type="dxa"/>
            </w:tcMar>
          </w:tcPr>
          <w:p w14:paraId="5BC01D60" w14:textId="77777777" w:rsidR="00284822" w:rsidRDefault="00F77BF8">
            <w:pPr>
              <w:spacing w:before="120" w:after="120"/>
              <w:jc w:val="center"/>
              <w:rPr>
                <w:rFonts w:ascii="Rockwell" w:hAnsi="Rockwell"/>
                <w:szCs w:val="26"/>
              </w:rPr>
            </w:pPr>
            <w:r>
              <w:rPr>
                <w:rFonts w:ascii="Rockwell" w:hAnsi="Rockwell"/>
                <w:szCs w:val="26"/>
              </w:rPr>
              <w:t>17</w:t>
            </w:r>
          </w:p>
        </w:tc>
        <w:tc>
          <w:tcPr>
            <w:tcW w:w="1345" w:type="dxa"/>
            <w:shd w:val="clear" w:color="auto" w:fill="auto"/>
            <w:tcMar>
              <w:top w:w="0" w:type="dxa"/>
              <w:left w:w="108" w:type="dxa"/>
              <w:bottom w:w="0" w:type="dxa"/>
              <w:right w:w="108" w:type="dxa"/>
            </w:tcMar>
          </w:tcPr>
          <w:p w14:paraId="7433C33D" w14:textId="77777777" w:rsidR="00284822" w:rsidRDefault="00F77BF8">
            <w:pPr>
              <w:spacing w:before="120" w:after="120"/>
              <w:jc w:val="center"/>
              <w:rPr>
                <w:rFonts w:ascii="Rockwell" w:hAnsi="Rockwell"/>
                <w:szCs w:val="26"/>
              </w:rPr>
            </w:pPr>
            <w:r>
              <w:rPr>
                <w:rFonts w:ascii="Rockwell" w:hAnsi="Rockwell"/>
                <w:szCs w:val="26"/>
              </w:rPr>
              <w:t>15,74%</w:t>
            </w:r>
          </w:p>
        </w:tc>
        <w:tc>
          <w:tcPr>
            <w:tcW w:w="26" w:type="dxa"/>
            <w:shd w:val="clear" w:color="auto" w:fill="auto"/>
            <w:tcMar>
              <w:top w:w="0" w:type="dxa"/>
              <w:left w:w="10" w:type="dxa"/>
              <w:bottom w:w="0" w:type="dxa"/>
              <w:right w:w="10" w:type="dxa"/>
            </w:tcMar>
            <w:vAlign w:val="center"/>
          </w:tcPr>
          <w:p w14:paraId="00D5F36D" w14:textId="77777777" w:rsidR="00284822" w:rsidRDefault="00284822">
            <w:pPr>
              <w:spacing w:before="120" w:after="120"/>
              <w:rPr>
                <w:rFonts w:ascii="Rockwell" w:hAnsi="Rockwell"/>
                <w:szCs w:val="26"/>
              </w:rPr>
            </w:pPr>
          </w:p>
        </w:tc>
      </w:tr>
      <w:tr w:rsidR="00284822" w14:paraId="7CD63480" w14:textId="77777777">
        <w:trPr>
          <w:trHeight w:val="70"/>
        </w:trPr>
        <w:tc>
          <w:tcPr>
            <w:tcW w:w="977" w:type="dxa"/>
            <w:shd w:val="clear" w:color="auto" w:fill="FFFFFF"/>
            <w:noWrap/>
            <w:tcMar>
              <w:top w:w="0" w:type="dxa"/>
              <w:left w:w="108" w:type="dxa"/>
              <w:bottom w:w="0" w:type="dxa"/>
              <w:right w:w="108" w:type="dxa"/>
            </w:tcMar>
            <w:vAlign w:val="bottom"/>
          </w:tcPr>
          <w:p w14:paraId="2AA8995B" w14:textId="77777777" w:rsidR="00284822" w:rsidRDefault="00F77BF8">
            <w:pPr>
              <w:spacing w:before="120" w:after="120"/>
              <w:rPr>
                <w:rFonts w:ascii="Rockwell" w:hAnsi="Rockwell"/>
                <w:szCs w:val="26"/>
              </w:rPr>
            </w:pPr>
            <w:r>
              <w:rPr>
                <w:rFonts w:ascii="Rockwell" w:hAnsi="Rockwell"/>
                <w:bCs/>
                <w:szCs w:val="26"/>
              </w:rPr>
              <w:t>3</w:t>
            </w:r>
            <w:r>
              <w:rPr>
                <w:rFonts w:ascii="Rockwell" w:hAnsi="Rockwell"/>
                <w:bCs/>
                <w:szCs w:val="26"/>
                <w:vertAlign w:val="superscript"/>
              </w:rPr>
              <w:t>e</w:t>
            </w:r>
          </w:p>
        </w:tc>
        <w:tc>
          <w:tcPr>
            <w:tcW w:w="3515" w:type="dxa"/>
            <w:shd w:val="clear" w:color="auto" w:fill="auto"/>
            <w:tcMar>
              <w:top w:w="0" w:type="dxa"/>
              <w:left w:w="108" w:type="dxa"/>
              <w:bottom w:w="0" w:type="dxa"/>
              <w:right w:w="108" w:type="dxa"/>
            </w:tcMar>
          </w:tcPr>
          <w:p w14:paraId="21100C51" w14:textId="77777777" w:rsidR="00284822" w:rsidRDefault="00F77BF8">
            <w:pPr>
              <w:spacing w:before="120" w:after="120"/>
              <w:jc w:val="center"/>
              <w:rPr>
                <w:rFonts w:ascii="Rockwell" w:hAnsi="Rockwell"/>
                <w:b/>
                <w:szCs w:val="26"/>
              </w:rPr>
            </w:pPr>
            <w:r>
              <w:rPr>
                <w:rFonts w:ascii="Rockwell" w:hAnsi="Rockwell"/>
                <w:b/>
                <w:szCs w:val="26"/>
              </w:rPr>
              <w:t>UNIR/MPS</w:t>
            </w:r>
          </w:p>
        </w:tc>
        <w:tc>
          <w:tcPr>
            <w:tcW w:w="1984" w:type="dxa"/>
            <w:shd w:val="clear" w:color="auto" w:fill="auto"/>
            <w:tcMar>
              <w:top w:w="0" w:type="dxa"/>
              <w:left w:w="108" w:type="dxa"/>
              <w:bottom w:w="0" w:type="dxa"/>
              <w:right w:w="108" w:type="dxa"/>
            </w:tcMar>
          </w:tcPr>
          <w:p w14:paraId="7FB54FDC" w14:textId="77777777" w:rsidR="00284822" w:rsidRDefault="00F77BF8">
            <w:pPr>
              <w:spacing w:before="120" w:after="120"/>
              <w:jc w:val="center"/>
              <w:rPr>
                <w:rFonts w:ascii="Rockwell" w:hAnsi="Rockwell"/>
                <w:szCs w:val="26"/>
              </w:rPr>
            </w:pPr>
            <w:r>
              <w:rPr>
                <w:rFonts w:ascii="Rockwell" w:hAnsi="Rockwell"/>
                <w:szCs w:val="26"/>
              </w:rPr>
              <w:t>10</w:t>
            </w:r>
          </w:p>
        </w:tc>
        <w:tc>
          <w:tcPr>
            <w:tcW w:w="1560" w:type="dxa"/>
            <w:shd w:val="clear" w:color="auto" w:fill="auto"/>
            <w:tcMar>
              <w:top w:w="0" w:type="dxa"/>
              <w:left w:w="108" w:type="dxa"/>
              <w:bottom w:w="0" w:type="dxa"/>
              <w:right w:w="108" w:type="dxa"/>
            </w:tcMar>
          </w:tcPr>
          <w:p w14:paraId="69C5979A" w14:textId="77777777" w:rsidR="00284822" w:rsidRDefault="00F77BF8">
            <w:pPr>
              <w:spacing w:before="120" w:after="120"/>
              <w:jc w:val="center"/>
              <w:rPr>
                <w:rFonts w:ascii="Rockwell" w:hAnsi="Rockwell"/>
                <w:szCs w:val="26"/>
              </w:rPr>
            </w:pPr>
            <w:r>
              <w:rPr>
                <w:rFonts w:ascii="Rockwell" w:hAnsi="Rockwell"/>
                <w:szCs w:val="26"/>
              </w:rPr>
              <w:t>14,71%</w:t>
            </w:r>
          </w:p>
        </w:tc>
        <w:tc>
          <w:tcPr>
            <w:tcW w:w="1275" w:type="dxa"/>
            <w:shd w:val="clear" w:color="auto" w:fill="auto"/>
            <w:tcMar>
              <w:top w:w="0" w:type="dxa"/>
              <w:left w:w="108" w:type="dxa"/>
              <w:bottom w:w="0" w:type="dxa"/>
              <w:right w:w="108" w:type="dxa"/>
            </w:tcMar>
          </w:tcPr>
          <w:p w14:paraId="5C55EE19" w14:textId="77777777" w:rsidR="00284822" w:rsidRDefault="00F77BF8">
            <w:pPr>
              <w:spacing w:before="120" w:after="120"/>
              <w:jc w:val="center"/>
              <w:rPr>
                <w:rFonts w:ascii="Rockwell" w:hAnsi="Rockwell"/>
                <w:szCs w:val="26"/>
              </w:rPr>
            </w:pPr>
            <w:r>
              <w:rPr>
                <w:rFonts w:ascii="Rockwell" w:hAnsi="Rockwell"/>
                <w:szCs w:val="26"/>
              </w:rPr>
              <w:t>11</w:t>
            </w:r>
          </w:p>
        </w:tc>
        <w:tc>
          <w:tcPr>
            <w:tcW w:w="1345" w:type="dxa"/>
            <w:shd w:val="clear" w:color="auto" w:fill="auto"/>
            <w:tcMar>
              <w:top w:w="0" w:type="dxa"/>
              <w:left w:w="108" w:type="dxa"/>
              <w:bottom w:w="0" w:type="dxa"/>
              <w:right w:w="108" w:type="dxa"/>
            </w:tcMar>
          </w:tcPr>
          <w:p w14:paraId="679C1849" w14:textId="77777777" w:rsidR="00284822" w:rsidRDefault="00F77BF8">
            <w:pPr>
              <w:spacing w:before="120" w:after="120"/>
              <w:jc w:val="center"/>
              <w:rPr>
                <w:rFonts w:ascii="Rockwell" w:hAnsi="Rockwell"/>
                <w:szCs w:val="26"/>
              </w:rPr>
            </w:pPr>
            <w:r>
              <w:rPr>
                <w:rFonts w:ascii="Rockwell" w:hAnsi="Rockwell"/>
                <w:szCs w:val="26"/>
              </w:rPr>
              <w:t>10,19%</w:t>
            </w:r>
          </w:p>
        </w:tc>
        <w:tc>
          <w:tcPr>
            <w:tcW w:w="26" w:type="dxa"/>
            <w:shd w:val="clear" w:color="auto" w:fill="auto"/>
            <w:tcMar>
              <w:top w:w="0" w:type="dxa"/>
              <w:left w:w="10" w:type="dxa"/>
              <w:bottom w:w="0" w:type="dxa"/>
              <w:right w:w="10" w:type="dxa"/>
            </w:tcMar>
            <w:vAlign w:val="center"/>
          </w:tcPr>
          <w:p w14:paraId="6A5C953D" w14:textId="77777777" w:rsidR="00284822" w:rsidRDefault="00284822">
            <w:pPr>
              <w:spacing w:before="120" w:after="120"/>
              <w:rPr>
                <w:rFonts w:ascii="Rockwell" w:hAnsi="Rockwell"/>
                <w:szCs w:val="26"/>
              </w:rPr>
            </w:pPr>
          </w:p>
        </w:tc>
      </w:tr>
      <w:tr w:rsidR="00284822" w14:paraId="09A65749" w14:textId="77777777">
        <w:trPr>
          <w:trHeight w:val="70"/>
        </w:trPr>
        <w:tc>
          <w:tcPr>
            <w:tcW w:w="977" w:type="dxa"/>
            <w:shd w:val="clear" w:color="auto" w:fill="FFFFFF"/>
            <w:noWrap/>
            <w:tcMar>
              <w:top w:w="0" w:type="dxa"/>
              <w:left w:w="108" w:type="dxa"/>
              <w:bottom w:w="0" w:type="dxa"/>
              <w:right w:w="108" w:type="dxa"/>
            </w:tcMar>
            <w:vAlign w:val="bottom"/>
          </w:tcPr>
          <w:p w14:paraId="40A90F8E" w14:textId="77777777" w:rsidR="00284822" w:rsidRDefault="00F77BF8">
            <w:pPr>
              <w:spacing w:before="120" w:after="120"/>
              <w:rPr>
                <w:rFonts w:ascii="Rockwell" w:hAnsi="Rockwell"/>
                <w:szCs w:val="26"/>
              </w:rPr>
            </w:pPr>
            <w:r>
              <w:rPr>
                <w:rFonts w:ascii="Rockwell" w:hAnsi="Rockwell"/>
                <w:bCs/>
                <w:szCs w:val="26"/>
              </w:rPr>
              <w:t>4</w:t>
            </w:r>
            <w:r>
              <w:rPr>
                <w:rFonts w:ascii="Rockwell" w:hAnsi="Rockwell"/>
                <w:bCs/>
                <w:szCs w:val="26"/>
                <w:vertAlign w:val="superscript"/>
              </w:rPr>
              <w:t>e</w:t>
            </w:r>
          </w:p>
        </w:tc>
        <w:tc>
          <w:tcPr>
            <w:tcW w:w="3515" w:type="dxa"/>
            <w:shd w:val="clear" w:color="auto" w:fill="auto"/>
            <w:tcMar>
              <w:top w:w="0" w:type="dxa"/>
              <w:left w:w="108" w:type="dxa"/>
              <w:bottom w:w="0" w:type="dxa"/>
              <w:right w:w="108" w:type="dxa"/>
            </w:tcMar>
          </w:tcPr>
          <w:p w14:paraId="30C69A92" w14:textId="77777777" w:rsidR="00284822" w:rsidRDefault="00F77BF8">
            <w:pPr>
              <w:spacing w:before="120" w:after="120"/>
              <w:jc w:val="center"/>
              <w:rPr>
                <w:rFonts w:ascii="Rockwell" w:hAnsi="Rockwell"/>
                <w:b/>
                <w:szCs w:val="26"/>
              </w:rPr>
            </w:pPr>
            <w:r>
              <w:rPr>
                <w:rFonts w:ascii="Rockwell" w:hAnsi="Rockwell"/>
                <w:b/>
                <w:szCs w:val="26"/>
              </w:rPr>
              <w:t>UPC</w:t>
            </w:r>
          </w:p>
        </w:tc>
        <w:tc>
          <w:tcPr>
            <w:tcW w:w="1984" w:type="dxa"/>
            <w:shd w:val="clear" w:color="auto" w:fill="auto"/>
            <w:tcMar>
              <w:top w:w="0" w:type="dxa"/>
              <w:left w:w="108" w:type="dxa"/>
              <w:bottom w:w="0" w:type="dxa"/>
              <w:right w:w="108" w:type="dxa"/>
            </w:tcMar>
          </w:tcPr>
          <w:p w14:paraId="4E24A0AA" w14:textId="77777777" w:rsidR="00284822" w:rsidRDefault="00F77BF8">
            <w:pPr>
              <w:spacing w:before="120" w:after="120"/>
              <w:jc w:val="center"/>
              <w:rPr>
                <w:rFonts w:ascii="Rockwell" w:hAnsi="Rockwell"/>
                <w:szCs w:val="26"/>
              </w:rPr>
            </w:pPr>
            <w:r>
              <w:rPr>
                <w:rFonts w:ascii="Rockwell" w:hAnsi="Rockwell"/>
                <w:szCs w:val="26"/>
              </w:rPr>
              <w:t>6</w:t>
            </w:r>
          </w:p>
        </w:tc>
        <w:tc>
          <w:tcPr>
            <w:tcW w:w="1560" w:type="dxa"/>
            <w:shd w:val="clear" w:color="auto" w:fill="auto"/>
            <w:tcMar>
              <w:top w:w="0" w:type="dxa"/>
              <w:left w:w="108" w:type="dxa"/>
              <w:bottom w:w="0" w:type="dxa"/>
              <w:right w:w="108" w:type="dxa"/>
            </w:tcMar>
          </w:tcPr>
          <w:p w14:paraId="6E347A7D" w14:textId="77777777" w:rsidR="00284822" w:rsidRDefault="00F77BF8">
            <w:pPr>
              <w:spacing w:before="120" w:after="120"/>
              <w:jc w:val="center"/>
              <w:rPr>
                <w:rFonts w:ascii="Rockwell" w:hAnsi="Rockwell"/>
                <w:szCs w:val="26"/>
              </w:rPr>
            </w:pPr>
            <w:r>
              <w:rPr>
                <w:rFonts w:ascii="Rockwell" w:hAnsi="Rockwell"/>
                <w:szCs w:val="26"/>
              </w:rPr>
              <w:t>8,82%</w:t>
            </w:r>
          </w:p>
        </w:tc>
        <w:tc>
          <w:tcPr>
            <w:tcW w:w="1275" w:type="dxa"/>
            <w:shd w:val="clear" w:color="auto" w:fill="auto"/>
            <w:tcMar>
              <w:top w:w="0" w:type="dxa"/>
              <w:left w:w="108" w:type="dxa"/>
              <w:bottom w:w="0" w:type="dxa"/>
              <w:right w:w="108" w:type="dxa"/>
            </w:tcMar>
          </w:tcPr>
          <w:p w14:paraId="6E4BFA5A" w14:textId="77777777" w:rsidR="00284822" w:rsidRDefault="00F77BF8">
            <w:pPr>
              <w:spacing w:before="120" w:after="120"/>
              <w:jc w:val="center"/>
              <w:rPr>
                <w:rFonts w:ascii="Rockwell" w:hAnsi="Rockwell"/>
                <w:szCs w:val="26"/>
              </w:rPr>
            </w:pPr>
            <w:r>
              <w:rPr>
                <w:rFonts w:ascii="Rockwell" w:hAnsi="Rockwell"/>
                <w:szCs w:val="26"/>
              </w:rPr>
              <w:t>12</w:t>
            </w:r>
          </w:p>
        </w:tc>
        <w:tc>
          <w:tcPr>
            <w:tcW w:w="1345" w:type="dxa"/>
            <w:shd w:val="clear" w:color="auto" w:fill="auto"/>
            <w:tcMar>
              <w:top w:w="0" w:type="dxa"/>
              <w:left w:w="108" w:type="dxa"/>
              <w:bottom w:w="0" w:type="dxa"/>
              <w:right w:w="108" w:type="dxa"/>
            </w:tcMar>
          </w:tcPr>
          <w:p w14:paraId="73D05317" w14:textId="77777777" w:rsidR="00284822" w:rsidRDefault="00F77BF8">
            <w:pPr>
              <w:spacing w:before="120" w:after="120"/>
              <w:jc w:val="center"/>
              <w:rPr>
                <w:rFonts w:ascii="Rockwell" w:hAnsi="Rockwell"/>
                <w:szCs w:val="26"/>
              </w:rPr>
            </w:pPr>
            <w:r>
              <w:rPr>
                <w:rFonts w:ascii="Rockwell" w:hAnsi="Rockwell"/>
                <w:szCs w:val="26"/>
              </w:rPr>
              <w:t>11,11%</w:t>
            </w:r>
          </w:p>
        </w:tc>
        <w:tc>
          <w:tcPr>
            <w:tcW w:w="26" w:type="dxa"/>
            <w:shd w:val="clear" w:color="auto" w:fill="auto"/>
            <w:tcMar>
              <w:top w:w="0" w:type="dxa"/>
              <w:left w:w="10" w:type="dxa"/>
              <w:bottom w:w="0" w:type="dxa"/>
              <w:right w:w="10" w:type="dxa"/>
            </w:tcMar>
            <w:vAlign w:val="center"/>
          </w:tcPr>
          <w:p w14:paraId="1A109810" w14:textId="77777777" w:rsidR="00284822" w:rsidRDefault="00284822">
            <w:pPr>
              <w:spacing w:before="120" w:after="120"/>
              <w:rPr>
                <w:rFonts w:ascii="Rockwell" w:hAnsi="Rockwell"/>
                <w:szCs w:val="26"/>
              </w:rPr>
            </w:pPr>
          </w:p>
        </w:tc>
      </w:tr>
      <w:tr w:rsidR="00284822" w14:paraId="2D4873FE" w14:textId="77777777">
        <w:trPr>
          <w:trHeight w:val="70"/>
        </w:trPr>
        <w:tc>
          <w:tcPr>
            <w:tcW w:w="977" w:type="dxa"/>
            <w:shd w:val="clear" w:color="auto" w:fill="FFFFFF"/>
            <w:noWrap/>
            <w:tcMar>
              <w:top w:w="0" w:type="dxa"/>
              <w:left w:w="108" w:type="dxa"/>
              <w:bottom w:w="0" w:type="dxa"/>
              <w:right w:w="108" w:type="dxa"/>
            </w:tcMar>
            <w:vAlign w:val="bottom"/>
          </w:tcPr>
          <w:p w14:paraId="4D6F4B35" w14:textId="77777777" w:rsidR="00284822" w:rsidRDefault="00F77BF8">
            <w:pPr>
              <w:spacing w:before="120" w:after="120"/>
              <w:rPr>
                <w:rFonts w:ascii="Rockwell" w:hAnsi="Rockwell"/>
                <w:szCs w:val="26"/>
              </w:rPr>
            </w:pPr>
            <w:r>
              <w:rPr>
                <w:rFonts w:ascii="Rockwell" w:hAnsi="Rockwell"/>
                <w:bCs/>
                <w:szCs w:val="26"/>
              </w:rPr>
              <w:t>5</w:t>
            </w:r>
            <w:r>
              <w:rPr>
                <w:rFonts w:ascii="Rockwell" w:hAnsi="Rockwell"/>
                <w:bCs/>
                <w:szCs w:val="26"/>
                <w:vertAlign w:val="superscript"/>
              </w:rPr>
              <w:t>e</w:t>
            </w:r>
          </w:p>
        </w:tc>
        <w:tc>
          <w:tcPr>
            <w:tcW w:w="3515" w:type="dxa"/>
            <w:shd w:val="clear" w:color="auto" w:fill="auto"/>
            <w:tcMar>
              <w:top w:w="0" w:type="dxa"/>
              <w:left w:w="108" w:type="dxa"/>
              <w:bottom w:w="0" w:type="dxa"/>
              <w:right w:w="108" w:type="dxa"/>
            </w:tcMar>
          </w:tcPr>
          <w:p w14:paraId="41A5193B" w14:textId="77777777" w:rsidR="00284822" w:rsidRDefault="00F77BF8">
            <w:pPr>
              <w:spacing w:before="120" w:after="120"/>
              <w:jc w:val="center"/>
              <w:rPr>
                <w:rFonts w:ascii="Rockwell" w:hAnsi="Rockwell"/>
                <w:b/>
                <w:szCs w:val="26"/>
              </w:rPr>
            </w:pPr>
            <w:r>
              <w:rPr>
                <w:rFonts w:ascii="Rockwell" w:hAnsi="Rockwell"/>
                <w:b/>
                <w:szCs w:val="26"/>
              </w:rPr>
              <w:t>MCR</w:t>
            </w:r>
          </w:p>
        </w:tc>
        <w:tc>
          <w:tcPr>
            <w:tcW w:w="1984" w:type="dxa"/>
            <w:shd w:val="clear" w:color="auto" w:fill="auto"/>
            <w:tcMar>
              <w:top w:w="0" w:type="dxa"/>
              <w:left w:w="108" w:type="dxa"/>
              <w:bottom w:w="0" w:type="dxa"/>
              <w:right w:w="108" w:type="dxa"/>
            </w:tcMar>
          </w:tcPr>
          <w:p w14:paraId="75C5B244" w14:textId="77777777" w:rsidR="00284822" w:rsidRDefault="00F77BF8">
            <w:pPr>
              <w:spacing w:before="120" w:after="120"/>
              <w:jc w:val="center"/>
              <w:rPr>
                <w:rFonts w:ascii="Rockwell" w:hAnsi="Rockwell"/>
                <w:szCs w:val="26"/>
              </w:rPr>
            </w:pPr>
            <w:r>
              <w:rPr>
                <w:rFonts w:ascii="Rockwell" w:hAnsi="Rockwell"/>
                <w:szCs w:val="26"/>
              </w:rPr>
              <w:t>3</w:t>
            </w:r>
          </w:p>
        </w:tc>
        <w:tc>
          <w:tcPr>
            <w:tcW w:w="1560" w:type="dxa"/>
            <w:shd w:val="clear" w:color="auto" w:fill="auto"/>
            <w:tcMar>
              <w:top w:w="0" w:type="dxa"/>
              <w:left w:w="108" w:type="dxa"/>
              <w:bottom w:w="0" w:type="dxa"/>
              <w:right w:w="108" w:type="dxa"/>
            </w:tcMar>
          </w:tcPr>
          <w:p w14:paraId="3C54BFA2" w14:textId="77777777" w:rsidR="00284822" w:rsidRDefault="00F77BF8">
            <w:pPr>
              <w:spacing w:before="120" w:after="120"/>
              <w:jc w:val="center"/>
              <w:rPr>
                <w:rFonts w:ascii="Rockwell" w:hAnsi="Rockwell"/>
                <w:szCs w:val="26"/>
              </w:rPr>
            </w:pPr>
            <w:r>
              <w:rPr>
                <w:rFonts w:ascii="Rockwell" w:hAnsi="Rockwell"/>
                <w:szCs w:val="26"/>
              </w:rPr>
              <w:t>4,41%</w:t>
            </w:r>
          </w:p>
        </w:tc>
        <w:tc>
          <w:tcPr>
            <w:tcW w:w="1275" w:type="dxa"/>
            <w:shd w:val="clear" w:color="auto" w:fill="auto"/>
            <w:tcMar>
              <w:top w:w="0" w:type="dxa"/>
              <w:left w:w="108" w:type="dxa"/>
              <w:bottom w:w="0" w:type="dxa"/>
              <w:right w:w="108" w:type="dxa"/>
            </w:tcMar>
          </w:tcPr>
          <w:p w14:paraId="1A48771B" w14:textId="77777777" w:rsidR="00284822" w:rsidRDefault="00F77BF8">
            <w:pPr>
              <w:spacing w:before="120" w:after="120"/>
              <w:jc w:val="center"/>
              <w:rPr>
                <w:rFonts w:ascii="Rockwell" w:hAnsi="Rockwell"/>
                <w:szCs w:val="26"/>
              </w:rPr>
            </w:pPr>
            <w:r>
              <w:rPr>
                <w:rFonts w:ascii="Rockwell" w:hAnsi="Rockwell"/>
                <w:szCs w:val="26"/>
              </w:rPr>
              <w:t>6</w:t>
            </w:r>
          </w:p>
        </w:tc>
        <w:tc>
          <w:tcPr>
            <w:tcW w:w="1345" w:type="dxa"/>
            <w:shd w:val="clear" w:color="auto" w:fill="auto"/>
            <w:tcMar>
              <w:top w:w="0" w:type="dxa"/>
              <w:left w:w="108" w:type="dxa"/>
              <w:bottom w:w="0" w:type="dxa"/>
              <w:right w:w="108" w:type="dxa"/>
            </w:tcMar>
          </w:tcPr>
          <w:p w14:paraId="690E04B2" w14:textId="77777777" w:rsidR="00284822" w:rsidRDefault="00F77BF8">
            <w:pPr>
              <w:spacing w:before="120" w:after="120"/>
              <w:jc w:val="center"/>
              <w:rPr>
                <w:rFonts w:ascii="Rockwell" w:hAnsi="Rockwell"/>
                <w:szCs w:val="26"/>
              </w:rPr>
            </w:pPr>
            <w:r>
              <w:rPr>
                <w:rFonts w:ascii="Rockwell" w:hAnsi="Rockwell"/>
                <w:szCs w:val="26"/>
              </w:rPr>
              <w:t>5,56%</w:t>
            </w:r>
          </w:p>
        </w:tc>
        <w:tc>
          <w:tcPr>
            <w:tcW w:w="26" w:type="dxa"/>
            <w:shd w:val="clear" w:color="auto" w:fill="auto"/>
            <w:tcMar>
              <w:top w:w="0" w:type="dxa"/>
              <w:left w:w="10" w:type="dxa"/>
              <w:bottom w:w="0" w:type="dxa"/>
              <w:right w:w="10" w:type="dxa"/>
            </w:tcMar>
            <w:vAlign w:val="center"/>
          </w:tcPr>
          <w:p w14:paraId="59D72237" w14:textId="77777777" w:rsidR="00284822" w:rsidRDefault="00284822">
            <w:pPr>
              <w:spacing w:before="120" w:after="120"/>
              <w:rPr>
                <w:rFonts w:ascii="Rockwell" w:hAnsi="Rockwell"/>
                <w:szCs w:val="26"/>
              </w:rPr>
            </w:pPr>
          </w:p>
        </w:tc>
      </w:tr>
      <w:tr w:rsidR="00284822" w14:paraId="4B2B91A2" w14:textId="77777777">
        <w:trPr>
          <w:trHeight w:val="70"/>
        </w:trPr>
        <w:tc>
          <w:tcPr>
            <w:tcW w:w="977" w:type="dxa"/>
            <w:shd w:val="clear" w:color="auto" w:fill="FFFFFF"/>
            <w:noWrap/>
            <w:tcMar>
              <w:top w:w="0" w:type="dxa"/>
              <w:left w:w="108" w:type="dxa"/>
              <w:bottom w:w="0" w:type="dxa"/>
              <w:right w:w="108" w:type="dxa"/>
            </w:tcMar>
            <w:vAlign w:val="bottom"/>
          </w:tcPr>
          <w:p w14:paraId="4F96B336" w14:textId="77777777" w:rsidR="00284822" w:rsidRDefault="00F77BF8">
            <w:pPr>
              <w:spacing w:before="120" w:after="120"/>
              <w:rPr>
                <w:rFonts w:ascii="Rockwell" w:hAnsi="Rockwell"/>
                <w:szCs w:val="26"/>
              </w:rPr>
            </w:pPr>
            <w:r>
              <w:rPr>
                <w:rFonts w:ascii="Rockwell" w:hAnsi="Rockwell"/>
                <w:bCs/>
                <w:szCs w:val="26"/>
              </w:rPr>
              <w:t>5</w:t>
            </w:r>
            <w:r>
              <w:rPr>
                <w:rFonts w:ascii="Rockwell" w:hAnsi="Rockwell"/>
                <w:bCs/>
                <w:szCs w:val="26"/>
                <w:vertAlign w:val="superscript"/>
              </w:rPr>
              <w:t>e</w:t>
            </w:r>
            <w:r>
              <w:rPr>
                <w:rFonts w:ascii="Rockwell" w:hAnsi="Rockwell"/>
                <w:bCs/>
                <w:szCs w:val="26"/>
              </w:rPr>
              <w:t xml:space="preserve"> ex</w:t>
            </w:r>
          </w:p>
        </w:tc>
        <w:tc>
          <w:tcPr>
            <w:tcW w:w="3515" w:type="dxa"/>
            <w:shd w:val="clear" w:color="auto" w:fill="auto"/>
            <w:tcMar>
              <w:top w:w="0" w:type="dxa"/>
              <w:left w:w="108" w:type="dxa"/>
              <w:bottom w:w="0" w:type="dxa"/>
              <w:right w:w="108" w:type="dxa"/>
            </w:tcMar>
          </w:tcPr>
          <w:p w14:paraId="6365F396" w14:textId="77777777" w:rsidR="00284822" w:rsidRDefault="00F77BF8">
            <w:pPr>
              <w:spacing w:before="120" w:after="120"/>
              <w:jc w:val="center"/>
              <w:rPr>
                <w:rFonts w:ascii="Rockwell" w:hAnsi="Rockwell"/>
                <w:b/>
                <w:szCs w:val="26"/>
              </w:rPr>
            </w:pPr>
            <w:r>
              <w:rPr>
                <w:rFonts w:ascii="Rockwell" w:hAnsi="Rockwell"/>
                <w:b/>
                <w:szCs w:val="26"/>
              </w:rPr>
              <w:t>MRB</w:t>
            </w:r>
          </w:p>
        </w:tc>
        <w:tc>
          <w:tcPr>
            <w:tcW w:w="1984" w:type="dxa"/>
            <w:shd w:val="clear" w:color="auto" w:fill="auto"/>
            <w:tcMar>
              <w:top w:w="0" w:type="dxa"/>
              <w:left w:w="108" w:type="dxa"/>
              <w:bottom w:w="0" w:type="dxa"/>
              <w:right w:w="108" w:type="dxa"/>
            </w:tcMar>
          </w:tcPr>
          <w:p w14:paraId="593E9A95" w14:textId="77777777" w:rsidR="00284822" w:rsidRDefault="00F77BF8">
            <w:pPr>
              <w:spacing w:before="120" w:after="120"/>
              <w:jc w:val="center"/>
              <w:rPr>
                <w:rFonts w:ascii="Rockwell" w:hAnsi="Rockwell"/>
                <w:szCs w:val="26"/>
              </w:rPr>
            </w:pPr>
            <w:r>
              <w:rPr>
                <w:rFonts w:ascii="Rockwell" w:hAnsi="Rockwell"/>
                <w:szCs w:val="26"/>
              </w:rPr>
              <w:t>3</w:t>
            </w:r>
          </w:p>
        </w:tc>
        <w:tc>
          <w:tcPr>
            <w:tcW w:w="1560" w:type="dxa"/>
            <w:shd w:val="clear" w:color="auto" w:fill="auto"/>
            <w:tcMar>
              <w:top w:w="0" w:type="dxa"/>
              <w:left w:w="108" w:type="dxa"/>
              <w:bottom w:w="0" w:type="dxa"/>
              <w:right w:w="108" w:type="dxa"/>
            </w:tcMar>
          </w:tcPr>
          <w:p w14:paraId="51BD1ED8" w14:textId="77777777" w:rsidR="00284822" w:rsidRDefault="00F77BF8">
            <w:pPr>
              <w:spacing w:before="120" w:after="120"/>
              <w:jc w:val="center"/>
              <w:rPr>
                <w:rFonts w:ascii="Rockwell" w:hAnsi="Rockwell"/>
                <w:szCs w:val="26"/>
              </w:rPr>
            </w:pPr>
            <w:r>
              <w:rPr>
                <w:rFonts w:ascii="Rockwell" w:hAnsi="Rockwell"/>
                <w:szCs w:val="26"/>
              </w:rPr>
              <w:t>4,41%</w:t>
            </w:r>
          </w:p>
        </w:tc>
        <w:tc>
          <w:tcPr>
            <w:tcW w:w="1275" w:type="dxa"/>
            <w:shd w:val="clear" w:color="auto" w:fill="auto"/>
            <w:tcMar>
              <w:top w:w="0" w:type="dxa"/>
              <w:left w:w="108" w:type="dxa"/>
              <w:bottom w:w="0" w:type="dxa"/>
              <w:right w:w="108" w:type="dxa"/>
            </w:tcMar>
          </w:tcPr>
          <w:p w14:paraId="5F5520B4" w14:textId="77777777" w:rsidR="00284822" w:rsidRDefault="00F77BF8">
            <w:pPr>
              <w:spacing w:before="120" w:after="120"/>
              <w:jc w:val="center"/>
              <w:rPr>
                <w:rFonts w:ascii="Rockwell" w:hAnsi="Rockwell"/>
                <w:szCs w:val="26"/>
              </w:rPr>
            </w:pPr>
            <w:r>
              <w:rPr>
                <w:rFonts w:ascii="Rockwell" w:hAnsi="Rockwell"/>
                <w:szCs w:val="26"/>
              </w:rPr>
              <w:t>4</w:t>
            </w:r>
          </w:p>
        </w:tc>
        <w:tc>
          <w:tcPr>
            <w:tcW w:w="1345" w:type="dxa"/>
            <w:shd w:val="clear" w:color="auto" w:fill="auto"/>
            <w:tcMar>
              <w:top w:w="0" w:type="dxa"/>
              <w:left w:w="108" w:type="dxa"/>
              <w:bottom w:w="0" w:type="dxa"/>
              <w:right w:w="108" w:type="dxa"/>
            </w:tcMar>
          </w:tcPr>
          <w:p w14:paraId="5FD48A3B" w14:textId="77777777" w:rsidR="00284822" w:rsidRDefault="00F77BF8">
            <w:pPr>
              <w:spacing w:before="120" w:after="120"/>
              <w:jc w:val="center"/>
              <w:rPr>
                <w:rFonts w:ascii="Rockwell" w:hAnsi="Rockwell"/>
                <w:szCs w:val="26"/>
              </w:rPr>
            </w:pPr>
            <w:r>
              <w:rPr>
                <w:rFonts w:ascii="Rockwell" w:hAnsi="Rockwell"/>
                <w:szCs w:val="26"/>
              </w:rPr>
              <w:t>3,70%</w:t>
            </w:r>
          </w:p>
        </w:tc>
        <w:tc>
          <w:tcPr>
            <w:tcW w:w="26" w:type="dxa"/>
            <w:shd w:val="clear" w:color="auto" w:fill="auto"/>
            <w:tcMar>
              <w:top w:w="0" w:type="dxa"/>
              <w:left w:w="10" w:type="dxa"/>
              <w:bottom w:w="0" w:type="dxa"/>
              <w:right w:w="10" w:type="dxa"/>
            </w:tcMar>
            <w:vAlign w:val="center"/>
          </w:tcPr>
          <w:p w14:paraId="77C7E866" w14:textId="77777777" w:rsidR="00284822" w:rsidRDefault="00284822">
            <w:pPr>
              <w:spacing w:before="120" w:after="120"/>
              <w:rPr>
                <w:rFonts w:ascii="Rockwell" w:hAnsi="Rockwell"/>
                <w:szCs w:val="26"/>
              </w:rPr>
            </w:pPr>
          </w:p>
        </w:tc>
      </w:tr>
      <w:tr w:rsidR="00284822" w14:paraId="6EC34BEB" w14:textId="77777777">
        <w:trPr>
          <w:trHeight w:val="70"/>
        </w:trPr>
        <w:tc>
          <w:tcPr>
            <w:tcW w:w="977" w:type="dxa"/>
            <w:shd w:val="clear" w:color="auto" w:fill="FFFFFF"/>
            <w:noWrap/>
            <w:tcMar>
              <w:top w:w="0" w:type="dxa"/>
              <w:left w:w="108" w:type="dxa"/>
              <w:bottom w:w="0" w:type="dxa"/>
              <w:right w:w="108" w:type="dxa"/>
            </w:tcMar>
            <w:vAlign w:val="bottom"/>
          </w:tcPr>
          <w:p w14:paraId="617EC200" w14:textId="77777777" w:rsidR="00284822" w:rsidRDefault="00F77BF8">
            <w:pPr>
              <w:spacing w:before="120" w:after="120"/>
              <w:rPr>
                <w:rFonts w:ascii="Rockwell" w:hAnsi="Rockwell"/>
                <w:szCs w:val="26"/>
              </w:rPr>
            </w:pPr>
            <w:r>
              <w:rPr>
                <w:rFonts w:ascii="Rockwell" w:hAnsi="Rockwell"/>
                <w:bCs/>
                <w:szCs w:val="26"/>
              </w:rPr>
              <w:lastRenderedPageBreak/>
              <w:t>5</w:t>
            </w:r>
            <w:r>
              <w:rPr>
                <w:rFonts w:ascii="Rockwell" w:hAnsi="Rockwell"/>
                <w:bCs/>
                <w:szCs w:val="26"/>
                <w:vertAlign w:val="superscript"/>
              </w:rPr>
              <w:t>e</w:t>
            </w:r>
            <w:r>
              <w:rPr>
                <w:rFonts w:ascii="Rockwell" w:hAnsi="Rockwell"/>
                <w:bCs/>
                <w:szCs w:val="26"/>
              </w:rPr>
              <w:t xml:space="preserve"> ex</w:t>
            </w:r>
          </w:p>
        </w:tc>
        <w:tc>
          <w:tcPr>
            <w:tcW w:w="3515" w:type="dxa"/>
            <w:shd w:val="clear" w:color="auto" w:fill="auto"/>
            <w:tcMar>
              <w:top w:w="0" w:type="dxa"/>
              <w:left w:w="108" w:type="dxa"/>
              <w:bottom w:w="0" w:type="dxa"/>
              <w:right w:w="108" w:type="dxa"/>
            </w:tcMar>
          </w:tcPr>
          <w:p w14:paraId="56E56525" w14:textId="77777777" w:rsidR="00284822" w:rsidRDefault="00F77BF8">
            <w:pPr>
              <w:spacing w:before="120" w:after="120"/>
              <w:jc w:val="center"/>
              <w:rPr>
                <w:rFonts w:ascii="Rockwell" w:hAnsi="Rockwell"/>
                <w:b/>
                <w:szCs w:val="26"/>
              </w:rPr>
            </w:pPr>
            <w:r>
              <w:rPr>
                <w:rFonts w:ascii="Rockwell" w:hAnsi="Rockwell"/>
                <w:b/>
                <w:szCs w:val="26"/>
              </w:rPr>
              <w:t>L'AB/PSR</w:t>
            </w:r>
          </w:p>
        </w:tc>
        <w:tc>
          <w:tcPr>
            <w:tcW w:w="1984" w:type="dxa"/>
            <w:shd w:val="clear" w:color="auto" w:fill="auto"/>
            <w:tcMar>
              <w:top w:w="0" w:type="dxa"/>
              <w:left w:w="108" w:type="dxa"/>
              <w:bottom w:w="0" w:type="dxa"/>
              <w:right w:w="108" w:type="dxa"/>
            </w:tcMar>
          </w:tcPr>
          <w:p w14:paraId="396632E7" w14:textId="77777777" w:rsidR="00284822" w:rsidRDefault="00F77BF8">
            <w:pPr>
              <w:spacing w:before="120" w:after="120"/>
              <w:jc w:val="center"/>
              <w:rPr>
                <w:rFonts w:ascii="Rockwell" w:hAnsi="Rockwell"/>
                <w:szCs w:val="26"/>
              </w:rPr>
            </w:pPr>
            <w:r>
              <w:rPr>
                <w:rFonts w:ascii="Rockwell" w:hAnsi="Rockwell"/>
                <w:szCs w:val="26"/>
              </w:rPr>
              <w:t>3</w:t>
            </w:r>
          </w:p>
        </w:tc>
        <w:tc>
          <w:tcPr>
            <w:tcW w:w="1560" w:type="dxa"/>
            <w:shd w:val="clear" w:color="auto" w:fill="auto"/>
            <w:tcMar>
              <w:top w:w="0" w:type="dxa"/>
              <w:left w:w="108" w:type="dxa"/>
              <w:bottom w:w="0" w:type="dxa"/>
              <w:right w:w="108" w:type="dxa"/>
            </w:tcMar>
          </w:tcPr>
          <w:p w14:paraId="20BBA86E" w14:textId="77777777" w:rsidR="00284822" w:rsidRDefault="00F77BF8">
            <w:pPr>
              <w:spacing w:before="120" w:after="120"/>
              <w:jc w:val="center"/>
              <w:rPr>
                <w:rFonts w:ascii="Rockwell" w:hAnsi="Rockwell"/>
                <w:szCs w:val="26"/>
              </w:rPr>
            </w:pPr>
            <w:r>
              <w:rPr>
                <w:rFonts w:ascii="Rockwell" w:hAnsi="Rockwell"/>
                <w:szCs w:val="26"/>
              </w:rPr>
              <w:t>4,41%</w:t>
            </w:r>
          </w:p>
        </w:tc>
        <w:tc>
          <w:tcPr>
            <w:tcW w:w="1275" w:type="dxa"/>
            <w:shd w:val="clear" w:color="auto" w:fill="auto"/>
            <w:tcMar>
              <w:top w:w="0" w:type="dxa"/>
              <w:left w:w="108" w:type="dxa"/>
              <w:bottom w:w="0" w:type="dxa"/>
              <w:right w:w="108" w:type="dxa"/>
            </w:tcMar>
          </w:tcPr>
          <w:p w14:paraId="5A3935A3" w14:textId="77777777" w:rsidR="00284822" w:rsidRDefault="00F77BF8">
            <w:pPr>
              <w:spacing w:before="120" w:after="120"/>
              <w:jc w:val="center"/>
              <w:rPr>
                <w:rFonts w:ascii="Rockwell" w:hAnsi="Rockwell"/>
                <w:szCs w:val="26"/>
              </w:rPr>
            </w:pPr>
            <w:r>
              <w:rPr>
                <w:rFonts w:ascii="Rockwell" w:hAnsi="Rockwell"/>
                <w:szCs w:val="26"/>
              </w:rPr>
              <w:t>3</w:t>
            </w:r>
          </w:p>
        </w:tc>
        <w:tc>
          <w:tcPr>
            <w:tcW w:w="1345" w:type="dxa"/>
            <w:shd w:val="clear" w:color="auto" w:fill="auto"/>
            <w:tcMar>
              <w:top w:w="0" w:type="dxa"/>
              <w:left w:w="108" w:type="dxa"/>
              <w:bottom w:w="0" w:type="dxa"/>
              <w:right w:w="108" w:type="dxa"/>
            </w:tcMar>
          </w:tcPr>
          <w:p w14:paraId="5FCB9876" w14:textId="77777777" w:rsidR="00284822" w:rsidRDefault="00F77BF8">
            <w:pPr>
              <w:spacing w:before="120" w:after="120"/>
              <w:jc w:val="center"/>
              <w:rPr>
                <w:rFonts w:ascii="Rockwell" w:hAnsi="Rockwell"/>
                <w:szCs w:val="26"/>
              </w:rPr>
            </w:pPr>
            <w:r>
              <w:rPr>
                <w:rFonts w:ascii="Rockwell" w:hAnsi="Rockwell"/>
                <w:szCs w:val="26"/>
              </w:rPr>
              <w:t>2,78%</w:t>
            </w:r>
          </w:p>
        </w:tc>
        <w:tc>
          <w:tcPr>
            <w:tcW w:w="26" w:type="dxa"/>
            <w:shd w:val="clear" w:color="auto" w:fill="auto"/>
            <w:tcMar>
              <w:top w:w="0" w:type="dxa"/>
              <w:left w:w="10" w:type="dxa"/>
              <w:bottom w:w="0" w:type="dxa"/>
              <w:right w:w="10" w:type="dxa"/>
            </w:tcMar>
            <w:vAlign w:val="center"/>
          </w:tcPr>
          <w:p w14:paraId="20A4D670" w14:textId="77777777" w:rsidR="00284822" w:rsidRDefault="00284822">
            <w:pPr>
              <w:spacing w:before="120" w:after="120"/>
              <w:rPr>
                <w:rFonts w:ascii="Rockwell" w:hAnsi="Rockwell"/>
                <w:szCs w:val="26"/>
              </w:rPr>
            </w:pPr>
          </w:p>
        </w:tc>
      </w:tr>
      <w:tr w:rsidR="00284822" w14:paraId="1928182D" w14:textId="77777777">
        <w:trPr>
          <w:trHeight w:val="177"/>
        </w:trPr>
        <w:tc>
          <w:tcPr>
            <w:tcW w:w="977" w:type="dxa"/>
            <w:shd w:val="clear" w:color="auto" w:fill="FFFFFF"/>
            <w:noWrap/>
            <w:tcMar>
              <w:top w:w="0" w:type="dxa"/>
              <w:left w:w="108" w:type="dxa"/>
              <w:bottom w:w="0" w:type="dxa"/>
              <w:right w:w="108" w:type="dxa"/>
            </w:tcMar>
            <w:vAlign w:val="bottom"/>
          </w:tcPr>
          <w:p w14:paraId="55447047" w14:textId="77777777" w:rsidR="00284822" w:rsidRDefault="00F77BF8">
            <w:pPr>
              <w:spacing w:before="120" w:after="120"/>
              <w:rPr>
                <w:rFonts w:ascii="Rockwell" w:hAnsi="Rockwell"/>
                <w:szCs w:val="26"/>
              </w:rPr>
            </w:pPr>
            <w:r>
              <w:rPr>
                <w:rFonts w:ascii="Rockwell" w:hAnsi="Rockwell"/>
                <w:bCs/>
                <w:szCs w:val="26"/>
              </w:rPr>
              <w:t>8</w:t>
            </w:r>
            <w:r>
              <w:rPr>
                <w:rFonts w:ascii="Rockwell" w:hAnsi="Rockwell"/>
                <w:bCs/>
                <w:szCs w:val="26"/>
                <w:vertAlign w:val="superscript"/>
              </w:rPr>
              <w:t>e</w:t>
            </w:r>
          </w:p>
        </w:tc>
        <w:tc>
          <w:tcPr>
            <w:tcW w:w="3515" w:type="dxa"/>
            <w:shd w:val="clear" w:color="auto" w:fill="auto"/>
            <w:tcMar>
              <w:top w:w="0" w:type="dxa"/>
              <w:left w:w="108" w:type="dxa"/>
              <w:bottom w:w="0" w:type="dxa"/>
              <w:right w:w="108" w:type="dxa"/>
            </w:tcMar>
          </w:tcPr>
          <w:p w14:paraId="3D944203" w14:textId="77777777" w:rsidR="00284822" w:rsidRDefault="00F77BF8">
            <w:pPr>
              <w:spacing w:before="120" w:after="120"/>
              <w:jc w:val="center"/>
              <w:rPr>
                <w:rFonts w:ascii="Rockwell" w:hAnsi="Rockwell"/>
                <w:b/>
                <w:szCs w:val="26"/>
              </w:rPr>
            </w:pPr>
            <w:r>
              <w:rPr>
                <w:rFonts w:ascii="Rockwell" w:hAnsi="Rockwell"/>
                <w:b/>
                <w:szCs w:val="26"/>
              </w:rPr>
              <w:t>FA</w:t>
            </w:r>
          </w:p>
        </w:tc>
        <w:tc>
          <w:tcPr>
            <w:tcW w:w="1984" w:type="dxa"/>
            <w:shd w:val="clear" w:color="auto" w:fill="auto"/>
            <w:tcMar>
              <w:top w:w="0" w:type="dxa"/>
              <w:left w:w="108" w:type="dxa"/>
              <w:bottom w:w="0" w:type="dxa"/>
              <w:right w:w="108" w:type="dxa"/>
            </w:tcMar>
          </w:tcPr>
          <w:p w14:paraId="7BB54E58" w14:textId="77777777" w:rsidR="00284822" w:rsidRDefault="00F77BF8">
            <w:pPr>
              <w:spacing w:before="120" w:after="120"/>
              <w:jc w:val="center"/>
              <w:rPr>
                <w:rFonts w:ascii="Rockwell" w:hAnsi="Rockwell"/>
                <w:szCs w:val="26"/>
              </w:rPr>
            </w:pPr>
            <w:r>
              <w:rPr>
                <w:rFonts w:ascii="Rockwell" w:hAnsi="Rockwell"/>
                <w:szCs w:val="26"/>
              </w:rPr>
              <w:t>2</w:t>
            </w:r>
          </w:p>
        </w:tc>
        <w:tc>
          <w:tcPr>
            <w:tcW w:w="1560" w:type="dxa"/>
            <w:shd w:val="clear" w:color="auto" w:fill="auto"/>
            <w:tcMar>
              <w:top w:w="0" w:type="dxa"/>
              <w:left w:w="108" w:type="dxa"/>
              <w:bottom w:w="0" w:type="dxa"/>
              <w:right w:w="108" w:type="dxa"/>
            </w:tcMar>
          </w:tcPr>
          <w:p w14:paraId="758B7D54" w14:textId="77777777" w:rsidR="00284822" w:rsidRDefault="00F77BF8">
            <w:pPr>
              <w:spacing w:before="120" w:after="120"/>
              <w:jc w:val="center"/>
              <w:rPr>
                <w:rFonts w:ascii="Rockwell" w:hAnsi="Rockwell"/>
                <w:szCs w:val="26"/>
              </w:rPr>
            </w:pPr>
            <w:r>
              <w:rPr>
                <w:rFonts w:ascii="Rockwell" w:hAnsi="Rockwell"/>
                <w:szCs w:val="26"/>
              </w:rPr>
              <w:t>2,94%</w:t>
            </w:r>
          </w:p>
        </w:tc>
        <w:tc>
          <w:tcPr>
            <w:tcW w:w="1275" w:type="dxa"/>
            <w:shd w:val="clear" w:color="auto" w:fill="auto"/>
            <w:tcMar>
              <w:top w:w="0" w:type="dxa"/>
              <w:left w:w="108" w:type="dxa"/>
              <w:bottom w:w="0" w:type="dxa"/>
              <w:right w:w="108" w:type="dxa"/>
            </w:tcMar>
          </w:tcPr>
          <w:p w14:paraId="0353E6FF" w14:textId="77777777" w:rsidR="00284822" w:rsidRDefault="00F77BF8">
            <w:pPr>
              <w:spacing w:before="120" w:after="120"/>
              <w:jc w:val="center"/>
              <w:rPr>
                <w:rFonts w:ascii="Rockwell" w:hAnsi="Rockwell"/>
                <w:szCs w:val="26"/>
              </w:rPr>
            </w:pPr>
            <w:r>
              <w:rPr>
                <w:rFonts w:ascii="Rockwell" w:hAnsi="Rockwell"/>
                <w:szCs w:val="26"/>
              </w:rPr>
              <w:t>2</w:t>
            </w:r>
          </w:p>
        </w:tc>
        <w:tc>
          <w:tcPr>
            <w:tcW w:w="1345" w:type="dxa"/>
            <w:shd w:val="clear" w:color="auto" w:fill="auto"/>
            <w:tcMar>
              <w:top w:w="0" w:type="dxa"/>
              <w:left w:w="108" w:type="dxa"/>
              <w:bottom w:w="0" w:type="dxa"/>
              <w:right w:w="108" w:type="dxa"/>
            </w:tcMar>
          </w:tcPr>
          <w:p w14:paraId="44D17245" w14:textId="77777777" w:rsidR="00284822" w:rsidRDefault="00F77BF8">
            <w:pPr>
              <w:spacing w:before="120" w:after="120"/>
              <w:jc w:val="center"/>
              <w:rPr>
                <w:rFonts w:ascii="Rockwell" w:hAnsi="Rockwell"/>
                <w:szCs w:val="26"/>
              </w:rPr>
            </w:pPr>
            <w:r>
              <w:rPr>
                <w:rFonts w:ascii="Rockwell" w:hAnsi="Rockwell"/>
                <w:szCs w:val="26"/>
              </w:rPr>
              <w:t>1,85%</w:t>
            </w:r>
          </w:p>
        </w:tc>
        <w:tc>
          <w:tcPr>
            <w:tcW w:w="26" w:type="dxa"/>
            <w:shd w:val="clear" w:color="auto" w:fill="auto"/>
            <w:tcMar>
              <w:top w:w="0" w:type="dxa"/>
              <w:left w:w="10" w:type="dxa"/>
              <w:bottom w:w="0" w:type="dxa"/>
              <w:right w:w="10" w:type="dxa"/>
            </w:tcMar>
            <w:vAlign w:val="center"/>
          </w:tcPr>
          <w:p w14:paraId="32198C4C" w14:textId="77777777" w:rsidR="00284822" w:rsidRDefault="00284822">
            <w:pPr>
              <w:spacing w:before="120" w:after="120"/>
              <w:rPr>
                <w:rFonts w:ascii="Rockwell" w:hAnsi="Rockwell"/>
                <w:szCs w:val="26"/>
              </w:rPr>
            </w:pPr>
          </w:p>
        </w:tc>
      </w:tr>
      <w:tr w:rsidR="00284822" w14:paraId="3D8B8B30" w14:textId="77777777">
        <w:trPr>
          <w:trHeight w:val="70"/>
        </w:trPr>
        <w:tc>
          <w:tcPr>
            <w:tcW w:w="977" w:type="dxa"/>
            <w:shd w:val="clear" w:color="auto" w:fill="FFFFFF"/>
            <w:noWrap/>
            <w:tcMar>
              <w:top w:w="0" w:type="dxa"/>
              <w:left w:w="108" w:type="dxa"/>
              <w:bottom w:w="0" w:type="dxa"/>
              <w:right w:w="108" w:type="dxa"/>
            </w:tcMar>
            <w:vAlign w:val="bottom"/>
          </w:tcPr>
          <w:p w14:paraId="323444A6" w14:textId="77777777" w:rsidR="00284822" w:rsidRDefault="00F77BF8">
            <w:pPr>
              <w:spacing w:before="120" w:after="120"/>
              <w:rPr>
                <w:rFonts w:ascii="Rockwell" w:hAnsi="Rockwell"/>
                <w:szCs w:val="26"/>
              </w:rPr>
            </w:pPr>
            <w:r>
              <w:rPr>
                <w:rFonts w:ascii="Rockwell" w:hAnsi="Rockwell"/>
                <w:bCs/>
                <w:szCs w:val="26"/>
              </w:rPr>
              <w:t>8</w:t>
            </w:r>
            <w:r>
              <w:rPr>
                <w:rFonts w:ascii="Rockwell" w:hAnsi="Rockwell"/>
                <w:bCs/>
                <w:szCs w:val="26"/>
                <w:vertAlign w:val="superscript"/>
              </w:rPr>
              <w:t>e</w:t>
            </w:r>
            <w:r>
              <w:rPr>
                <w:rFonts w:ascii="Rockwell" w:hAnsi="Rockwell"/>
                <w:bCs/>
                <w:szCs w:val="26"/>
              </w:rPr>
              <w:t xml:space="preserve"> ex</w:t>
            </w:r>
          </w:p>
        </w:tc>
        <w:tc>
          <w:tcPr>
            <w:tcW w:w="3515" w:type="dxa"/>
            <w:shd w:val="clear" w:color="auto" w:fill="auto"/>
            <w:tcMar>
              <w:top w:w="0" w:type="dxa"/>
              <w:left w:w="108" w:type="dxa"/>
              <w:bottom w:w="0" w:type="dxa"/>
              <w:right w:w="108" w:type="dxa"/>
            </w:tcMar>
          </w:tcPr>
          <w:p w14:paraId="1A3A6707" w14:textId="77777777" w:rsidR="00284822" w:rsidRDefault="00F77BF8">
            <w:pPr>
              <w:spacing w:before="120" w:after="120"/>
              <w:jc w:val="center"/>
              <w:rPr>
                <w:rFonts w:ascii="Rockwell" w:hAnsi="Rockwell"/>
                <w:b/>
                <w:szCs w:val="26"/>
              </w:rPr>
            </w:pPr>
            <w:r>
              <w:rPr>
                <w:rFonts w:ascii="Rockwell" w:hAnsi="Rockwell"/>
                <w:b/>
                <w:szCs w:val="26"/>
              </w:rPr>
              <w:t>FPC/Y</w:t>
            </w:r>
          </w:p>
        </w:tc>
        <w:tc>
          <w:tcPr>
            <w:tcW w:w="1984" w:type="dxa"/>
            <w:shd w:val="clear" w:color="auto" w:fill="auto"/>
            <w:tcMar>
              <w:top w:w="0" w:type="dxa"/>
              <w:left w:w="108" w:type="dxa"/>
              <w:bottom w:w="0" w:type="dxa"/>
              <w:right w:w="108" w:type="dxa"/>
            </w:tcMar>
          </w:tcPr>
          <w:p w14:paraId="4D8F3F66" w14:textId="77777777" w:rsidR="00284822" w:rsidRDefault="00F77BF8">
            <w:pPr>
              <w:spacing w:before="120" w:after="120"/>
              <w:jc w:val="center"/>
              <w:rPr>
                <w:rFonts w:ascii="Rockwell" w:hAnsi="Rockwell"/>
                <w:szCs w:val="26"/>
              </w:rPr>
            </w:pPr>
            <w:r>
              <w:rPr>
                <w:rFonts w:ascii="Rockwell" w:hAnsi="Rockwell"/>
                <w:szCs w:val="26"/>
              </w:rPr>
              <w:t>2</w:t>
            </w:r>
          </w:p>
        </w:tc>
        <w:tc>
          <w:tcPr>
            <w:tcW w:w="1560" w:type="dxa"/>
            <w:shd w:val="clear" w:color="auto" w:fill="auto"/>
            <w:tcMar>
              <w:top w:w="0" w:type="dxa"/>
              <w:left w:w="108" w:type="dxa"/>
              <w:bottom w:w="0" w:type="dxa"/>
              <w:right w:w="108" w:type="dxa"/>
            </w:tcMar>
          </w:tcPr>
          <w:p w14:paraId="0B800D51" w14:textId="77777777" w:rsidR="00284822" w:rsidRDefault="00F77BF8">
            <w:pPr>
              <w:spacing w:before="120" w:after="120"/>
              <w:jc w:val="center"/>
              <w:rPr>
                <w:rFonts w:ascii="Rockwell" w:hAnsi="Rockwell"/>
                <w:szCs w:val="26"/>
              </w:rPr>
            </w:pPr>
            <w:r>
              <w:rPr>
                <w:rFonts w:ascii="Rockwell" w:hAnsi="Rockwell"/>
                <w:szCs w:val="26"/>
              </w:rPr>
              <w:t>2,94%</w:t>
            </w:r>
          </w:p>
        </w:tc>
        <w:tc>
          <w:tcPr>
            <w:tcW w:w="1275" w:type="dxa"/>
            <w:shd w:val="clear" w:color="auto" w:fill="auto"/>
            <w:tcMar>
              <w:top w:w="0" w:type="dxa"/>
              <w:left w:w="108" w:type="dxa"/>
              <w:bottom w:w="0" w:type="dxa"/>
              <w:right w:w="108" w:type="dxa"/>
            </w:tcMar>
          </w:tcPr>
          <w:p w14:paraId="4A8B870F" w14:textId="77777777" w:rsidR="00284822" w:rsidRDefault="00F77BF8">
            <w:pPr>
              <w:spacing w:before="120" w:after="120"/>
              <w:jc w:val="center"/>
              <w:rPr>
                <w:rFonts w:ascii="Rockwell" w:hAnsi="Rockwell"/>
                <w:szCs w:val="26"/>
              </w:rPr>
            </w:pPr>
            <w:r>
              <w:rPr>
                <w:rFonts w:ascii="Rockwell" w:hAnsi="Rockwell"/>
                <w:szCs w:val="26"/>
              </w:rPr>
              <w:t>2</w:t>
            </w:r>
          </w:p>
        </w:tc>
        <w:tc>
          <w:tcPr>
            <w:tcW w:w="1345" w:type="dxa"/>
            <w:shd w:val="clear" w:color="auto" w:fill="auto"/>
            <w:tcMar>
              <w:top w:w="0" w:type="dxa"/>
              <w:left w:w="108" w:type="dxa"/>
              <w:bottom w:w="0" w:type="dxa"/>
              <w:right w:w="108" w:type="dxa"/>
            </w:tcMar>
          </w:tcPr>
          <w:p w14:paraId="65C931D9" w14:textId="77777777" w:rsidR="00284822" w:rsidRDefault="00F77BF8">
            <w:pPr>
              <w:spacing w:before="120" w:after="120"/>
              <w:jc w:val="center"/>
              <w:rPr>
                <w:rFonts w:ascii="Rockwell" w:hAnsi="Rockwell"/>
                <w:szCs w:val="26"/>
              </w:rPr>
            </w:pPr>
            <w:r>
              <w:rPr>
                <w:rFonts w:ascii="Rockwell" w:hAnsi="Rockwell"/>
                <w:szCs w:val="26"/>
              </w:rPr>
              <w:t>1,85%</w:t>
            </w:r>
          </w:p>
        </w:tc>
        <w:tc>
          <w:tcPr>
            <w:tcW w:w="26" w:type="dxa"/>
            <w:shd w:val="clear" w:color="auto" w:fill="auto"/>
            <w:tcMar>
              <w:top w:w="0" w:type="dxa"/>
              <w:left w:w="10" w:type="dxa"/>
              <w:bottom w:w="0" w:type="dxa"/>
              <w:right w:w="10" w:type="dxa"/>
            </w:tcMar>
            <w:vAlign w:val="center"/>
          </w:tcPr>
          <w:p w14:paraId="728A4525" w14:textId="77777777" w:rsidR="00284822" w:rsidRDefault="00284822">
            <w:pPr>
              <w:spacing w:before="120" w:after="120"/>
              <w:rPr>
                <w:rFonts w:ascii="Rockwell" w:hAnsi="Rockwell"/>
                <w:szCs w:val="26"/>
              </w:rPr>
            </w:pPr>
          </w:p>
        </w:tc>
      </w:tr>
      <w:tr w:rsidR="00284822" w14:paraId="4F938AAA" w14:textId="77777777">
        <w:trPr>
          <w:trHeight w:val="70"/>
        </w:trPr>
        <w:tc>
          <w:tcPr>
            <w:tcW w:w="977" w:type="dxa"/>
            <w:shd w:val="clear" w:color="auto" w:fill="FFFFFF"/>
            <w:noWrap/>
            <w:tcMar>
              <w:top w:w="0" w:type="dxa"/>
              <w:left w:w="108" w:type="dxa"/>
              <w:bottom w:w="0" w:type="dxa"/>
              <w:right w:w="108" w:type="dxa"/>
            </w:tcMar>
            <w:vAlign w:val="bottom"/>
          </w:tcPr>
          <w:p w14:paraId="2D6775E6" w14:textId="77777777" w:rsidR="00284822" w:rsidRDefault="00F77BF8">
            <w:pPr>
              <w:spacing w:before="120" w:after="120"/>
              <w:rPr>
                <w:rFonts w:ascii="Rockwell" w:hAnsi="Rockwell"/>
                <w:szCs w:val="26"/>
              </w:rPr>
            </w:pPr>
            <w:r>
              <w:rPr>
                <w:rFonts w:ascii="Rockwell" w:hAnsi="Rockwell"/>
                <w:bCs/>
                <w:szCs w:val="26"/>
              </w:rPr>
              <w:t>8</w:t>
            </w:r>
            <w:r>
              <w:rPr>
                <w:rFonts w:ascii="Rockwell" w:hAnsi="Rockwell"/>
                <w:bCs/>
                <w:szCs w:val="26"/>
                <w:vertAlign w:val="superscript"/>
              </w:rPr>
              <w:t>e</w:t>
            </w:r>
            <w:r>
              <w:rPr>
                <w:rFonts w:ascii="Rockwell" w:hAnsi="Rockwell"/>
                <w:bCs/>
                <w:szCs w:val="26"/>
              </w:rPr>
              <w:t xml:space="preserve"> ex</w:t>
            </w:r>
          </w:p>
        </w:tc>
        <w:tc>
          <w:tcPr>
            <w:tcW w:w="3515" w:type="dxa"/>
            <w:shd w:val="clear" w:color="auto" w:fill="auto"/>
            <w:tcMar>
              <w:top w:w="0" w:type="dxa"/>
              <w:left w:w="108" w:type="dxa"/>
              <w:bottom w:w="0" w:type="dxa"/>
              <w:right w:w="108" w:type="dxa"/>
            </w:tcMar>
          </w:tcPr>
          <w:p w14:paraId="7522BAA3" w14:textId="77777777" w:rsidR="00284822" w:rsidRDefault="00F77BF8">
            <w:pPr>
              <w:spacing w:before="120" w:after="120"/>
              <w:jc w:val="center"/>
              <w:rPr>
                <w:rFonts w:ascii="Rockwell" w:hAnsi="Rockwell"/>
                <w:b/>
                <w:szCs w:val="26"/>
              </w:rPr>
            </w:pPr>
            <w:r>
              <w:rPr>
                <w:rFonts w:ascii="Rockwell" w:hAnsi="Rockwell"/>
                <w:b/>
                <w:szCs w:val="26"/>
              </w:rPr>
              <w:t>FPR</w:t>
            </w:r>
          </w:p>
        </w:tc>
        <w:tc>
          <w:tcPr>
            <w:tcW w:w="1984" w:type="dxa"/>
            <w:shd w:val="clear" w:color="auto" w:fill="auto"/>
            <w:tcMar>
              <w:top w:w="0" w:type="dxa"/>
              <w:left w:w="108" w:type="dxa"/>
              <w:bottom w:w="0" w:type="dxa"/>
              <w:right w:w="108" w:type="dxa"/>
            </w:tcMar>
          </w:tcPr>
          <w:p w14:paraId="505F075C" w14:textId="77777777" w:rsidR="00284822" w:rsidRDefault="00F77BF8">
            <w:pPr>
              <w:spacing w:before="120" w:after="120"/>
              <w:jc w:val="center"/>
              <w:rPr>
                <w:rFonts w:ascii="Rockwell" w:hAnsi="Rockwell"/>
                <w:szCs w:val="26"/>
              </w:rPr>
            </w:pPr>
            <w:r>
              <w:rPr>
                <w:rFonts w:ascii="Rockwell" w:hAnsi="Rockwell"/>
                <w:szCs w:val="26"/>
              </w:rPr>
              <w:t>2</w:t>
            </w:r>
          </w:p>
        </w:tc>
        <w:tc>
          <w:tcPr>
            <w:tcW w:w="1560" w:type="dxa"/>
            <w:shd w:val="clear" w:color="auto" w:fill="auto"/>
            <w:tcMar>
              <w:top w:w="0" w:type="dxa"/>
              <w:left w:w="108" w:type="dxa"/>
              <w:bottom w:w="0" w:type="dxa"/>
              <w:right w:w="108" w:type="dxa"/>
            </w:tcMar>
          </w:tcPr>
          <w:p w14:paraId="68AA2FE8" w14:textId="77777777" w:rsidR="00284822" w:rsidRDefault="00F77BF8">
            <w:pPr>
              <w:spacing w:before="120" w:after="120"/>
              <w:jc w:val="center"/>
              <w:rPr>
                <w:rFonts w:ascii="Rockwell" w:hAnsi="Rockwell"/>
                <w:szCs w:val="26"/>
              </w:rPr>
            </w:pPr>
            <w:r>
              <w:rPr>
                <w:rFonts w:ascii="Rockwell" w:hAnsi="Rockwell"/>
                <w:szCs w:val="26"/>
              </w:rPr>
              <w:t>2,94%</w:t>
            </w:r>
          </w:p>
        </w:tc>
        <w:tc>
          <w:tcPr>
            <w:tcW w:w="1275" w:type="dxa"/>
            <w:shd w:val="clear" w:color="auto" w:fill="auto"/>
            <w:tcMar>
              <w:top w:w="0" w:type="dxa"/>
              <w:left w:w="108" w:type="dxa"/>
              <w:bottom w:w="0" w:type="dxa"/>
              <w:right w:w="108" w:type="dxa"/>
            </w:tcMar>
          </w:tcPr>
          <w:p w14:paraId="63FCCF2A" w14:textId="77777777" w:rsidR="00284822" w:rsidRDefault="00F77BF8">
            <w:pPr>
              <w:spacing w:before="120" w:after="120"/>
              <w:jc w:val="center"/>
              <w:rPr>
                <w:rFonts w:ascii="Rockwell" w:hAnsi="Rockwell"/>
                <w:szCs w:val="26"/>
              </w:rPr>
            </w:pPr>
            <w:r>
              <w:rPr>
                <w:rFonts w:ascii="Rockwell" w:hAnsi="Rockwell"/>
                <w:szCs w:val="26"/>
              </w:rPr>
              <w:t>2</w:t>
            </w:r>
          </w:p>
        </w:tc>
        <w:tc>
          <w:tcPr>
            <w:tcW w:w="1345" w:type="dxa"/>
            <w:shd w:val="clear" w:color="auto" w:fill="auto"/>
            <w:tcMar>
              <w:top w:w="0" w:type="dxa"/>
              <w:left w:w="108" w:type="dxa"/>
              <w:bottom w:w="0" w:type="dxa"/>
              <w:right w:w="108" w:type="dxa"/>
            </w:tcMar>
          </w:tcPr>
          <w:p w14:paraId="74A47012" w14:textId="77777777" w:rsidR="00284822" w:rsidRDefault="00F77BF8">
            <w:pPr>
              <w:spacing w:before="120" w:after="120"/>
              <w:jc w:val="center"/>
              <w:rPr>
                <w:rFonts w:ascii="Rockwell" w:hAnsi="Rockwell"/>
                <w:szCs w:val="26"/>
              </w:rPr>
            </w:pPr>
            <w:r>
              <w:rPr>
                <w:rFonts w:ascii="Rockwell" w:hAnsi="Rockwell"/>
                <w:szCs w:val="26"/>
              </w:rPr>
              <w:t>1,85%</w:t>
            </w:r>
          </w:p>
        </w:tc>
        <w:tc>
          <w:tcPr>
            <w:tcW w:w="26" w:type="dxa"/>
            <w:shd w:val="clear" w:color="auto" w:fill="auto"/>
            <w:tcMar>
              <w:top w:w="0" w:type="dxa"/>
              <w:left w:w="10" w:type="dxa"/>
              <w:bottom w:w="0" w:type="dxa"/>
              <w:right w:w="10" w:type="dxa"/>
            </w:tcMar>
            <w:vAlign w:val="center"/>
          </w:tcPr>
          <w:p w14:paraId="636C5F5E" w14:textId="77777777" w:rsidR="00284822" w:rsidRDefault="00284822">
            <w:pPr>
              <w:spacing w:before="120" w:after="120"/>
              <w:rPr>
                <w:rFonts w:ascii="Rockwell" w:hAnsi="Rockwell"/>
                <w:szCs w:val="26"/>
              </w:rPr>
            </w:pPr>
          </w:p>
        </w:tc>
      </w:tr>
    </w:tbl>
    <w:p w14:paraId="0D187758" w14:textId="77777777" w:rsidR="00284822" w:rsidRDefault="00F77BF8">
      <w:pPr>
        <w:tabs>
          <w:tab w:val="left" w:pos="895"/>
        </w:tabs>
        <w:spacing w:before="120" w:after="120"/>
        <w:ind w:left="-709"/>
        <w:rPr>
          <w:rFonts w:ascii="Rockwell" w:hAnsi="Rockwell"/>
          <w:i/>
          <w:sz w:val="20"/>
          <w:szCs w:val="20"/>
        </w:rPr>
        <w:sectPr w:rsidR="00284822">
          <w:pgSz w:w="11906" w:h="16838"/>
          <w:pgMar w:top="1418" w:right="1418" w:bottom="1418" w:left="1418" w:header="720" w:footer="720" w:gutter="0"/>
          <w:cols w:space="720"/>
        </w:sectPr>
      </w:pPr>
      <w:r>
        <w:rPr>
          <w:rFonts w:ascii="Rockwell" w:hAnsi="Rockwell"/>
          <w:i/>
          <w:sz w:val="20"/>
          <w:szCs w:val="20"/>
          <w:u w:val="single"/>
        </w:rPr>
        <w:t>Source</w:t>
      </w:r>
      <w:r>
        <w:rPr>
          <w:rFonts w:ascii="Rockwell" w:hAnsi="Rockwell"/>
          <w:i/>
          <w:sz w:val="20"/>
          <w:szCs w:val="20"/>
        </w:rPr>
        <w:t> : Monitoring CSC</w:t>
      </w:r>
    </w:p>
    <w:p w14:paraId="072C53F9" w14:textId="77777777" w:rsidR="00284822" w:rsidRDefault="00F77BF8">
      <w:pPr>
        <w:tabs>
          <w:tab w:val="left" w:pos="1230"/>
        </w:tabs>
        <w:spacing w:before="120" w:after="120"/>
        <w:jc w:val="center"/>
        <w:rPr>
          <w:rFonts w:ascii="Rockwell" w:hAnsi="Rockwell"/>
          <w:i/>
          <w:sz w:val="20"/>
          <w:szCs w:val="20"/>
        </w:rPr>
      </w:pPr>
      <w:r>
        <w:rPr>
          <w:rFonts w:ascii="Rockwell" w:hAnsi="Rockwell"/>
          <w:i/>
          <w:sz w:val="20"/>
          <w:szCs w:val="20"/>
          <w:u w:val="single"/>
        </w:rPr>
        <w:lastRenderedPageBreak/>
        <w:t xml:space="preserve">Représentation graphique des NA et NI obtenus par les dix premiers partis politiques dans </w:t>
      </w:r>
      <w:proofErr w:type="spellStart"/>
      <w:r>
        <w:rPr>
          <w:rFonts w:ascii="Rockwell" w:hAnsi="Rockwell"/>
          <w:i/>
          <w:sz w:val="20"/>
          <w:szCs w:val="20"/>
          <w:u w:val="single"/>
        </w:rPr>
        <w:t>infowakat</w:t>
      </w:r>
      <w:proofErr w:type="spellEnd"/>
    </w:p>
    <w:p w14:paraId="4A9E229E" w14:textId="77777777" w:rsidR="00284822" w:rsidRDefault="00F77BF8" w:rsidP="001E621D">
      <w:pPr>
        <w:tabs>
          <w:tab w:val="left" w:pos="1230"/>
        </w:tabs>
        <w:spacing w:before="120" w:after="120"/>
        <w:jc w:val="center"/>
        <w:rPr>
          <w:rFonts w:ascii="Rockwell" w:hAnsi="Rockwell"/>
          <w:szCs w:val="26"/>
        </w:rPr>
      </w:pPr>
      <w:r>
        <w:rPr>
          <w:rFonts w:ascii="Rockwell" w:hAnsi="Rockwell"/>
          <w:noProof/>
          <w:szCs w:val="26"/>
        </w:rPr>
        <w:drawing>
          <wp:inline distT="0" distB="0" distL="0" distR="0" wp14:anchorId="046A9AD5" wp14:editId="08C2956E">
            <wp:extent cx="6219190" cy="3275965"/>
            <wp:effectExtent l="0" t="0" r="10160" b="635"/>
            <wp:docPr id="30" name="Graphique 81"/>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14:paraId="2FA2D2DA" w14:textId="77777777" w:rsidR="00284822" w:rsidRDefault="00284822">
      <w:pPr>
        <w:tabs>
          <w:tab w:val="left" w:pos="1230"/>
        </w:tabs>
        <w:spacing w:before="120" w:after="120"/>
        <w:rPr>
          <w:rFonts w:ascii="Rockwell" w:hAnsi="Rockwell"/>
          <w:sz w:val="10"/>
          <w:szCs w:val="10"/>
        </w:rPr>
      </w:pPr>
    </w:p>
    <w:p w14:paraId="147FCBAA" w14:textId="77777777" w:rsidR="00284822" w:rsidRDefault="003148F1">
      <w:pPr>
        <w:pStyle w:val="Titre5"/>
        <w:numPr>
          <w:ilvl w:val="1"/>
          <w:numId w:val="19"/>
        </w:numPr>
        <w:ind w:hanging="589"/>
        <w:rPr>
          <w:rFonts w:ascii="Rockwell" w:hAnsi="Rockwell"/>
          <w:i/>
          <w:color w:val="000000" w:themeColor="text1"/>
          <w:szCs w:val="26"/>
        </w:rPr>
      </w:pPr>
      <w:hyperlink r:id="rId68" w:history="1">
        <w:bookmarkStart w:id="159" w:name="_Toc175048677"/>
        <w:r w:rsidR="00F77BF8">
          <w:rPr>
            <w:rStyle w:val="Lienhypertexte"/>
            <w:rFonts w:ascii="Rockwell" w:hAnsi="Rockwell"/>
            <w:i/>
            <w:color w:val="000000" w:themeColor="text1"/>
            <w:szCs w:val="26"/>
            <w:u w:val="none"/>
          </w:rPr>
          <w:t>Kaceto.net</w:t>
        </w:r>
        <w:bookmarkEnd w:id="159"/>
      </w:hyperlink>
    </w:p>
    <w:p w14:paraId="05B503C4" w14:textId="77777777" w:rsidR="00284822" w:rsidRDefault="00F77BF8">
      <w:pPr>
        <w:tabs>
          <w:tab w:val="left" w:pos="400"/>
        </w:tabs>
        <w:spacing w:before="120" w:after="120"/>
        <w:rPr>
          <w:rFonts w:ascii="Rockwell" w:hAnsi="Rockwell"/>
          <w:szCs w:val="26"/>
        </w:rPr>
      </w:pPr>
      <w:r>
        <w:rPr>
          <w:rFonts w:ascii="Rockwell" w:hAnsi="Rockwell"/>
          <w:i/>
          <w:szCs w:val="26"/>
        </w:rPr>
        <w:t>Kaceto.net</w:t>
      </w:r>
      <w:r>
        <w:rPr>
          <w:rFonts w:ascii="Rockwell" w:hAnsi="Rockwell"/>
          <w:szCs w:val="26"/>
        </w:rPr>
        <w:t xml:space="preserve"> a ouvert ses pages à 14 partis politiques avec un total de 49 articles et 71 illustrations. Le rang occupé par les 10 premiers partis politiques est le suivant : </w:t>
      </w:r>
    </w:p>
    <w:p w14:paraId="6136BBBD" w14:textId="77777777" w:rsidR="00284822" w:rsidRDefault="00284822">
      <w:pPr>
        <w:spacing w:before="120" w:after="120"/>
        <w:rPr>
          <w:rFonts w:ascii="Rockwell" w:hAnsi="Rockwell"/>
          <w:i/>
          <w:szCs w:val="26"/>
          <w:u w:val="single"/>
        </w:rPr>
        <w:sectPr w:rsidR="00284822">
          <w:pgSz w:w="11906" w:h="16838"/>
          <w:pgMar w:top="1418" w:right="1418" w:bottom="1418" w:left="1418" w:header="720" w:footer="720" w:gutter="0"/>
          <w:cols w:space="720"/>
        </w:sectPr>
      </w:pPr>
    </w:p>
    <w:p w14:paraId="126C35A8" w14:textId="77777777" w:rsidR="00284822" w:rsidRDefault="00F77BF8">
      <w:pPr>
        <w:spacing w:before="120" w:after="120"/>
        <w:jc w:val="center"/>
        <w:rPr>
          <w:rFonts w:ascii="Rockwell" w:hAnsi="Rockwell"/>
          <w:sz w:val="20"/>
          <w:szCs w:val="20"/>
          <w:u w:val="single"/>
        </w:rPr>
      </w:pPr>
      <w:r>
        <w:rPr>
          <w:rFonts w:ascii="Rockwell" w:hAnsi="Rockwell"/>
          <w:b/>
          <w:sz w:val="20"/>
          <w:szCs w:val="20"/>
          <w:u w:val="single"/>
        </w:rPr>
        <w:lastRenderedPageBreak/>
        <w:t>Tableau 11</w:t>
      </w:r>
      <w:r>
        <w:rPr>
          <w:rFonts w:ascii="Rockwell" w:hAnsi="Rockwell"/>
          <w:i/>
          <w:sz w:val="20"/>
          <w:szCs w:val="20"/>
        </w:rPr>
        <w:t> </w:t>
      </w:r>
      <w:r>
        <w:rPr>
          <w:rFonts w:ascii="Rockwell" w:hAnsi="Rockwell"/>
          <w:i/>
          <w:sz w:val="20"/>
          <w:szCs w:val="20"/>
          <w:u w:val="single"/>
        </w:rPr>
        <w:t>: Classement des dix premiers partis politiques selon les NA et NI publiés dans kaceto.net</w:t>
      </w:r>
    </w:p>
    <w:tbl>
      <w:tblPr>
        <w:tblW w:w="104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94"/>
        <w:gridCol w:w="2273"/>
        <w:gridCol w:w="1276"/>
        <w:gridCol w:w="1559"/>
        <w:gridCol w:w="1711"/>
        <w:gridCol w:w="2590"/>
      </w:tblGrid>
      <w:tr w:rsidR="00284822" w14:paraId="7ADD798B" w14:textId="77777777">
        <w:trPr>
          <w:trHeight w:val="70"/>
          <w:jc w:val="center"/>
        </w:trPr>
        <w:tc>
          <w:tcPr>
            <w:tcW w:w="10403" w:type="dxa"/>
            <w:gridSpan w:val="6"/>
            <w:shd w:val="clear" w:color="auto" w:fill="BDD6EE" w:themeFill="accent1" w:themeFillTint="66"/>
            <w:noWrap/>
            <w:tcMar>
              <w:top w:w="0" w:type="dxa"/>
              <w:left w:w="108" w:type="dxa"/>
              <w:bottom w:w="0" w:type="dxa"/>
              <w:right w:w="108" w:type="dxa"/>
            </w:tcMar>
          </w:tcPr>
          <w:p w14:paraId="5C531870" w14:textId="77777777" w:rsidR="00284822" w:rsidRDefault="00F77BF8">
            <w:pPr>
              <w:spacing w:before="120" w:after="120"/>
              <w:jc w:val="center"/>
              <w:rPr>
                <w:rFonts w:ascii="Rockwell" w:hAnsi="Rockwell"/>
                <w:szCs w:val="26"/>
              </w:rPr>
            </w:pPr>
            <w:r>
              <w:rPr>
                <w:rFonts w:ascii="Rockwell" w:hAnsi="Rockwell"/>
                <w:b/>
                <w:bCs/>
                <w:szCs w:val="26"/>
                <w:u w:val="single"/>
              </w:rPr>
              <w:t>Kaceto.Net</w:t>
            </w:r>
          </w:p>
        </w:tc>
      </w:tr>
      <w:tr w:rsidR="00284822" w14:paraId="712B3367" w14:textId="77777777">
        <w:trPr>
          <w:trHeight w:val="70"/>
          <w:jc w:val="center"/>
        </w:trPr>
        <w:tc>
          <w:tcPr>
            <w:tcW w:w="994" w:type="dxa"/>
            <w:shd w:val="clear" w:color="auto" w:fill="BDD6EE" w:themeFill="accent1" w:themeFillTint="66"/>
            <w:noWrap/>
            <w:tcMar>
              <w:top w:w="0" w:type="dxa"/>
              <w:left w:w="108" w:type="dxa"/>
              <w:bottom w:w="0" w:type="dxa"/>
              <w:right w:w="108" w:type="dxa"/>
            </w:tcMar>
            <w:vAlign w:val="center"/>
          </w:tcPr>
          <w:p w14:paraId="1D8CC92D" w14:textId="77777777" w:rsidR="00284822" w:rsidRDefault="00F77BF8">
            <w:pPr>
              <w:spacing w:before="120" w:after="120"/>
              <w:rPr>
                <w:rFonts w:ascii="Rockwell" w:hAnsi="Rockwell"/>
                <w:b/>
                <w:bCs/>
                <w:szCs w:val="26"/>
              </w:rPr>
            </w:pPr>
            <w:r>
              <w:rPr>
                <w:rFonts w:ascii="Rockwell" w:hAnsi="Rockwell" w:cs="Calibri"/>
                <w:b/>
                <w:bCs/>
                <w:color w:val="000000"/>
                <w:szCs w:val="26"/>
              </w:rPr>
              <w:t>Rang</w:t>
            </w:r>
          </w:p>
        </w:tc>
        <w:tc>
          <w:tcPr>
            <w:tcW w:w="2273" w:type="dxa"/>
            <w:shd w:val="clear" w:color="auto" w:fill="BDD6EE" w:themeFill="accent1" w:themeFillTint="66"/>
            <w:tcMar>
              <w:top w:w="0" w:type="dxa"/>
              <w:left w:w="108" w:type="dxa"/>
              <w:bottom w:w="0" w:type="dxa"/>
              <w:right w:w="108" w:type="dxa"/>
            </w:tcMar>
            <w:vAlign w:val="center"/>
          </w:tcPr>
          <w:p w14:paraId="3D0E8A9B" w14:textId="2936705F" w:rsidR="00284822" w:rsidRDefault="00746D14">
            <w:pPr>
              <w:spacing w:before="120" w:after="120"/>
              <w:jc w:val="center"/>
              <w:rPr>
                <w:rFonts w:ascii="Rockwell" w:hAnsi="Rockwell"/>
                <w:szCs w:val="26"/>
              </w:rPr>
            </w:pPr>
            <w:r>
              <w:rPr>
                <w:rFonts w:ascii="Rockwell" w:hAnsi="Rockwell"/>
                <w:b/>
                <w:bCs/>
              </w:rPr>
              <w:t>PARTIS</w:t>
            </w:r>
            <w:r w:rsidR="00F77BF8">
              <w:rPr>
                <w:rFonts w:ascii="Rockwell" w:hAnsi="Rockwell"/>
                <w:b/>
                <w:bCs/>
                <w:szCs w:val="26"/>
              </w:rPr>
              <w:t xml:space="preserve"> POLITIQUES</w:t>
            </w:r>
          </w:p>
        </w:tc>
        <w:tc>
          <w:tcPr>
            <w:tcW w:w="1276" w:type="dxa"/>
            <w:shd w:val="clear" w:color="auto" w:fill="BDD6EE" w:themeFill="accent1" w:themeFillTint="66"/>
            <w:tcMar>
              <w:top w:w="0" w:type="dxa"/>
              <w:left w:w="108" w:type="dxa"/>
              <w:bottom w:w="0" w:type="dxa"/>
              <w:right w:w="108" w:type="dxa"/>
            </w:tcMar>
            <w:vAlign w:val="center"/>
          </w:tcPr>
          <w:p w14:paraId="71E82C2E" w14:textId="77777777" w:rsidR="00284822" w:rsidRDefault="00F77BF8">
            <w:pPr>
              <w:spacing w:before="120" w:after="120"/>
              <w:jc w:val="center"/>
              <w:rPr>
                <w:rFonts w:ascii="Rockwell" w:hAnsi="Rockwell"/>
                <w:b/>
                <w:szCs w:val="26"/>
              </w:rPr>
            </w:pPr>
            <w:r>
              <w:rPr>
                <w:rFonts w:ascii="Rockwell" w:hAnsi="Rockwell"/>
                <w:b/>
                <w:szCs w:val="26"/>
              </w:rPr>
              <w:t>NA</w:t>
            </w:r>
          </w:p>
        </w:tc>
        <w:tc>
          <w:tcPr>
            <w:tcW w:w="1559" w:type="dxa"/>
            <w:shd w:val="clear" w:color="auto" w:fill="BDD6EE" w:themeFill="accent1" w:themeFillTint="66"/>
            <w:tcMar>
              <w:top w:w="0" w:type="dxa"/>
              <w:left w:w="108" w:type="dxa"/>
              <w:bottom w:w="0" w:type="dxa"/>
              <w:right w:w="108" w:type="dxa"/>
            </w:tcMar>
            <w:vAlign w:val="center"/>
          </w:tcPr>
          <w:p w14:paraId="72F3D2AD" w14:textId="77777777" w:rsidR="00284822" w:rsidRDefault="00F77BF8">
            <w:pPr>
              <w:spacing w:before="120" w:after="120"/>
              <w:jc w:val="center"/>
              <w:rPr>
                <w:rFonts w:ascii="Rockwell" w:hAnsi="Rockwell"/>
                <w:b/>
                <w:szCs w:val="26"/>
              </w:rPr>
            </w:pPr>
            <w:r>
              <w:rPr>
                <w:rFonts w:ascii="Rockwell" w:hAnsi="Rockwell"/>
                <w:b/>
                <w:szCs w:val="26"/>
              </w:rPr>
              <w:t>% NA</w:t>
            </w:r>
          </w:p>
        </w:tc>
        <w:tc>
          <w:tcPr>
            <w:tcW w:w="1711" w:type="dxa"/>
            <w:shd w:val="clear" w:color="auto" w:fill="BDD6EE" w:themeFill="accent1" w:themeFillTint="66"/>
            <w:tcMar>
              <w:top w:w="0" w:type="dxa"/>
              <w:left w:w="108" w:type="dxa"/>
              <w:bottom w:w="0" w:type="dxa"/>
              <w:right w:w="108" w:type="dxa"/>
            </w:tcMar>
            <w:vAlign w:val="center"/>
          </w:tcPr>
          <w:p w14:paraId="0EE61B54" w14:textId="77777777" w:rsidR="00284822" w:rsidRDefault="00F77BF8">
            <w:pPr>
              <w:spacing w:before="120" w:after="120"/>
              <w:jc w:val="center"/>
              <w:rPr>
                <w:rFonts w:ascii="Rockwell" w:hAnsi="Rockwell"/>
                <w:b/>
                <w:szCs w:val="26"/>
              </w:rPr>
            </w:pPr>
            <w:r>
              <w:rPr>
                <w:rFonts w:ascii="Rockwell" w:hAnsi="Rockwell"/>
                <w:b/>
                <w:szCs w:val="26"/>
              </w:rPr>
              <w:t>NI</w:t>
            </w:r>
          </w:p>
        </w:tc>
        <w:tc>
          <w:tcPr>
            <w:tcW w:w="2590" w:type="dxa"/>
            <w:shd w:val="clear" w:color="auto" w:fill="BDD6EE" w:themeFill="accent1" w:themeFillTint="66"/>
            <w:tcMar>
              <w:top w:w="0" w:type="dxa"/>
              <w:left w:w="108" w:type="dxa"/>
              <w:bottom w:w="0" w:type="dxa"/>
              <w:right w:w="108" w:type="dxa"/>
            </w:tcMar>
            <w:vAlign w:val="center"/>
          </w:tcPr>
          <w:p w14:paraId="2CB32F52" w14:textId="77777777" w:rsidR="00284822" w:rsidRDefault="00F77BF8">
            <w:pPr>
              <w:spacing w:before="120" w:after="120"/>
              <w:jc w:val="center"/>
              <w:rPr>
                <w:rFonts w:ascii="Rockwell" w:hAnsi="Rockwell"/>
                <w:b/>
                <w:szCs w:val="26"/>
              </w:rPr>
            </w:pPr>
            <w:r>
              <w:rPr>
                <w:rFonts w:ascii="Rockwell" w:hAnsi="Rockwell"/>
                <w:b/>
                <w:szCs w:val="26"/>
              </w:rPr>
              <w:t>% NI</w:t>
            </w:r>
          </w:p>
        </w:tc>
      </w:tr>
      <w:tr w:rsidR="00284822" w14:paraId="4539EEF9" w14:textId="77777777">
        <w:trPr>
          <w:trHeight w:val="70"/>
          <w:jc w:val="center"/>
        </w:trPr>
        <w:tc>
          <w:tcPr>
            <w:tcW w:w="994" w:type="dxa"/>
            <w:shd w:val="clear" w:color="auto" w:fill="auto"/>
            <w:noWrap/>
            <w:tcMar>
              <w:top w:w="0" w:type="dxa"/>
              <w:left w:w="108" w:type="dxa"/>
              <w:bottom w:w="0" w:type="dxa"/>
              <w:right w:w="108" w:type="dxa"/>
            </w:tcMar>
            <w:vAlign w:val="center"/>
          </w:tcPr>
          <w:p w14:paraId="215FF5B9" w14:textId="77777777" w:rsidR="00284822" w:rsidRDefault="00F77BF8">
            <w:pPr>
              <w:spacing w:before="120" w:after="120"/>
              <w:rPr>
                <w:rFonts w:ascii="Rockwell" w:hAnsi="Rockwell"/>
                <w:szCs w:val="26"/>
              </w:rPr>
            </w:pPr>
            <w:r>
              <w:rPr>
                <w:rFonts w:ascii="Rockwell" w:hAnsi="Rockwell"/>
                <w:bCs/>
                <w:szCs w:val="26"/>
              </w:rPr>
              <w:t>1</w:t>
            </w:r>
            <w:r>
              <w:rPr>
                <w:rFonts w:ascii="Rockwell" w:hAnsi="Rockwell"/>
                <w:bCs/>
                <w:szCs w:val="26"/>
                <w:vertAlign w:val="superscript"/>
              </w:rPr>
              <w:t>er</w:t>
            </w:r>
          </w:p>
        </w:tc>
        <w:tc>
          <w:tcPr>
            <w:tcW w:w="2273" w:type="dxa"/>
            <w:shd w:val="clear" w:color="auto" w:fill="auto"/>
            <w:tcMar>
              <w:top w:w="0" w:type="dxa"/>
              <w:left w:w="108" w:type="dxa"/>
              <w:bottom w:w="0" w:type="dxa"/>
              <w:right w:w="108" w:type="dxa"/>
            </w:tcMar>
            <w:vAlign w:val="bottom"/>
          </w:tcPr>
          <w:p w14:paraId="7962850F" w14:textId="77777777" w:rsidR="00284822" w:rsidRDefault="00F77BF8">
            <w:pPr>
              <w:spacing w:before="120" w:after="120"/>
              <w:jc w:val="center"/>
              <w:rPr>
                <w:rFonts w:ascii="Rockwell" w:hAnsi="Rockwell"/>
                <w:b/>
                <w:szCs w:val="26"/>
              </w:rPr>
            </w:pPr>
            <w:r>
              <w:rPr>
                <w:rFonts w:ascii="Rockwell" w:hAnsi="Rockwell"/>
                <w:b/>
                <w:szCs w:val="26"/>
              </w:rPr>
              <w:t>MPP</w:t>
            </w:r>
          </w:p>
        </w:tc>
        <w:tc>
          <w:tcPr>
            <w:tcW w:w="1276" w:type="dxa"/>
            <w:shd w:val="clear" w:color="auto" w:fill="auto"/>
            <w:tcMar>
              <w:top w:w="0" w:type="dxa"/>
              <w:left w:w="108" w:type="dxa"/>
              <w:bottom w:w="0" w:type="dxa"/>
              <w:right w:w="108" w:type="dxa"/>
            </w:tcMar>
            <w:vAlign w:val="center"/>
          </w:tcPr>
          <w:p w14:paraId="53977BE5" w14:textId="77777777" w:rsidR="00284822" w:rsidRDefault="00F77BF8">
            <w:pPr>
              <w:spacing w:before="120" w:after="120"/>
              <w:jc w:val="center"/>
              <w:rPr>
                <w:rFonts w:ascii="Rockwell" w:hAnsi="Rockwell"/>
                <w:szCs w:val="26"/>
              </w:rPr>
            </w:pPr>
            <w:r>
              <w:rPr>
                <w:rFonts w:ascii="Rockwell" w:hAnsi="Rockwell"/>
                <w:szCs w:val="26"/>
              </w:rPr>
              <w:t>16</w:t>
            </w:r>
          </w:p>
        </w:tc>
        <w:tc>
          <w:tcPr>
            <w:tcW w:w="1559" w:type="dxa"/>
            <w:shd w:val="clear" w:color="auto" w:fill="auto"/>
            <w:tcMar>
              <w:top w:w="0" w:type="dxa"/>
              <w:left w:w="108" w:type="dxa"/>
              <w:bottom w:w="0" w:type="dxa"/>
              <w:right w:w="108" w:type="dxa"/>
            </w:tcMar>
            <w:vAlign w:val="center"/>
          </w:tcPr>
          <w:p w14:paraId="7578EC4F" w14:textId="77777777" w:rsidR="00284822" w:rsidRDefault="00F77BF8">
            <w:pPr>
              <w:spacing w:before="120" w:after="120"/>
              <w:jc w:val="center"/>
              <w:rPr>
                <w:rFonts w:ascii="Rockwell" w:hAnsi="Rockwell"/>
                <w:szCs w:val="26"/>
              </w:rPr>
            </w:pPr>
            <w:r>
              <w:rPr>
                <w:rFonts w:ascii="Rockwell" w:hAnsi="Rockwell"/>
                <w:szCs w:val="26"/>
              </w:rPr>
              <w:t>32,65%</w:t>
            </w:r>
          </w:p>
        </w:tc>
        <w:tc>
          <w:tcPr>
            <w:tcW w:w="1711" w:type="dxa"/>
            <w:shd w:val="clear" w:color="auto" w:fill="auto"/>
            <w:tcMar>
              <w:top w:w="0" w:type="dxa"/>
              <w:left w:w="108" w:type="dxa"/>
              <w:bottom w:w="0" w:type="dxa"/>
              <w:right w:w="108" w:type="dxa"/>
            </w:tcMar>
            <w:vAlign w:val="center"/>
          </w:tcPr>
          <w:p w14:paraId="3B0E9706" w14:textId="77777777" w:rsidR="00284822" w:rsidRDefault="00F77BF8">
            <w:pPr>
              <w:spacing w:before="120" w:after="120"/>
              <w:jc w:val="center"/>
              <w:rPr>
                <w:rFonts w:ascii="Rockwell" w:hAnsi="Rockwell"/>
                <w:szCs w:val="26"/>
              </w:rPr>
            </w:pPr>
            <w:r>
              <w:rPr>
                <w:rFonts w:ascii="Rockwell" w:hAnsi="Rockwell"/>
                <w:szCs w:val="26"/>
              </w:rPr>
              <w:t>32</w:t>
            </w:r>
          </w:p>
        </w:tc>
        <w:tc>
          <w:tcPr>
            <w:tcW w:w="2590" w:type="dxa"/>
            <w:shd w:val="clear" w:color="auto" w:fill="auto"/>
            <w:tcMar>
              <w:top w:w="0" w:type="dxa"/>
              <w:left w:w="108" w:type="dxa"/>
              <w:bottom w:w="0" w:type="dxa"/>
              <w:right w:w="108" w:type="dxa"/>
            </w:tcMar>
            <w:vAlign w:val="center"/>
          </w:tcPr>
          <w:p w14:paraId="39C492A1" w14:textId="77777777" w:rsidR="00284822" w:rsidRDefault="00F77BF8">
            <w:pPr>
              <w:spacing w:before="120" w:after="120"/>
              <w:jc w:val="center"/>
              <w:rPr>
                <w:rFonts w:ascii="Rockwell" w:hAnsi="Rockwell"/>
                <w:szCs w:val="26"/>
              </w:rPr>
            </w:pPr>
            <w:r>
              <w:rPr>
                <w:rFonts w:ascii="Rockwell" w:hAnsi="Rockwell"/>
                <w:szCs w:val="26"/>
              </w:rPr>
              <w:t>45,07%</w:t>
            </w:r>
          </w:p>
        </w:tc>
      </w:tr>
      <w:tr w:rsidR="00284822" w14:paraId="7C94F135" w14:textId="77777777">
        <w:trPr>
          <w:trHeight w:val="70"/>
          <w:jc w:val="center"/>
        </w:trPr>
        <w:tc>
          <w:tcPr>
            <w:tcW w:w="994" w:type="dxa"/>
            <w:shd w:val="clear" w:color="auto" w:fill="auto"/>
            <w:noWrap/>
            <w:tcMar>
              <w:top w:w="0" w:type="dxa"/>
              <w:left w:w="108" w:type="dxa"/>
              <w:bottom w:w="0" w:type="dxa"/>
              <w:right w:w="108" w:type="dxa"/>
            </w:tcMar>
            <w:vAlign w:val="center"/>
          </w:tcPr>
          <w:p w14:paraId="5A91A10B" w14:textId="77777777" w:rsidR="00284822" w:rsidRDefault="00F77BF8">
            <w:pPr>
              <w:spacing w:before="120" w:after="120"/>
              <w:rPr>
                <w:rFonts w:ascii="Rockwell" w:hAnsi="Rockwell"/>
                <w:szCs w:val="26"/>
              </w:rPr>
            </w:pPr>
            <w:r>
              <w:rPr>
                <w:rFonts w:ascii="Rockwell" w:hAnsi="Rockwell"/>
                <w:bCs/>
                <w:szCs w:val="26"/>
              </w:rPr>
              <w:t>2</w:t>
            </w:r>
            <w:r>
              <w:rPr>
                <w:rFonts w:ascii="Rockwell" w:hAnsi="Rockwell"/>
                <w:bCs/>
                <w:szCs w:val="26"/>
                <w:vertAlign w:val="superscript"/>
              </w:rPr>
              <w:t>e</w:t>
            </w:r>
          </w:p>
        </w:tc>
        <w:tc>
          <w:tcPr>
            <w:tcW w:w="2273" w:type="dxa"/>
            <w:shd w:val="clear" w:color="auto" w:fill="auto"/>
            <w:tcMar>
              <w:top w:w="0" w:type="dxa"/>
              <w:left w:w="108" w:type="dxa"/>
              <w:bottom w:w="0" w:type="dxa"/>
              <w:right w:w="108" w:type="dxa"/>
            </w:tcMar>
            <w:vAlign w:val="bottom"/>
          </w:tcPr>
          <w:p w14:paraId="1FDC13FE" w14:textId="77777777" w:rsidR="00284822" w:rsidRDefault="00F77BF8">
            <w:pPr>
              <w:spacing w:before="120" w:after="120"/>
              <w:jc w:val="center"/>
              <w:rPr>
                <w:rFonts w:ascii="Rockwell" w:hAnsi="Rockwell"/>
                <w:b/>
                <w:szCs w:val="26"/>
              </w:rPr>
            </w:pPr>
            <w:r>
              <w:rPr>
                <w:rFonts w:ascii="Rockwell" w:hAnsi="Rockwell"/>
                <w:b/>
                <w:szCs w:val="26"/>
              </w:rPr>
              <w:t>CDP</w:t>
            </w:r>
          </w:p>
        </w:tc>
        <w:tc>
          <w:tcPr>
            <w:tcW w:w="1276" w:type="dxa"/>
            <w:shd w:val="clear" w:color="auto" w:fill="auto"/>
            <w:tcMar>
              <w:top w:w="0" w:type="dxa"/>
              <w:left w:w="108" w:type="dxa"/>
              <w:bottom w:w="0" w:type="dxa"/>
              <w:right w:w="108" w:type="dxa"/>
            </w:tcMar>
            <w:vAlign w:val="center"/>
          </w:tcPr>
          <w:p w14:paraId="58F7A773" w14:textId="77777777" w:rsidR="00284822" w:rsidRDefault="00F77BF8">
            <w:pPr>
              <w:spacing w:before="120" w:after="120"/>
              <w:jc w:val="center"/>
              <w:rPr>
                <w:rFonts w:ascii="Rockwell" w:hAnsi="Rockwell"/>
                <w:szCs w:val="26"/>
              </w:rPr>
            </w:pPr>
            <w:r>
              <w:rPr>
                <w:rFonts w:ascii="Rockwell" w:hAnsi="Rockwell"/>
                <w:szCs w:val="26"/>
              </w:rPr>
              <w:t>10</w:t>
            </w:r>
          </w:p>
        </w:tc>
        <w:tc>
          <w:tcPr>
            <w:tcW w:w="1559" w:type="dxa"/>
            <w:shd w:val="clear" w:color="auto" w:fill="auto"/>
            <w:tcMar>
              <w:top w:w="0" w:type="dxa"/>
              <w:left w:w="108" w:type="dxa"/>
              <w:bottom w:w="0" w:type="dxa"/>
              <w:right w:w="108" w:type="dxa"/>
            </w:tcMar>
            <w:vAlign w:val="center"/>
          </w:tcPr>
          <w:p w14:paraId="2FDFDF1D" w14:textId="77777777" w:rsidR="00284822" w:rsidRDefault="00F77BF8">
            <w:pPr>
              <w:spacing w:before="120" w:after="120"/>
              <w:jc w:val="center"/>
              <w:rPr>
                <w:rFonts w:ascii="Rockwell" w:hAnsi="Rockwell"/>
                <w:szCs w:val="26"/>
              </w:rPr>
            </w:pPr>
            <w:r>
              <w:rPr>
                <w:rFonts w:ascii="Rockwell" w:hAnsi="Rockwell"/>
                <w:szCs w:val="26"/>
              </w:rPr>
              <w:t>20,41%</w:t>
            </w:r>
          </w:p>
        </w:tc>
        <w:tc>
          <w:tcPr>
            <w:tcW w:w="1711" w:type="dxa"/>
            <w:shd w:val="clear" w:color="auto" w:fill="auto"/>
            <w:tcMar>
              <w:top w:w="0" w:type="dxa"/>
              <w:left w:w="108" w:type="dxa"/>
              <w:bottom w:w="0" w:type="dxa"/>
              <w:right w:w="108" w:type="dxa"/>
            </w:tcMar>
            <w:vAlign w:val="center"/>
          </w:tcPr>
          <w:p w14:paraId="3A7F2A6F" w14:textId="77777777" w:rsidR="00284822" w:rsidRDefault="00F77BF8">
            <w:pPr>
              <w:spacing w:before="120" w:after="120"/>
              <w:jc w:val="center"/>
              <w:rPr>
                <w:rFonts w:ascii="Rockwell" w:hAnsi="Rockwell"/>
                <w:szCs w:val="26"/>
              </w:rPr>
            </w:pPr>
            <w:r>
              <w:rPr>
                <w:rFonts w:ascii="Rockwell" w:hAnsi="Rockwell"/>
                <w:szCs w:val="26"/>
              </w:rPr>
              <w:t>14</w:t>
            </w:r>
          </w:p>
        </w:tc>
        <w:tc>
          <w:tcPr>
            <w:tcW w:w="2590" w:type="dxa"/>
            <w:shd w:val="clear" w:color="auto" w:fill="auto"/>
            <w:tcMar>
              <w:top w:w="0" w:type="dxa"/>
              <w:left w:w="108" w:type="dxa"/>
              <w:bottom w:w="0" w:type="dxa"/>
              <w:right w:w="108" w:type="dxa"/>
            </w:tcMar>
            <w:vAlign w:val="center"/>
          </w:tcPr>
          <w:p w14:paraId="3B8BC86E" w14:textId="77777777" w:rsidR="00284822" w:rsidRDefault="00F77BF8">
            <w:pPr>
              <w:spacing w:before="120" w:after="120"/>
              <w:jc w:val="center"/>
              <w:rPr>
                <w:rFonts w:ascii="Rockwell" w:hAnsi="Rockwell"/>
                <w:szCs w:val="26"/>
              </w:rPr>
            </w:pPr>
            <w:r>
              <w:rPr>
                <w:rFonts w:ascii="Rockwell" w:hAnsi="Rockwell"/>
                <w:szCs w:val="26"/>
              </w:rPr>
              <w:t>19,72%</w:t>
            </w:r>
          </w:p>
        </w:tc>
      </w:tr>
      <w:tr w:rsidR="00284822" w14:paraId="1D1F2453" w14:textId="77777777">
        <w:trPr>
          <w:trHeight w:val="70"/>
          <w:jc w:val="center"/>
        </w:trPr>
        <w:tc>
          <w:tcPr>
            <w:tcW w:w="994" w:type="dxa"/>
            <w:shd w:val="clear" w:color="auto" w:fill="auto"/>
            <w:noWrap/>
            <w:tcMar>
              <w:top w:w="0" w:type="dxa"/>
              <w:left w:w="108" w:type="dxa"/>
              <w:bottom w:w="0" w:type="dxa"/>
              <w:right w:w="108" w:type="dxa"/>
            </w:tcMar>
            <w:vAlign w:val="center"/>
          </w:tcPr>
          <w:p w14:paraId="78F688DE" w14:textId="77777777" w:rsidR="00284822" w:rsidRDefault="00F77BF8">
            <w:pPr>
              <w:spacing w:before="120" w:after="120"/>
              <w:rPr>
                <w:rFonts w:ascii="Rockwell" w:hAnsi="Rockwell"/>
                <w:szCs w:val="26"/>
              </w:rPr>
            </w:pPr>
            <w:r>
              <w:rPr>
                <w:rFonts w:ascii="Rockwell" w:hAnsi="Rockwell"/>
                <w:bCs/>
                <w:szCs w:val="26"/>
              </w:rPr>
              <w:t>3</w:t>
            </w:r>
            <w:r>
              <w:rPr>
                <w:rFonts w:ascii="Rockwell" w:hAnsi="Rockwell"/>
                <w:bCs/>
                <w:szCs w:val="26"/>
                <w:vertAlign w:val="superscript"/>
              </w:rPr>
              <w:t>e</w:t>
            </w:r>
          </w:p>
        </w:tc>
        <w:tc>
          <w:tcPr>
            <w:tcW w:w="2273" w:type="dxa"/>
            <w:shd w:val="clear" w:color="auto" w:fill="auto"/>
            <w:tcMar>
              <w:top w:w="0" w:type="dxa"/>
              <w:left w:w="108" w:type="dxa"/>
              <w:bottom w:w="0" w:type="dxa"/>
              <w:right w:w="108" w:type="dxa"/>
            </w:tcMar>
            <w:vAlign w:val="bottom"/>
          </w:tcPr>
          <w:p w14:paraId="24EDAE5A" w14:textId="77777777" w:rsidR="00284822" w:rsidRDefault="00F77BF8">
            <w:pPr>
              <w:spacing w:before="120" w:after="120"/>
              <w:jc w:val="center"/>
              <w:rPr>
                <w:rFonts w:ascii="Rockwell" w:hAnsi="Rockwell"/>
                <w:b/>
                <w:szCs w:val="26"/>
              </w:rPr>
            </w:pPr>
            <w:r>
              <w:rPr>
                <w:rFonts w:ascii="Rockwell" w:hAnsi="Rockwell"/>
                <w:b/>
                <w:szCs w:val="26"/>
              </w:rPr>
              <w:t>UNIR/MPS</w:t>
            </w:r>
          </w:p>
        </w:tc>
        <w:tc>
          <w:tcPr>
            <w:tcW w:w="1276" w:type="dxa"/>
            <w:shd w:val="clear" w:color="auto" w:fill="auto"/>
            <w:tcMar>
              <w:top w:w="0" w:type="dxa"/>
              <w:left w:w="108" w:type="dxa"/>
              <w:bottom w:w="0" w:type="dxa"/>
              <w:right w:w="108" w:type="dxa"/>
            </w:tcMar>
            <w:vAlign w:val="center"/>
          </w:tcPr>
          <w:p w14:paraId="4D46765B" w14:textId="77777777" w:rsidR="00284822" w:rsidRDefault="00F77BF8">
            <w:pPr>
              <w:spacing w:before="120" w:after="120"/>
              <w:jc w:val="center"/>
              <w:rPr>
                <w:rFonts w:ascii="Rockwell" w:hAnsi="Rockwell"/>
                <w:szCs w:val="26"/>
              </w:rPr>
            </w:pPr>
            <w:r>
              <w:rPr>
                <w:rFonts w:ascii="Rockwell" w:hAnsi="Rockwell"/>
                <w:szCs w:val="26"/>
              </w:rPr>
              <w:t>6</w:t>
            </w:r>
          </w:p>
        </w:tc>
        <w:tc>
          <w:tcPr>
            <w:tcW w:w="1559" w:type="dxa"/>
            <w:shd w:val="clear" w:color="auto" w:fill="auto"/>
            <w:tcMar>
              <w:top w:w="0" w:type="dxa"/>
              <w:left w:w="108" w:type="dxa"/>
              <w:bottom w:w="0" w:type="dxa"/>
              <w:right w:w="108" w:type="dxa"/>
            </w:tcMar>
            <w:vAlign w:val="center"/>
          </w:tcPr>
          <w:p w14:paraId="23375BB9" w14:textId="77777777" w:rsidR="00284822" w:rsidRDefault="00F77BF8">
            <w:pPr>
              <w:spacing w:before="120" w:after="120"/>
              <w:jc w:val="center"/>
              <w:rPr>
                <w:rFonts w:ascii="Rockwell" w:hAnsi="Rockwell"/>
                <w:szCs w:val="26"/>
              </w:rPr>
            </w:pPr>
            <w:r>
              <w:rPr>
                <w:rFonts w:ascii="Rockwell" w:hAnsi="Rockwell"/>
                <w:szCs w:val="26"/>
              </w:rPr>
              <w:t>12,24%</w:t>
            </w:r>
          </w:p>
        </w:tc>
        <w:tc>
          <w:tcPr>
            <w:tcW w:w="1711" w:type="dxa"/>
            <w:shd w:val="clear" w:color="auto" w:fill="auto"/>
            <w:tcMar>
              <w:top w:w="0" w:type="dxa"/>
              <w:left w:w="108" w:type="dxa"/>
              <w:bottom w:w="0" w:type="dxa"/>
              <w:right w:w="108" w:type="dxa"/>
            </w:tcMar>
            <w:vAlign w:val="center"/>
          </w:tcPr>
          <w:p w14:paraId="1DC699CE" w14:textId="77777777" w:rsidR="00284822" w:rsidRDefault="00F77BF8">
            <w:pPr>
              <w:spacing w:before="120" w:after="120"/>
              <w:jc w:val="center"/>
              <w:rPr>
                <w:rFonts w:ascii="Rockwell" w:hAnsi="Rockwell"/>
                <w:szCs w:val="26"/>
              </w:rPr>
            </w:pPr>
            <w:r>
              <w:rPr>
                <w:rFonts w:ascii="Rockwell" w:hAnsi="Rockwell"/>
                <w:szCs w:val="26"/>
              </w:rPr>
              <w:t>7</w:t>
            </w:r>
          </w:p>
        </w:tc>
        <w:tc>
          <w:tcPr>
            <w:tcW w:w="2590" w:type="dxa"/>
            <w:shd w:val="clear" w:color="auto" w:fill="auto"/>
            <w:tcMar>
              <w:top w:w="0" w:type="dxa"/>
              <w:left w:w="108" w:type="dxa"/>
              <w:bottom w:w="0" w:type="dxa"/>
              <w:right w:w="108" w:type="dxa"/>
            </w:tcMar>
            <w:vAlign w:val="center"/>
          </w:tcPr>
          <w:p w14:paraId="67074641" w14:textId="77777777" w:rsidR="00284822" w:rsidRDefault="00F77BF8">
            <w:pPr>
              <w:spacing w:before="120" w:after="120"/>
              <w:jc w:val="center"/>
              <w:rPr>
                <w:rFonts w:ascii="Rockwell" w:hAnsi="Rockwell"/>
                <w:szCs w:val="26"/>
              </w:rPr>
            </w:pPr>
            <w:r>
              <w:rPr>
                <w:rFonts w:ascii="Rockwell" w:hAnsi="Rockwell"/>
                <w:szCs w:val="26"/>
              </w:rPr>
              <w:t>9,86%</w:t>
            </w:r>
          </w:p>
        </w:tc>
      </w:tr>
      <w:tr w:rsidR="00284822" w14:paraId="6B64B83D" w14:textId="77777777">
        <w:trPr>
          <w:trHeight w:val="70"/>
          <w:jc w:val="center"/>
        </w:trPr>
        <w:tc>
          <w:tcPr>
            <w:tcW w:w="994" w:type="dxa"/>
            <w:shd w:val="clear" w:color="auto" w:fill="auto"/>
            <w:noWrap/>
            <w:tcMar>
              <w:top w:w="0" w:type="dxa"/>
              <w:left w:w="108" w:type="dxa"/>
              <w:bottom w:w="0" w:type="dxa"/>
              <w:right w:w="108" w:type="dxa"/>
            </w:tcMar>
            <w:vAlign w:val="center"/>
          </w:tcPr>
          <w:p w14:paraId="4EC14F88" w14:textId="77777777" w:rsidR="00284822" w:rsidRDefault="00F77BF8">
            <w:pPr>
              <w:spacing w:before="120" w:after="120"/>
              <w:rPr>
                <w:rFonts w:ascii="Rockwell" w:hAnsi="Rockwell"/>
                <w:szCs w:val="26"/>
              </w:rPr>
            </w:pPr>
            <w:r>
              <w:rPr>
                <w:rFonts w:ascii="Rockwell" w:hAnsi="Rockwell"/>
                <w:bCs/>
                <w:szCs w:val="26"/>
              </w:rPr>
              <w:t>4</w:t>
            </w:r>
            <w:r>
              <w:rPr>
                <w:rFonts w:ascii="Rockwell" w:hAnsi="Rockwell"/>
                <w:bCs/>
                <w:szCs w:val="26"/>
                <w:vertAlign w:val="superscript"/>
              </w:rPr>
              <w:t>e</w:t>
            </w:r>
          </w:p>
        </w:tc>
        <w:tc>
          <w:tcPr>
            <w:tcW w:w="2273" w:type="dxa"/>
            <w:shd w:val="clear" w:color="auto" w:fill="auto"/>
            <w:tcMar>
              <w:top w:w="0" w:type="dxa"/>
              <w:left w:w="108" w:type="dxa"/>
              <w:bottom w:w="0" w:type="dxa"/>
              <w:right w:w="108" w:type="dxa"/>
            </w:tcMar>
            <w:vAlign w:val="bottom"/>
          </w:tcPr>
          <w:p w14:paraId="6914E3E7" w14:textId="77777777" w:rsidR="00284822" w:rsidRDefault="00F77BF8">
            <w:pPr>
              <w:spacing w:before="120" w:after="120"/>
              <w:jc w:val="center"/>
              <w:rPr>
                <w:rFonts w:ascii="Rockwell" w:hAnsi="Rockwell"/>
                <w:b/>
                <w:szCs w:val="26"/>
              </w:rPr>
            </w:pPr>
            <w:r>
              <w:rPr>
                <w:rFonts w:ascii="Rockwell" w:hAnsi="Rockwell"/>
                <w:b/>
                <w:szCs w:val="26"/>
              </w:rPr>
              <w:t>UPC</w:t>
            </w:r>
          </w:p>
        </w:tc>
        <w:tc>
          <w:tcPr>
            <w:tcW w:w="1276" w:type="dxa"/>
            <w:shd w:val="clear" w:color="auto" w:fill="auto"/>
            <w:tcMar>
              <w:top w:w="0" w:type="dxa"/>
              <w:left w:w="108" w:type="dxa"/>
              <w:bottom w:w="0" w:type="dxa"/>
              <w:right w:w="108" w:type="dxa"/>
            </w:tcMar>
            <w:vAlign w:val="center"/>
          </w:tcPr>
          <w:p w14:paraId="61780A67" w14:textId="77777777" w:rsidR="00284822" w:rsidRDefault="00F77BF8">
            <w:pPr>
              <w:spacing w:before="120" w:after="120"/>
              <w:jc w:val="center"/>
              <w:rPr>
                <w:rFonts w:ascii="Rockwell" w:hAnsi="Rockwell"/>
                <w:szCs w:val="26"/>
              </w:rPr>
            </w:pPr>
            <w:r>
              <w:rPr>
                <w:rFonts w:ascii="Rockwell" w:hAnsi="Rockwell"/>
                <w:szCs w:val="26"/>
              </w:rPr>
              <w:t>4</w:t>
            </w:r>
          </w:p>
        </w:tc>
        <w:tc>
          <w:tcPr>
            <w:tcW w:w="1559" w:type="dxa"/>
            <w:shd w:val="clear" w:color="auto" w:fill="auto"/>
            <w:tcMar>
              <w:top w:w="0" w:type="dxa"/>
              <w:left w:w="108" w:type="dxa"/>
              <w:bottom w:w="0" w:type="dxa"/>
              <w:right w:w="108" w:type="dxa"/>
            </w:tcMar>
            <w:vAlign w:val="center"/>
          </w:tcPr>
          <w:p w14:paraId="55340A6D" w14:textId="77777777" w:rsidR="00284822" w:rsidRDefault="00F77BF8">
            <w:pPr>
              <w:spacing w:before="120" w:after="120"/>
              <w:jc w:val="center"/>
              <w:rPr>
                <w:rFonts w:ascii="Rockwell" w:hAnsi="Rockwell"/>
                <w:szCs w:val="26"/>
              </w:rPr>
            </w:pPr>
            <w:r>
              <w:rPr>
                <w:rFonts w:ascii="Rockwell" w:hAnsi="Rockwell"/>
                <w:szCs w:val="26"/>
              </w:rPr>
              <w:t>8,16%</w:t>
            </w:r>
          </w:p>
        </w:tc>
        <w:tc>
          <w:tcPr>
            <w:tcW w:w="1711" w:type="dxa"/>
            <w:shd w:val="clear" w:color="auto" w:fill="auto"/>
            <w:tcMar>
              <w:top w:w="0" w:type="dxa"/>
              <w:left w:w="108" w:type="dxa"/>
              <w:bottom w:w="0" w:type="dxa"/>
              <w:right w:w="108" w:type="dxa"/>
            </w:tcMar>
            <w:vAlign w:val="center"/>
          </w:tcPr>
          <w:p w14:paraId="4880DED9" w14:textId="77777777" w:rsidR="00284822" w:rsidRDefault="00F77BF8">
            <w:pPr>
              <w:spacing w:before="120" w:after="120"/>
              <w:jc w:val="center"/>
              <w:rPr>
                <w:rFonts w:ascii="Rockwell" w:hAnsi="Rockwell"/>
                <w:szCs w:val="26"/>
              </w:rPr>
            </w:pPr>
            <w:r>
              <w:rPr>
                <w:rFonts w:ascii="Rockwell" w:hAnsi="Rockwell"/>
                <w:szCs w:val="26"/>
              </w:rPr>
              <w:t>4</w:t>
            </w:r>
          </w:p>
        </w:tc>
        <w:tc>
          <w:tcPr>
            <w:tcW w:w="2590" w:type="dxa"/>
            <w:shd w:val="clear" w:color="auto" w:fill="auto"/>
            <w:tcMar>
              <w:top w:w="0" w:type="dxa"/>
              <w:left w:w="108" w:type="dxa"/>
              <w:bottom w:w="0" w:type="dxa"/>
              <w:right w:w="108" w:type="dxa"/>
            </w:tcMar>
            <w:vAlign w:val="center"/>
          </w:tcPr>
          <w:p w14:paraId="12F21037" w14:textId="77777777" w:rsidR="00284822" w:rsidRDefault="00F77BF8">
            <w:pPr>
              <w:spacing w:before="120" w:after="120"/>
              <w:jc w:val="center"/>
              <w:rPr>
                <w:rFonts w:ascii="Rockwell" w:hAnsi="Rockwell"/>
                <w:szCs w:val="26"/>
              </w:rPr>
            </w:pPr>
            <w:r>
              <w:rPr>
                <w:rFonts w:ascii="Rockwell" w:hAnsi="Rockwell"/>
                <w:szCs w:val="26"/>
              </w:rPr>
              <w:t>5,63%</w:t>
            </w:r>
          </w:p>
        </w:tc>
      </w:tr>
      <w:tr w:rsidR="00284822" w14:paraId="72563C92" w14:textId="77777777">
        <w:trPr>
          <w:trHeight w:val="70"/>
          <w:jc w:val="center"/>
        </w:trPr>
        <w:tc>
          <w:tcPr>
            <w:tcW w:w="994" w:type="dxa"/>
            <w:shd w:val="clear" w:color="auto" w:fill="auto"/>
            <w:noWrap/>
            <w:tcMar>
              <w:top w:w="0" w:type="dxa"/>
              <w:left w:w="108" w:type="dxa"/>
              <w:bottom w:w="0" w:type="dxa"/>
              <w:right w:w="108" w:type="dxa"/>
            </w:tcMar>
            <w:vAlign w:val="center"/>
          </w:tcPr>
          <w:p w14:paraId="11FCE716" w14:textId="77777777" w:rsidR="00284822" w:rsidRDefault="00F77BF8">
            <w:pPr>
              <w:spacing w:before="120" w:after="120"/>
              <w:rPr>
                <w:rFonts w:ascii="Rockwell" w:hAnsi="Rockwell"/>
                <w:szCs w:val="26"/>
              </w:rPr>
            </w:pPr>
            <w:r>
              <w:rPr>
                <w:rFonts w:ascii="Rockwell" w:hAnsi="Rockwell"/>
                <w:bCs/>
                <w:szCs w:val="26"/>
              </w:rPr>
              <w:t>5</w:t>
            </w:r>
            <w:r>
              <w:rPr>
                <w:rFonts w:ascii="Rockwell" w:hAnsi="Rockwell"/>
                <w:bCs/>
                <w:szCs w:val="26"/>
                <w:vertAlign w:val="superscript"/>
              </w:rPr>
              <w:t>e</w:t>
            </w:r>
          </w:p>
        </w:tc>
        <w:tc>
          <w:tcPr>
            <w:tcW w:w="2273" w:type="dxa"/>
            <w:shd w:val="clear" w:color="auto" w:fill="auto"/>
            <w:tcMar>
              <w:top w:w="0" w:type="dxa"/>
              <w:left w:w="108" w:type="dxa"/>
              <w:bottom w:w="0" w:type="dxa"/>
              <w:right w:w="108" w:type="dxa"/>
            </w:tcMar>
            <w:vAlign w:val="bottom"/>
          </w:tcPr>
          <w:p w14:paraId="2E39F243" w14:textId="77777777" w:rsidR="00284822" w:rsidRDefault="00F77BF8">
            <w:pPr>
              <w:spacing w:before="120" w:after="120"/>
              <w:jc w:val="center"/>
              <w:rPr>
                <w:rFonts w:ascii="Rockwell" w:hAnsi="Rockwell"/>
                <w:b/>
                <w:szCs w:val="26"/>
              </w:rPr>
            </w:pPr>
            <w:r>
              <w:rPr>
                <w:rFonts w:ascii="Rockwell" w:hAnsi="Rockwell"/>
                <w:b/>
                <w:szCs w:val="26"/>
              </w:rPr>
              <w:t>PPS</w:t>
            </w:r>
          </w:p>
        </w:tc>
        <w:tc>
          <w:tcPr>
            <w:tcW w:w="1276" w:type="dxa"/>
            <w:shd w:val="clear" w:color="auto" w:fill="auto"/>
            <w:tcMar>
              <w:top w:w="0" w:type="dxa"/>
              <w:left w:w="108" w:type="dxa"/>
              <w:bottom w:w="0" w:type="dxa"/>
              <w:right w:w="108" w:type="dxa"/>
            </w:tcMar>
            <w:vAlign w:val="center"/>
          </w:tcPr>
          <w:p w14:paraId="000FC1D2" w14:textId="77777777" w:rsidR="00284822" w:rsidRDefault="00F77BF8">
            <w:pPr>
              <w:spacing w:before="120" w:after="120"/>
              <w:jc w:val="center"/>
              <w:rPr>
                <w:rFonts w:ascii="Rockwell" w:hAnsi="Rockwell"/>
                <w:szCs w:val="26"/>
              </w:rPr>
            </w:pPr>
            <w:r>
              <w:rPr>
                <w:rFonts w:ascii="Rockwell" w:hAnsi="Rockwell"/>
                <w:szCs w:val="26"/>
              </w:rPr>
              <w:t>3</w:t>
            </w:r>
          </w:p>
        </w:tc>
        <w:tc>
          <w:tcPr>
            <w:tcW w:w="1559" w:type="dxa"/>
            <w:shd w:val="clear" w:color="auto" w:fill="auto"/>
            <w:tcMar>
              <w:top w:w="0" w:type="dxa"/>
              <w:left w:w="108" w:type="dxa"/>
              <w:bottom w:w="0" w:type="dxa"/>
              <w:right w:w="108" w:type="dxa"/>
            </w:tcMar>
            <w:vAlign w:val="center"/>
          </w:tcPr>
          <w:p w14:paraId="778B41B8" w14:textId="77777777" w:rsidR="00284822" w:rsidRDefault="00F77BF8">
            <w:pPr>
              <w:spacing w:before="120" w:after="120"/>
              <w:jc w:val="center"/>
              <w:rPr>
                <w:rFonts w:ascii="Rockwell" w:hAnsi="Rockwell"/>
                <w:szCs w:val="26"/>
              </w:rPr>
            </w:pPr>
            <w:r>
              <w:rPr>
                <w:rFonts w:ascii="Rockwell" w:hAnsi="Rockwell"/>
                <w:szCs w:val="26"/>
              </w:rPr>
              <w:t>6,12%</w:t>
            </w:r>
          </w:p>
        </w:tc>
        <w:tc>
          <w:tcPr>
            <w:tcW w:w="1711" w:type="dxa"/>
            <w:shd w:val="clear" w:color="auto" w:fill="auto"/>
            <w:tcMar>
              <w:top w:w="0" w:type="dxa"/>
              <w:left w:w="108" w:type="dxa"/>
              <w:bottom w:w="0" w:type="dxa"/>
              <w:right w:w="108" w:type="dxa"/>
            </w:tcMar>
            <w:vAlign w:val="center"/>
          </w:tcPr>
          <w:p w14:paraId="34652509" w14:textId="77777777" w:rsidR="00284822" w:rsidRDefault="00F77BF8">
            <w:pPr>
              <w:spacing w:before="120" w:after="120"/>
              <w:jc w:val="center"/>
              <w:rPr>
                <w:rFonts w:ascii="Rockwell" w:hAnsi="Rockwell"/>
                <w:szCs w:val="26"/>
              </w:rPr>
            </w:pPr>
            <w:r>
              <w:rPr>
                <w:rFonts w:ascii="Rockwell" w:hAnsi="Rockwell"/>
                <w:szCs w:val="26"/>
              </w:rPr>
              <w:t>3</w:t>
            </w:r>
          </w:p>
        </w:tc>
        <w:tc>
          <w:tcPr>
            <w:tcW w:w="2590" w:type="dxa"/>
            <w:shd w:val="clear" w:color="auto" w:fill="auto"/>
            <w:tcMar>
              <w:top w:w="0" w:type="dxa"/>
              <w:left w:w="108" w:type="dxa"/>
              <w:bottom w:w="0" w:type="dxa"/>
              <w:right w:w="108" w:type="dxa"/>
            </w:tcMar>
            <w:vAlign w:val="center"/>
          </w:tcPr>
          <w:p w14:paraId="274A8ED5" w14:textId="77777777" w:rsidR="00284822" w:rsidRDefault="00F77BF8">
            <w:pPr>
              <w:spacing w:before="120" w:after="120"/>
              <w:jc w:val="center"/>
              <w:rPr>
                <w:rFonts w:ascii="Rockwell" w:hAnsi="Rockwell"/>
                <w:szCs w:val="26"/>
              </w:rPr>
            </w:pPr>
            <w:r>
              <w:rPr>
                <w:rFonts w:ascii="Rockwell" w:hAnsi="Rockwell"/>
                <w:szCs w:val="26"/>
              </w:rPr>
              <w:t>4,23%</w:t>
            </w:r>
          </w:p>
        </w:tc>
      </w:tr>
      <w:tr w:rsidR="00284822" w14:paraId="5827C5B9" w14:textId="77777777">
        <w:trPr>
          <w:trHeight w:val="70"/>
          <w:jc w:val="center"/>
        </w:trPr>
        <w:tc>
          <w:tcPr>
            <w:tcW w:w="994" w:type="dxa"/>
            <w:shd w:val="clear" w:color="auto" w:fill="auto"/>
            <w:noWrap/>
            <w:tcMar>
              <w:top w:w="0" w:type="dxa"/>
              <w:left w:w="108" w:type="dxa"/>
              <w:bottom w:w="0" w:type="dxa"/>
              <w:right w:w="108" w:type="dxa"/>
            </w:tcMar>
            <w:vAlign w:val="center"/>
          </w:tcPr>
          <w:p w14:paraId="715E99E8" w14:textId="77777777" w:rsidR="00284822" w:rsidRDefault="00F77BF8">
            <w:pPr>
              <w:spacing w:before="120" w:after="120"/>
              <w:rPr>
                <w:rFonts w:ascii="Rockwell" w:hAnsi="Rockwell"/>
                <w:szCs w:val="26"/>
              </w:rPr>
            </w:pPr>
            <w:r>
              <w:rPr>
                <w:rFonts w:ascii="Rockwell" w:hAnsi="Rockwell"/>
                <w:bCs/>
                <w:szCs w:val="26"/>
              </w:rPr>
              <w:t>6</w:t>
            </w:r>
            <w:r>
              <w:rPr>
                <w:rFonts w:ascii="Rockwell" w:hAnsi="Rockwell"/>
                <w:bCs/>
                <w:szCs w:val="26"/>
                <w:vertAlign w:val="superscript"/>
              </w:rPr>
              <w:t>e</w:t>
            </w:r>
          </w:p>
        </w:tc>
        <w:tc>
          <w:tcPr>
            <w:tcW w:w="2273" w:type="dxa"/>
            <w:shd w:val="clear" w:color="auto" w:fill="auto"/>
            <w:tcMar>
              <w:top w:w="0" w:type="dxa"/>
              <w:left w:w="108" w:type="dxa"/>
              <w:bottom w:w="0" w:type="dxa"/>
              <w:right w:w="108" w:type="dxa"/>
            </w:tcMar>
            <w:vAlign w:val="bottom"/>
          </w:tcPr>
          <w:p w14:paraId="554356A3" w14:textId="77777777" w:rsidR="00284822" w:rsidRDefault="00F77BF8">
            <w:pPr>
              <w:spacing w:before="120" w:after="120"/>
              <w:jc w:val="center"/>
              <w:rPr>
                <w:rFonts w:ascii="Rockwell" w:hAnsi="Rockwell"/>
                <w:b/>
                <w:szCs w:val="26"/>
              </w:rPr>
            </w:pPr>
            <w:r>
              <w:rPr>
                <w:rFonts w:ascii="Rockwell" w:hAnsi="Rockwell"/>
                <w:b/>
                <w:szCs w:val="26"/>
              </w:rPr>
              <w:t>LES DEMOCRATES</w:t>
            </w:r>
          </w:p>
        </w:tc>
        <w:tc>
          <w:tcPr>
            <w:tcW w:w="1276" w:type="dxa"/>
            <w:shd w:val="clear" w:color="auto" w:fill="auto"/>
            <w:tcMar>
              <w:top w:w="0" w:type="dxa"/>
              <w:left w:w="108" w:type="dxa"/>
              <w:bottom w:w="0" w:type="dxa"/>
              <w:right w:w="108" w:type="dxa"/>
            </w:tcMar>
            <w:vAlign w:val="center"/>
          </w:tcPr>
          <w:p w14:paraId="135F80B6" w14:textId="77777777" w:rsidR="00284822" w:rsidRDefault="00F77BF8">
            <w:pPr>
              <w:spacing w:before="120" w:after="120"/>
              <w:jc w:val="center"/>
              <w:rPr>
                <w:rFonts w:ascii="Rockwell" w:hAnsi="Rockwell"/>
                <w:szCs w:val="26"/>
              </w:rPr>
            </w:pPr>
            <w:r>
              <w:rPr>
                <w:rFonts w:ascii="Rockwell" w:hAnsi="Rockwell"/>
                <w:szCs w:val="26"/>
              </w:rPr>
              <w:t>1</w:t>
            </w:r>
          </w:p>
        </w:tc>
        <w:tc>
          <w:tcPr>
            <w:tcW w:w="1559" w:type="dxa"/>
            <w:shd w:val="clear" w:color="auto" w:fill="auto"/>
            <w:tcMar>
              <w:top w:w="0" w:type="dxa"/>
              <w:left w:w="108" w:type="dxa"/>
              <w:bottom w:w="0" w:type="dxa"/>
              <w:right w:w="108" w:type="dxa"/>
            </w:tcMar>
            <w:vAlign w:val="center"/>
          </w:tcPr>
          <w:p w14:paraId="51D98342" w14:textId="77777777" w:rsidR="00284822" w:rsidRDefault="00F77BF8">
            <w:pPr>
              <w:spacing w:before="120" w:after="120"/>
              <w:jc w:val="center"/>
              <w:rPr>
                <w:rFonts w:ascii="Rockwell" w:hAnsi="Rockwell"/>
                <w:szCs w:val="26"/>
              </w:rPr>
            </w:pPr>
            <w:r>
              <w:rPr>
                <w:rFonts w:ascii="Rockwell" w:hAnsi="Rockwell"/>
                <w:szCs w:val="26"/>
              </w:rPr>
              <w:t>2,04%</w:t>
            </w:r>
          </w:p>
        </w:tc>
        <w:tc>
          <w:tcPr>
            <w:tcW w:w="1711" w:type="dxa"/>
            <w:shd w:val="clear" w:color="auto" w:fill="auto"/>
            <w:tcMar>
              <w:top w:w="0" w:type="dxa"/>
              <w:left w:w="108" w:type="dxa"/>
              <w:bottom w:w="0" w:type="dxa"/>
              <w:right w:w="108" w:type="dxa"/>
            </w:tcMar>
            <w:vAlign w:val="center"/>
          </w:tcPr>
          <w:p w14:paraId="208D5D36" w14:textId="77777777" w:rsidR="00284822" w:rsidRDefault="00F77BF8">
            <w:pPr>
              <w:spacing w:before="120" w:after="120"/>
              <w:jc w:val="center"/>
              <w:rPr>
                <w:rFonts w:ascii="Rockwell" w:hAnsi="Rockwell"/>
                <w:szCs w:val="26"/>
              </w:rPr>
            </w:pPr>
            <w:r>
              <w:rPr>
                <w:rFonts w:ascii="Rockwell" w:hAnsi="Rockwell"/>
                <w:szCs w:val="26"/>
              </w:rPr>
              <w:t>2</w:t>
            </w:r>
          </w:p>
        </w:tc>
        <w:tc>
          <w:tcPr>
            <w:tcW w:w="2590" w:type="dxa"/>
            <w:shd w:val="clear" w:color="auto" w:fill="auto"/>
            <w:tcMar>
              <w:top w:w="0" w:type="dxa"/>
              <w:left w:w="108" w:type="dxa"/>
              <w:bottom w:w="0" w:type="dxa"/>
              <w:right w:w="108" w:type="dxa"/>
            </w:tcMar>
            <w:vAlign w:val="center"/>
          </w:tcPr>
          <w:p w14:paraId="6A3D991C" w14:textId="77777777" w:rsidR="00284822" w:rsidRDefault="00F77BF8">
            <w:pPr>
              <w:spacing w:before="120" w:after="120"/>
              <w:jc w:val="center"/>
              <w:rPr>
                <w:rFonts w:ascii="Rockwell" w:hAnsi="Rockwell"/>
                <w:szCs w:val="26"/>
              </w:rPr>
            </w:pPr>
            <w:r>
              <w:rPr>
                <w:rFonts w:ascii="Rockwell" w:hAnsi="Rockwell"/>
                <w:szCs w:val="26"/>
              </w:rPr>
              <w:t>2,82%</w:t>
            </w:r>
          </w:p>
        </w:tc>
      </w:tr>
      <w:tr w:rsidR="00284822" w14:paraId="78614BF8" w14:textId="77777777">
        <w:trPr>
          <w:trHeight w:val="70"/>
          <w:jc w:val="center"/>
        </w:trPr>
        <w:tc>
          <w:tcPr>
            <w:tcW w:w="994" w:type="dxa"/>
            <w:shd w:val="clear" w:color="auto" w:fill="auto"/>
            <w:noWrap/>
            <w:tcMar>
              <w:top w:w="0" w:type="dxa"/>
              <w:left w:w="108" w:type="dxa"/>
              <w:bottom w:w="0" w:type="dxa"/>
              <w:right w:w="108" w:type="dxa"/>
            </w:tcMar>
            <w:vAlign w:val="center"/>
          </w:tcPr>
          <w:p w14:paraId="08D94265" w14:textId="77777777" w:rsidR="00284822" w:rsidRDefault="00F77BF8">
            <w:pPr>
              <w:spacing w:before="120" w:after="120"/>
              <w:rPr>
                <w:rFonts w:ascii="Rockwell" w:hAnsi="Rockwell"/>
                <w:szCs w:val="26"/>
              </w:rPr>
            </w:pPr>
            <w:r>
              <w:rPr>
                <w:rFonts w:ascii="Rockwell" w:hAnsi="Rockwell"/>
                <w:bCs/>
                <w:szCs w:val="26"/>
              </w:rPr>
              <w:t>6</w:t>
            </w:r>
            <w:r>
              <w:rPr>
                <w:rFonts w:ascii="Rockwell" w:hAnsi="Rockwell"/>
                <w:bCs/>
                <w:szCs w:val="26"/>
                <w:vertAlign w:val="superscript"/>
              </w:rPr>
              <w:t>e</w:t>
            </w:r>
            <w:r>
              <w:rPr>
                <w:rFonts w:ascii="Rockwell" w:hAnsi="Rockwell"/>
                <w:bCs/>
                <w:szCs w:val="26"/>
              </w:rPr>
              <w:t xml:space="preserve"> ex</w:t>
            </w:r>
          </w:p>
        </w:tc>
        <w:tc>
          <w:tcPr>
            <w:tcW w:w="2273" w:type="dxa"/>
            <w:shd w:val="clear" w:color="auto" w:fill="auto"/>
            <w:tcMar>
              <w:top w:w="0" w:type="dxa"/>
              <w:left w:w="108" w:type="dxa"/>
              <w:bottom w:w="0" w:type="dxa"/>
              <w:right w:w="108" w:type="dxa"/>
            </w:tcMar>
            <w:vAlign w:val="bottom"/>
          </w:tcPr>
          <w:p w14:paraId="11D4DDA8" w14:textId="77777777" w:rsidR="00284822" w:rsidRDefault="00F77BF8">
            <w:pPr>
              <w:spacing w:before="120" w:after="120"/>
              <w:jc w:val="center"/>
              <w:rPr>
                <w:rFonts w:ascii="Rockwell" w:hAnsi="Rockwell"/>
                <w:b/>
                <w:szCs w:val="26"/>
              </w:rPr>
            </w:pPr>
            <w:r>
              <w:rPr>
                <w:rFonts w:ascii="Rockwell" w:hAnsi="Rockwell"/>
                <w:b/>
                <w:szCs w:val="26"/>
              </w:rPr>
              <w:t>FA</w:t>
            </w:r>
          </w:p>
        </w:tc>
        <w:tc>
          <w:tcPr>
            <w:tcW w:w="1276" w:type="dxa"/>
            <w:shd w:val="clear" w:color="auto" w:fill="auto"/>
            <w:tcMar>
              <w:top w:w="0" w:type="dxa"/>
              <w:left w:w="108" w:type="dxa"/>
              <w:bottom w:w="0" w:type="dxa"/>
              <w:right w:w="108" w:type="dxa"/>
            </w:tcMar>
            <w:vAlign w:val="center"/>
          </w:tcPr>
          <w:p w14:paraId="2E483C04" w14:textId="77777777" w:rsidR="00284822" w:rsidRDefault="00F77BF8">
            <w:pPr>
              <w:spacing w:before="120" w:after="120"/>
              <w:jc w:val="center"/>
              <w:rPr>
                <w:rFonts w:ascii="Rockwell" w:hAnsi="Rockwell"/>
                <w:szCs w:val="26"/>
              </w:rPr>
            </w:pPr>
            <w:r>
              <w:rPr>
                <w:rFonts w:ascii="Rockwell" w:hAnsi="Rockwell"/>
                <w:szCs w:val="26"/>
              </w:rPr>
              <w:t>1</w:t>
            </w:r>
          </w:p>
        </w:tc>
        <w:tc>
          <w:tcPr>
            <w:tcW w:w="1559" w:type="dxa"/>
            <w:shd w:val="clear" w:color="auto" w:fill="auto"/>
            <w:tcMar>
              <w:top w:w="0" w:type="dxa"/>
              <w:left w:w="108" w:type="dxa"/>
              <w:bottom w:w="0" w:type="dxa"/>
              <w:right w:w="108" w:type="dxa"/>
            </w:tcMar>
            <w:vAlign w:val="center"/>
          </w:tcPr>
          <w:p w14:paraId="243331F5" w14:textId="77777777" w:rsidR="00284822" w:rsidRDefault="00F77BF8">
            <w:pPr>
              <w:spacing w:before="120" w:after="120"/>
              <w:jc w:val="center"/>
              <w:rPr>
                <w:rFonts w:ascii="Rockwell" w:hAnsi="Rockwell"/>
                <w:szCs w:val="26"/>
              </w:rPr>
            </w:pPr>
            <w:r>
              <w:rPr>
                <w:rFonts w:ascii="Rockwell" w:hAnsi="Rockwell"/>
                <w:szCs w:val="26"/>
              </w:rPr>
              <w:t>2,04%</w:t>
            </w:r>
          </w:p>
        </w:tc>
        <w:tc>
          <w:tcPr>
            <w:tcW w:w="1711" w:type="dxa"/>
            <w:shd w:val="clear" w:color="auto" w:fill="auto"/>
            <w:tcMar>
              <w:top w:w="0" w:type="dxa"/>
              <w:left w:w="108" w:type="dxa"/>
              <w:bottom w:w="0" w:type="dxa"/>
              <w:right w:w="108" w:type="dxa"/>
            </w:tcMar>
            <w:vAlign w:val="center"/>
          </w:tcPr>
          <w:p w14:paraId="5B1048F0" w14:textId="77777777" w:rsidR="00284822" w:rsidRDefault="00F77BF8">
            <w:pPr>
              <w:spacing w:before="120" w:after="120"/>
              <w:jc w:val="center"/>
              <w:rPr>
                <w:rFonts w:ascii="Rockwell" w:hAnsi="Rockwell"/>
                <w:szCs w:val="26"/>
              </w:rPr>
            </w:pPr>
            <w:r>
              <w:rPr>
                <w:rFonts w:ascii="Rockwell" w:hAnsi="Rockwell"/>
                <w:szCs w:val="26"/>
              </w:rPr>
              <w:t>1</w:t>
            </w:r>
          </w:p>
        </w:tc>
        <w:tc>
          <w:tcPr>
            <w:tcW w:w="2590" w:type="dxa"/>
            <w:shd w:val="clear" w:color="auto" w:fill="auto"/>
            <w:tcMar>
              <w:top w:w="0" w:type="dxa"/>
              <w:left w:w="108" w:type="dxa"/>
              <w:bottom w:w="0" w:type="dxa"/>
              <w:right w:w="108" w:type="dxa"/>
            </w:tcMar>
            <w:vAlign w:val="center"/>
          </w:tcPr>
          <w:p w14:paraId="1ACAFD3A" w14:textId="77777777" w:rsidR="00284822" w:rsidRDefault="00F77BF8">
            <w:pPr>
              <w:spacing w:before="120" w:after="120"/>
              <w:jc w:val="center"/>
              <w:rPr>
                <w:rFonts w:ascii="Rockwell" w:hAnsi="Rockwell"/>
                <w:szCs w:val="26"/>
              </w:rPr>
            </w:pPr>
            <w:r>
              <w:rPr>
                <w:rFonts w:ascii="Rockwell" w:hAnsi="Rockwell"/>
                <w:szCs w:val="26"/>
              </w:rPr>
              <w:t>1,41%</w:t>
            </w:r>
          </w:p>
        </w:tc>
      </w:tr>
      <w:tr w:rsidR="00284822" w14:paraId="12F6D16A" w14:textId="77777777">
        <w:trPr>
          <w:trHeight w:val="70"/>
          <w:jc w:val="center"/>
        </w:trPr>
        <w:tc>
          <w:tcPr>
            <w:tcW w:w="994" w:type="dxa"/>
            <w:shd w:val="clear" w:color="auto" w:fill="auto"/>
            <w:noWrap/>
            <w:tcMar>
              <w:top w:w="0" w:type="dxa"/>
              <w:left w:w="108" w:type="dxa"/>
              <w:bottom w:w="0" w:type="dxa"/>
              <w:right w:w="108" w:type="dxa"/>
            </w:tcMar>
            <w:vAlign w:val="center"/>
          </w:tcPr>
          <w:p w14:paraId="47AC683F" w14:textId="77777777" w:rsidR="00284822" w:rsidRDefault="00F77BF8">
            <w:pPr>
              <w:spacing w:before="120" w:after="120"/>
              <w:rPr>
                <w:rFonts w:ascii="Rockwell" w:hAnsi="Rockwell"/>
                <w:szCs w:val="26"/>
              </w:rPr>
            </w:pPr>
            <w:r>
              <w:rPr>
                <w:rFonts w:ascii="Rockwell" w:hAnsi="Rockwell"/>
                <w:bCs/>
                <w:szCs w:val="26"/>
              </w:rPr>
              <w:t>6</w:t>
            </w:r>
            <w:r>
              <w:rPr>
                <w:rFonts w:ascii="Rockwell" w:hAnsi="Rockwell"/>
                <w:bCs/>
                <w:szCs w:val="26"/>
                <w:vertAlign w:val="superscript"/>
              </w:rPr>
              <w:t xml:space="preserve">e </w:t>
            </w:r>
            <w:r>
              <w:rPr>
                <w:rFonts w:ascii="Rockwell" w:hAnsi="Rockwell"/>
                <w:bCs/>
                <w:szCs w:val="26"/>
              </w:rPr>
              <w:t>ex</w:t>
            </w:r>
          </w:p>
        </w:tc>
        <w:tc>
          <w:tcPr>
            <w:tcW w:w="2273" w:type="dxa"/>
            <w:shd w:val="clear" w:color="auto" w:fill="auto"/>
            <w:tcMar>
              <w:top w:w="0" w:type="dxa"/>
              <w:left w:w="108" w:type="dxa"/>
              <w:bottom w:w="0" w:type="dxa"/>
              <w:right w:w="108" w:type="dxa"/>
            </w:tcMar>
            <w:vAlign w:val="bottom"/>
          </w:tcPr>
          <w:p w14:paraId="3C281C2B" w14:textId="77777777" w:rsidR="00284822" w:rsidRDefault="00F77BF8">
            <w:pPr>
              <w:spacing w:before="120" w:after="120"/>
              <w:jc w:val="center"/>
              <w:rPr>
                <w:rFonts w:ascii="Rockwell" w:hAnsi="Rockwell"/>
                <w:b/>
                <w:szCs w:val="26"/>
              </w:rPr>
            </w:pPr>
            <w:r>
              <w:rPr>
                <w:rFonts w:ascii="Rockwell" w:hAnsi="Rockwell"/>
                <w:b/>
                <w:szCs w:val="26"/>
              </w:rPr>
              <w:t>FPR</w:t>
            </w:r>
          </w:p>
        </w:tc>
        <w:tc>
          <w:tcPr>
            <w:tcW w:w="1276" w:type="dxa"/>
            <w:shd w:val="clear" w:color="auto" w:fill="auto"/>
            <w:tcMar>
              <w:top w:w="0" w:type="dxa"/>
              <w:left w:w="108" w:type="dxa"/>
              <w:bottom w:w="0" w:type="dxa"/>
              <w:right w:w="108" w:type="dxa"/>
            </w:tcMar>
            <w:vAlign w:val="center"/>
          </w:tcPr>
          <w:p w14:paraId="69CD6AF2" w14:textId="77777777" w:rsidR="00284822" w:rsidRDefault="00F77BF8">
            <w:pPr>
              <w:spacing w:before="120" w:after="120"/>
              <w:jc w:val="center"/>
              <w:rPr>
                <w:rFonts w:ascii="Rockwell" w:hAnsi="Rockwell"/>
                <w:szCs w:val="26"/>
              </w:rPr>
            </w:pPr>
            <w:r>
              <w:rPr>
                <w:rFonts w:ascii="Rockwell" w:hAnsi="Rockwell"/>
                <w:szCs w:val="26"/>
              </w:rPr>
              <w:t>1</w:t>
            </w:r>
          </w:p>
        </w:tc>
        <w:tc>
          <w:tcPr>
            <w:tcW w:w="1559" w:type="dxa"/>
            <w:shd w:val="clear" w:color="auto" w:fill="auto"/>
            <w:tcMar>
              <w:top w:w="0" w:type="dxa"/>
              <w:left w:w="108" w:type="dxa"/>
              <w:bottom w:w="0" w:type="dxa"/>
              <w:right w:w="108" w:type="dxa"/>
            </w:tcMar>
            <w:vAlign w:val="center"/>
          </w:tcPr>
          <w:p w14:paraId="088CB124" w14:textId="77777777" w:rsidR="00284822" w:rsidRDefault="00F77BF8">
            <w:pPr>
              <w:spacing w:before="120" w:after="120"/>
              <w:jc w:val="center"/>
              <w:rPr>
                <w:rFonts w:ascii="Rockwell" w:hAnsi="Rockwell"/>
                <w:szCs w:val="26"/>
              </w:rPr>
            </w:pPr>
            <w:r>
              <w:rPr>
                <w:rFonts w:ascii="Rockwell" w:hAnsi="Rockwell"/>
                <w:szCs w:val="26"/>
              </w:rPr>
              <w:t>2,04%</w:t>
            </w:r>
          </w:p>
        </w:tc>
        <w:tc>
          <w:tcPr>
            <w:tcW w:w="1711" w:type="dxa"/>
            <w:shd w:val="clear" w:color="auto" w:fill="auto"/>
            <w:tcMar>
              <w:top w:w="0" w:type="dxa"/>
              <w:left w:w="108" w:type="dxa"/>
              <w:bottom w:w="0" w:type="dxa"/>
              <w:right w:w="108" w:type="dxa"/>
            </w:tcMar>
            <w:vAlign w:val="center"/>
          </w:tcPr>
          <w:p w14:paraId="187462C9" w14:textId="77777777" w:rsidR="00284822" w:rsidRDefault="00F77BF8">
            <w:pPr>
              <w:spacing w:before="120" w:after="120"/>
              <w:jc w:val="center"/>
              <w:rPr>
                <w:rFonts w:ascii="Rockwell" w:hAnsi="Rockwell"/>
                <w:szCs w:val="26"/>
              </w:rPr>
            </w:pPr>
            <w:r>
              <w:rPr>
                <w:rFonts w:ascii="Rockwell" w:hAnsi="Rockwell"/>
                <w:szCs w:val="26"/>
              </w:rPr>
              <w:t>1</w:t>
            </w:r>
          </w:p>
        </w:tc>
        <w:tc>
          <w:tcPr>
            <w:tcW w:w="2590" w:type="dxa"/>
            <w:shd w:val="clear" w:color="auto" w:fill="auto"/>
            <w:tcMar>
              <w:top w:w="0" w:type="dxa"/>
              <w:left w:w="108" w:type="dxa"/>
              <w:bottom w:w="0" w:type="dxa"/>
              <w:right w:w="108" w:type="dxa"/>
            </w:tcMar>
            <w:vAlign w:val="center"/>
          </w:tcPr>
          <w:p w14:paraId="43FE6F0B" w14:textId="77777777" w:rsidR="00284822" w:rsidRDefault="00F77BF8">
            <w:pPr>
              <w:spacing w:before="120" w:after="120"/>
              <w:jc w:val="center"/>
              <w:rPr>
                <w:rFonts w:ascii="Rockwell" w:hAnsi="Rockwell"/>
                <w:szCs w:val="26"/>
              </w:rPr>
            </w:pPr>
            <w:r>
              <w:rPr>
                <w:rFonts w:ascii="Rockwell" w:hAnsi="Rockwell"/>
                <w:szCs w:val="26"/>
              </w:rPr>
              <w:t>1,41%</w:t>
            </w:r>
          </w:p>
        </w:tc>
      </w:tr>
      <w:tr w:rsidR="00284822" w14:paraId="3215AD93" w14:textId="77777777">
        <w:trPr>
          <w:trHeight w:val="70"/>
          <w:jc w:val="center"/>
        </w:trPr>
        <w:tc>
          <w:tcPr>
            <w:tcW w:w="994" w:type="dxa"/>
            <w:shd w:val="clear" w:color="auto" w:fill="auto"/>
            <w:noWrap/>
            <w:tcMar>
              <w:top w:w="0" w:type="dxa"/>
              <w:left w:w="108" w:type="dxa"/>
              <w:bottom w:w="0" w:type="dxa"/>
              <w:right w:w="108" w:type="dxa"/>
            </w:tcMar>
            <w:vAlign w:val="center"/>
          </w:tcPr>
          <w:p w14:paraId="21CC8FE0" w14:textId="77777777" w:rsidR="00284822" w:rsidRDefault="00F77BF8">
            <w:pPr>
              <w:spacing w:before="120" w:after="120"/>
              <w:rPr>
                <w:rFonts w:ascii="Rockwell" w:hAnsi="Rockwell"/>
                <w:szCs w:val="26"/>
              </w:rPr>
            </w:pPr>
            <w:r>
              <w:rPr>
                <w:rFonts w:ascii="Rockwell" w:hAnsi="Rockwell"/>
                <w:bCs/>
                <w:szCs w:val="26"/>
              </w:rPr>
              <w:t>6</w:t>
            </w:r>
            <w:r>
              <w:rPr>
                <w:rFonts w:ascii="Rockwell" w:hAnsi="Rockwell"/>
                <w:bCs/>
                <w:szCs w:val="26"/>
                <w:vertAlign w:val="superscript"/>
              </w:rPr>
              <w:t>e</w:t>
            </w:r>
            <w:r>
              <w:rPr>
                <w:rFonts w:ascii="Rockwell" w:hAnsi="Rockwell"/>
                <w:bCs/>
                <w:szCs w:val="26"/>
              </w:rPr>
              <w:t xml:space="preserve"> ex</w:t>
            </w:r>
          </w:p>
        </w:tc>
        <w:tc>
          <w:tcPr>
            <w:tcW w:w="2273" w:type="dxa"/>
            <w:shd w:val="clear" w:color="auto" w:fill="auto"/>
            <w:tcMar>
              <w:top w:w="0" w:type="dxa"/>
              <w:left w:w="108" w:type="dxa"/>
              <w:bottom w:w="0" w:type="dxa"/>
              <w:right w:w="108" w:type="dxa"/>
            </w:tcMar>
            <w:vAlign w:val="bottom"/>
          </w:tcPr>
          <w:p w14:paraId="3FB838FA" w14:textId="77777777" w:rsidR="00284822" w:rsidRDefault="00F77BF8">
            <w:pPr>
              <w:spacing w:before="120" w:after="120"/>
              <w:jc w:val="center"/>
              <w:rPr>
                <w:rFonts w:ascii="Rockwell" w:hAnsi="Rockwell"/>
                <w:b/>
                <w:szCs w:val="26"/>
              </w:rPr>
            </w:pPr>
            <w:r>
              <w:rPr>
                <w:rFonts w:ascii="Rockwell" w:hAnsi="Rockwell"/>
                <w:b/>
                <w:szCs w:val="26"/>
              </w:rPr>
              <w:t>MAE</w:t>
            </w:r>
          </w:p>
        </w:tc>
        <w:tc>
          <w:tcPr>
            <w:tcW w:w="1276" w:type="dxa"/>
            <w:shd w:val="clear" w:color="auto" w:fill="auto"/>
            <w:tcMar>
              <w:top w:w="0" w:type="dxa"/>
              <w:left w:w="108" w:type="dxa"/>
              <w:bottom w:w="0" w:type="dxa"/>
              <w:right w:w="108" w:type="dxa"/>
            </w:tcMar>
            <w:vAlign w:val="center"/>
          </w:tcPr>
          <w:p w14:paraId="196E95EE" w14:textId="77777777" w:rsidR="00284822" w:rsidRDefault="00F77BF8">
            <w:pPr>
              <w:spacing w:before="120" w:after="120"/>
              <w:jc w:val="center"/>
              <w:rPr>
                <w:rFonts w:ascii="Rockwell" w:hAnsi="Rockwell"/>
                <w:szCs w:val="26"/>
              </w:rPr>
            </w:pPr>
            <w:r>
              <w:rPr>
                <w:rFonts w:ascii="Rockwell" w:hAnsi="Rockwell"/>
                <w:szCs w:val="26"/>
              </w:rPr>
              <w:t>1</w:t>
            </w:r>
          </w:p>
        </w:tc>
        <w:tc>
          <w:tcPr>
            <w:tcW w:w="1559" w:type="dxa"/>
            <w:shd w:val="clear" w:color="auto" w:fill="auto"/>
            <w:tcMar>
              <w:top w:w="0" w:type="dxa"/>
              <w:left w:w="108" w:type="dxa"/>
              <w:bottom w:w="0" w:type="dxa"/>
              <w:right w:w="108" w:type="dxa"/>
            </w:tcMar>
            <w:vAlign w:val="center"/>
          </w:tcPr>
          <w:p w14:paraId="427A8D66" w14:textId="77777777" w:rsidR="00284822" w:rsidRDefault="00F77BF8">
            <w:pPr>
              <w:spacing w:before="120" w:after="120"/>
              <w:jc w:val="center"/>
              <w:rPr>
                <w:rFonts w:ascii="Rockwell" w:hAnsi="Rockwell"/>
                <w:szCs w:val="26"/>
              </w:rPr>
            </w:pPr>
            <w:r>
              <w:rPr>
                <w:rFonts w:ascii="Rockwell" w:hAnsi="Rockwell"/>
                <w:szCs w:val="26"/>
              </w:rPr>
              <w:t>2,04%</w:t>
            </w:r>
          </w:p>
        </w:tc>
        <w:tc>
          <w:tcPr>
            <w:tcW w:w="1711" w:type="dxa"/>
            <w:shd w:val="clear" w:color="auto" w:fill="auto"/>
            <w:tcMar>
              <w:top w:w="0" w:type="dxa"/>
              <w:left w:w="108" w:type="dxa"/>
              <w:bottom w:w="0" w:type="dxa"/>
              <w:right w:w="108" w:type="dxa"/>
            </w:tcMar>
            <w:vAlign w:val="center"/>
          </w:tcPr>
          <w:p w14:paraId="728F55E6" w14:textId="77777777" w:rsidR="00284822" w:rsidRDefault="00F77BF8">
            <w:pPr>
              <w:spacing w:before="120" w:after="120"/>
              <w:jc w:val="center"/>
              <w:rPr>
                <w:rFonts w:ascii="Rockwell" w:hAnsi="Rockwell"/>
                <w:szCs w:val="26"/>
              </w:rPr>
            </w:pPr>
            <w:r>
              <w:rPr>
                <w:rFonts w:ascii="Rockwell" w:hAnsi="Rockwell"/>
                <w:szCs w:val="26"/>
              </w:rPr>
              <w:t>1</w:t>
            </w:r>
          </w:p>
        </w:tc>
        <w:tc>
          <w:tcPr>
            <w:tcW w:w="2590" w:type="dxa"/>
            <w:shd w:val="clear" w:color="auto" w:fill="auto"/>
            <w:tcMar>
              <w:top w:w="0" w:type="dxa"/>
              <w:left w:w="108" w:type="dxa"/>
              <w:bottom w:w="0" w:type="dxa"/>
              <w:right w:w="108" w:type="dxa"/>
            </w:tcMar>
            <w:vAlign w:val="center"/>
          </w:tcPr>
          <w:p w14:paraId="7FDF3C35" w14:textId="77777777" w:rsidR="00284822" w:rsidRDefault="00F77BF8">
            <w:pPr>
              <w:spacing w:before="120" w:after="120"/>
              <w:jc w:val="center"/>
              <w:rPr>
                <w:rFonts w:ascii="Rockwell" w:hAnsi="Rockwell"/>
                <w:szCs w:val="26"/>
              </w:rPr>
            </w:pPr>
            <w:r>
              <w:rPr>
                <w:rFonts w:ascii="Rockwell" w:hAnsi="Rockwell"/>
                <w:szCs w:val="26"/>
              </w:rPr>
              <w:t>1,41%</w:t>
            </w:r>
          </w:p>
        </w:tc>
      </w:tr>
      <w:tr w:rsidR="00284822" w14:paraId="74C95F75" w14:textId="77777777">
        <w:trPr>
          <w:trHeight w:val="70"/>
          <w:jc w:val="center"/>
        </w:trPr>
        <w:tc>
          <w:tcPr>
            <w:tcW w:w="994" w:type="dxa"/>
            <w:shd w:val="clear" w:color="auto" w:fill="auto"/>
            <w:noWrap/>
            <w:tcMar>
              <w:top w:w="0" w:type="dxa"/>
              <w:left w:w="108" w:type="dxa"/>
              <w:bottom w:w="0" w:type="dxa"/>
              <w:right w:w="108" w:type="dxa"/>
            </w:tcMar>
            <w:vAlign w:val="bottom"/>
          </w:tcPr>
          <w:p w14:paraId="04B09EAC" w14:textId="77777777" w:rsidR="00284822" w:rsidRDefault="00F77BF8">
            <w:pPr>
              <w:spacing w:before="120" w:after="120"/>
              <w:rPr>
                <w:rFonts w:ascii="Rockwell" w:hAnsi="Rockwell"/>
                <w:szCs w:val="26"/>
              </w:rPr>
            </w:pPr>
            <w:r>
              <w:rPr>
                <w:rFonts w:ascii="Rockwell" w:hAnsi="Rockwell"/>
                <w:bCs/>
                <w:szCs w:val="26"/>
              </w:rPr>
              <w:t>6</w:t>
            </w:r>
            <w:r>
              <w:rPr>
                <w:rFonts w:ascii="Rockwell" w:hAnsi="Rockwell"/>
                <w:bCs/>
                <w:szCs w:val="26"/>
                <w:vertAlign w:val="superscript"/>
              </w:rPr>
              <w:t>e</w:t>
            </w:r>
            <w:r>
              <w:rPr>
                <w:rFonts w:ascii="Rockwell" w:hAnsi="Rockwell"/>
                <w:bCs/>
                <w:szCs w:val="26"/>
              </w:rPr>
              <w:t xml:space="preserve"> ex</w:t>
            </w:r>
          </w:p>
        </w:tc>
        <w:tc>
          <w:tcPr>
            <w:tcW w:w="2273" w:type="dxa"/>
            <w:shd w:val="clear" w:color="auto" w:fill="auto"/>
            <w:tcMar>
              <w:top w:w="0" w:type="dxa"/>
              <w:left w:w="108" w:type="dxa"/>
              <w:bottom w:w="0" w:type="dxa"/>
              <w:right w:w="108" w:type="dxa"/>
            </w:tcMar>
            <w:vAlign w:val="bottom"/>
          </w:tcPr>
          <w:p w14:paraId="06C3DDCA" w14:textId="77777777" w:rsidR="00284822" w:rsidRDefault="00F77BF8">
            <w:pPr>
              <w:spacing w:before="120" w:after="120"/>
              <w:jc w:val="center"/>
              <w:rPr>
                <w:rFonts w:ascii="Rockwell" w:hAnsi="Rockwell"/>
                <w:b/>
                <w:szCs w:val="26"/>
              </w:rPr>
            </w:pPr>
            <w:r>
              <w:rPr>
                <w:rFonts w:ascii="Rockwell" w:hAnsi="Rockwell"/>
                <w:b/>
                <w:szCs w:val="26"/>
              </w:rPr>
              <w:t>MRB</w:t>
            </w:r>
          </w:p>
        </w:tc>
        <w:tc>
          <w:tcPr>
            <w:tcW w:w="1276" w:type="dxa"/>
            <w:shd w:val="clear" w:color="auto" w:fill="auto"/>
            <w:tcMar>
              <w:top w:w="0" w:type="dxa"/>
              <w:left w:w="108" w:type="dxa"/>
              <w:bottom w:w="0" w:type="dxa"/>
              <w:right w:w="108" w:type="dxa"/>
            </w:tcMar>
            <w:vAlign w:val="center"/>
          </w:tcPr>
          <w:p w14:paraId="232055CB" w14:textId="77777777" w:rsidR="00284822" w:rsidRDefault="00F77BF8">
            <w:pPr>
              <w:spacing w:before="120" w:after="120"/>
              <w:jc w:val="center"/>
              <w:rPr>
                <w:rFonts w:ascii="Rockwell" w:hAnsi="Rockwell"/>
                <w:szCs w:val="26"/>
              </w:rPr>
            </w:pPr>
            <w:r>
              <w:rPr>
                <w:rFonts w:ascii="Rockwell" w:hAnsi="Rockwell"/>
                <w:szCs w:val="26"/>
              </w:rPr>
              <w:t>1</w:t>
            </w:r>
          </w:p>
        </w:tc>
        <w:tc>
          <w:tcPr>
            <w:tcW w:w="1559" w:type="dxa"/>
            <w:shd w:val="clear" w:color="auto" w:fill="auto"/>
            <w:tcMar>
              <w:top w:w="0" w:type="dxa"/>
              <w:left w:w="108" w:type="dxa"/>
              <w:bottom w:w="0" w:type="dxa"/>
              <w:right w:w="108" w:type="dxa"/>
            </w:tcMar>
            <w:vAlign w:val="center"/>
          </w:tcPr>
          <w:p w14:paraId="2A880432" w14:textId="77777777" w:rsidR="00284822" w:rsidRDefault="00F77BF8">
            <w:pPr>
              <w:spacing w:before="120" w:after="120"/>
              <w:jc w:val="center"/>
              <w:rPr>
                <w:rFonts w:ascii="Rockwell" w:hAnsi="Rockwell"/>
                <w:szCs w:val="26"/>
              </w:rPr>
            </w:pPr>
            <w:r>
              <w:rPr>
                <w:rFonts w:ascii="Rockwell" w:hAnsi="Rockwell"/>
                <w:szCs w:val="26"/>
              </w:rPr>
              <w:t>2,04%</w:t>
            </w:r>
          </w:p>
        </w:tc>
        <w:tc>
          <w:tcPr>
            <w:tcW w:w="1711" w:type="dxa"/>
            <w:shd w:val="clear" w:color="auto" w:fill="auto"/>
            <w:tcMar>
              <w:top w:w="0" w:type="dxa"/>
              <w:left w:w="108" w:type="dxa"/>
              <w:bottom w:w="0" w:type="dxa"/>
              <w:right w:w="108" w:type="dxa"/>
            </w:tcMar>
            <w:vAlign w:val="center"/>
          </w:tcPr>
          <w:p w14:paraId="3F15B586" w14:textId="77777777" w:rsidR="00284822" w:rsidRDefault="00F77BF8">
            <w:pPr>
              <w:spacing w:before="120" w:after="120"/>
              <w:jc w:val="center"/>
              <w:rPr>
                <w:rFonts w:ascii="Rockwell" w:hAnsi="Rockwell"/>
                <w:szCs w:val="26"/>
              </w:rPr>
            </w:pPr>
            <w:r>
              <w:rPr>
                <w:rFonts w:ascii="Rockwell" w:hAnsi="Rockwell"/>
                <w:szCs w:val="26"/>
              </w:rPr>
              <w:t>1</w:t>
            </w:r>
          </w:p>
        </w:tc>
        <w:tc>
          <w:tcPr>
            <w:tcW w:w="2590" w:type="dxa"/>
            <w:shd w:val="clear" w:color="auto" w:fill="auto"/>
            <w:tcMar>
              <w:top w:w="0" w:type="dxa"/>
              <w:left w:w="108" w:type="dxa"/>
              <w:bottom w:w="0" w:type="dxa"/>
              <w:right w:w="108" w:type="dxa"/>
            </w:tcMar>
            <w:vAlign w:val="center"/>
          </w:tcPr>
          <w:p w14:paraId="3EE1BAD5" w14:textId="77777777" w:rsidR="00284822" w:rsidRDefault="00F77BF8">
            <w:pPr>
              <w:spacing w:before="120" w:after="120"/>
              <w:jc w:val="center"/>
              <w:rPr>
                <w:rFonts w:ascii="Rockwell" w:hAnsi="Rockwell"/>
                <w:szCs w:val="26"/>
              </w:rPr>
            </w:pPr>
            <w:r>
              <w:rPr>
                <w:rFonts w:ascii="Rockwell" w:hAnsi="Rockwell"/>
                <w:szCs w:val="26"/>
              </w:rPr>
              <w:t>1,41%</w:t>
            </w:r>
          </w:p>
        </w:tc>
      </w:tr>
    </w:tbl>
    <w:p w14:paraId="6C6002CA" w14:textId="77777777" w:rsidR="00284822" w:rsidRDefault="00F77BF8">
      <w:pPr>
        <w:tabs>
          <w:tab w:val="left" w:pos="895"/>
        </w:tabs>
        <w:spacing w:before="120" w:after="120"/>
        <w:ind w:left="-709"/>
        <w:rPr>
          <w:rFonts w:ascii="Rockwell" w:hAnsi="Rockwell"/>
          <w:i/>
          <w:sz w:val="20"/>
          <w:szCs w:val="20"/>
        </w:rPr>
      </w:pPr>
      <w:r>
        <w:rPr>
          <w:rFonts w:ascii="Rockwell" w:hAnsi="Rockwell"/>
          <w:i/>
          <w:sz w:val="20"/>
          <w:szCs w:val="20"/>
          <w:u w:val="single"/>
        </w:rPr>
        <w:t>Source</w:t>
      </w:r>
      <w:r>
        <w:rPr>
          <w:rFonts w:ascii="Rockwell" w:hAnsi="Rockwell"/>
          <w:i/>
          <w:sz w:val="20"/>
          <w:szCs w:val="20"/>
        </w:rPr>
        <w:t> : Monitoring CSC</w:t>
      </w:r>
    </w:p>
    <w:p w14:paraId="59AD408C" w14:textId="77777777" w:rsidR="00284822" w:rsidRDefault="00284822">
      <w:pPr>
        <w:tabs>
          <w:tab w:val="left" w:pos="895"/>
        </w:tabs>
        <w:spacing w:before="120" w:after="120"/>
        <w:ind w:left="-709"/>
        <w:rPr>
          <w:rFonts w:ascii="Rockwell" w:hAnsi="Rockwell"/>
          <w:i/>
          <w:sz w:val="20"/>
          <w:szCs w:val="20"/>
        </w:rPr>
        <w:sectPr w:rsidR="00284822">
          <w:pgSz w:w="11906" w:h="16838"/>
          <w:pgMar w:top="1418" w:right="1418" w:bottom="1418" w:left="1418" w:header="720" w:footer="720" w:gutter="0"/>
          <w:cols w:space="720"/>
        </w:sectPr>
      </w:pPr>
    </w:p>
    <w:p w14:paraId="3A57DFD1" w14:textId="77777777" w:rsidR="00284822" w:rsidRDefault="00F77BF8">
      <w:pPr>
        <w:spacing w:before="120" w:after="120"/>
        <w:jc w:val="center"/>
        <w:rPr>
          <w:rFonts w:ascii="Rockwell" w:hAnsi="Rockwell"/>
          <w:i/>
          <w:sz w:val="20"/>
          <w:szCs w:val="20"/>
          <w:u w:val="single"/>
        </w:rPr>
      </w:pPr>
      <w:r>
        <w:rPr>
          <w:rFonts w:ascii="Rockwell" w:hAnsi="Rockwell"/>
          <w:i/>
          <w:sz w:val="20"/>
          <w:szCs w:val="20"/>
          <w:u w:val="single"/>
        </w:rPr>
        <w:lastRenderedPageBreak/>
        <w:t>Représentation graphique des NA et NI obtenus par les dix premiers partis politiques dans kaceto.net</w:t>
      </w:r>
    </w:p>
    <w:p w14:paraId="58322612" w14:textId="77777777" w:rsidR="00284822" w:rsidRDefault="00F77BF8">
      <w:pPr>
        <w:spacing w:before="120" w:after="120"/>
        <w:jc w:val="center"/>
        <w:rPr>
          <w:rFonts w:ascii="Rockwell" w:hAnsi="Rockwell"/>
          <w:szCs w:val="26"/>
        </w:rPr>
      </w:pPr>
      <w:r>
        <w:rPr>
          <w:rFonts w:ascii="Rockwell" w:hAnsi="Rockwell"/>
          <w:noProof/>
          <w:szCs w:val="26"/>
        </w:rPr>
        <w:drawing>
          <wp:inline distT="0" distB="0" distL="0" distR="0" wp14:anchorId="2BEB4B58" wp14:editId="7CB63326">
            <wp:extent cx="5136515" cy="2769870"/>
            <wp:effectExtent l="0" t="0" r="6985" b="11430"/>
            <wp:docPr id="44" name="Graphique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16EB75E1" w14:textId="77777777" w:rsidR="00284822" w:rsidRDefault="003148F1">
      <w:pPr>
        <w:pStyle w:val="Titre5"/>
        <w:numPr>
          <w:ilvl w:val="1"/>
          <w:numId w:val="19"/>
        </w:numPr>
        <w:ind w:hanging="447"/>
        <w:rPr>
          <w:rFonts w:ascii="Rockwell" w:hAnsi="Rockwell"/>
          <w:i/>
        </w:rPr>
      </w:pPr>
      <w:hyperlink r:id="rId70" w:history="1">
        <w:bookmarkStart w:id="160" w:name="_Toc175048678"/>
        <w:r w:rsidR="00F77BF8">
          <w:rPr>
            <w:rStyle w:val="Lienhypertexte"/>
            <w:rFonts w:ascii="Rockwell" w:hAnsi="Rockwell"/>
            <w:i/>
            <w:color w:val="auto"/>
            <w:u w:val="none"/>
          </w:rPr>
          <w:t>Minute.bf</w:t>
        </w:r>
        <w:bookmarkEnd w:id="160"/>
      </w:hyperlink>
    </w:p>
    <w:p w14:paraId="6215FD72" w14:textId="2FD8CE20" w:rsidR="00284822" w:rsidRDefault="00F77BF8">
      <w:pPr>
        <w:spacing w:before="120" w:after="120"/>
        <w:rPr>
          <w:rFonts w:ascii="Rockwell" w:hAnsi="Rockwell"/>
          <w:szCs w:val="26"/>
        </w:rPr>
      </w:pPr>
      <w:r>
        <w:rPr>
          <w:rFonts w:ascii="Rockwell" w:hAnsi="Rockwell"/>
          <w:szCs w:val="26"/>
        </w:rPr>
        <w:t xml:space="preserve">Les activités de 26 partis politiques ont été couvertes par </w:t>
      </w:r>
      <w:r>
        <w:rPr>
          <w:rFonts w:ascii="Rockwell" w:hAnsi="Rockwell"/>
          <w:i/>
          <w:szCs w:val="26"/>
        </w:rPr>
        <w:t>Minute.bf</w:t>
      </w:r>
      <w:r>
        <w:rPr>
          <w:rFonts w:ascii="Rockwell" w:hAnsi="Rockwell"/>
          <w:szCs w:val="26"/>
        </w:rPr>
        <w:t>.</w:t>
      </w:r>
      <w:r w:rsidR="007577E0" w:rsidRPr="007577E0">
        <w:rPr>
          <w:rFonts w:ascii="Rockwell" w:hAnsi="Rockwell"/>
          <w:szCs w:val="26"/>
        </w:rPr>
        <w:t xml:space="preserve"> </w:t>
      </w:r>
      <w:r w:rsidR="007577E0">
        <w:rPr>
          <w:rFonts w:ascii="Rockwell" w:hAnsi="Rockwell"/>
          <w:szCs w:val="26"/>
        </w:rPr>
        <w:t>C</w:t>
      </w:r>
      <w:r w:rsidR="007577E0" w:rsidRPr="007577E0">
        <w:rPr>
          <w:rFonts w:ascii="Rockwell" w:hAnsi="Rockwell"/>
          <w:szCs w:val="26"/>
        </w:rPr>
        <w:t>lassés comme suit</w:t>
      </w:r>
      <w:r w:rsidR="007577E0">
        <w:rPr>
          <w:rFonts w:ascii="Rockwell" w:hAnsi="Rockwell"/>
          <w:szCs w:val="26"/>
        </w:rPr>
        <w:t>, i</w:t>
      </w:r>
      <w:r>
        <w:rPr>
          <w:rFonts w:ascii="Rockwell" w:hAnsi="Rockwell"/>
          <w:szCs w:val="26"/>
        </w:rPr>
        <w:t xml:space="preserve">ls ont bénéficié d’un total de 158 articles et 198 </w:t>
      </w:r>
      <w:proofErr w:type="gramStart"/>
      <w:r>
        <w:rPr>
          <w:rFonts w:ascii="Rockwell" w:hAnsi="Rockwell"/>
          <w:szCs w:val="26"/>
        </w:rPr>
        <w:t>illustrations,:</w:t>
      </w:r>
      <w:proofErr w:type="gramEnd"/>
    </w:p>
    <w:p w14:paraId="00A8EDE9" w14:textId="77777777" w:rsidR="00284822" w:rsidRDefault="00284822">
      <w:pPr>
        <w:spacing w:before="120" w:after="120"/>
        <w:rPr>
          <w:rFonts w:ascii="Rockwell" w:hAnsi="Rockwell"/>
          <w:sz w:val="10"/>
          <w:szCs w:val="10"/>
        </w:rPr>
      </w:pPr>
    </w:p>
    <w:p w14:paraId="6BBBC1E8" w14:textId="77777777" w:rsidR="00284822" w:rsidRDefault="00F77BF8">
      <w:pPr>
        <w:spacing w:before="120" w:after="120"/>
        <w:jc w:val="center"/>
        <w:rPr>
          <w:rFonts w:ascii="Rockwell" w:hAnsi="Rockwell"/>
          <w:i/>
          <w:color w:val="FF0000"/>
          <w:sz w:val="20"/>
          <w:szCs w:val="20"/>
        </w:rPr>
      </w:pPr>
      <w:r>
        <w:rPr>
          <w:rFonts w:ascii="Rockwell" w:hAnsi="Rockwell"/>
          <w:b/>
          <w:sz w:val="20"/>
          <w:szCs w:val="20"/>
          <w:u w:val="single"/>
        </w:rPr>
        <w:t>Tableau 12</w:t>
      </w:r>
      <w:r>
        <w:rPr>
          <w:rFonts w:ascii="Rockwell" w:hAnsi="Rockwell"/>
          <w:b/>
          <w:sz w:val="20"/>
          <w:szCs w:val="20"/>
        </w:rPr>
        <w:t xml:space="preserve"> : </w:t>
      </w:r>
      <w:r>
        <w:rPr>
          <w:rFonts w:ascii="Rockwell" w:hAnsi="Rockwell"/>
          <w:i/>
          <w:sz w:val="20"/>
          <w:szCs w:val="20"/>
        </w:rPr>
        <w:t xml:space="preserve">Classement partis politiques selon les NA et NI publiés dans minute.bf </w:t>
      </w: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13"/>
        <w:gridCol w:w="3402"/>
        <w:gridCol w:w="1417"/>
        <w:gridCol w:w="1701"/>
        <w:gridCol w:w="1276"/>
        <w:gridCol w:w="1559"/>
      </w:tblGrid>
      <w:tr w:rsidR="00284822" w14:paraId="4525D302" w14:textId="77777777">
        <w:trPr>
          <w:trHeight w:val="535"/>
          <w:jc w:val="center"/>
        </w:trPr>
        <w:tc>
          <w:tcPr>
            <w:tcW w:w="10768" w:type="dxa"/>
            <w:gridSpan w:val="6"/>
            <w:shd w:val="clear" w:color="auto" w:fill="BDD6EE" w:themeFill="accent1" w:themeFillTint="66"/>
            <w:noWrap/>
            <w:tcMar>
              <w:top w:w="0" w:type="dxa"/>
              <w:left w:w="108" w:type="dxa"/>
              <w:bottom w:w="0" w:type="dxa"/>
              <w:right w:w="108" w:type="dxa"/>
            </w:tcMar>
          </w:tcPr>
          <w:p w14:paraId="1D0ADF50" w14:textId="77777777" w:rsidR="00284822" w:rsidRDefault="00F77BF8">
            <w:pPr>
              <w:spacing w:before="120" w:after="120"/>
              <w:jc w:val="center"/>
              <w:rPr>
                <w:rFonts w:ascii="Rockwell" w:hAnsi="Rockwell"/>
                <w:b/>
                <w:bCs/>
                <w:szCs w:val="26"/>
              </w:rPr>
            </w:pPr>
            <w:r>
              <w:rPr>
                <w:rFonts w:ascii="Rockwell" w:hAnsi="Rockwell"/>
                <w:b/>
                <w:bCs/>
                <w:szCs w:val="26"/>
              </w:rPr>
              <w:t>MINUTE.BF</w:t>
            </w:r>
          </w:p>
        </w:tc>
      </w:tr>
      <w:tr w:rsidR="00284822" w14:paraId="2F4F189A" w14:textId="77777777">
        <w:trPr>
          <w:trHeight w:val="70"/>
          <w:jc w:val="center"/>
        </w:trPr>
        <w:tc>
          <w:tcPr>
            <w:tcW w:w="1413" w:type="dxa"/>
            <w:shd w:val="clear" w:color="auto" w:fill="BDD6EE" w:themeFill="accent1" w:themeFillTint="66"/>
            <w:noWrap/>
            <w:tcMar>
              <w:top w:w="0" w:type="dxa"/>
              <w:left w:w="108" w:type="dxa"/>
              <w:bottom w:w="0" w:type="dxa"/>
              <w:right w:w="108" w:type="dxa"/>
            </w:tcMar>
          </w:tcPr>
          <w:p w14:paraId="571CD07D" w14:textId="77777777" w:rsidR="00284822" w:rsidRDefault="00F77BF8">
            <w:pPr>
              <w:spacing w:before="120" w:after="120"/>
              <w:rPr>
                <w:rFonts w:ascii="Rockwell" w:hAnsi="Rockwell"/>
                <w:b/>
                <w:bCs/>
                <w:szCs w:val="26"/>
              </w:rPr>
            </w:pPr>
            <w:r>
              <w:rPr>
                <w:rFonts w:ascii="Rockwell" w:hAnsi="Rockwell" w:cs="Calibri"/>
                <w:b/>
                <w:bCs/>
                <w:color w:val="000000"/>
                <w:szCs w:val="26"/>
              </w:rPr>
              <w:t>Rang</w:t>
            </w:r>
          </w:p>
        </w:tc>
        <w:tc>
          <w:tcPr>
            <w:tcW w:w="3402" w:type="dxa"/>
            <w:shd w:val="clear" w:color="auto" w:fill="BDD6EE" w:themeFill="accent1" w:themeFillTint="66"/>
            <w:tcMar>
              <w:top w:w="0" w:type="dxa"/>
              <w:left w:w="108" w:type="dxa"/>
              <w:bottom w:w="0" w:type="dxa"/>
              <w:right w:w="108" w:type="dxa"/>
            </w:tcMar>
          </w:tcPr>
          <w:p w14:paraId="0777204F" w14:textId="1383F4D0" w:rsidR="00284822" w:rsidRDefault="00746D14">
            <w:pPr>
              <w:spacing w:before="120" w:after="120"/>
              <w:jc w:val="center"/>
              <w:rPr>
                <w:rFonts w:ascii="Rockwell" w:hAnsi="Rockwell"/>
                <w:szCs w:val="26"/>
              </w:rPr>
            </w:pPr>
            <w:r>
              <w:rPr>
                <w:rFonts w:ascii="Rockwell" w:hAnsi="Rockwell"/>
                <w:b/>
                <w:bCs/>
              </w:rPr>
              <w:t>PARTIS</w:t>
            </w:r>
            <w:r w:rsidR="00F77BF8">
              <w:rPr>
                <w:rFonts w:ascii="Rockwell" w:hAnsi="Rockwell"/>
                <w:b/>
                <w:bCs/>
                <w:szCs w:val="26"/>
              </w:rPr>
              <w:t xml:space="preserve"> POLITIQUES</w:t>
            </w:r>
          </w:p>
        </w:tc>
        <w:tc>
          <w:tcPr>
            <w:tcW w:w="1417" w:type="dxa"/>
            <w:shd w:val="clear" w:color="auto" w:fill="BDD6EE" w:themeFill="accent1" w:themeFillTint="66"/>
            <w:tcMar>
              <w:top w:w="0" w:type="dxa"/>
              <w:left w:w="108" w:type="dxa"/>
              <w:bottom w:w="0" w:type="dxa"/>
              <w:right w:w="108" w:type="dxa"/>
            </w:tcMar>
          </w:tcPr>
          <w:p w14:paraId="001F2276" w14:textId="77777777" w:rsidR="00284822" w:rsidRDefault="00F77BF8">
            <w:pPr>
              <w:spacing w:before="120" w:after="120"/>
              <w:jc w:val="center"/>
              <w:rPr>
                <w:rFonts w:ascii="Rockwell" w:hAnsi="Rockwell"/>
                <w:b/>
                <w:szCs w:val="26"/>
              </w:rPr>
            </w:pPr>
            <w:r>
              <w:rPr>
                <w:rFonts w:ascii="Rockwell" w:hAnsi="Rockwell"/>
                <w:b/>
                <w:szCs w:val="26"/>
              </w:rPr>
              <w:t>NA</w:t>
            </w:r>
          </w:p>
        </w:tc>
        <w:tc>
          <w:tcPr>
            <w:tcW w:w="1701" w:type="dxa"/>
            <w:shd w:val="clear" w:color="auto" w:fill="BDD6EE" w:themeFill="accent1" w:themeFillTint="66"/>
            <w:tcMar>
              <w:top w:w="0" w:type="dxa"/>
              <w:left w:w="108" w:type="dxa"/>
              <w:bottom w:w="0" w:type="dxa"/>
              <w:right w:w="108" w:type="dxa"/>
            </w:tcMar>
          </w:tcPr>
          <w:p w14:paraId="4579BF57" w14:textId="77777777" w:rsidR="00284822" w:rsidRDefault="00F77BF8">
            <w:pPr>
              <w:spacing w:before="120" w:after="120"/>
              <w:jc w:val="center"/>
              <w:rPr>
                <w:rFonts w:ascii="Rockwell" w:hAnsi="Rockwell"/>
                <w:b/>
                <w:szCs w:val="26"/>
              </w:rPr>
            </w:pPr>
            <w:r>
              <w:rPr>
                <w:rFonts w:ascii="Rockwell" w:hAnsi="Rockwell"/>
                <w:b/>
                <w:szCs w:val="26"/>
              </w:rPr>
              <w:t>% NA</w:t>
            </w:r>
          </w:p>
        </w:tc>
        <w:tc>
          <w:tcPr>
            <w:tcW w:w="1276" w:type="dxa"/>
            <w:shd w:val="clear" w:color="auto" w:fill="BDD6EE" w:themeFill="accent1" w:themeFillTint="66"/>
            <w:tcMar>
              <w:top w:w="0" w:type="dxa"/>
              <w:left w:w="10" w:type="dxa"/>
              <w:bottom w:w="0" w:type="dxa"/>
              <w:right w:w="10" w:type="dxa"/>
            </w:tcMar>
          </w:tcPr>
          <w:p w14:paraId="6AAE4877" w14:textId="77777777" w:rsidR="00284822" w:rsidRDefault="00F77BF8">
            <w:pPr>
              <w:spacing w:before="120" w:after="120"/>
              <w:jc w:val="center"/>
              <w:rPr>
                <w:rFonts w:ascii="Rockwell" w:hAnsi="Rockwell"/>
                <w:b/>
                <w:szCs w:val="26"/>
              </w:rPr>
            </w:pPr>
            <w:r>
              <w:rPr>
                <w:rFonts w:ascii="Rockwell" w:hAnsi="Rockwell"/>
                <w:b/>
                <w:szCs w:val="26"/>
              </w:rPr>
              <w:t>NI</w:t>
            </w:r>
          </w:p>
        </w:tc>
        <w:tc>
          <w:tcPr>
            <w:tcW w:w="1559" w:type="dxa"/>
            <w:shd w:val="clear" w:color="auto" w:fill="BDD6EE" w:themeFill="accent1" w:themeFillTint="66"/>
            <w:tcMar>
              <w:top w:w="0" w:type="dxa"/>
              <w:left w:w="10" w:type="dxa"/>
              <w:bottom w:w="0" w:type="dxa"/>
              <w:right w:w="10" w:type="dxa"/>
            </w:tcMar>
          </w:tcPr>
          <w:p w14:paraId="3B1EFFFB" w14:textId="77777777" w:rsidR="00284822" w:rsidRDefault="00F77BF8">
            <w:pPr>
              <w:spacing w:before="120" w:after="120"/>
              <w:jc w:val="center"/>
              <w:rPr>
                <w:rFonts w:ascii="Rockwell" w:hAnsi="Rockwell"/>
                <w:b/>
                <w:szCs w:val="26"/>
              </w:rPr>
            </w:pPr>
            <w:r>
              <w:rPr>
                <w:rFonts w:ascii="Rockwell" w:hAnsi="Rockwell"/>
                <w:b/>
                <w:szCs w:val="26"/>
              </w:rPr>
              <w:t>% NI</w:t>
            </w:r>
          </w:p>
        </w:tc>
      </w:tr>
      <w:tr w:rsidR="00284822" w14:paraId="0B4B545D" w14:textId="77777777">
        <w:trPr>
          <w:trHeight w:val="70"/>
          <w:jc w:val="center"/>
        </w:trPr>
        <w:tc>
          <w:tcPr>
            <w:tcW w:w="1413" w:type="dxa"/>
            <w:shd w:val="clear" w:color="auto" w:fill="FFFFFF"/>
            <w:noWrap/>
            <w:tcMar>
              <w:top w:w="0" w:type="dxa"/>
              <w:left w:w="108" w:type="dxa"/>
              <w:bottom w:w="0" w:type="dxa"/>
              <w:right w:w="108" w:type="dxa"/>
            </w:tcMar>
          </w:tcPr>
          <w:p w14:paraId="086F8C50" w14:textId="77777777" w:rsidR="00284822" w:rsidRDefault="00F77BF8">
            <w:pPr>
              <w:spacing w:before="120" w:after="120"/>
              <w:rPr>
                <w:rFonts w:ascii="Rockwell" w:hAnsi="Rockwell"/>
                <w:szCs w:val="26"/>
              </w:rPr>
            </w:pPr>
            <w:r>
              <w:rPr>
                <w:rFonts w:ascii="Rockwell" w:hAnsi="Rockwell"/>
                <w:bCs/>
                <w:szCs w:val="26"/>
              </w:rPr>
              <w:t>1</w:t>
            </w:r>
            <w:r>
              <w:rPr>
                <w:rFonts w:ascii="Rockwell" w:hAnsi="Rockwell"/>
                <w:bCs/>
                <w:szCs w:val="26"/>
                <w:vertAlign w:val="superscript"/>
              </w:rPr>
              <w:t>er</w:t>
            </w:r>
            <w:r>
              <w:rPr>
                <w:rFonts w:ascii="Rockwell" w:hAnsi="Rockwell"/>
                <w:bCs/>
                <w:szCs w:val="26"/>
              </w:rPr>
              <w:t xml:space="preserve"> </w:t>
            </w:r>
          </w:p>
        </w:tc>
        <w:tc>
          <w:tcPr>
            <w:tcW w:w="3402" w:type="dxa"/>
            <w:shd w:val="clear" w:color="auto" w:fill="auto"/>
            <w:tcMar>
              <w:top w:w="0" w:type="dxa"/>
              <w:left w:w="108" w:type="dxa"/>
              <w:bottom w:w="0" w:type="dxa"/>
              <w:right w:w="108" w:type="dxa"/>
            </w:tcMar>
          </w:tcPr>
          <w:p w14:paraId="3A668DAA" w14:textId="77777777" w:rsidR="00284822" w:rsidRDefault="00F77BF8">
            <w:pPr>
              <w:spacing w:before="120" w:after="120"/>
              <w:jc w:val="left"/>
              <w:rPr>
                <w:rFonts w:ascii="Rockwell" w:hAnsi="Rockwell"/>
                <w:b/>
                <w:szCs w:val="26"/>
              </w:rPr>
            </w:pPr>
            <w:r>
              <w:rPr>
                <w:rFonts w:ascii="Rockwell" w:hAnsi="Rockwell"/>
                <w:b/>
                <w:szCs w:val="26"/>
              </w:rPr>
              <w:t>MPP</w:t>
            </w:r>
          </w:p>
        </w:tc>
        <w:tc>
          <w:tcPr>
            <w:tcW w:w="1417" w:type="dxa"/>
            <w:shd w:val="clear" w:color="auto" w:fill="auto"/>
            <w:tcMar>
              <w:top w:w="0" w:type="dxa"/>
              <w:left w:w="108" w:type="dxa"/>
              <w:bottom w:w="0" w:type="dxa"/>
              <w:right w:w="108" w:type="dxa"/>
            </w:tcMar>
          </w:tcPr>
          <w:p w14:paraId="0B5579DE" w14:textId="77777777" w:rsidR="00284822" w:rsidRDefault="00F77BF8">
            <w:pPr>
              <w:spacing w:before="120" w:after="120"/>
              <w:jc w:val="center"/>
              <w:rPr>
                <w:rFonts w:ascii="Rockwell" w:hAnsi="Rockwell"/>
                <w:szCs w:val="26"/>
              </w:rPr>
            </w:pPr>
            <w:r>
              <w:rPr>
                <w:rFonts w:ascii="Rockwell" w:hAnsi="Rockwell"/>
                <w:szCs w:val="26"/>
              </w:rPr>
              <w:t>39</w:t>
            </w:r>
          </w:p>
        </w:tc>
        <w:tc>
          <w:tcPr>
            <w:tcW w:w="1701" w:type="dxa"/>
            <w:shd w:val="clear" w:color="auto" w:fill="auto"/>
            <w:tcMar>
              <w:top w:w="0" w:type="dxa"/>
              <w:left w:w="108" w:type="dxa"/>
              <w:bottom w:w="0" w:type="dxa"/>
              <w:right w:w="108" w:type="dxa"/>
            </w:tcMar>
          </w:tcPr>
          <w:p w14:paraId="6930FB95" w14:textId="77777777" w:rsidR="00284822" w:rsidRDefault="00F77BF8">
            <w:pPr>
              <w:spacing w:before="120" w:after="120"/>
              <w:jc w:val="center"/>
              <w:rPr>
                <w:rFonts w:ascii="Rockwell" w:hAnsi="Rockwell"/>
                <w:szCs w:val="26"/>
              </w:rPr>
            </w:pPr>
            <w:r>
              <w:rPr>
                <w:rFonts w:ascii="Rockwell" w:hAnsi="Rockwell"/>
                <w:szCs w:val="26"/>
              </w:rPr>
              <w:t>24,68%</w:t>
            </w:r>
          </w:p>
        </w:tc>
        <w:tc>
          <w:tcPr>
            <w:tcW w:w="1276" w:type="dxa"/>
            <w:shd w:val="clear" w:color="auto" w:fill="auto"/>
            <w:tcMar>
              <w:top w:w="0" w:type="dxa"/>
              <w:left w:w="10" w:type="dxa"/>
              <w:bottom w:w="0" w:type="dxa"/>
              <w:right w:w="10" w:type="dxa"/>
            </w:tcMar>
          </w:tcPr>
          <w:p w14:paraId="17307D57" w14:textId="77777777" w:rsidR="00284822" w:rsidRDefault="00F77BF8">
            <w:pPr>
              <w:spacing w:before="120" w:after="120"/>
              <w:jc w:val="center"/>
              <w:rPr>
                <w:rFonts w:ascii="Rockwell" w:hAnsi="Rockwell"/>
                <w:szCs w:val="26"/>
              </w:rPr>
            </w:pPr>
            <w:r>
              <w:rPr>
                <w:rFonts w:ascii="Rockwell" w:hAnsi="Rockwell"/>
                <w:szCs w:val="26"/>
              </w:rPr>
              <w:t>54</w:t>
            </w:r>
          </w:p>
        </w:tc>
        <w:tc>
          <w:tcPr>
            <w:tcW w:w="1559" w:type="dxa"/>
            <w:shd w:val="clear" w:color="auto" w:fill="auto"/>
            <w:tcMar>
              <w:top w:w="0" w:type="dxa"/>
              <w:left w:w="108" w:type="dxa"/>
              <w:bottom w:w="0" w:type="dxa"/>
              <w:right w:w="108" w:type="dxa"/>
            </w:tcMar>
          </w:tcPr>
          <w:p w14:paraId="3A452FE6" w14:textId="77777777" w:rsidR="00284822" w:rsidRDefault="00F77BF8">
            <w:pPr>
              <w:spacing w:before="120" w:after="120"/>
              <w:jc w:val="center"/>
              <w:rPr>
                <w:rFonts w:ascii="Rockwell" w:hAnsi="Rockwell"/>
                <w:szCs w:val="26"/>
              </w:rPr>
            </w:pPr>
            <w:r>
              <w:rPr>
                <w:rFonts w:ascii="Rockwell" w:hAnsi="Rockwell"/>
                <w:szCs w:val="26"/>
              </w:rPr>
              <w:t>27,27%</w:t>
            </w:r>
          </w:p>
        </w:tc>
      </w:tr>
      <w:tr w:rsidR="00284822" w14:paraId="2B800726" w14:textId="77777777">
        <w:trPr>
          <w:trHeight w:val="70"/>
          <w:jc w:val="center"/>
        </w:trPr>
        <w:tc>
          <w:tcPr>
            <w:tcW w:w="1413" w:type="dxa"/>
            <w:shd w:val="clear" w:color="auto" w:fill="FFFFFF"/>
            <w:noWrap/>
            <w:tcMar>
              <w:top w:w="0" w:type="dxa"/>
              <w:left w:w="108" w:type="dxa"/>
              <w:bottom w:w="0" w:type="dxa"/>
              <w:right w:w="108" w:type="dxa"/>
            </w:tcMar>
          </w:tcPr>
          <w:p w14:paraId="63F0240A" w14:textId="77777777" w:rsidR="00284822" w:rsidRDefault="00F77BF8">
            <w:pPr>
              <w:spacing w:before="120" w:after="120"/>
              <w:rPr>
                <w:rFonts w:ascii="Rockwell" w:hAnsi="Rockwell"/>
                <w:szCs w:val="26"/>
              </w:rPr>
            </w:pPr>
            <w:r>
              <w:rPr>
                <w:rFonts w:ascii="Rockwell" w:hAnsi="Rockwell"/>
                <w:bCs/>
                <w:szCs w:val="26"/>
              </w:rPr>
              <w:t>2</w:t>
            </w:r>
            <w:r>
              <w:rPr>
                <w:rFonts w:ascii="Rockwell" w:hAnsi="Rockwell"/>
                <w:bCs/>
                <w:szCs w:val="26"/>
                <w:vertAlign w:val="superscript"/>
              </w:rPr>
              <w:t>e</w:t>
            </w:r>
            <w:r>
              <w:rPr>
                <w:rFonts w:ascii="Rockwell" w:hAnsi="Rockwell"/>
                <w:bCs/>
                <w:szCs w:val="26"/>
              </w:rPr>
              <w:t xml:space="preserve"> </w:t>
            </w:r>
          </w:p>
        </w:tc>
        <w:tc>
          <w:tcPr>
            <w:tcW w:w="3402" w:type="dxa"/>
            <w:shd w:val="clear" w:color="auto" w:fill="auto"/>
            <w:tcMar>
              <w:top w:w="0" w:type="dxa"/>
              <w:left w:w="108" w:type="dxa"/>
              <w:bottom w:w="0" w:type="dxa"/>
              <w:right w:w="108" w:type="dxa"/>
            </w:tcMar>
          </w:tcPr>
          <w:p w14:paraId="0EA36C93" w14:textId="77777777" w:rsidR="00284822" w:rsidRDefault="00F77BF8">
            <w:pPr>
              <w:spacing w:before="120" w:after="120"/>
              <w:jc w:val="left"/>
              <w:rPr>
                <w:rFonts w:ascii="Rockwell" w:hAnsi="Rockwell"/>
                <w:b/>
                <w:szCs w:val="26"/>
              </w:rPr>
            </w:pPr>
            <w:r>
              <w:rPr>
                <w:rFonts w:ascii="Rockwell" w:hAnsi="Rockwell"/>
                <w:b/>
                <w:szCs w:val="26"/>
              </w:rPr>
              <w:t>PPS</w:t>
            </w:r>
          </w:p>
        </w:tc>
        <w:tc>
          <w:tcPr>
            <w:tcW w:w="1417" w:type="dxa"/>
            <w:shd w:val="clear" w:color="auto" w:fill="auto"/>
            <w:tcMar>
              <w:top w:w="0" w:type="dxa"/>
              <w:left w:w="108" w:type="dxa"/>
              <w:bottom w:w="0" w:type="dxa"/>
              <w:right w:w="108" w:type="dxa"/>
            </w:tcMar>
          </w:tcPr>
          <w:p w14:paraId="2E890E2F" w14:textId="77777777" w:rsidR="00284822" w:rsidRDefault="00F77BF8">
            <w:pPr>
              <w:spacing w:before="120" w:after="120"/>
              <w:jc w:val="center"/>
              <w:rPr>
                <w:rFonts w:ascii="Rockwell" w:hAnsi="Rockwell"/>
                <w:szCs w:val="26"/>
              </w:rPr>
            </w:pPr>
            <w:r>
              <w:rPr>
                <w:rFonts w:ascii="Rockwell" w:hAnsi="Rockwell"/>
                <w:szCs w:val="26"/>
              </w:rPr>
              <w:t>19</w:t>
            </w:r>
          </w:p>
        </w:tc>
        <w:tc>
          <w:tcPr>
            <w:tcW w:w="1701" w:type="dxa"/>
            <w:shd w:val="clear" w:color="auto" w:fill="auto"/>
            <w:tcMar>
              <w:top w:w="0" w:type="dxa"/>
              <w:left w:w="108" w:type="dxa"/>
              <w:bottom w:w="0" w:type="dxa"/>
              <w:right w:w="108" w:type="dxa"/>
            </w:tcMar>
          </w:tcPr>
          <w:p w14:paraId="5AF1DF30" w14:textId="77777777" w:rsidR="00284822" w:rsidRDefault="00F77BF8">
            <w:pPr>
              <w:spacing w:before="120" w:after="120"/>
              <w:jc w:val="center"/>
              <w:rPr>
                <w:rFonts w:ascii="Rockwell" w:hAnsi="Rockwell"/>
                <w:szCs w:val="26"/>
              </w:rPr>
            </w:pPr>
            <w:r>
              <w:rPr>
                <w:rFonts w:ascii="Rockwell" w:hAnsi="Rockwell"/>
                <w:szCs w:val="26"/>
              </w:rPr>
              <w:t>12,03%</w:t>
            </w:r>
          </w:p>
        </w:tc>
        <w:tc>
          <w:tcPr>
            <w:tcW w:w="1276" w:type="dxa"/>
            <w:shd w:val="clear" w:color="auto" w:fill="auto"/>
            <w:tcMar>
              <w:top w:w="0" w:type="dxa"/>
              <w:left w:w="10" w:type="dxa"/>
              <w:bottom w:w="0" w:type="dxa"/>
              <w:right w:w="10" w:type="dxa"/>
            </w:tcMar>
          </w:tcPr>
          <w:p w14:paraId="0C0C2489" w14:textId="77777777" w:rsidR="00284822" w:rsidRDefault="00F77BF8">
            <w:pPr>
              <w:spacing w:before="120" w:after="120"/>
              <w:jc w:val="center"/>
              <w:rPr>
                <w:rFonts w:ascii="Rockwell" w:hAnsi="Rockwell"/>
                <w:szCs w:val="26"/>
              </w:rPr>
            </w:pPr>
            <w:r>
              <w:rPr>
                <w:rFonts w:ascii="Rockwell" w:hAnsi="Rockwell"/>
                <w:szCs w:val="26"/>
              </w:rPr>
              <w:t>35</w:t>
            </w:r>
          </w:p>
        </w:tc>
        <w:tc>
          <w:tcPr>
            <w:tcW w:w="1559" w:type="dxa"/>
            <w:shd w:val="clear" w:color="auto" w:fill="auto"/>
            <w:tcMar>
              <w:top w:w="0" w:type="dxa"/>
              <w:left w:w="108" w:type="dxa"/>
              <w:bottom w:w="0" w:type="dxa"/>
              <w:right w:w="108" w:type="dxa"/>
            </w:tcMar>
          </w:tcPr>
          <w:p w14:paraId="48E2450E" w14:textId="77777777" w:rsidR="00284822" w:rsidRDefault="00F77BF8">
            <w:pPr>
              <w:spacing w:before="120" w:after="120"/>
              <w:jc w:val="center"/>
              <w:rPr>
                <w:rFonts w:ascii="Rockwell" w:hAnsi="Rockwell"/>
                <w:szCs w:val="26"/>
              </w:rPr>
            </w:pPr>
            <w:r>
              <w:rPr>
                <w:rFonts w:ascii="Rockwell" w:hAnsi="Rockwell"/>
                <w:szCs w:val="26"/>
              </w:rPr>
              <w:t>17,68%</w:t>
            </w:r>
          </w:p>
        </w:tc>
      </w:tr>
      <w:tr w:rsidR="00284822" w14:paraId="73CB8E69" w14:textId="77777777">
        <w:trPr>
          <w:trHeight w:val="70"/>
          <w:jc w:val="center"/>
        </w:trPr>
        <w:tc>
          <w:tcPr>
            <w:tcW w:w="1413" w:type="dxa"/>
            <w:shd w:val="clear" w:color="auto" w:fill="FFFFFF"/>
            <w:noWrap/>
            <w:tcMar>
              <w:top w:w="0" w:type="dxa"/>
              <w:left w:w="108" w:type="dxa"/>
              <w:bottom w:w="0" w:type="dxa"/>
              <w:right w:w="108" w:type="dxa"/>
            </w:tcMar>
          </w:tcPr>
          <w:p w14:paraId="699F0735" w14:textId="77777777" w:rsidR="00284822" w:rsidRDefault="00F77BF8">
            <w:pPr>
              <w:spacing w:before="120" w:after="120"/>
              <w:rPr>
                <w:rFonts w:ascii="Rockwell" w:hAnsi="Rockwell"/>
                <w:szCs w:val="26"/>
              </w:rPr>
            </w:pPr>
            <w:r>
              <w:rPr>
                <w:rFonts w:ascii="Rockwell" w:hAnsi="Rockwell"/>
                <w:bCs/>
                <w:szCs w:val="26"/>
              </w:rPr>
              <w:t>3</w:t>
            </w:r>
            <w:r>
              <w:rPr>
                <w:rFonts w:ascii="Rockwell" w:hAnsi="Rockwell"/>
                <w:bCs/>
                <w:szCs w:val="26"/>
                <w:vertAlign w:val="superscript"/>
              </w:rPr>
              <w:t>e</w:t>
            </w:r>
            <w:r>
              <w:rPr>
                <w:rFonts w:ascii="Rockwell" w:hAnsi="Rockwell"/>
                <w:bCs/>
                <w:szCs w:val="26"/>
              </w:rPr>
              <w:t xml:space="preserve"> </w:t>
            </w:r>
          </w:p>
        </w:tc>
        <w:tc>
          <w:tcPr>
            <w:tcW w:w="3402" w:type="dxa"/>
            <w:shd w:val="clear" w:color="auto" w:fill="auto"/>
            <w:tcMar>
              <w:top w:w="0" w:type="dxa"/>
              <w:left w:w="108" w:type="dxa"/>
              <w:bottom w:w="0" w:type="dxa"/>
              <w:right w:w="108" w:type="dxa"/>
            </w:tcMar>
          </w:tcPr>
          <w:p w14:paraId="14E46442" w14:textId="77777777" w:rsidR="00284822" w:rsidRDefault="00F77BF8">
            <w:pPr>
              <w:spacing w:before="120" w:after="120"/>
              <w:jc w:val="left"/>
              <w:rPr>
                <w:rFonts w:ascii="Rockwell" w:hAnsi="Rockwell"/>
                <w:b/>
                <w:szCs w:val="26"/>
              </w:rPr>
            </w:pPr>
            <w:r>
              <w:rPr>
                <w:rFonts w:ascii="Rockwell" w:hAnsi="Rockwell"/>
                <w:b/>
                <w:szCs w:val="26"/>
              </w:rPr>
              <w:t>CDP</w:t>
            </w:r>
          </w:p>
        </w:tc>
        <w:tc>
          <w:tcPr>
            <w:tcW w:w="1417" w:type="dxa"/>
            <w:shd w:val="clear" w:color="auto" w:fill="auto"/>
            <w:tcMar>
              <w:top w:w="0" w:type="dxa"/>
              <w:left w:w="108" w:type="dxa"/>
              <w:bottom w:w="0" w:type="dxa"/>
              <w:right w:w="108" w:type="dxa"/>
            </w:tcMar>
          </w:tcPr>
          <w:p w14:paraId="18E6EFF3" w14:textId="77777777" w:rsidR="00284822" w:rsidRDefault="00F77BF8">
            <w:pPr>
              <w:spacing w:before="120" w:after="120"/>
              <w:jc w:val="center"/>
              <w:rPr>
                <w:rFonts w:ascii="Rockwell" w:hAnsi="Rockwell"/>
                <w:szCs w:val="26"/>
              </w:rPr>
            </w:pPr>
            <w:r>
              <w:rPr>
                <w:rFonts w:ascii="Rockwell" w:hAnsi="Rockwell"/>
                <w:szCs w:val="26"/>
              </w:rPr>
              <w:t>17</w:t>
            </w:r>
          </w:p>
        </w:tc>
        <w:tc>
          <w:tcPr>
            <w:tcW w:w="1701" w:type="dxa"/>
            <w:shd w:val="clear" w:color="auto" w:fill="auto"/>
            <w:tcMar>
              <w:top w:w="0" w:type="dxa"/>
              <w:left w:w="108" w:type="dxa"/>
              <w:bottom w:w="0" w:type="dxa"/>
              <w:right w:w="108" w:type="dxa"/>
            </w:tcMar>
          </w:tcPr>
          <w:p w14:paraId="6E900B0D" w14:textId="77777777" w:rsidR="00284822" w:rsidRDefault="00F77BF8">
            <w:pPr>
              <w:spacing w:before="120" w:after="120"/>
              <w:jc w:val="center"/>
              <w:rPr>
                <w:rFonts w:ascii="Rockwell" w:hAnsi="Rockwell"/>
                <w:szCs w:val="26"/>
              </w:rPr>
            </w:pPr>
            <w:r>
              <w:rPr>
                <w:rFonts w:ascii="Rockwell" w:hAnsi="Rockwell"/>
                <w:szCs w:val="26"/>
              </w:rPr>
              <w:t>10,76%</w:t>
            </w:r>
          </w:p>
        </w:tc>
        <w:tc>
          <w:tcPr>
            <w:tcW w:w="1276" w:type="dxa"/>
            <w:shd w:val="clear" w:color="auto" w:fill="auto"/>
            <w:tcMar>
              <w:top w:w="0" w:type="dxa"/>
              <w:left w:w="10" w:type="dxa"/>
              <w:bottom w:w="0" w:type="dxa"/>
              <w:right w:w="10" w:type="dxa"/>
            </w:tcMar>
          </w:tcPr>
          <w:p w14:paraId="2704E065" w14:textId="77777777" w:rsidR="00284822" w:rsidRDefault="00F77BF8">
            <w:pPr>
              <w:spacing w:before="120" w:after="120"/>
              <w:jc w:val="center"/>
              <w:rPr>
                <w:rFonts w:ascii="Rockwell" w:hAnsi="Rockwell"/>
                <w:szCs w:val="26"/>
              </w:rPr>
            </w:pPr>
            <w:r>
              <w:rPr>
                <w:rFonts w:ascii="Rockwell" w:hAnsi="Rockwell"/>
                <w:szCs w:val="26"/>
              </w:rPr>
              <w:t>15</w:t>
            </w:r>
          </w:p>
        </w:tc>
        <w:tc>
          <w:tcPr>
            <w:tcW w:w="1559" w:type="dxa"/>
            <w:shd w:val="clear" w:color="auto" w:fill="auto"/>
            <w:tcMar>
              <w:top w:w="0" w:type="dxa"/>
              <w:left w:w="108" w:type="dxa"/>
              <w:bottom w:w="0" w:type="dxa"/>
              <w:right w:w="108" w:type="dxa"/>
            </w:tcMar>
          </w:tcPr>
          <w:p w14:paraId="0121411C" w14:textId="77777777" w:rsidR="00284822" w:rsidRDefault="00F77BF8">
            <w:pPr>
              <w:spacing w:before="120" w:after="120"/>
              <w:jc w:val="center"/>
              <w:rPr>
                <w:rFonts w:ascii="Rockwell" w:hAnsi="Rockwell"/>
                <w:szCs w:val="26"/>
              </w:rPr>
            </w:pPr>
            <w:r>
              <w:rPr>
                <w:rFonts w:ascii="Rockwell" w:hAnsi="Rockwell"/>
                <w:szCs w:val="26"/>
              </w:rPr>
              <w:t>13,00%</w:t>
            </w:r>
          </w:p>
        </w:tc>
      </w:tr>
      <w:tr w:rsidR="00284822" w14:paraId="6E7AAE72" w14:textId="77777777">
        <w:trPr>
          <w:trHeight w:val="70"/>
          <w:jc w:val="center"/>
        </w:trPr>
        <w:tc>
          <w:tcPr>
            <w:tcW w:w="1413" w:type="dxa"/>
            <w:shd w:val="clear" w:color="auto" w:fill="FFFFFF"/>
            <w:noWrap/>
            <w:tcMar>
              <w:top w:w="0" w:type="dxa"/>
              <w:left w:w="108" w:type="dxa"/>
              <w:bottom w:w="0" w:type="dxa"/>
              <w:right w:w="108" w:type="dxa"/>
            </w:tcMar>
          </w:tcPr>
          <w:p w14:paraId="632337AC" w14:textId="77777777" w:rsidR="00284822" w:rsidRDefault="00F77BF8">
            <w:pPr>
              <w:spacing w:before="120" w:after="120"/>
              <w:rPr>
                <w:rFonts w:ascii="Rockwell" w:hAnsi="Rockwell"/>
                <w:szCs w:val="26"/>
              </w:rPr>
            </w:pPr>
            <w:r>
              <w:rPr>
                <w:rFonts w:ascii="Rockwell" w:hAnsi="Rockwell"/>
                <w:bCs/>
                <w:szCs w:val="26"/>
              </w:rPr>
              <w:t>4</w:t>
            </w:r>
            <w:r>
              <w:rPr>
                <w:rFonts w:ascii="Rockwell" w:hAnsi="Rockwell"/>
                <w:bCs/>
                <w:szCs w:val="26"/>
                <w:vertAlign w:val="superscript"/>
              </w:rPr>
              <w:t>e</w:t>
            </w:r>
            <w:r>
              <w:rPr>
                <w:rFonts w:ascii="Rockwell" w:hAnsi="Rockwell"/>
                <w:bCs/>
                <w:szCs w:val="26"/>
              </w:rPr>
              <w:t xml:space="preserve"> </w:t>
            </w:r>
          </w:p>
        </w:tc>
        <w:tc>
          <w:tcPr>
            <w:tcW w:w="3402" w:type="dxa"/>
            <w:shd w:val="clear" w:color="auto" w:fill="auto"/>
            <w:tcMar>
              <w:top w:w="0" w:type="dxa"/>
              <w:left w:w="108" w:type="dxa"/>
              <w:bottom w:w="0" w:type="dxa"/>
              <w:right w:w="108" w:type="dxa"/>
            </w:tcMar>
          </w:tcPr>
          <w:p w14:paraId="591BABA8" w14:textId="77777777" w:rsidR="00284822" w:rsidRDefault="00F77BF8">
            <w:pPr>
              <w:spacing w:before="120" w:after="120"/>
              <w:jc w:val="left"/>
              <w:rPr>
                <w:rFonts w:ascii="Rockwell" w:hAnsi="Rockwell"/>
                <w:b/>
                <w:szCs w:val="26"/>
              </w:rPr>
            </w:pPr>
            <w:r>
              <w:rPr>
                <w:rFonts w:ascii="Rockwell" w:hAnsi="Rockwell"/>
                <w:b/>
                <w:szCs w:val="26"/>
              </w:rPr>
              <w:t>UPC</w:t>
            </w:r>
          </w:p>
        </w:tc>
        <w:tc>
          <w:tcPr>
            <w:tcW w:w="1417" w:type="dxa"/>
            <w:shd w:val="clear" w:color="auto" w:fill="auto"/>
            <w:tcMar>
              <w:top w:w="0" w:type="dxa"/>
              <w:left w:w="108" w:type="dxa"/>
              <w:bottom w:w="0" w:type="dxa"/>
              <w:right w:w="108" w:type="dxa"/>
            </w:tcMar>
          </w:tcPr>
          <w:p w14:paraId="159534A2" w14:textId="77777777" w:rsidR="00284822" w:rsidRDefault="00F77BF8">
            <w:pPr>
              <w:spacing w:before="120" w:after="120"/>
              <w:jc w:val="center"/>
              <w:rPr>
                <w:rFonts w:ascii="Rockwell" w:hAnsi="Rockwell"/>
                <w:szCs w:val="26"/>
              </w:rPr>
            </w:pPr>
            <w:r>
              <w:rPr>
                <w:rFonts w:ascii="Rockwell" w:hAnsi="Rockwell"/>
                <w:szCs w:val="26"/>
              </w:rPr>
              <w:t>14</w:t>
            </w:r>
          </w:p>
        </w:tc>
        <w:tc>
          <w:tcPr>
            <w:tcW w:w="1701" w:type="dxa"/>
            <w:shd w:val="clear" w:color="auto" w:fill="auto"/>
            <w:tcMar>
              <w:top w:w="0" w:type="dxa"/>
              <w:left w:w="108" w:type="dxa"/>
              <w:bottom w:w="0" w:type="dxa"/>
              <w:right w:w="108" w:type="dxa"/>
            </w:tcMar>
          </w:tcPr>
          <w:p w14:paraId="1810F436" w14:textId="77777777" w:rsidR="00284822" w:rsidRDefault="00F77BF8">
            <w:pPr>
              <w:spacing w:before="120" w:after="120"/>
              <w:jc w:val="center"/>
              <w:rPr>
                <w:rFonts w:ascii="Rockwell" w:hAnsi="Rockwell"/>
                <w:szCs w:val="26"/>
              </w:rPr>
            </w:pPr>
            <w:r>
              <w:rPr>
                <w:rFonts w:ascii="Rockwell" w:hAnsi="Rockwell"/>
                <w:szCs w:val="26"/>
              </w:rPr>
              <w:t>8,86%</w:t>
            </w:r>
          </w:p>
        </w:tc>
        <w:tc>
          <w:tcPr>
            <w:tcW w:w="1276" w:type="dxa"/>
            <w:shd w:val="clear" w:color="auto" w:fill="auto"/>
            <w:tcMar>
              <w:top w:w="0" w:type="dxa"/>
              <w:left w:w="10" w:type="dxa"/>
              <w:bottom w:w="0" w:type="dxa"/>
              <w:right w:w="10" w:type="dxa"/>
            </w:tcMar>
          </w:tcPr>
          <w:p w14:paraId="5D75686C" w14:textId="77777777" w:rsidR="00284822" w:rsidRDefault="00F77BF8">
            <w:pPr>
              <w:spacing w:before="120" w:after="120"/>
              <w:jc w:val="center"/>
              <w:rPr>
                <w:rFonts w:ascii="Rockwell" w:hAnsi="Rockwell"/>
                <w:szCs w:val="26"/>
              </w:rPr>
            </w:pPr>
            <w:r>
              <w:rPr>
                <w:rFonts w:ascii="Rockwell" w:hAnsi="Rockwell"/>
                <w:szCs w:val="26"/>
              </w:rPr>
              <w:t>17</w:t>
            </w:r>
          </w:p>
        </w:tc>
        <w:tc>
          <w:tcPr>
            <w:tcW w:w="1559" w:type="dxa"/>
            <w:shd w:val="clear" w:color="auto" w:fill="auto"/>
            <w:tcMar>
              <w:top w:w="0" w:type="dxa"/>
              <w:left w:w="108" w:type="dxa"/>
              <w:bottom w:w="0" w:type="dxa"/>
              <w:right w:w="108" w:type="dxa"/>
            </w:tcMar>
          </w:tcPr>
          <w:p w14:paraId="7C33E8E6" w14:textId="77777777" w:rsidR="00284822" w:rsidRDefault="00F77BF8">
            <w:pPr>
              <w:spacing w:before="120" w:after="120"/>
              <w:jc w:val="center"/>
              <w:rPr>
                <w:rFonts w:ascii="Rockwell" w:hAnsi="Rockwell"/>
                <w:szCs w:val="26"/>
              </w:rPr>
            </w:pPr>
            <w:r>
              <w:rPr>
                <w:rFonts w:ascii="Rockwell" w:hAnsi="Rockwell"/>
                <w:szCs w:val="26"/>
              </w:rPr>
              <w:t>8,59%</w:t>
            </w:r>
          </w:p>
        </w:tc>
      </w:tr>
      <w:tr w:rsidR="00284822" w14:paraId="5210D75C" w14:textId="77777777">
        <w:trPr>
          <w:trHeight w:val="70"/>
          <w:jc w:val="center"/>
        </w:trPr>
        <w:tc>
          <w:tcPr>
            <w:tcW w:w="1413" w:type="dxa"/>
            <w:shd w:val="clear" w:color="auto" w:fill="FFFFFF"/>
            <w:noWrap/>
            <w:tcMar>
              <w:top w:w="0" w:type="dxa"/>
              <w:left w:w="108" w:type="dxa"/>
              <w:bottom w:w="0" w:type="dxa"/>
              <w:right w:w="108" w:type="dxa"/>
            </w:tcMar>
          </w:tcPr>
          <w:p w14:paraId="73834505" w14:textId="77777777" w:rsidR="00284822" w:rsidRDefault="00F77BF8">
            <w:pPr>
              <w:spacing w:before="120" w:after="120"/>
              <w:rPr>
                <w:rFonts w:ascii="Rockwell" w:hAnsi="Rockwell"/>
                <w:szCs w:val="26"/>
              </w:rPr>
            </w:pPr>
            <w:r>
              <w:rPr>
                <w:rFonts w:ascii="Rockwell" w:hAnsi="Rockwell"/>
                <w:bCs/>
                <w:szCs w:val="26"/>
              </w:rPr>
              <w:t>4</w:t>
            </w:r>
            <w:r>
              <w:rPr>
                <w:rFonts w:ascii="Rockwell" w:hAnsi="Rockwell"/>
                <w:bCs/>
                <w:szCs w:val="26"/>
                <w:vertAlign w:val="superscript"/>
              </w:rPr>
              <w:t>e</w:t>
            </w:r>
            <w:r>
              <w:rPr>
                <w:rFonts w:ascii="Rockwell" w:hAnsi="Rockwell"/>
                <w:bCs/>
                <w:szCs w:val="26"/>
              </w:rPr>
              <w:t xml:space="preserve"> ex</w:t>
            </w:r>
          </w:p>
        </w:tc>
        <w:tc>
          <w:tcPr>
            <w:tcW w:w="3402" w:type="dxa"/>
            <w:shd w:val="clear" w:color="auto" w:fill="auto"/>
            <w:tcMar>
              <w:top w:w="0" w:type="dxa"/>
              <w:left w:w="108" w:type="dxa"/>
              <w:bottom w:w="0" w:type="dxa"/>
              <w:right w:w="108" w:type="dxa"/>
            </w:tcMar>
          </w:tcPr>
          <w:p w14:paraId="0DFBC987" w14:textId="77777777" w:rsidR="00284822" w:rsidRDefault="00F77BF8">
            <w:pPr>
              <w:spacing w:before="120" w:after="120"/>
              <w:jc w:val="left"/>
              <w:rPr>
                <w:rFonts w:ascii="Rockwell" w:hAnsi="Rockwell"/>
                <w:b/>
                <w:szCs w:val="26"/>
              </w:rPr>
            </w:pPr>
            <w:r>
              <w:rPr>
                <w:rFonts w:ascii="Rockwell" w:hAnsi="Rockwell"/>
                <w:b/>
                <w:szCs w:val="26"/>
              </w:rPr>
              <w:t>UNIR/MPS</w:t>
            </w:r>
          </w:p>
        </w:tc>
        <w:tc>
          <w:tcPr>
            <w:tcW w:w="1417" w:type="dxa"/>
            <w:shd w:val="clear" w:color="auto" w:fill="auto"/>
            <w:tcMar>
              <w:top w:w="0" w:type="dxa"/>
              <w:left w:w="108" w:type="dxa"/>
              <w:bottom w:w="0" w:type="dxa"/>
              <w:right w:w="108" w:type="dxa"/>
            </w:tcMar>
          </w:tcPr>
          <w:p w14:paraId="0F6F0B80" w14:textId="77777777" w:rsidR="00284822" w:rsidRDefault="00F77BF8">
            <w:pPr>
              <w:spacing w:before="120" w:after="120"/>
              <w:jc w:val="center"/>
              <w:rPr>
                <w:rFonts w:ascii="Rockwell" w:hAnsi="Rockwell"/>
                <w:szCs w:val="26"/>
              </w:rPr>
            </w:pPr>
            <w:r>
              <w:rPr>
                <w:rFonts w:ascii="Rockwell" w:hAnsi="Rockwell"/>
                <w:szCs w:val="26"/>
              </w:rPr>
              <w:t>14</w:t>
            </w:r>
          </w:p>
        </w:tc>
        <w:tc>
          <w:tcPr>
            <w:tcW w:w="1701" w:type="dxa"/>
            <w:shd w:val="clear" w:color="auto" w:fill="auto"/>
            <w:tcMar>
              <w:top w:w="0" w:type="dxa"/>
              <w:left w:w="108" w:type="dxa"/>
              <w:bottom w:w="0" w:type="dxa"/>
              <w:right w:w="108" w:type="dxa"/>
            </w:tcMar>
          </w:tcPr>
          <w:p w14:paraId="3218DD9B" w14:textId="77777777" w:rsidR="00284822" w:rsidRDefault="00F77BF8">
            <w:pPr>
              <w:spacing w:before="120" w:after="120"/>
              <w:jc w:val="center"/>
              <w:rPr>
                <w:rFonts w:ascii="Rockwell" w:hAnsi="Rockwell"/>
                <w:szCs w:val="26"/>
              </w:rPr>
            </w:pPr>
            <w:r>
              <w:rPr>
                <w:rFonts w:ascii="Rockwell" w:hAnsi="Rockwell"/>
                <w:szCs w:val="26"/>
              </w:rPr>
              <w:t>8,86%</w:t>
            </w:r>
          </w:p>
        </w:tc>
        <w:tc>
          <w:tcPr>
            <w:tcW w:w="1276" w:type="dxa"/>
            <w:shd w:val="clear" w:color="auto" w:fill="auto"/>
            <w:tcMar>
              <w:top w:w="0" w:type="dxa"/>
              <w:left w:w="10" w:type="dxa"/>
              <w:bottom w:w="0" w:type="dxa"/>
              <w:right w:w="10" w:type="dxa"/>
            </w:tcMar>
          </w:tcPr>
          <w:p w14:paraId="7EFA4E4F" w14:textId="77777777" w:rsidR="00284822" w:rsidRDefault="00F77BF8">
            <w:pPr>
              <w:spacing w:before="120" w:after="120"/>
              <w:jc w:val="center"/>
              <w:rPr>
                <w:rFonts w:ascii="Rockwell" w:hAnsi="Rockwell"/>
                <w:szCs w:val="26"/>
              </w:rPr>
            </w:pPr>
            <w:r>
              <w:rPr>
                <w:rFonts w:ascii="Rockwell" w:hAnsi="Rockwell"/>
                <w:szCs w:val="26"/>
              </w:rPr>
              <w:t>16</w:t>
            </w:r>
          </w:p>
        </w:tc>
        <w:tc>
          <w:tcPr>
            <w:tcW w:w="1559" w:type="dxa"/>
            <w:shd w:val="clear" w:color="auto" w:fill="auto"/>
            <w:tcMar>
              <w:top w:w="0" w:type="dxa"/>
              <w:left w:w="108" w:type="dxa"/>
              <w:bottom w:w="0" w:type="dxa"/>
              <w:right w:w="108" w:type="dxa"/>
            </w:tcMar>
          </w:tcPr>
          <w:p w14:paraId="639B2615" w14:textId="77777777" w:rsidR="00284822" w:rsidRDefault="00F77BF8">
            <w:pPr>
              <w:spacing w:before="120" w:after="120"/>
              <w:jc w:val="center"/>
              <w:rPr>
                <w:rFonts w:ascii="Rockwell" w:hAnsi="Rockwell"/>
                <w:szCs w:val="26"/>
              </w:rPr>
            </w:pPr>
            <w:r>
              <w:rPr>
                <w:rFonts w:ascii="Rockwell" w:hAnsi="Rockwell"/>
                <w:szCs w:val="26"/>
              </w:rPr>
              <w:t>8,08%</w:t>
            </w:r>
          </w:p>
        </w:tc>
      </w:tr>
      <w:tr w:rsidR="00284822" w14:paraId="7371F156" w14:textId="77777777">
        <w:trPr>
          <w:trHeight w:val="70"/>
          <w:jc w:val="center"/>
        </w:trPr>
        <w:tc>
          <w:tcPr>
            <w:tcW w:w="1413" w:type="dxa"/>
            <w:shd w:val="clear" w:color="auto" w:fill="FFFFFF"/>
            <w:noWrap/>
            <w:tcMar>
              <w:top w:w="0" w:type="dxa"/>
              <w:left w:w="108" w:type="dxa"/>
              <w:bottom w:w="0" w:type="dxa"/>
              <w:right w:w="108" w:type="dxa"/>
            </w:tcMar>
          </w:tcPr>
          <w:p w14:paraId="6B22B531" w14:textId="77777777" w:rsidR="00284822" w:rsidRDefault="00F77BF8">
            <w:pPr>
              <w:spacing w:before="120" w:after="120"/>
              <w:rPr>
                <w:rFonts w:ascii="Rockwell" w:hAnsi="Rockwell"/>
                <w:szCs w:val="26"/>
              </w:rPr>
            </w:pPr>
            <w:r>
              <w:rPr>
                <w:rFonts w:ascii="Rockwell" w:hAnsi="Rockwell"/>
                <w:bCs/>
                <w:szCs w:val="26"/>
              </w:rPr>
              <w:t>6</w:t>
            </w:r>
            <w:r>
              <w:rPr>
                <w:rFonts w:ascii="Rockwell" w:hAnsi="Rockwell"/>
                <w:bCs/>
                <w:szCs w:val="26"/>
                <w:vertAlign w:val="superscript"/>
              </w:rPr>
              <w:t>e</w:t>
            </w:r>
            <w:r>
              <w:rPr>
                <w:rFonts w:ascii="Rockwell" w:hAnsi="Rockwell"/>
                <w:bCs/>
                <w:szCs w:val="26"/>
              </w:rPr>
              <w:t xml:space="preserve"> </w:t>
            </w:r>
          </w:p>
        </w:tc>
        <w:tc>
          <w:tcPr>
            <w:tcW w:w="3402" w:type="dxa"/>
            <w:shd w:val="clear" w:color="auto" w:fill="auto"/>
            <w:tcMar>
              <w:top w:w="0" w:type="dxa"/>
              <w:left w:w="108" w:type="dxa"/>
              <w:bottom w:w="0" w:type="dxa"/>
              <w:right w:w="108" w:type="dxa"/>
            </w:tcMar>
          </w:tcPr>
          <w:p w14:paraId="2D8E11A9" w14:textId="77777777" w:rsidR="00284822" w:rsidRDefault="00F77BF8">
            <w:pPr>
              <w:spacing w:before="120" w:after="120"/>
              <w:jc w:val="left"/>
              <w:rPr>
                <w:rFonts w:ascii="Rockwell" w:hAnsi="Rockwell"/>
                <w:b/>
                <w:szCs w:val="26"/>
              </w:rPr>
            </w:pPr>
            <w:r>
              <w:rPr>
                <w:rFonts w:ascii="Rockwell" w:hAnsi="Rockwell"/>
                <w:b/>
                <w:szCs w:val="26"/>
              </w:rPr>
              <w:t>MRB</w:t>
            </w:r>
          </w:p>
        </w:tc>
        <w:tc>
          <w:tcPr>
            <w:tcW w:w="1417" w:type="dxa"/>
            <w:shd w:val="clear" w:color="auto" w:fill="auto"/>
            <w:tcMar>
              <w:top w:w="0" w:type="dxa"/>
              <w:left w:w="108" w:type="dxa"/>
              <w:bottom w:w="0" w:type="dxa"/>
              <w:right w:w="108" w:type="dxa"/>
            </w:tcMar>
          </w:tcPr>
          <w:p w14:paraId="3E4859C9" w14:textId="77777777" w:rsidR="00284822" w:rsidRDefault="00F77BF8">
            <w:pPr>
              <w:spacing w:before="120" w:after="120"/>
              <w:jc w:val="center"/>
              <w:rPr>
                <w:rFonts w:ascii="Rockwell" w:hAnsi="Rockwell"/>
                <w:szCs w:val="26"/>
              </w:rPr>
            </w:pPr>
            <w:r>
              <w:rPr>
                <w:rFonts w:ascii="Rockwell" w:hAnsi="Rockwell"/>
                <w:szCs w:val="26"/>
              </w:rPr>
              <w:t>12</w:t>
            </w:r>
          </w:p>
        </w:tc>
        <w:tc>
          <w:tcPr>
            <w:tcW w:w="1701" w:type="dxa"/>
            <w:shd w:val="clear" w:color="auto" w:fill="auto"/>
            <w:tcMar>
              <w:top w:w="0" w:type="dxa"/>
              <w:left w:w="108" w:type="dxa"/>
              <w:bottom w:w="0" w:type="dxa"/>
              <w:right w:w="108" w:type="dxa"/>
            </w:tcMar>
          </w:tcPr>
          <w:p w14:paraId="78A9423E" w14:textId="77777777" w:rsidR="00284822" w:rsidRDefault="00F77BF8">
            <w:pPr>
              <w:spacing w:before="120" w:after="120"/>
              <w:jc w:val="center"/>
              <w:rPr>
                <w:rFonts w:ascii="Rockwell" w:hAnsi="Rockwell"/>
                <w:szCs w:val="26"/>
              </w:rPr>
            </w:pPr>
            <w:r>
              <w:rPr>
                <w:rFonts w:ascii="Rockwell" w:hAnsi="Rockwell"/>
                <w:szCs w:val="26"/>
              </w:rPr>
              <w:t>7,59%</w:t>
            </w:r>
          </w:p>
        </w:tc>
        <w:tc>
          <w:tcPr>
            <w:tcW w:w="1276" w:type="dxa"/>
            <w:shd w:val="clear" w:color="auto" w:fill="auto"/>
            <w:tcMar>
              <w:top w:w="0" w:type="dxa"/>
              <w:left w:w="10" w:type="dxa"/>
              <w:bottom w:w="0" w:type="dxa"/>
              <w:right w:w="10" w:type="dxa"/>
            </w:tcMar>
          </w:tcPr>
          <w:p w14:paraId="105F36A4" w14:textId="77777777" w:rsidR="00284822" w:rsidRDefault="00F77BF8">
            <w:pPr>
              <w:spacing w:before="120" w:after="120"/>
              <w:jc w:val="center"/>
              <w:rPr>
                <w:rFonts w:ascii="Rockwell" w:hAnsi="Rockwell"/>
                <w:szCs w:val="26"/>
              </w:rPr>
            </w:pPr>
            <w:r>
              <w:rPr>
                <w:rFonts w:ascii="Rockwell" w:hAnsi="Rockwell"/>
                <w:szCs w:val="26"/>
              </w:rPr>
              <w:t>13</w:t>
            </w:r>
          </w:p>
        </w:tc>
        <w:tc>
          <w:tcPr>
            <w:tcW w:w="1559" w:type="dxa"/>
            <w:shd w:val="clear" w:color="auto" w:fill="auto"/>
            <w:tcMar>
              <w:top w:w="0" w:type="dxa"/>
              <w:left w:w="108" w:type="dxa"/>
              <w:bottom w:w="0" w:type="dxa"/>
              <w:right w:w="108" w:type="dxa"/>
            </w:tcMar>
          </w:tcPr>
          <w:p w14:paraId="2FBFFDA2" w14:textId="77777777" w:rsidR="00284822" w:rsidRDefault="00F77BF8">
            <w:pPr>
              <w:spacing w:before="120" w:after="120"/>
              <w:jc w:val="center"/>
              <w:rPr>
                <w:rFonts w:ascii="Rockwell" w:hAnsi="Rockwell"/>
                <w:szCs w:val="26"/>
              </w:rPr>
            </w:pPr>
            <w:r>
              <w:rPr>
                <w:rFonts w:ascii="Rockwell" w:hAnsi="Rockwell"/>
                <w:szCs w:val="26"/>
              </w:rPr>
              <w:t>6,57%</w:t>
            </w:r>
          </w:p>
        </w:tc>
      </w:tr>
      <w:tr w:rsidR="00284822" w14:paraId="38EC0A10" w14:textId="77777777">
        <w:trPr>
          <w:trHeight w:val="70"/>
          <w:jc w:val="center"/>
        </w:trPr>
        <w:tc>
          <w:tcPr>
            <w:tcW w:w="1413" w:type="dxa"/>
            <w:shd w:val="clear" w:color="auto" w:fill="FFFFFF"/>
            <w:noWrap/>
            <w:tcMar>
              <w:top w:w="0" w:type="dxa"/>
              <w:left w:w="108" w:type="dxa"/>
              <w:bottom w:w="0" w:type="dxa"/>
              <w:right w:w="108" w:type="dxa"/>
            </w:tcMar>
          </w:tcPr>
          <w:p w14:paraId="75446700" w14:textId="77777777" w:rsidR="00284822" w:rsidRDefault="00F77BF8">
            <w:pPr>
              <w:spacing w:before="120" w:after="120"/>
              <w:rPr>
                <w:rFonts w:ascii="Rockwell" w:hAnsi="Rockwell"/>
                <w:szCs w:val="26"/>
              </w:rPr>
            </w:pPr>
            <w:r>
              <w:rPr>
                <w:rFonts w:ascii="Rockwell" w:hAnsi="Rockwell"/>
                <w:bCs/>
                <w:szCs w:val="26"/>
              </w:rPr>
              <w:lastRenderedPageBreak/>
              <w:t>7</w:t>
            </w:r>
            <w:r>
              <w:rPr>
                <w:rFonts w:ascii="Rockwell" w:hAnsi="Rockwell"/>
                <w:bCs/>
                <w:szCs w:val="26"/>
                <w:vertAlign w:val="superscript"/>
              </w:rPr>
              <w:t>e</w:t>
            </w:r>
            <w:r>
              <w:rPr>
                <w:rFonts w:ascii="Rockwell" w:hAnsi="Rockwell"/>
                <w:bCs/>
                <w:szCs w:val="26"/>
              </w:rPr>
              <w:t xml:space="preserve"> </w:t>
            </w:r>
          </w:p>
        </w:tc>
        <w:tc>
          <w:tcPr>
            <w:tcW w:w="3402" w:type="dxa"/>
            <w:shd w:val="clear" w:color="auto" w:fill="auto"/>
            <w:tcMar>
              <w:top w:w="0" w:type="dxa"/>
              <w:left w:w="108" w:type="dxa"/>
              <w:bottom w:w="0" w:type="dxa"/>
              <w:right w:w="108" w:type="dxa"/>
            </w:tcMar>
          </w:tcPr>
          <w:p w14:paraId="5C306774" w14:textId="77777777" w:rsidR="00284822" w:rsidRDefault="00F77BF8">
            <w:pPr>
              <w:spacing w:before="120" w:after="120"/>
              <w:jc w:val="left"/>
              <w:rPr>
                <w:rFonts w:ascii="Rockwell" w:hAnsi="Rockwell"/>
                <w:b/>
                <w:szCs w:val="26"/>
              </w:rPr>
            </w:pPr>
            <w:r>
              <w:rPr>
                <w:rFonts w:ascii="Rockwell" w:hAnsi="Rockwell"/>
                <w:b/>
                <w:szCs w:val="26"/>
              </w:rPr>
              <w:t>LE FASO AUTREMENT</w:t>
            </w:r>
          </w:p>
        </w:tc>
        <w:tc>
          <w:tcPr>
            <w:tcW w:w="1417" w:type="dxa"/>
            <w:shd w:val="clear" w:color="auto" w:fill="auto"/>
            <w:tcMar>
              <w:top w:w="0" w:type="dxa"/>
              <w:left w:w="108" w:type="dxa"/>
              <w:bottom w:w="0" w:type="dxa"/>
              <w:right w:w="108" w:type="dxa"/>
            </w:tcMar>
          </w:tcPr>
          <w:p w14:paraId="47FDC21B" w14:textId="77777777" w:rsidR="00284822" w:rsidRDefault="00F77BF8">
            <w:pPr>
              <w:spacing w:before="120" w:after="120"/>
              <w:jc w:val="center"/>
              <w:rPr>
                <w:rFonts w:ascii="Rockwell" w:hAnsi="Rockwell"/>
                <w:szCs w:val="26"/>
              </w:rPr>
            </w:pPr>
            <w:r>
              <w:rPr>
                <w:rFonts w:ascii="Rockwell" w:hAnsi="Rockwell"/>
                <w:szCs w:val="26"/>
              </w:rPr>
              <w:t>9</w:t>
            </w:r>
          </w:p>
        </w:tc>
        <w:tc>
          <w:tcPr>
            <w:tcW w:w="1701" w:type="dxa"/>
            <w:shd w:val="clear" w:color="auto" w:fill="auto"/>
            <w:tcMar>
              <w:top w:w="0" w:type="dxa"/>
              <w:left w:w="108" w:type="dxa"/>
              <w:bottom w:w="0" w:type="dxa"/>
              <w:right w:w="108" w:type="dxa"/>
            </w:tcMar>
          </w:tcPr>
          <w:p w14:paraId="6D0C4E09" w14:textId="77777777" w:rsidR="00284822" w:rsidRDefault="00F77BF8">
            <w:pPr>
              <w:spacing w:before="120" w:after="120"/>
              <w:jc w:val="center"/>
              <w:rPr>
                <w:rFonts w:ascii="Rockwell" w:hAnsi="Rockwell"/>
                <w:szCs w:val="26"/>
              </w:rPr>
            </w:pPr>
            <w:r>
              <w:rPr>
                <w:rFonts w:ascii="Rockwell" w:hAnsi="Rockwell"/>
                <w:szCs w:val="26"/>
              </w:rPr>
              <w:t>5,70%</w:t>
            </w:r>
          </w:p>
        </w:tc>
        <w:tc>
          <w:tcPr>
            <w:tcW w:w="1276" w:type="dxa"/>
            <w:shd w:val="clear" w:color="auto" w:fill="auto"/>
            <w:tcMar>
              <w:top w:w="0" w:type="dxa"/>
              <w:left w:w="10" w:type="dxa"/>
              <w:bottom w:w="0" w:type="dxa"/>
              <w:right w:w="10" w:type="dxa"/>
            </w:tcMar>
          </w:tcPr>
          <w:p w14:paraId="0C1AB35F" w14:textId="77777777" w:rsidR="00284822" w:rsidRDefault="00F77BF8">
            <w:pPr>
              <w:spacing w:before="120" w:after="120"/>
              <w:jc w:val="center"/>
              <w:rPr>
                <w:rFonts w:ascii="Rockwell" w:hAnsi="Rockwell"/>
                <w:szCs w:val="26"/>
              </w:rPr>
            </w:pPr>
            <w:r>
              <w:rPr>
                <w:rFonts w:ascii="Rockwell" w:hAnsi="Rockwell"/>
                <w:szCs w:val="26"/>
              </w:rPr>
              <w:t>10</w:t>
            </w:r>
          </w:p>
        </w:tc>
        <w:tc>
          <w:tcPr>
            <w:tcW w:w="1559" w:type="dxa"/>
            <w:shd w:val="clear" w:color="auto" w:fill="auto"/>
            <w:tcMar>
              <w:top w:w="0" w:type="dxa"/>
              <w:left w:w="108" w:type="dxa"/>
              <w:bottom w:w="0" w:type="dxa"/>
              <w:right w:w="108" w:type="dxa"/>
            </w:tcMar>
          </w:tcPr>
          <w:p w14:paraId="775FFFFA" w14:textId="77777777" w:rsidR="00284822" w:rsidRDefault="00F77BF8">
            <w:pPr>
              <w:spacing w:before="120" w:after="120"/>
              <w:jc w:val="center"/>
              <w:rPr>
                <w:rFonts w:ascii="Rockwell" w:hAnsi="Rockwell"/>
                <w:szCs w:val="26"/>
              </w:rPr>
            </w:pPr>
            <w:r>
              <w:rPr>
                <w:rFonts w:ascii="Rockwell" w:hAnsi="Rockwell"/>
                <w:szCs w:val="26"/>
              </w:rPr>
              <w:t>5,05%</w:t>
            </w:r>
          </w:p>
        </w:tc>
      </w:tr>
      <w:tr w:rsidR="00284822" w14:paraId="5C77A988" w14:textId="77777777">
        <w:trPr>
          <w:trHeight w:val="70"/>
          <w:jc w:val="center"/>
        </w:trPr>
        <w:tc>
          <w:tcPr>
            <w:tcW w:w="1413" w:type="dxa"/>
            <w:shd w:val="clear" w:color="auto" w:fill="FFFFFF"/>
            <w:noWrap/>
            <w:tcMar>
              <w:top w:w="0" w:type="dxa"/>
              <w:left w:w="108" w:type="dxa"/>
              <w:bottom w:w="0" w:type="dxa"/>
              <w:right w:w="108" w:type="dxa"/>
            </w:tcMar>
          </w:tcPr>
          <w:p w14:paraId="524AE58C" w14:textId="77777777" w:rsidR="00284822" w:rsidRDefault="00F77BF8">
            <w:pPr>
              <w:spacing w:before="120" w:after="120"/>
              <w:rPr>
                <w:rFonts w:ascii="Rockwell" w:hAnsi="Rockwell"/>
                <w:szCs w:val="26"/>
              </w:rPr>
            </w:pPr>
            <w:r>
              <w:rPr>
                <w:rFonts w:ascii="Rockwell" w:hAnsi="Rockwell"/>
                <w:bCs/>
                <w:szCs w:val="26"/>
              </w:rPr>
              <w:t>8</w:t>
            </w:r>
            <w:r>
              <w:rPr>
                <w:rFonts w:ascii="Rockwell" w:hAnsi="Rockwell"/>
                <w:bCs/>
                <w:szCs w:val="26"/>
                <w:vertAlign w:val="superscript"/>
              </w:rPr>
              <w:t xml:space="preserve">e </w:t>
            </w:r>
          </w:p>
        </w:tc>
        <w:tc>
          <w:tcPr>
            <w:tcW w:w="3402" w:type="dxa"/>
            <w:shd w:val="clear" w:color="auto" w:fill="auto"/>
            <w:tcMar>
              <w:top w:w="0" w:type="dxa"/>
              <w:left w:w="108" w:type="dxa"/>
              <w:bottom w:w="0" w:type="dxa"/>
              <w:right w:w="108" w:type="dxa"/>
            </w:tcMar>
          </w:tcPr>
          <w:p w14:paraId="1E550E9E" w14:textId="77777777" w:rsidR="00284822" w:rsidRDefault="00F77BF8">
            <w:pPr>
              <w:spacing w:before="120" w:after="120"/>
              <w:jc w:val="left"/>
              <w:rPr>
                <w:rFonts w:ascii="Rockwell" w:hAnsi="Rockwell"/>
                <w:b/>
                <w:szCs w:val="26"/>
              </w:rPr>
            </w:pPr>
            <w:r>
              <w:rPr>
                <w:rFonts w:ascii="Rockwell" w:hAnsi="Rockwell"/>
                <w:b/>
                <w:szCs w:val="26"/>
              </w:rPr>
              <w:t>ADF/RDA</w:t>
            </w:r>
          </w:p>
        </w:tc>
        <w:tc>
          <w:tcPr>
            <w:tcW w:w="1417" w:type="dxa"/>
            <w:shd w:val="clear" w:color="auto" w:fill="auto"/>
            <w:tcMar>
              <w:top w:w="0" w:type="dxa"/>
              <w:left w:w="108" w:type="dxa"/>
              <w:bottom w:w="0" w:type="dxa"/>
              <w:right w:w="108" w:type="dxa"/>
            </w:tcMar>
          </w:tcPr>
          <w:p w14:paraId="401E864F" w14:textId="77777777" w:rsidR="00284822" w:rsidRDefault="00F77BF8">
            <w:pPr>
              <w:spacing w:before="120" w:after="120"/>
              <w:jc w:val="center"/>
              <w:rPr>
                <w:rFonts w:ascii="Rockwell" w:hAnsi="Rockwell"/>
                <w:szCs w:val="26"/>
              </w:rPr>
            </w:pPr>
            <w:r>
              <w:rPr>
                <w:rFonts w:ascii="Rockwell" w:hAnsi="Rockwell"/>
                <w:szCs w:val="26"/>
              </w:rPr>
              <w:t>6</w:t>
            </w:r>
          </w:p>
        </w:tc>
        <w:tc>
          <w:tcPr>
            <w:tcW w:w="1701" w:type="dxa"/>
            <w:shd w:val="clear" w:color="auto" w:fill="auto"/>
            <w:tcMar>
              <w:top w:w="0" w:type="dxa"/>
              <w:left w:w="108" w:type="dxa"/>
              <w:bottom w:w="0" w:type="dxa"/>
              <w:right w:w="108" w:type="dxa"/>
            </w:tcMar>
          </w:tcPr>
          <w:p w14:paraId="6E136667" w14:textId="77777777" w:rsidR="00284822" w:rsidRDefault="00F77BF8">
            <w:pPr>
              <w:spacing w:before="120" w:after="120"/>
              <w:jc w:val="center"/>
              <w:rPr>
                <w:rFonts w:ascii="Rockwell" w:hAnsi="Rockwell"/>
                <w:szCs w:val="26"/>
              </w:rPr>
            </w:pPr>
            <w:r>
              <w:rPr>
                <w:rFonts w:ascii="Rockwell" w:hAnsi="Rockwell"/>
                <w:szCs w:val="26"/>
              </w:rPr>
              <w:t>3,80%</w:t>
            </w:r>
          </w:p>
        </w:tc>
        <w:tc>
          <w:tcPr>
            <w:tcW w:w="1276" w:type="dxa"/>
            <w:shd w:val="clear" w:color="auto" w:fill="auto"/>
            <w:tcMar>
              <w:top w:w="0" w:type="dxa"/>
              <w:left w:w="10" w:type="dxa"/>
              <w:bottom w:w="0" w:type="dxa"/>
              <w:right w:w="10" w:type="dxa"/>
            </w:tcMar>
          </w:tcPr>
          <w:p w14:paraId="794C7839" w14:textId="77777777" w:rsidR="00284822" w:rsidRDefault="00F77BF8">
            <w:pPr>
              <w:spacing w:before="120" w:after="120"/>
              <w:jc w:val="center"/>
              <w:rPr>
                <w:rFonts w:ascii="Rockwell" w:hAnsi="Rockwell"/>
                <w:szCs w:val="26"/>
              </w:rPr>
            </w:pPr>
            <w:r>
              <w:rPr>
                <w:rFonts w:ascii="Rockwell" w:hAnsi="Rockwell"/>
                <w:szCs w:val="26"/>
              </w:rPr>
              <w:t>8</w:t>
            </w:r>
          </w:p>
        </w:tc>
        <w:tc>
          <w:tcPr>
            <w:tcW w:w="1559" w:type="dxa"/>
            <w:shd w:val="clear" w:color="auto" w:fill="auto"/>
            <w:tcMar>
              <w:top w:w="0" w:type="dxa"/>
              <w:left w:w="108" w:type="dxa"/>
              <w:bottom w:w="0" w:type="dxa"/>
              <w:right w:w="108" w:type="dxa"/>
            </w:tcMar>
          </w:tcPr>
          <w:p w14:paraId="05AD17D3" w14:textId="77777777" w:rsidR="00284822" w:rsidRDefault="00F77BF8">
            <w:pPr>
              <w:spacing w:before="120" w:after="120"/>
              <w:jc w:val="center"/>
              <w:rPr>
                <w:rFonts w:ascii="Rockwell" w:hAnsi="Rockwell"/>
                <w:szCs w:val="26"/>
              </w:rPr>
            </w:pPr>
            <w:r>
              <w:rPr>
                <w:rFonts w:ascii="Rockwell" w:hAnsi="Rockwell"/>
                <w:szCs w:val="26"/>
              </w:rPr>
              <w:t>4,04%</w:t>
            </w:r>
          </w:p>
        </w:tc>
      </w:tr>
      <w:tr w:rsidR="00284822" w14:paraId="2EAB4B61" w14:textId="77777777">
        <w:trPr>
          <w:trHeight w:val="70"/>
          <w:jc w:val="center"/>
        </w:trPr>
        <w:tc>
          <w:tcPr>
            <w:tcW w:w="1413" w:type="dxa"/>
            <w:shd w:val="clear" w:color="auto" w:fill="FFFFFF"/>
            <w:noWrap/>
            <w:tcMar>
              <w:top w:w="0" w:type="dxa"/>
              <w:left w:w="108" w:type="dxa"/>
              <w:bottom w:w="0" w:type="dxa"/>
              <w:right w:w="108" w:type="dxa"/>
            </w:tcMar>
          </w:tcPr>
          <w:p w14:paraId="75AFA2DD" w14:textId="77777777" w:rsidR="00284822" w:rsidRDefault="00F77BF8">
            <w:pPr>
              <w:spacing w:before="120" w:after="120"/>
              <w:rPr>
                <w:rFonts w:ascii="Rockwell" w:hAnsi="Rockwell"/>
                <w:szCs w:val="26"/>
              </w:rPr>
            </w:pPr>
            <w:r>
              <w:rPr>
                <w:rFonts w:ascii="Rockwell" w:hAnsi="Rockwell"/>
                <w:bCs/>
                <w:szCs w:val="26"/>
              </w:rPr>
              <w:t>9</w:t>
            </w:r>
            <w:r>
              <w:rPr>
                <w:rFonts w:ascii="Rockwell" w:hAnsi="Rockwell"/>
                <w:bCs/>
                <w:szCs w:val="26"/>
                <w:vertAlign w:val="superscript"/>
              </w:rPr>
              <w:t>e</w:t>
            </w:r>
            <w:r>
              <w:rPr>
                <w:rFonts w:ascii="Rockwell" w:hAnsi="Rockwell"/>
                <w:bCs/>
                <w:szCs w:val="26"/>
              </w:rPr>
              <w:t xml:space="preserve"> </w:t>
            </w:r>
          </w:p>
        </w:tc>
        <w:tc>
          <w:tcPr>
            <w:tcW w:w="3402" w:type="dxa"/>
            <w:shd w:val="clear" w:color="auto" w:fill="auto"/>
            <w:tcMar>
              <w:top w:w="0" w:type="dxa"/>
              <w:left w:w="108" w:type="dxa"/>
              <w:bottom w:w="0" w:type="dxa"/>
              <w:right w:w="108" w:type="dxa"/>
            </w:tcMar>
          </w:tcPr>
          <w:p w14:paraId="6E07FE08" w14:textId="77777777" w:rsidR="00284822" w:rsidRDefault="00F77BF8">
            <w:pPr>
              <w:spacing w:before="120" w:after="120"/>
              <w:jc w:val="left"/>
              <w:rPr>
                <w:rFonts w:ascii="Rockwell" w:hAnsi="Rockwell"/>
                <w:b/>
                <w:szCs w:val="26"/>
              </w:rPr>
            </w:pPr>
            <w:r>
              <w:rPr>
                <w:rFonts w:ascii="Rockwell" w:hAnsi="Rockwell"/>
                <w:b/>
                <w:szCs w:val="26"/>
              </w:rPr>
              <w:t>NTD</w:t>
            </w:r>
          </w:p>
        </w:tc>
        <w:tc>
          <w:tcPr>
            <w:tcW w:w="1417" w:type="dxa"/>
            <w:shd w:val="clear" w:color="auto" w:fill="auto"/>
            <w:tcMar>
              <w:top w:w="0" w:type="dxa"/>
              <w:left w:w="108" w:type="dxa"/>
              <w:bottom w:w="0" w:type="dxa"/>
              <w:right w:w="108" w:type="dxa"/>
            </w:tcMar>
          </w:tcPr>
          <w:p w14:paraId="43A95B96" w14:textId="77777777" w:rsidR="00284822" w:rsidRDefault="00F77BF8">
            <w:pPr>
              <w:spacing w:before="120" w:after="120"/>
              <w:jc w:val="center"/>
              <w:rPr>
                <w:rFonts w:ascii="Rockwell" w:hAnsi="Rockwell"/>
                <w:szCs w:val="26"/>
              </w:rPr>
            </w:pPr>
            <w:r>
              <w:rPr>
                <w:rFonts w:ascii="Rockwell" w:hAnsi="Rockwell"/>
                <w:szCs w:val="26"/>
              </w:rPr>
              <w:t>5</w:t>
            </w:r>
          </w:p>
        </w:tc>
        <w:tc>
          <w:tcPr>
            <w:tcW w:w="1701" w:type="dxa"/>
            <w:shd w:val="clear" w:color="auto" w:fill="auto"/>
            <w:tcMar>
              <w:top w:w="0" w:type="dxa"/>
              <w:left w:w="108" w:type="dxa"/>
              <w:bottom w:w="0" w:type="dxa"/>
              <w:right w:w="108" w:type="dxa"/>
            </w:tcMar>
          </w:tcPr>
          <w:p w14:paraId="532B6BDF" w14:textId="77777777" w:rsidR="00284822" w:rsidRDefault="00F77BF8">
            <w:pPr>
              <w:spacing w:before="120" w:after="120"/>
              <w:jc w:val="center"/>
              <w:rPr>
                <w:rFonts w:ascii="Rockwell" w:hAnsi="Rockwell"/>
                <w:szCs w:val="26"/>
              </w:rPr>
            </w:pPr>
            <w:r>
              <w:rPr>
                <w:rFonts w:ascii="Rockwell" w:hAnsi="Rockwell"/>
                <w:szCs w:val="26"/>
              </w:rPr>
              <w:t>3,16%</w:t>
            </w:r>
          </w:p>
        </w:tc>
        <w:tc>
          <w:tcPr>
            <w:tcW w:w="1276" w:type="dxa"/>
            <w:shd w:val="clear" w:color="auto" w:fill="auto"/>
            <w:tcMar>
              <w:top w:w="0" w:type="dxa"/>
              <w:left w:w="10" w:type="dxa"/>
              <w:bottom w:w="0" w:type="dxa"/>
              <w:right w:w="10" w:type="dxa"/>
            </w:tcMar>
          </w:tcPr>
          <w:p w14:paraId="43D636CF" w14:textId="77777777" w:rsidR="00284822" w:rsidRDefault="00F77BF8">
            <w:pPr>
              <w:spacing w:before="120" w:after="120"/>
              <w:jc w:val="center"/>
              <w:rPr>
                <w:rFonts w:ascii="Rockwell" w:hAnsi="Rockwell"/>
                <w:szCs w:val="26"/>
              </w:rPr>
            </w:pPr>
            <w:r>
              <w:rPr>
                <w:rFonts w:ascii="Rockwell" w:hAnsi="Rockwell"/>
                <w:szCs w:val="26"/>
              </w:rPr>
              <w:t>5</w:t>
            </w:r>
          </w:p>
        </w:tc>
        <w:tc>
          <w:tcPr>
            <w:tcW w:w="1559" w:type="dxa"/>
            <w:shd w:val="clear" w:color="auto" w:fill="auto"/>
            <w:tcMar>
              <w:top w:w="0" w:type="dxa"/>
              <w:left w:w="108" w:type="dxa"/>
              <w:bottom w:w="0" w:type="dxa"/>
              <w:right w:w="108" w:type="dxa"/>
            </w:tcMar>
          </w:tcPr>
          <w:p w14:paraId="0C017327" w14:textId="77777777" w:rsidR="00284822" w:rsidRDefault="00F77BF8">
            <w:pPr>
              <w:spacing w:before="120" w:after="120"/>
              <w:jc w:val="center"/>
              <w:rPr>
                <w:rFonts w:ascii="Rockwell" w:hAnsi="Rockwell"/>
                <w:szCs w:val="26"/>
              </w:rPr>
            </w:pPr>
            <w:r>
              <w:rPr>
                <w:rFonts w:ascii="Rockwell" w:hAnsi="Rockwell"/>
                <w:szCs w:val="26"/>
              </w:rPr>
              <w:t>2,53%</w:t>
            </w:r>
          </w:p>
        </w:tc>
      </w:tr>
      <w:tr w:rsidR="00284822" w14:paraId="5B0E5A66" w14:textId="77777777">
        <w:trPr>
          <w:trHeight w:val="70"/>
          <w:jc w:val="center"/>
        </w:trPr>
        <w:tc>
          <w:tcPr>
            <w:tcW w:w="1413" w:type="dxa"/>
            <w:shd w:val="clear" w:color="auto" w:fill="FFFFFF"/>
            <w:noWrap/>
            <w:tcMar>
              <w:top w:w="0" w:type="dxa"/>
              <w:left w:w="108" w:type="dxa"/>
              <w:bottom w:w="0" w:type="dxa"/>
              <w:right w:w="108" w:type="dxa"/>
            </w:tcMar>
          </w:tcPr>
          <w:p w14:paraId="7C778228" w14:textId="77777777" w:rsidR="00284822" w:rsidRDefault="00F77BF8">
            <w:pPr>
              <w:spacing w:before="120" w:after="120"/>
              <w:rPr>
                <w:rFonts w:ascii="Rockwell" w:hAnsi="Rockwell"/>
                <w:szCs w:val="26"/>
              </w:rPr>
            </w:pPr>
            <w:r>
              <w:rPr>
                <w:rFonts w:ascii="Rockwell" w:hAnsi="Rockwell"/>
                <w:bCs/>
                <w:szCs w:val="26"/>
              </w:rPr>
              <w:t>10</w:t>
            </w:r>
            <w:r>
              <w:rPr>
                <w:rFonts w:ascii="Rockwell" w:hAnsi="Rockwell"/>
                <w:bCs/>
                <w:szCs w:val="26"/>
                <w:vertAlign w:val="superscript"/>
              </w:rPr>
              <w:t>e</w:t>
            </w:r>
          </w:p>
        </w:tc>
        <w:tc>
          <w:tcPr>
            <w:tcW w:w="3402" w:type="dxa"/>
            <w:shd w:val="clear" w:color="auto" w:fill="auto"/>
            <w:tcMar>
              <w:top w:w="0" w:type="dxa"/>
              <w:left w:w="108" w:type="dxa"/>
              <w:bottom w:w="0" w:type="dxa"/>
              <w:right w:w="108" w:type="dxa"/>
            </w:tcMar>
          </w:tcPr>
          <w:p w14:paraId="0FC92209" w14:textId="77777777" w:rsidR="00284822" w:rsidRDefault="00F77BF8">
            <w:pPr>
              <w:spacing w:before="120" w:after="120"/>
              <w:jc w:val="left"/>
              <w:rPr>
                <w:rFonts w:ascii="Rockwell" w:hAnsi="Rockwell"/>
                <w:b/>
                <w:szCs w:val="26"/>
              </w:rPr>
            </w:pPr>
            <w:r>
              <w:rPr>
                <w:rFonts w:ascii="Rockwell" w:hAnsi="Rockwell"/>
                <w:b/>
                <w:szCs w:val="26"/>
              </w:rPr>
              <w:t>PDP/PS</w:t>
            </w:r>
          </w:p>
        </w:tc>
        <w:tc>
          <w:tcPr>
            <w:tcW w:w="1417" w:type="dxa"/>
            <w:shd w:val="clear" w:color="auto" w:fill="auto"/>
            <w:tcMar>
              <w:top w:w="0" w:type="dxa"/>
              <w:left w:w="108" w:type="dxa"/>
              <w:bottom w:w="0" w:type="dxa"/>
              <w:right w:w="108" w:type="dxa"/>
            </w:tcMar>
          </w:tcPr>
          <w:p w14:paraId="322B5D28" w14:textId="77777777" w:rsidR="00284822" w:rsidRDefault="00F77BF8">
            <w:pPr>
              <w:spacing w:before="120" w:after="120"/>
              <w:jc w:val="center"/>
              <w:rPr>
                <w:rFonts w:ascii="Rockwell" w:hAnsi="Rockwell"/>
                <w:szCs w:val="26"/>
              </w:rPr>
            </w:pPr>
            <w:r>
              <w:rPr>
                <w:rFonts w:ascii="Rockwell" w:hAnsi="Rockwell"/>
                <w:szCs w:val="26"/>
              </w:rPr>
              <w:t>3</w:t>
            </w:r>
          </w:p>
        </w:tc>
        <w:tc>
          <w:tcPr>
            <w:tcW w:w="1701" w:type="dxa"/>
            <w:shd w:val="clear" w:color="auto" w:fill="auto"/>
            <w:tcMar>
              <w:top w:w="0" w:type="dxa"/>
              <w:left w:w="108" w:type="dxa"/>
              <w:bottom w:w="0" w:type="dxa"/>
              <w:right w:w="108" w:type="dxa"/>
            </w:tcMar>
          </w:tcPr>
          <w:p w14:paraId="44A18F9D" w14:textId="77777777" w:rsidR="00284822" w:rsidRDefault="00F77BF8">
            <w:pPr>
              <w:spacing w:before="120" w:after="120"/>
              <w:jc w:val="center"/>
              <w:rPr>
                <w:rFonts w:ascii="Rockwell" w:hAnsi="Rockwell"/>
                <w:szCs w:val="26"/>
              </w:rPr>
            </w:pPr>
            <w:r>
              <w:rPr>
                <w:rFonts w:ascii="Rockwell" w:hAnsi="Rockwell"/>
                <w:szCs w:val="26"/>
              </w:rPr>
              <w:t>1,90%</w:t>
            </w:r>
          </w:p>
        </w:tc>
        <w:tc>
          <w:tcPr>
            <w:tcW w:w="1276" w:type="dxa"/>
            <w:shd w:val="clear" w:color="auto" w:fill="auto"/>
            <w:tcMar>
              <w:top w:w="0" w:type="dxa"/>
              <w:left w:w="10" w:type="dxa"/>
              <w:bottom w:w="0" w:type="dxa"/>
              <w:right w:w="10" w:type="dxa"/>
            </w:tcMar>
          </w:tcPr>
          <w:p w14:paraId="050F49D6" w14:textId="77777777" w:rsidR="00284822" w:rsidRDefault="00F77BF8">
            <w:pPr>
              <w:spacing w:before="120" w:after="120"/>
              <w:jc w:val="center"/>
              <w:rPr>
                <w:rFonts w:ascii="Rockwell" w:hAnsi="Rockwell"/>
                <w:szCs w:val="26"/>
              </w:rPr>
            </w:pPr>
            <w:r>
              <w:rPr>
                <w:rFonts w:ascii="Rockwell" w:hAnsi="Rockwell"/>
                <w:szCs w:val="26"/>
              </w:rPr>
              <w:t>4</w:t>
            </w:r>
          </w:p>
        </w:tc>
        <w:tc>
          <w:tcPr>
            <w:tcW w:w="1559" w:type="dxa"/>
            <w:shd w:val="clear" w:color="auto" w:fill="auto"/>
            <w:tcMar>
              <w:top w:w="0" w:type="dxa"/>
              <w:left w:w="108" w:type="dxa"/>
              <w:bottom w:w="0" w:type="dxa"/>
              <w:right w:w="108" w:type="dxa"/>
            </w:tcMar>
          </w:tcPr>
          <w:p w14:paraId="36905B61" w14:textId="77777777" w:rsidR="00284822" w:rsidRDefault="00F77BF8">
            <w:pPr>
              <w:spacing w:before="120" w:after="120"/>
              <w:jc w:val="center"/>
              <w:rPr>
                <w:rFonts w:ascii="Rockwell" w:hAnsi="Rockwell"/>
                <w:szCs w:val="26"/>
              </w:rPr>
            </w:pPr>
            <w:r>
              <w:rPr>
                <w:rFonts w:ascii="Rockwell" w:hAnsi="Rockwell"/>
                <w:szCs w:val="26"/>
              </w:rPr>
              <w:t>2,02%</w:t>
            </w:r>
          </w:p>
        </w:tc>
      </w:tr>
    </w:tbl>
    <w:p w14:paraId="50AEE3CE" w14:textId="77777777" w:rsidR="00284822" w:rsidRDefault="00F77BF8">
      <w:pPr>
        <w:tabs>
          <w:tab w:val="left" w:pos="895"/>
        </w:tabs>
        <w:spacing w:before="120" w:after="120"/>
        <w:ind w:left="-709" w:hanging="142"/>
        <w:rPr>
          <w:rFonts w:ascii="Rockwell" w:hAnsi="Rockwell"/>
          <w:i/>
          <w:sz w:val="20"/>
          <w:szCs w:val="20"/>
        </w:rPr>
      </w:pPr>
      <w:r>
        <w:rPr>
          <w:rFonts w:ascii="Rockwell" w:hAnsi="Rockwell"/>
          <w:i/>
          <w:sz w:val="20"/>
          <w:szCs w:val="20"/>
          <w:u w:val="single"/>
        </w:rPr>
        <w:t>Source</w:t>
      </w:r>
      <w:r>
        <w:rPr>
          <w:rFonts w:ascii="Rockwell" w:hAnsi="Rockwell"/>
          <w:i/>
          <w:sz w:val="20"/>
          <w:szCs w:val="20"/>
        </w:rPr>
        <w:t> : Monitoring CSC</w:t>
      </w:r>
    </w:p>
    <w:p w14:paraId="60662D20" w14:textId="77777777" w:rsidR="00284822" w:rsidRDefault="00F77BF8">
      <w:pPr>
        <w:spacing w:before="120" w:after="120"/>
        <w:rPr>
          <w:rFonts w:ascii="Rockwell" w:hAnsi="Rockwell"/>
          <w:i/>
          <w:szCs w:val="26"/>
          <w:u w:val="single"/>
        </w:rPr>
      </w:pPr>
      <w:r>
        <w:rPr>
          <w:rFonts w:ascii="Rockwell" w:hAnsi="Rockwell"/>
          <w:i/>
          <w:szCs w:val="26"/>
          <w:u w:val="single"/>
        </w:rPr>
        <w:t xml:space="preserve">       </w:t>
      </w:r>
    </w:p>
    <w:p w14:paraId="04DFAB17" w14:textId="77777777" w:rsidR="00284822" w:rsidRDefault="00F77BF8">
      <w:pPr>
        <w:spacing w:before="120" w:after="120"/>
        <w:jc w:val="center"/>
        <w:rPr>
          <w:rFonts w:ascii="Rockwell" w:hAnsi="Rockwell"/>
          <w:i/>
          <w:sz w:val="20"/>
          <w:szCs w:val="20"/>
        </w:rPr>
      </w:pPr>
      <w:r>
        <w:rPr>
          <w:rFonts w:ascii="Rockwell" w:hAnsi="Rockwell"/>
          <w:i/>
          <w:sz w:val="20"/>
          <w:szCs w:val="20"/>
          <w:u w:val="single"/>
        </w:rPr>
        <w:t>Représentation graphique des NA et NI obtenus par les partis politiques dans minute.bf</w:t>
      </w:r>
    </w:p>
    <w:p w14:paraId="13B33B65" w14:textId="77777777" w:rsidR="00284822" w:rsidRDefault="00F77BF8">
      <w:pPr>
        <w:pStyle w:val="Paragraphedeliste"/>
        <w:ind w:left="720"/>
        <w:jc w:val="center"/>
        <w:textAlignment w:val="auto"/>
        <w:rPr>
          <w:rFonts w:ascii="Rockwell" w:hAnsi="Rockwell"/>
        </w:rPr>
      </w:pPr>
      <w:r>
        <w:rPr>
          <w:rFonts w:ascii="Rockwell" w:hAnsi="Rockwell"/>
          <w:noProof/>
        </w:rPr>
        <w:drawing>
          <wp:inline distT="0" distB="0" distL="0" distR="0" wp14:anchorId="74D5443E" wp14:editId="34A80013">
            <wp:extent cx="5091430" cy="4105275"/>
            <wp:effectExtent l="0" t="0" r="13970" b="9525"/>
            <wp:docPr id="53" name="Graphique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5DFA4158" w14:textId="77777777" w:rsidR="00284822" w:rsidRDefault="00284822">
      <w:pPr>
        <w:pStyle w:val="Paragraphedeliste"/>
        <w:ind w:left="720"/>
        <w:textAlignment w:val="auto"/>
        <w:rPr>
          <w:rFonts w:ascii="Rockwell" w:hAnsi="Rockwell"/>
          <w:sz w:val="10"/>
          <w:szCs w:val="10"/>
        </w:rPr>
      </w:pPr>
    </w:p>
    <w:p w14:paraId="64A9BAE3" w14:textId="77777777" w:rsidR="00284822" w:rsidRDefault="00F77BF8">
      <w:pPr>
        <w:pStyle w:val="Titre5"/>
        <w:numPr>
          <w:ilvl w:val="1"/>
          <w:numId w:val="19"/>
        </w:numPr>
        <w:ind w:hanging="447"/>
        <w:rPr>
          <w:rFonts w:ascii="Rockwell" w:hAnsi="Rockwell"/>
          <w:i/>
        </w:rPr>
      </w:pPr>
      <w:r>
        <w:rPr>
          <w:rFonts w:ascii="Rockwell" w:hAnsi="Rockwell"/>
          <w:i/>
        </w:rPr>
        <w:t xml:space="preserve"> </w:t>
      </w:r>
      <w:hyperlink r:id="rId72" w:history="1">
        <w:bookmarkStart w:id="161" w:name="_Toc175048679"/>
        <w:r>
          <w:rPr>
            <w:rFonts w:ascii="Rockwell" w:hAnsi="Rockwell"/>
            <w:i/>
          </w:rPr>
          <w:t>Actualité.bf</w:t>
        </w:r>
        <w:bookmarkEnd w:id="161"/>
      </w:hyperlink>
    </w:p>
    <w:p w14:paraId="1CBF9C9E" w14:textId="77777777" w:rsidR="00284822" w:rsidRDefault="00F77BF8">
      <w:pPr>
        <w:spacing w:before="120" w:after="120"/>
        <w:rPr>
          <w:rFonts w:ascii="Rockwell" w:hAnsi="Rockwell"/>
          <w:szCs w:val="26"/>
        </w:rPr>
        <w:sectPr w:rsidR="00284822">
          <w:pgSz w:w="11906" w:h="16838"/>
          <w:pgMar w:top="1418" w:right="1418" w:bottom="1418" w:left="1418" w:header="720" w:footer="720" w:gutter="0"/>
          <w:cols w:space="720"/>
        </w:sectPr>
      </w:pPr>
      <w:r>
        <w:rPr>
          <w:rFonts w:ascii="Rockwell" w:hAnsi="Rockwell"/>
          <w:szCs w:val="26"/>
        </w:rPr>
        <w:t xml:space="preserve">Le média en ligne </w:t>
      </w:r>
      <w:r>
        <w:rPr>
          <w:rFonts w:ascii="Rockwell" w:hAnsi="Rockwell"/>
          <w:i/>
          <w:szCs w:val="26"/>
        </w:rPr>
        <w:t>actualité.bf</w:t>
      </w:r>
      <w:r>
        <w:rPr>
          <w:rFonts w:ascii="Rockwell" w:hAnsi="Rockwell"/>
          <w:szCs w:val="26"/>
        </w:rPr>
        <w:t xml:space="preserve"> a couvert les activités de 21 partis politiques auxquels il a accordé 113 articles et 177 illustrations. Les 10 premiers sont classés comme suit. </w:t>
      </w:r>
    </w:p>
    <w:p w14:paraId="1057331A" w14:textId="77777777" w:rsidR="00284822" w:rsidRDefault="00F77BF8">
      <w:pPr>
        <w:spacing w:before="120" w:after="120"/>
        <w:jc w:val="center"/>
        <w:rPr>
          <w:rFonts w:ascii="Rockwell" w:hAnsi="Rockwell"/>
          <w:i/>
          <w:sz w:val="20"/>
          <w:szCs w:val="20"/>
        </w:rPr>
      </w:pPr>
      <w:r>
        <w:rPr>
          <w:rFonts w:ascii="Rockwell" w:hAnsi="Rockwell"/>
          <w:b/>
          <w:sz w:val="20"/>
          <w:szCs w:val="20"/>
          <w:u w:val="single"/>
        </w:rPr>
        <w:lastRenderedPageBreak/>
        <w:t>Tableau 13</w:t>
      </w:r>
      <w:r>
        <w:rPr>
          <w:rFonts w:ascii="Rockwell" w:hAnsi="Rockwell"/>
          <w:b/>
          <w:i/>
          <w:sz w:val="20"/>
          <w:szCs w:val="20"/>
        </w:rPr>
        <w:t> </w:t>
      </w:r>
      <w:r>
        <w:rPr>
          <w:rFonts w:ascii="Rockwell" w:hAnsi="Rockwell"/>
          <w:i/>
          <w:sz w:val="20"/>
          <w:szCs w:val="20"/>
        </w:rPr>
        <w:t xml:space="preserve">: Classement des partis politiques selon les NA et NI publiés dans </w:t>
      </w:r>
      <w:hyperlink r:id="rId73" w:history="1">
        <w:r>
          <w:rPr>
            <w:rFonts w:ascii="Rockwell" w:hAnsi="Rockwell"/>
            <w:i/>
            <w:sz w:val="20"/>
            <w:szCs w:val="20"/>
          </w:rPr>
          <w:t>actualité.bf</w:t>
        </w:r>
      </w:hyperlink>
      <w:r>
        <w:rPr>
          <w:rFonts w:ascii="Rockwell" w:hAnsi="Rockwell"/>
          <w:i/>
          <w:sz w:val="20"/>
          <w:szCs w:val="20"/>
        </w:rPr>
        <w:t xml:space="preserve"> </w:t>
      </w:r>
    </w:p>
    <w:tbl>
      <w:tblPr>
        <w:tblW w:w="109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68"/>
        <w:gridCol w:w="3094"/>
        <w:gridCol w:w="1178"/>
        <w:gridCol w:w="1620"/>
        <w:gridCol w:w="1620"/>
        <w:gridCol w:w="1936"/>
      </w:tblGrid>
      <w:tr w:rsidR="00284822" w14:paraId="2AB43D96" w14:textId="77777777">
        <w:trPr>
          <w:trHeight w:val="464"/>
          <w:jc w:val="center"/>
        </w:trPr>
        <w:tc>
          <w:tcPr>
            <w:tcW w:w="10916" w:type="dxa"/>
            <w:gridSpan w:val="6"/>
            <w:shd w:val="clear" w:color="auto" w:fill="BDD6EE" w:themeFill="accent1" w:themeFillTint="66"/>
            <w:noWrap/>
            <w:tcMar>
              <w:top w:w="0" w:type="dxa"/>
              <w:left w:w="108" w:type="dxa"/>
              <w:bottom w:w="0" w:type="dxa"/>
              <w:right w:w="108" w:type="dxa"/>
            </w:tcMar>
          </w:tcPr>
          <w:p w14:paraId="7C502BFB" w14:textId="77777777" w:rsidR="00284822" w:rsidRDefault="00F77BF8">
            <w:pPr>
              <w:spacing w:before="120" w:after="120"/>
              <w:jc w:val="center"/>
              <w:rPr>
                <w:rFonts w:ascii="Rockwell" w:hAnsi="Rockwell"/>
                <w:b/>
                <w:bCs/>
                <w:i/>
                <w:szCs w:val="26"/>
              </w:rPr>
            </w:pPr>
            <w:r>
              <w:rPr>
                <w:rFonts w:ascii="Rockwell" w:hAnsi="Rockwell"/>
                <w:b/>
                <w:bCs/>
                <w:i/>
                <w:szCs w:val="26"/>
              </w:rPr>
              <w:t xml:space="preserve">Actualité. </w:t>
            </w:r>
            <w:proofErr w:type="spellStart"/>
            <w:r>
              <w:rPr>
                <w:rFonts w:ascii="Rockwell" w:hAnsi="Rockwell"/>
                <w:b/>
                <w:bCs/>
                <w:i/>
                <w:szCs w:val="26"/>
              </w:rPr>
              <w:t>Bf</w:t>
            </w:r>
            <w:proofErr w:type="spellEnd"/>
          </w:p>
        </w:tc>
      </w:tr>
      <w:tr w:rsidR="00284822" w14:paraId="31EE1D66" w14:textId="77777777">
        <w:trPr>
          <w:trHeight w:val="135"/>
          <w:jc w:val="center"/>
        </w:trPr>
        <w:tc>
          <w:tcPr>
            <w:tcW w:w="1468" w:type="dxa"/>
            <w:shd w:val="clear" w:color="auto" w:fill="BDD6EE" w:themeFill="accent1" w:themeFillTint="66"/>
            <w:noWrap/>
            <w:tcMar>
              <w:top w:w="0" w:type="dxa"/>
              <w:left w:w="108" w:type="dxa"/>
              <w:bottom w:w="0" w:type="dxa"/>
              <w:right w:w="108" w:type="dxa"/>
            </w:tcMar>
          </w:tcPr>
          <w:p w14:paraId="5FAB71A4" w14:textId="77777777" w:rsidR="00284822" w:rsidRDefault="00F77BF8">
            <w:pPr>
              <w:spacing w:before="120" w:after="120"/>
              <w:jc w:val="center"/>
              <w:rPr>
                <w:rFonts w:ascii="Rockwell" w:hAnsi="Rockwell"/>
                <w:b/>
                <w:bCs/>
                <w:szCs w:val="26"/>
              </w:rPr>
            </w:pPr>
            <w:r>
              <w:rPr>
                <w:rFonts w:ascii="Rockwell" w:hAnsi="Rockwell" w:cs="Calibri"/>
                <w:b/>
                <w:bCs/>
                <w:color w:val="000000"/>
                <w:szCs w:val="26"/>
              </w:rPr>
              <w:t>Rang</w:t>
            </w:r>
          </w:p>
        </w:tc>
        <w:tc>
          <w:tcPr>
            <w:tcW w:w="3094" w:type="dxa"/>
            <w:shd w:val="clear" w:color="auto" w:fill="BDD6EE" w:themeFill="accent1" w:themeFillTint="66"/>
            <w:tcMar>
              <w:top w:w="0" w:type="dxa"/>
              <w:left w:w="108" w:type="dxa"/>
              <w:bottom w:w="0" w:type="dxa"/>
              <w:right w:w="108" w:type="dxa"/>
            </w:tcMar>
          </w:tcPr>
          <w:p w14:paraId="4F338BBA" w14:textId="48833509" w:rsidR="00284822" w:rsidRDefault="00746D14">
            <w:pPr>
              <w:spacing w:before="120" w:after="120"/>
              <w:jc w:val="center"/>
              <w:rPr>
                <w:rFonts w:ascii="Rockwell" w:hAnsi="Rockwell"/>
                <w:szCs w:val="26"/>
              </w:rPr>
            </w:pPr>
            <w:r>
              <w:rPr>
                <w:rFonts w:ascii="Rockwell" w:hAnsi="Rockwell"/>
                <w:b/>
                <w:bCs/>
              </w:rPr>
              <w:t>PARTIS</w:t>
            </w:r>
            <w:r w:rsidR="00F77BF8">
              <w:rPr>
                <w:rFonts w:ascii="Rockwell" w:hAnsi="Rockwell"/>
                <w:b/>
                <w:bCs/>
                <w:szCs w:val="26"/>
              </w:rPr>
              <w:t xml:space="preserve"> POLITIQUES</w:t>
            </w:r>
          </w:p>
        </w:tc>
        <w:tc>
          <w:tcPr>
            <w:tcW w:w="1178" w:type="dxa"/>
            <w:shd w:val="clear" w:color="auto" w:fill="BDD6EE" w:themeFill="accent1" w:themeFillTint="66"/>
            <w:tcMar>
              <w:top w:w="0" w:type="dxa"/>
              <w:left w:w="108" w:type="dxa"/>
              <w:bottom w:w="0" w:type="dxa"/>
              <w:right w:w="108" w:type="dxa"/>
            </w:tcMar>
          </w:tcPr>
          <w:p w14:paraId="07842EAC" w14:textId="77777777" w:rsidR="00284822" w:rsidRDefault="00F77BF8">
            <w:pPr>
              <w:spacing w:before="120" w:after="120"/>
              <w:jc w:val="center"/>
              <w:rPr>
                <w:rFonts w:ascii="Rockwell" w:hAnsi="Rockwell"/>
                <w:b/>
                <w:szCs w:val="26"/>
              </w:rPr>
            </w:pPr>
            <w:r>
              <w:rPr>
                <w:rFonts w:ascii="Rockwell" w:hAnsi="Rockwell"/>
                <w:b/>
                <w:szCs w:val="26"/>
              </w:rPr>
              <w:t>NA</w:t>
            </w:r>
          </w:p>
        </w:tc>
        <w:tc>
          <w:tcPr>
            <w:tcW w:w="1620" w:type="dxa"/>
            <w:shd w:val="clear" w:color="auto" w:fill="BDD6EE" w:themeFill="accent1" w:themeFillTint="66"/>
            <w:tcMar>
              <w:top w:w="0" w:type="dxa"/>
              <w:left w:w="108" w:type="dxa"/>
              <w:bottom w:w="0" w:type="dxa"/>
              <w:right w:w="108" w:type="dxa"/>
            </w:tcMar>
          </w:tcPr>
          <w:p w14:paraId="74FF36A0" w14:textId="77777777" w:rsidR="00284822" w:rsidRDefault="00F77BF8">
            <w:pPr>
              <w:spacing w:before="120" w:after="120"/>
              <w:jc w:val="center"/>
              <w:rPr>
                <w:rFonts w:ascii="Rockwell" w:hAnsi="Rockwell"/>
                <w:b/>
                <w:szCs w:val="26"/>
              </w:rPr>
            </w:pPr>
            <w:r>
              <w:rPr>
                <w:rFonts w:ascii="Rockwell" w:hAnsi="Rockwell"/>
                <w:b/>
                <w:szCs w:val="26"/>
              </w:rPr>
              <w:t>% NA</w:t>
            </w:r>
          </w:p>
        </w:tc>
        <w:tc>
          <w:tcPr>
            <w:tcW w:w="1620" w:type="dxa"/>
            <w:shd w:val="clear" w:color="auto" w:fill="BDD6EE" w:themeFill="accent1" w:themeFillTint="66"/>
            <w:tcMar>
              <w:top w:w="0" w:type="dxa"/>
              <w:left w:w="108" w:type="dxa"/>
              <w:bottom w:w="0" w:type="dxa"/>
              <w:right w:w="108" w:type="dxa"/>
            </w:tcMar>
          </w:tcPr>
          <w:p w14:paraId="7DDF9687" w14:textId="77777777" w:rsidR="00284822" w:rsidRDefault="00F77BF8">
            <w:pPr>
              <w:spacing w:before="120" w:after="120"/>
              <w:jc w:val="center"/>
              <w:rPr>
                <w:rFonts w:ascii="Rockwell" w:hAnsi="Rockwell"/>
                <w:b/>
                <w:szCs w:val="26"/>
              </w:rPr>
            </w:pPr>
            <w:r>
              <w:rPr>
                <w:rFonts w:ascii="Rockwell" w:hAnsi="Rockwell"/>
                <w:b/>
                <w:szCs w:val="26"/>
              </w:rPr>
              <w:t>NI</w:t>
            </w:r>
          </w:p>
        </w:tc>
        <w:tc>
          <w:tcPr>
            <w:tcW w:w="1936" w:type="dxa"/>
            <w:shd w:val="clear" w:color="auto" w:fill="BDD6EE" w:themeFill="accent1" w:themeFillTint="66"/>
            <w:tcMar>
              <w:top w:w="0" w:type="dxa"/>
              <w:left w:w="108" w:type="dxa"/>
              <w:bottom w:w="0" w:type="dxa"/>
              <w:right w:w="108" w:type="dxa"/>
            </w:tcMar>
          </w:tcPr>
          <w:p w14:paraId="059EA35F" w14:textId="77777777" w:rsidR="00284822" w:rsidRDefault="00F77BF8">
            <w:pPr>
              <w:spacing w:before="120" w:after="120"/>
              <w:jc w:val="center"/>
              <w:rPr>
                <w:rFonts w:ascii="Rockwell" w:hAnsi="Rockwell"/>
                <w:b/>
                <w:szCs w:val="26"/>
              </w:rPr>
            </w:pPr>
            <w:r>
              <w:rPr>
                <w:rFonts w:ascii="Rockwell" w:hAnsi="Rockwell"/>
                <w:b/>
                <w:szCs w:val="26"/>
              </w:rPr>
              <w:t>% NI</w:t>
            </w:r>
          </w:p>
        </w:tc>
      </w:tr>
      <w:tr w:rsidR="00284822" w14:paraId="6C30BCBE" w14:textId="77777777">
        <w:trPr>
          <w:trHeight w:val="83"/>
          <w:jc w:val="center"/>
        </w:trPr>
        <w:tc>
          <w:tcPr>
            <w:tcW w:w="1468" w:type="dxa"/>
            <w:shd w:val="clear" w:color="auto" w:fill="FFFFFF"/>
            <w:noWrap/>
            <w:tcMar>
              <w:top w:w="0" w:type="dxa"/>
              <w:left w:w="108" w:type="dxa"/>
              <w:bottom w:w="0" w:type="dxa"/>
              <w:right w:w="108" w:type="dxa"/>
            </w:tcMar>
          </w:tcPr>
          <w:p w14:paraId="16EA9A23" w14:textId="77777777" w:rsidR="00284822" w:rsidRDefault="00F77BF8">
            <w:pPr>
              <w:spacing w:before="120" w:after="120"/>
              <w:rPr>
                <w:rFonts w:ascii="Rockwell" w:hAnsi="Rockwell"/>
                <w:szCs w:val="26"/>
              </w:rPr>
            </w:pPr>
            <w:r>
              <w:rPr>
                <w:rFonts w:ascii="Rockwell" w:hAnsi="Rockwell"/>
                <w:bCs/>
                <w:szCs w:val="26"/>
              </w:rPr>
              <w:t>1</w:t>
            </w:r>
            <w:r>
              <w:rPr>
                <w:rFonts w:ascii="Rockwell" w:hAnsi="Rockwell"/>
                <w:bCs/>
                <w:szCs w:val="26"/>
                <w:vertAlign w:val="superscript"/>
              </w:rPr>
              <w:t>er</w:t>
            </w:r>
            <w:r>
              <w:rPr>
                <w:rFonts w:ascii="Rockwell" w:hAnsi="Rockwell"/>
                <w:bCs/>
                <w:szCs w:val="26"/>
              </w:rPr>
              <w:t xml:space="preserve"> </w:t>
            </w:r>
          </w:p>
        </w:tc>
        <w:tc>
          <w:tcPr>
            <w:tcW w:w="3094" w:type="dxa"/>
            <w:shd w:val="clear" w:color="auto" w:fill="auto"/>
            <w:tcMar>
              <w:top w:w="0" w:type="dxa"/>
              <w:left w:w="108" w:type="dxa"/>
              <w:bottom w:w="0" w:type="dxa"/>
              <w:right w:w="108" w:type="dxa"/>
            </w:tcMar>
          </w:tcPr>
          <w:p w14:paraId="41280084" w14:textId="77777777" w:rsidR="00284822" w:rsidRDefault="00F77BF8">
            <w:pPr>
              <w:spacing w:before="120" w:after="120"/>
              <w:jc w:val="left"/>
              <w:rPr>
                <w:rFonts w:ascii="Rockwell" w:hAnsi="Rockwell"/>
                <w:b/>
                <w:szCs w:val="26"/>
              </w:rPr>
            </w:pPr>
            <w:r>
              <w:rPr>
                <w:rFonts w:ascii="Rockwell" w:hAnsi="Rockwell"/>
                <w:b/>
                <w:szCs w:val="26"/>
              </w:rPr>
              <w:t>CDP</w:t>
            </w:r>
          </w:p>
        </w:tc>
        <w:tc>
          <w:tcPr>
            <w:tcW w:w="1178" w:type="dxa"/>
            <w:shd w:val="clear" w:color="auto" w:fill="auto"/>
            <w:tcMar>
              <w:top w:w="0" w:type="dxa"/>
              <w:left w:w="108" w:type="dxa"/>
              <w:bottom w:w="0" w:type="dxa"/>
              <w:right w:w="108" w:type="dxa"/>
            </w:tcMar>
          </w:tcPr>
          <w:p w14:paraId="36A88C97" w14:textId="77777777" w:rsidR="00284822" w:rsidRDefault="00F77BF8">
            <w:pPr>
              <w:spacing w:before="120" w:after="120"/>
              <w:jc w:val="center"/>
              <w:rPr>
                <w:rFonts w:ascii="Rockwell" w:hAnsi="Rockwell"/>
                <w:szCs w:val="26"/>
              </w:rPr>
            </w:pPr>
            <w:r>
              <w:rPr>
                <w:rFonts w:ascii="Rockwell" w:hAnsi="Rockwell"/>
                <w:szCs w:val="26"/>
              </w:rPr>
              <w:t>27</w:t>
            </w:r>
          </w:p>
        </w:tc>
        <w:tc>
          <w:tcPr>
            <w:tcW w:w="1620" w:type="dxa"/>
            <w:shd w:val="clear" w:color="auto" w:fill="auto"/>
            <w:tcMar>
              <w:top w:w="0" w:type="dxa"/>
              <w:left w:w="108" w:type="dxa"/>
              <w:bottom w:w="0" w:type="dxa"/>
              <w:right w:w="108" w:type="dxa"/>
            </w:tcMar>
          </w:tcPr>
          <w:p w14:paraId="7B263F04" w14:textId="77777777" w:rsidR="00284822" w:rsidRDefault="00F77BF8">
            <w:pPr>
              <w:spacing w:before="120" w:after="120"/>
              <w:jc w:val="center"/>
              <w:rPr>
                <w:rFonts w:ascii="Rockwell" w:hAnsi="Rockwell"/>
                <w:szCs w:val="26"/>
              </w:rPr>
            </w:pPr>
            <w:r>
              <w:rPr>
                <w:rFonts w:ascii="Rockwell" w:hAnsi="Rockwell"/>
                <w:szCs w:val="26"/>
              </w:rPr>
              <w:t>23,89%</w:t>
            </w:r>
          </w:p>
        </w:tc>
        <w:tc>
          <w:tcPr>
            <w:tcW w:w="1620" w:type="dxa"/>
            <w:shd w:val="clear" w:color="auto" w:fill="auto"/>
            <w:tcMar>
              <w:top w:w="0" w:type="dxa"/>
              <w:left w:w="108" w:type="dxa"/>
              <w:bottom w:w="0" w:type="dxa"/>
              <w:right w:w="108" w:type="dxa"/>
            </w:tcMar>
          </w:tcPr>
          <w:p w14:paraId="054C6535" w14:textId="77777777" w:rsidR="00284822" w:rsidRDefault="00F77BF8">
            <w:pPr>
              <w:spacing w:before="120" w:after="120"/>
              <w:jc w:val="center"/>
              <w:rPr>
                <w:rFonts w:ascii="Rockwell" w:hAnsi="Rockwell"/>
                <w:szCs w:val="26"/>
              </w:rPr>
            </w:pPr>
            <w:r>
              <w:rPr>
                <w:rFonts w:ascii="Rockwell" w:hAnsi="Rockwell"/>
                <w:szCs w:val="26"/>
              </w:rPr>
              <w:t>43</w:t>
            </w:r>
          </w:p>
        </w:tc>
        <w:tc>
          <w:tcPr>
            <w:tcW w:w="1936" w:type="dxa"/>
            <w:shd w:val="clear" w:color="auto" w:fill="auto"/>
            <w:tcMar>
              <w:top w:w="0" w:type="dxa"/>
              <w:left w:w="108" w:type="dxa"/>
              <w:bottom w:w="0" w:type="dxa"/>
              <w:right w:w="108" w:type="dxa"/>
            </w:tcMar>
          </w:tcPr>
          <w:p w14:paraId="5ED35355" w14:textId="77777777" w:rsidR="00284822" w:rsidRDefault="00F77BF8">
            <w:pPr>
              <w:spacing w:before="120" w:after="120"/>
              <w:jc w:val="center"/>
              <w:rPr>
                <w:rFonts w:ascii="Rockwell" w:hAnsi="Rockwell"/>
                <w:szCs w:val="26"/>
              </w:rPr>
            </w:pPr>
            <w:r>
              <w:rPr>
                <w:rFonts w:ascii="Rockwell" w:hAnsi="Rockwell"/>
                <w:szCs w:val="26"/>
              </w:rPr>
              <w:t>24,29%</w:t>
            </w:r>
          </w:p>
        </w:tc>
      </w:tr>
      <w:tr w:rsidR="00284822" w14:paraId="111BC026" w14:textId="77777777">
        <w:trPr>
          <w:trHeight w:val="83"/>
          <w:jc w:val="center"/>
        </w:trPr>
        <w:tc>
          <w:tcPr>
            <w:tcW w:w="1468" w:type="dxa"/>
            <w:shd w:val="clear" w:color="auto" w:fill="FFFFFF"/>
            <w:noWrap/>
            <w:tcMar>
              <w:top w:w="0" w:type="dxa"/>
              <w:left w:w="108" w:type="dxa"/>
              <w:bottom w:w="0" w:type="dxa"/>
              <w:right w:w="108" w:type="dxa"/>
            </w:tcMar>
          </w:tcPr>
          <w:p w14:paraId="24C5AF33" w14:textId="77777777" w:rsidR="00284822" w:rsidRDefault="00F77BF8">
            <w:pPr>
              <w:spacing w:before="120" w:after="120"/>
              <w:rPr>
                <w:rFonts w:ascii="Rockwell" w:hAnsi="Rockwell"/>
                <w:szCs w:val="26"/>
              </w:rPr>
            </w:pPr>
            <w:r>
              <w:rPr>
                <w:rFonts w:ascii="Rockwell" w:hAnsi="Rockwell"/>
                <w:bCs/>
                <w:szCs w:val="26"/>
              </w:rPr>
              <w:t>2</w:t>
            </w:r>
            <w:r>
              <w:rPr>
                <w:rFonts w:ascii="Rockwell" w:hAnsi="Rockwell"/>
                <w:bCs/>
                <w:szCs w:val="26"/>
                <w:vertAlign w:val="superscript"/>
              </w:rPr>
              <w:t>e</w:t>
            </w:r>
            <w:r>
              <w:rPr>
                <w:rFonts w:ascii="Rockwell" w:hAnsi="Rockwell"/>
                <w:bCs/>
                <w:szCs w:val="26"/>
              </w:rPr>
              <w:t xml:space="preserve"> </w:t>
            </w:r>
          </w:p>
        </w:tc>
        <w:tc>
          <w:tcPr>
            <w:tcW w:w="3094" w:type="dxa"/>
            <w:shd w:val="clear" w:color="auto" w:fill="auto"/>
            <w:tcMar>
              <w:top w:w="0" w:type="dxa"/>
              <w:left w:w="108" w:type="dxa"/>
              <w:bottom w:w="0" w:type="dxa"/>
              <w:right w:w="108" w:type="dxa"/>
            </w:tcMar>
          </w:tcPr>
          <w:p w14:paraId="4EDEF9D7" w14:textId="77777777" w:rsidR="00284822" w:rsidRDefault="00F77BF8">
            <w:pPr>
              <w:spacing w:before="120" w:after="120"/>
              <w:jc w:val="left"/>
              <w:rPr>
                <w:rFonts w:ascii="Rockwell" w:hAnsi="Rockwell"/>
                <w:b/>
                <w:szCs w:val="26"/>
              </w:rPr>
            </w:pPr>
            <w:r>
              <w:rPr>
                <w:rFonts w:ascii="Rockwell" w:hAnsi="Rockwell"/>
                <w:b/>
                <w:szCs w:val="26"/>
              </w:rPr>
              <w:t>MPP</w:t>
            </w:r>
          </w:p>
        </w:tc>
        <w:tc>
          <w:tcPr>
            <w:tcW w:w="1178" w:type="dxa"/>
            <w:shd w:val="clear" w:color="auto" w:fill="auto"/>
            <w:tcMar>
              <w:top w:w="0" w:type="dxa"/>
              <w:left w:w="108" w:type="dxa"/>
              <w:bottom w:w="0" w:type="dxa"/>
              <w:right w:w="108" w:type="dxa"/>
            </w:tcMar>
          </w:tcPr>
          <w:p w14:paraId="5B237D6D" w14:textId="77777777" w:rsidR="00284822" w:rsidRDefault="00F77BF8">
            <w:pPr>
              <w:spacing w:before="120" w:after="120"/>
              <w:jc w:val="center"/>
              <w:rPr>
                <w:rFonts w:ascii="Rockwell" w:hAnsi="Rockwell"/>
                <w:szCs w:val="26"/>
              </w:rPr>
            </w:pPr>
            <w:r>
              <w:rPr>
                <w:rFonts w:ascii="Rockwell" w:hAnsi="Rockwell"/>
                <w:szCs w:val="26"/>
              </w:rPr>
              <w:t>25</w:t>
            </w:r>
          </w:p>
        </w:tc>
        <w:tc>
          <w:tcPr>
            <w:tcW w:w="1620" w:type="dxa"/>
            <w:shd w:val="clear" w:color="auto" w:fill="auto"/>
            <w:tcMar>
              <w:top w:w="0" w:type="dxa"/>
              <w:left w:w="108" w:type="dxa"/>
              <w:bottom w:w="0" w:type="dxa"/>
              <w:right w:w="108" w:type="dxa"/>
            </w:tcMar>
          </w:tcPr>
          <w:p w14:paraId="7B8FB402" w14:textId="77777777" w:rsidR="00284822" w:rsidRDefault="00F77BF8">
            <w:pPr>
              <w:spacing w:before="120" w:after="120"/>
              <w:jc w:val="center"/>
              <w:rPr>
                <w:rFonts w:ascii="Rockwell" w:hAnsi="Rockwell"/>
                <w:szCs w:val="26"/>
              </w:rPr>
            </w:pPr>
            <w:r>
              <w:rPr>
                <w:rFonts w:ascii="Rockwell" w:hAnsi="Rockwell"/>
                <w:szCs w:val="26"/>
              </w:rPr>
              <w:t>22,12%</w:t>
            </w:r>
          </w:p>
        </w:tc>
        <w:tc>
          <w:tcPr>
            <w:tcW w:w="1620" w:type="dxa"/>
            <w:shd w:val="clear" w:color="auto" w:fill="auto"/>
            <w:tcMar>
              <w:top w:w="0" w:type="dxa"/>
              <w:left w:w="108" w:type="dxa"/>
              <w:bottom w:w="0" w:type="dxa"/>
              <w:right w:w="108" w:type="dxa"/>
            </w:tcMar>
          </w:tcPr>
          <w:p w14:paraId="52F9A2C4" w14:textId="77777777" w:rsidR="00284822" w:rsidRDefault="00F77BF8">
            <w:pPr>
              <w:spacing w:before="120" w:after="120"/>
              <w:jc w:val="center"/>
              <w:rPr>
                <w:rFonts w:ascii="Rockwell" w:hAnsi="Rockwell"/>
                <w:szCs w:val="26"/>
              </w:rPr>
            </w:pPr>
            <w:r>
              <w:rPr>
                <w:rFonts w:ascii="Rockwell" w:hAnsi="Rockwell"/>
                <w:szCs w:val="26"/>
              </w:rPr>
              <w:t>61</w:t>
            </w:r>
          </w:p>
        </w:tc>
        <w:tc>
          <w:tcPr>
            <w:tcW w:w="1936" w:type="dxa"/>
            <w:shd w:val="clear" w:color="auto" w:fill="auto"/>
            <w:tcMar>
              <w:top w:w="0" w:type="dxa"/>
              <w:left w:w="108" w:type="dxa"/>
              <w:bottom w:w="0" w:type="dxa"/>
              <w:right w:w="108" w:type="dxa"/>
            </w:tcMar>
          </w:tcPr>
          <w:p w14:paraId="4DE624BA" w14:textId="77777777" w:rsidR="00284822" w:rsidRDefault="00F77BF8">
            <w:pPr>
              <w:spacing w:before="120" w:after="120"/>
              <w:jc w:val="center"/>
              <w:rPr>
                <w:rFonts w:ascii="Rockwell" w:hAnsi="Rockwell"/>
                <w:szCs w:val="26"/>
              </w:rPr>
            </w:pPr>
            <w:r>
              <w:rPr>
                <w:rFonts w:ascii="Rockwell" w:hAnsi="Rockwell"/>
                <w:szCs w:val="26"/>
              </w:rPr>
              <w:t>34,46%</w:t>
            </w:r>
          </w:p>
        </w:tc>
      </w:tr>
      <w:tr w:rsidR="00284822" w14:paraId="7547BE7F" w14:textId="77777777">
        <w:trPr>
          <w:trHeight w:val="83"/>
          <w:jc w:val="center"/>
        </w:trPr>
        <w:tc>
          <w:tcPr>
            <w:tcW w:w="1468" w:type="dxa"/>
            <w:shd w:val="clear" w:color="auto" w:fill="FFFFFF"/>
            <w:noWrap/>
            <w:tcMar>
              <w:top w:w="0" w:type="dxa"/>
              <w:left w:w="108" w:type="dxa"/>
              <w:bottom w:w="0" w:type="dxa"/>
              <w:right w:w="108" w:type="dxa"/>
            </w:tcMar>
          </w:tcPr>
          <w:p w14:paraId="70A73DB4" w14:textId="77777777" w:rsidR="00284822" w:rsidRDefault="00F77BF8">
            <w:pPr>
              <w:spacing w:before="120" w:after="120"/>
              <w:rPr>
                <w:rFonts w:ascii="Rockwell" w:hAnsi="Rockwell"/>
                <w:szCs w:val="26"/>
              </w:rPr>
            </w:pPr>
            <w:r>
              <w:rPr>
                <w:rFonts w:ascii="Rockwell" w:hAnsi="Rockwell"/>
                <w:bCs/>
                <w:szCs w:val="26"/>
              </w:rPr>
              <w:t>3</w:t>
            </w:r>
            <w:r>
              <w:rPr>
                <w:rFonts w:ascii="Rockwell" w:hAnsi="Rockwell"/>
                <w:bCs/>
                <w:szCs w:val="26"/>
                <w:vertAlign w:val="superscript"/>
              </w:rPr>
              <w:t>e</w:t>
            </w:r>
            <w:r>
              <w:rPr>
                <w:rFonts w:ascii="Rockwell" w:hAnsi="Rockwell"/>
                <w:bCs/>
                <w:szCs w:val="26"/>
              </w:rPr>
              <w:t xml:space="preserve"> </w:t>
            </w:r>
          </w:p>
        </w:tc>
        <w:tc>
          <w:tcPr>
            <w:tcW w:w="3094" w:type="dxa"/>
            <w:shd w:val="clear" w:color="auto" w:fill="auto"/>
            <w:tcMar>
              <w:top w:w="0" w:type="dxa"/>
              <w:left w:w="108" w:type="dxa"/>
              <w:bottom w:w="0" w:type="dxa"/>
              <w:right w:w="108" w:type="dxa"/>
            </w:tcMar>
          </w:tcPr>
          <w:p w14:paraId="5AF722AB" w14:textId="77777777" w:rsidR="00284822" w:rsidRDefault="00F77BF8">
            <w:pPr>
              <w:spacing w:before="120" w:after="120"/>
              <w:jc w:val="left"/>
              <w:rPr>
                <w:rFonts w:ascii="Rockwell" w:hAnsi="Rockwell"/>
                <w:b/>
                <w:szCs w:val="26"/>
              </w:rPr>
            </w:pPr>
            <w:r>
              <w:rPr>
                <w:rFonts w:ascii="Rockwell" w:hAnsi="Rockwell"/>
                <w:b/>
                <w:szCs w:val="26"/>
              </w:rPr>
              <w:t>UNIR/MPS</w:t>
            </w:r>
          </w:p>
        </w:tc>
        <w:tc>
          <w:tcPr>
            <w:tcW w:w="1178" w:type="dxa"/>
            <w:shd w:val="clear" w:color="auto" w:fill="auto"/>
            <w:tcMar>
              <w:top w:w="0" w:type="dxa"/>
              <w:left w:w="108" w:type="dxa"/>
              <w:bottom w:w="0" w:type="dxa"/>
              <w:right w:w="108" w:type="dxa"/>
            </w:tcMar>
          </w:tcPr>
          <w:p w14:paraId="55F9D2C3" w14:textId="77777777" w:rsidR="00284822" w:rsidRDefault="00F77BF8">
            <w:pPr>
              <w:spacing w:before="120" w:after="120"/>
              <w:jc w:val="center"/>
              <w:rPr>
                <w:rFonts w:ascii="Rockwell" w:hAnsi="Rockwell"/>
                <w:szCs w:val="26"/>
              </w:rPr>
            </w:pPr>
            <w:r>
              <w:rPr>
                <w:rFonts w:ascii="Rockwell" w:hAnsi="Rockwell"/>
                <w:szCs w:val="26"/>
              </w:rPr>
              <w:t>12</w:t>
            </w:r>
          </w:p>
        </w:tc>
        <w:tc>
          <w:tcPr>
            <w:tcW w:w="1620" w:type="dxa"/>
            <w:shd w:val="clear" w:color="auto" w:fill="auto"/>
            <w:tcMar>
              <w:top w:w="0" w:type="dxa"/>
              <w:left w:w="108" w:type="dxa"/>
              <w:bottom w:w="0" w:type="dxa"/>
              <w:right w:w="108" w:type="dxa"/>
            </w:tcMar>
          </w:tcPr>
          <w:p w14:paraId="6C17581B" w14:textId="77777777" w:rsidR="00284822" w:rsidRDefault="00F77BF8">
            <w:pPr>
              <w:spacing w:before="120" w:after="120"/>
              <w:jc w:val="center"/>
              <w:rPr>
                <w:rFonts w:ascii="Rockwell" w:hAnsi="Rockwell"/>
                <w:szCs w:val="26"/>
              </w:rPr>
            </w:pPr>
            <w:r>
              <w:rPr>
                <w:rFonts w:ascii="Rockwell" w:hAnsi="Rockwell"/>
                <w:szCs w:val="26"/>
              </w:rPr>
              <w:t>10,62%</w:t>
            </w:r>
          </w:p>
        </w:tc>
        <w:tc>
          <w:tcPr>
            <w:tcW w:w="1620" w:type="dxa"/>
            <w:shd w:val="clear" w:color="auto" w:fill="auto"/>
            <w:tcMar>
              <w:top w:w="0" w:type="dxa"/>
              <w:left w:w="108" w:type="dxa"/>
              <w:bottom w:w="0" w:type="dxa"/>
              <w:right w:w="108" w:type="dxa"/>
            </w:tcMar>
          </w:tcPr>
          <w:p w14:paraId="569BF8C5" w14:textId="77777777" w:rsidR="00284822" w:rsidRDefault="00F77BF8">
            <w:pPr>
              <w:spacing w:before="120" w:after="120"/>
              <w:jc w:val="center"/>
              <w:rPr>
                <w:rFonts w:ascii="Rockwell" w:hAnsi="Rockwell"/>
                <w:szCs w:val="26"/>
              </w:rPr>
            </w:pPr>
            <w:r>
              <w:rPr>
                <w:rFonts w:ascii="Rockwell" w:hAnsi="Rockwell"/>
                <w:szCs w:val="26"/>
              </w:rPr>
              <w:t>13</w:t>
            </w:r>
          </w:p>
        </w:tc>
        <w:tc>
          <w:tcPr>
            <w:tcW w:w="1936" w:type="dxa"/>
            <w:shd w:val="clear" w:color="auto" w:fill="auto"/>
            <w:tcMar>
              <w:top w:w="0" w:type="dxa"/>
              <w:left w:w="108" w:type="dxa"/>
              <w:bottom w:w="0" w:type="dxa"/>
              <w:right w:w="108" w:type="dxa"/>
            </w:tcMar>
          </w:tcPr>
          <w:p w14:paraId="38A38C3C" w14:textId="77777777" w:rsidR="00284822" w:rsidRDefault="00F77BF8">
            <w:pPr>
              <w:spacing w:before="120" w:after="120"/>
              <w:jc w:val="center"/>
              <w:rPr>
                <w:rFonts w:ascii="Rockwell" w:hAnsi="Rockwell"/>
                <w:szCs w:val="26"/>
              </w:rPr>
            </w:pPr>
            <w:r>
              <w:rPr>
                <w:rFonts w:ascii="Rockwell" w:hAnsi="Rockwell"/>
                <w:szCs w:val="26"/>
              </w:rPr>
              <w:t>7,34%</w:t>
            </w:r>
          </w:p>
        </w:tc>
      </w:tr>
      <w:tr w:rsidR="00284822" w14:paraId="52086B88" w14:textId="77777777">
        <w:trPr>
          <w:trHeight w:val="83"/>
          <w:jc w:val="center"/>
        </w:trPr>
        <w:tc>
          <w:tcPr>
            <w:tcW w:w="1468" w:type="dxa"/>
            <w:shd w:val="clear" w:color="auto" w:fill="FFFFFF"/>
            <w:noWrap/>
            <w:tcMar>
              <w:top w:w="0" w:type="dxa"/>
              <w:left w:w="108" w:type="dxa"/>
              <w:bottom w:w="0" w:type="dxa"/>
              <w:right w:w="108" w:type="dxa"/>
            </w:tcMar>
          </w:tcPr>
          <w:p w14:paraId="5C641322" w14:textId="77777777" w:rsidR="00284822" w:rsidRDefault="00F77BF8">
            <w:pPr>
              <w:spacing w:before="120" w:after="120"/>
              <w:rPr>
                <w:rFonts w:ascii="Rockwell" w:hAnsi="Rockwell"/>
                <w:szCs w:val="26"/>
              </w:rPr>
            </w:pPr>
            <w:r>
              <w:rPr>
                <w:rFonts w:ascii="Rockwell" w:hAnsi="Rockwell"/>
                <w:bCs/>
                <w:szCs w:val="26"/>
              </w:rPr>
              <w:t>3</w:t>
            </w:r>
            <w:r>
              <w:rPr>
                <w:rFonts w:ascii="Rockwell" w:hAnsi="Rockwell"/>
                <w:bCs/>
                <w:szCs w:val="26"/>
                <w:vertAlign w:val="superscript"/>
              </w:rPr>
              <w:t>e</w:t>
            </w:r>
            <w:r>
              <w:rPr>
                <w:rFonts w:ascii="Rockwell" w:hAnsi="Rockwell"/>
                <w:bCs/>
                <w:szCs w:val="26"/>
              </w:rPr>
              <w:t xml:space="preserve"> ex</w:t>
            </w:r>
          </w:p>
        </w:tc>
        <w:tc>
          <w:tcPr>
            <w:tcW w:w="3094" w:type="dxa"/>
            <w:shd w:val="clear" w:color="auto" w:fill="auto"/>
            <w:tcMar>
              <w:top w:w="0" w:type="dxa"/>
              <w:left w:w="108" w:type="dxa"/>
              <w:bottom w:w="0" w:type="dxa"/>
              <w:right w:w="108" w:type="dxa"/>
            </w:tcMar>
          </w:tcPr>
          <w:p w14:paraId="063EE914" w14:textId="77777777" w:rsidR="00284822" w:rsidRDefault="00F77BF8">
            <w:pPr>
              <w:spacing w:before="120" w:after="120"/>
              <w:jc w:val="left"/>
              <w:rPr>
                <w:rFonts w:ascii="Rockwell" w:hAnsi="Rockwell"/>
                <w:b/>
                <w:szCs w:val="26"/>
              </w:rPr>
            </w:pPr>
            <w:r>
              <w:rPr>
                <w:rFonts w:ascii="Rockwell" w:hAnsi="Rockwell"/>
                <w:b/>
                <w:szCs w:val="26"/>
              </w:rPr>
              <w:t>UPC</w:t>
            </w:r>
          </w:p>
        </w:tc>
        <w:tc>
          <w:tcPr>
            <w:tcW w:w="1178" w:type="dxa"/>
            <w:shd w:val="clear" w:color="auto" w:fill="auto"/>
            <w:tcMar>
              <w:top w:w="0" w:type="dxa"/>
              <w:left w:w="108" w:type="dxa"/>
              <w:bottom w:w="0" w:type="dxa"/>
              <w:right w:w="108" w:type="dxa"/>
            </w:tcMar>
          </w:tcPr>
          <w:p w14:paraId="3680630E" w14:textId="77777777" w:rsidR="00284822" w:rsidRDefault="00F77BF8">
            <w:pPr>
              <w:spacing w:before="120" w:after="120"/>
              <w:jc w:val="center"/>
              <w:rPr>
                <w:rFonts w:ascii="Rockwell" w:hAnsi="Rockwell"/>
                <w:szCs w:val="26"/>
              </w:rPr>
            </w:pPr>
            <w:r>
              <w:rPr>
                <w:rFonts w:ascii="Rockwell" w:hAnsi="Rockwell"/>
                <w:szCs w:val="26"/>
              </w:rPr>
              <w:t>12</w:t>
            </w:r>
          </w:p>
        </w:tc>
        <w:tc>
          <w:tcPr>
            <w:tcW w:w="1620" w:type="dxa"/>
            <w:shd w:val="clear" w:color="auto" w:fill="auto"/>
            <w:tcMar>
              <w:top w:w="0" w:type="dxa"/>
              <w:left w:w="108" w:type="dxa"/>
              <w:bottom w:w="0" w:type="dxa"/>
              <w:right w:w="108" w:type="dxa"/>
            </w:tcMar>
          </w:tcPr>
          <w:p w14:paraId="7664F22A" w14:textId="77777777" w:rsidR="00284822" w:rsidRDefault="00F77BF8">
            <w:pPr>
              <w:spacing w:before="120" w:after="120"/>
              <w:jc w:val="center"/>
              <w:rPr>
                <w:rFonts w:ascii="Rockwell" w:hAnsi="Rockwell"/>
                <w:szCs w:val="26"/>
              </w:rPr>
            </w:pPr>
            <w:r>
              <w:rPr>
                <w:rFonts w:ascii="Rockwell" w:hAnsi="Rockwell"/>
                <w:szCs w:val="26"/>
              </w:rPr>
              <w:t>10,62%</w:t>
            </w:r>
          </w:p>
        </w:tc>
        <w:tc>
          <w:tcPr>
            <w:tcW w:w="1620" w:type="dxa"/>
            <w:shd w:val="clear" w:color="auto" w:fill="auto"/>
            <w:tcMar>
              <w:top w:w="0" w:type="dxa"/>
              <w:left w:w="108" w:type="dxa"/>
              <w:bottom w:w="0" w:type="dxa"/>
              <w:right w:w="108" w:type="dxa"/>
            </w:tcMar>
          </w:tcPr>
          <w:p w14:paraId="19AB2C8C" w14:textId="77777777" w:rsidR="00284822" w:rsidRDefault="00F77BF8">
            <w:pPr>
              <w:spacing w:before="120" w:after="120"/>
              <w:jc w:val="center"/>
              <w:rPr>
                <w:rFonts w:ascii="Rockwell" w:hAnsi="Rockwell"/>
                <w:szCs w:val="26"/>
              </w:rPr>
            </w:pPr>
            <w:r>
              <w:rPr>
                <w:rFonts w:ascii="Rockwell" w:hAnsi="Rockwell"/>
                <w:szCs w:val="26"/>
              </w:rPr>
              <w:t>13</w:t>
            </w:r>
          </w:p>
        </w:tc>
        <w:tc>
          <w:tcPr>
            <w:tcW w:w="1936" w:type="dxa"/>
            <w:shd w:val="clear" w:color="auto" w:fill="auto"/>
            <w:tcMar>
              <w:top w:w="0" w:type="dxa"/>
              <w:left w:w="108" w:type="dxa"/>
              <w:bottom w:w="0" w:type="dxa"/>
              <w:right w:w="108" w:type="dxa"/>
            </w:tcMar>
          </w:tcPr>
          <w:p w14:paraId="56D8B0EE" w14:textId="77777777" w:rsidR="00284822" w:rsidRDefault="00F77BF8">
            <w:pPr>
              <w:spacing w:before="120" w:after="120"/>
              <w:jc w:val="center"/>
              <w:rPr>
                <w:rFonts w:ascii="Rockwell" w:hAnsi="Rockwell"/>
                <w:szCs w:val="26"/>
              </w:rPr>
            </w:pPr>
            <w:r>
              <w:rPr>
                <w:rFonts w:ascii="Rockwell" w:hAnsi="Rockwell"/>
                <w:szCs w:val="26"/>
              </w:rPr>
              <w:t>7,34%</w:t>
            </w:r>
          </w:p>
        </w:tc>
      </w:tr>
      <w:tr w:rsidR="00284822" w14:paraId="5F933EEE" w14:textId="77777777">
        <w:trPr>
          <w:trHeight w:val="83"/>
          <w:jc w:val="center"/>
        </w:trPr>
        <w:tc>
          <w:tcPr>
            <w:tcW w:w="1468" w:type="dxa"/>
            <w:shd w:val="clear" w:color="auto" w:fill="FFFFFF"/>
            <w:noWrap/>
            <w:tcMar>
              <w:top w:w="0" w:type="dxa"/>
              <w:left w:w="108" w:type="dxa"/>
              <w:bottom w:w="0" w:type="dxa"/>
              <w:right w:w="108" w:type="dxa"/>
            </w:tcMar>
          </w:tcPr>
          <w:p w14:paraId="28122EC7" w14:textId="77777777" w:rsidR="00284822" w:rsidRDefault="00F77BF8">
            <w:pPr>
              <w:spacing w:before="120" w:after="120"/>
              <w:rPr>
                <w:rFonts w:ascii="Rockwell" w:hAnsi="Rockwell"/>
                <w:szCs w:val="26"/>
              </w:rPr>
            </w:pPr>
            <w:r>
              <w:rPr>
                <w:rFonts w:ascii="Rockwell" w:hAnsi="Rockwell"/>
                <w:bCs/>
                <w:szCs w:val="26"/>
              </w:rPr>
              <w:t>5</w:t>
            </w:r>
            <w:r>
              <w:rPr>
                <w:rFonts w:ascii="Rockwell" w:hAnsi="Rockwell"/>
                <w:bCs/>
                <w:szCs w:val="26"/>
                <w:vertAlign w:val="superscript"/>
              </w:rPr>
              <w:t>e</w:t>
            </w:r>
          </w:p>
        </w:tc>
        <w:tc>
          <w:tcPr>
            <w:tcW w:w="3094" w:type="dxa"/>
            <w:shd w:val="clear" w:color="auto" w:fill="auto"/>
            <w:tcMar>
              <w:top w:w="0" w:type="dxa"/>
              <w:left w:w="108" w:type="dxa"/>
              <w:bottom w:w="0" w:type="dxa"/>
              <w:right w:w="108" w:type="dxa"/>
            </w:tcMar>
          </w:tcPr>
          <w:p w14:paraId="5C99511F" w14:textId="77777777" w:rsidR="00284822" w:rsidRDefault="00F77BF8">
            <w:pPr>
              <w:spacing w:before="120" w:after="120"/>
              <w:jc w:val="left"/>
              <w:rPr>
                <w:rFonts w:ascii="Rockwell" w:hAnsi="Rockwell"/>
                <w:b/>
                <w:szCs w:val="26"/>
              </w:rPr>
            </w:pPr>
            <w:r>
              <w:rPr>
                <w:rFonts w:ascii="Rockwell" w:hAnsi="Rockwell"/>
                <w:b/>
                <w:szCs w:val="26"/>
              </w:rPr>
              <w:t>PPS</w:t>
            </w:r>
          </w:p>
        </w:tc>
        <w:tc>
          <w:tcPr>
            <w:tcW w:w="1178" w:type="dxa"/>
            <w:shd w:val="clear" w:color="auto" w:fill="auto"/>
            <w:tcMar>
              <w:top w:w="0" w:type="dxa"/>
              <w:left w:w="108" w:type="dxa"/>
              <w:bottom w:w="0" w:type="dxa"/>
              <w:right w:w="108" w:type="dxa"/>
            </w:tcMar>
          </w:tcPr>
          <w:p w14:paraId="00CA0162" w14:textId="77777777" w:rsidR="00284822" w:rsidRDefault="00F77BF8">
            <w:pPr>
              <w:spacing w:before="120" w:after="120"/>
              <w:jc w:val="center"/>
              <w:rPr>
                <w:rFonts w:ascii="Rockwell" w:hAnsi="Rockwell"/>
                <w:szCs w:val="26"/>
              </w:rPr>
            </w:pPr>
            <w:r>
              <w:rPr>
                <w:rFonts w:ascii="Rockwell" w:hAnsi="Rockwell"/>
                <w:szCs w:val="26"/>
              </w:rPr>
              <w:t>7</w:t>
            </w:r>
          </w:p>
        </w:tc>
        <w:tc>
          <w:tcPr>
            <w:tcW w:w="1620" w:type="dxa"/>
            <w:shd w:val="clear" w:color="auto" w:fill="auto"/>
            <w:tcMar>
              <w:top w:w="0" w:type="dxa"/>
              <w:left w:w="108" w:type="dxa"/>
              <w:bottom w:w="0" w:type="dxa"/>
              <w:right w:w="108" w:type="dxa"/>
            </w:tcMar>
          </w:tcPr>
          <w:p w14:paraId="60A3CE63" w14:textId="77777777" w:rsidR="00284822" w:rsidRDefault="00F77BF8">
            <w:pPr>
              <w:spacing w:before="120" w:after="120"/>
              <w:jc w:val="center"/>
              <w:rPr>
                <w:rFonts w:ascii="Rockwell" w:hAnsi="Rockwell"/>
                <w:szCs w:val="26"/>
              </w:rPr>
            </w:pPr>
            <w:r>
              <w:rPr>
                <w:rFonts w:ascii="Rockwell" w:hAnsi="Rockwell"/>
                <w:szCs w:val="26"/>
              </w:rPr>
              <w:t>6,19%</w:t>
            </w:r>
          </w:p>
        </w:tc>
        <w:tc>
          <w:tcPr>
            <w:tcW w:w="1620" w:type="dxa"/>
            <w:shd w:val="clear" w:color="auto" w:fill="auto"/>
            <w:tcMar>
              <w:top w:w="0" w:type="dxa"/>
              <w:left w:w="108" w:type="dxa"/>
              <w:bottom w:w="0" w:type="dxa"/>
              <w:right w:w="108" w:type="dxa"/>
            </w:tcMar>
          </w:tcPr>
          <w:p w14:paraId="0731983E" w14:textId="77777777" w:rsidR="00284822" w:rsidRDefault="00F77BF8">
            <w:pPr>
              <w:spacing w:before="120" w:after="120"/>
              <w:jc w:val="center"/>
              <w:rPr>
                <w:rFonts w:ascii="Rockwell" w:hAnsi="Rockwell"/>
                <w:szCs w:val="26"/>
              </w:rPr>
            </w:pPr>
            <w:r>
              <w:rPr>
                <w:rFonts w:ascii="Rockwell" w:hAnsi="Rockwell"/>
                <w:szCs w:val="26"/>
              </w:rPr>
              <w:t>10</w:t>
            </w:r>
          </w:p>
        </w:tc>
        <w:tc>
          <w:tcPr>
            <w:tcW w:w="1936" w:type="dxa"/>
            <w:shd w:val="clear" w:color="auto" w:fill="auto"/>
            <w:tcMar>
              <w:top w:w="0" w:type="dxa"/>
              <w:left w:w="108" w:type="dxa"/>
              <w:bottom w:w="0" w:type="dxa"/>
              <w:right w:w="108" w:type="dxa"/>
            </w:tcMar>
          </w:tcPr>
          <w:p w14:paraId="14AA2D29" w14:textId="77777777" w:rsidR="00284822" w:rsidRDefault="00F77BF8">
            <w:pPr>
              <w:spacing w:before="120" w:after="120"/>
              <w:jc w:val="center"/>
              <w:rPr>
                <w:rFonts w:ascii="Rockwell" w:hAnsi="Rockwell"/>
                <w:szCs w:val="26"/>
              </w:rPr>
            </w:pPr>
            <w:r>
              <w:rPr>
                <w:rFonts w:ascii="Rockwell" w:hAnsi="Rockwell"/>
                <w:szCs w:val="26"/>
              </w:rPr>
              <w:t>5,65%</w:t>
            </w:r>
          </w:p>
        </w:tc>
      </w:tr>
      <w:tr w:rsidR="00284822" w14:paraId="15D4CE49" w14:textId="77777777">
        <w:trPr>
          <w:trHeight w:val="83"/>
          <w:jc w:val="center"/>
        </w:trPr>
        <w:tc>
          <w:tcPr>
            <w:tcW w:w="1468" w:type="dxa"/>
            <w:shd w:val="clear" w:color="auto" w:fill="FFFFFF"/>
            <w:noWrap/>
            <w:tcMar>
              <w:top w:w="0" w:type="dxa"/>
              <w:left w:w="108" w:type="dxa"/>
              <w:bottom w:w="0" w:type="dxa"/>
              <w:right w:w="108" w:type="dxa"/>
            </w:tcMar>
          </w:tcPr>
          <w:p w14:paraId="2EE223C7" w14:textId="77777777" w:rsidR="00284822" w:rsidRDefault="00F77BF8">
            <w:pPr>
              <w:spacing w:before="120" w:after="120"/>
              <w:rPr>
                <w:rFonts w:ascii="Rockwell" w:hAnsi="Rockwell"/>
                <w:szCs w:val="26"/>
              </w:rPr>
            </w:pPr>
            <w:r>
              <w:rPr>
                <w:rFonts w:ascii="Rockwell" w:hAnsi="Rockwell"/>
                <w:bCs/>
                <w:szCs w:val="26"/>
              </w:rPr>
              <w:t>6</w:t>
            </w:r>
            <w:r>
              <w:rPr>
                <w:rFonts w:ascii="Rockwell" w:hAnsi="Rockwell"/>
                <w:bCs/>
                <w:szCs w:val="26"/>
                <w:vertAlign w:val="superscript"/>
              </w:rPr>
              <w:t>e</w:t>
            </w:r>
            <w:r>
              <w:rPr>
                <w:rFonts w:ascii="Rockwell" w:hAnsi="Rockwell"/>
                <w:bCs/>
                <w:szCs w:val="26"/>
              </w:rPr>
              <w:t xml:space="preserve"> </w:t>
            </w:r>
          </w:p>
        </w:tc>
        <w:tc>
          <w:tcPr>
            <w:tcW w:w="3094" w:type="dxa"/>
            <w:shd w:val="clear" w:color="auto" w:fill="auto"/>
            <w:tcMar>
              <w:top w:w="0" w:type="dxa"/>
              <w:left w:w="108" w:type="dxa"/>
              <w:bottom w:w="0" w:type="dxa"/>
              <w:right w:w="108" w:type="dxa"/>
            </w:tcMar>
          </w:tcPr>
          <w:p w14:paraId="348351AD" w14:textId="77777777" w:rsidR="00284822" w:rsidRDefault="00F77BF8">
            <w:pPr>
              <w:spacing w:before="120" w:after="120"/>
              <w:jc w:val="left"/>
              <w:rPr>
                <w:rFonts w:ascii="Rockwell" w:hAnsi="Rockwell"/>
                <w:b/>
                <w:szCs w:val="26"/>
              </w:rPr>
            </w:pPr>
            <w:r>
              <w:rPr>
                <w:rFonts w:ascii="Rockwell" w:hAnsi="Rockwell"/>
                <w:b/>
                <w:szCs w:val="26"/>
              </w:rPr>
              <w:t>LE FASO AUTREMENT</w:t>
            </w:r>
          </w:p>
        </w:tc>
        <w:tc>
          <w:tcPr>
            <w:tcW w:w="1178" w:type="dxa"/>
            <w:shd w:val="clear" w:color="auto" w:fill="auto"/>
            <w:tcMar>
              <w:top w:w="0" w:type="dxa"/>
              <w:left w:w="108" w:type="dxa"/>
              <w:bottom w:w="0" w:type="dxa"/>
              <w:right w:w="108" w:type="dxa"/>
            </w:tcMar>
          </w:tcPr>
          <w:p w14:paraId="2CE11F28" w14:textId="77777777" w:rsidR="00284822" w:rsidRDefault="00F77BF8">
            <w:pPr>
              <w:spacing w:before="120" w:after="120"/>
              <w:jc w:val="center"/>
              <w:rPr>
                <w:rFonts w:ascii="Rockwell" w:hAnsi="Rockwell"/>
                <w:szCs w:val="26"/>
              </w:rPr>
            </w:pPr>
            <w:r>
              <w:rPr>
                <w:rFonts w:ascii="Rockwell" w:hAnsi="Rockwell"/>
                <w:szCs w:val="26"/>
              </w:rPr>
              <w:t>5</w:t>
            </w:r>
          </w:p>
        </w:tc>
        <w:tc>
          <w:tcPr>
            <w:tcW w:w="1620" w:type="dxa"/>
            <w:shd w:val="clear" w:color="auto" w:fill="auto"/>
            <w:tcMar>
              <w:top w:w="0" w:type="dxa"/>
              <w:left w:w="108" w:type="dxa"/>
              <w:bottom w:w="0" w:type="dxa"/>
              <w:right w:w="108" w:type="dxa"/>
            </w:tcMar>
          </w:tcPr>
          <w:p w14:paraId="53751C0B" w14:textId="77777777" w:rsidR="00284822" w:rsidRDefault="00F77BF8">
            <w:pPr>
              <w:spacing w:before="120" w:after="120"/>
              <w:jc w:val="center"/>
              <w:rPr>
                <w:rFonts w:ascii="Rockwell" w:hAnsi="Rockwell"/>
                <w:szCs w:val="26"/>
              </w:rPr>
            </w:pPr>
            <w:r>
              <w:rPr>
                <w:rFonts w:ascii="Rockwell" w:hAnsi="Rockwell"/>
                <w:szCs w:val="26"/>
              </w:rPr>
              <w:t>4,42%</w:t>
            </w:r>
          </w:p>
        </w:tc>
        <w:tc>
          <w:tcPr>
            <w:tcW w:w="1620" w:type="dxa"/>
            <w:shd w:val="clear" w:color="auto" w:fill="auto"/>
            <w:tcMar>
              <w:top w:w="0" w:type="dxa"/>
              <w:left w:w="108" w:type="dxa"/>
              <w:bottom w:w="0" w:type="dxa"/>
              <w:right w:w="108" w:type="dxa"/>
            </w:tcMar>
          </w:tcPr>
          <w:p w14:paraId="4EC1BC05" w14:textId="77777777" w:rsidR="00284822" w:rsidRDefault="00F77BF8">
            <w:pPr>
              <w:spacing w:before="120" w:after="120"/>
              <w:jc w:val="center"/>
              <w:rPr>
                <w:rFonts w:ascii="Rockwell" w:hAnsi="Rockwell"/>
                <w:szCs w:val="26"/>
              </w:rPr>
            </w:pPr>
            <w:r>
              <w:rPr>
                <w:rFonts w:ascii="Rockwell" w:hAnsi="Rockwell"/>
                <w:szCs w:val="26"/>
              </w:rPr>
              <w:t>6</w:t>
            </w:r>
          </w:p>
        </w:tc>
        <w:tc>
          <w:tcPr>
            <w:tcW w:w="1936" w:type="dxa"/>
            <w:shd w:val="clear" w:color="auto" w:fill="auto"/>
            <w:tcMar>
              <w:top w:w="0" w:type="dxa"/>
              <w:left w:w="108" w:type="dxa"/>
              <w:bottom w:w="0" w:type="dxa"/>
              <w:right w:w="108" w:type="dxa"/>
            </w:tcMar>
          </w:tcPr>
          <w:p w14:paraId="7956E67A" w14:textId="77777777" w:rsidR="00284822" w:rsidRDefault="00F77BF8">
            <w:pPr>
              <w:spacing w:before="120" w:after="120"/>
              <w:jc w:val="center"/>
              <w:rPr>
                <w:rFonts w:ascii="Rockwell" w:hAnsi="Rockwell"/>
                <w:szCs w:val="26"/>
              </w:rPr>
            </w:pPr>
            <w:r>
              <w:rPr>
                <w:rFonts w:ascii="Rockwell" w:hAnsi="Rockwell"/>
                <w:szCs w:val="26"/>
              </w:rPr>
              <w:t>3,39%</w:t>
            </w:r>
          </w:p>
        </w:tc>
      </w:tr>
      <w:tr w:rsidR="00284822" w14:paraId="45F19303" w14:textId="77777777">
        <w:trPr>
          <w:trHeight w:val="83"/>
          <w:jc w:val="center"/>
        </w:trPr>
        <w:tc>
          <w:tcPr>
            <w:tcW w:w="1468" w:type="dxa"/>
            <w:shd w:val="clear" w:color="auto" w:fill="FFFFFF"/>
            <w:noWrap/>
            <w:tcMar>
              <w:top w:w="0" w:type="dxa"/>
              <w:left w:w="108" w:type="dxa"/>
              <w:bottom w:w="0" w:type="dxa"/>
              <w:right w:w="108" w:type="dxa"/>
            </w:tcMar>
          </w:tcPr>
          <w:p w14:paraId="1FFA72A8" w14:textId="77777777" w:rsidR="00284822" w:rsidRDefault="00F77BF8">
            <w:pPr>
              <w:spacing w:before="120" w:after="120"/>
              <w:rPr>
                <w:rFonts w:ascii="Rockwell" w:hAnsi="Rockwell"/>
                <w:szCs w:val="26"/>
              </w:rPr>
            </w:pPr>
            <w:r>
              <w:rPr>
                <w:rFonts w:ascii="Rockwell" w:hAnsi="Rockwell"/>
                <w:bCs/>
                <w:szCs w:val="26"/>
              </w:rPr>
              <w:t>6</w:t>
            </w:r>
            <w:r>
              <w:rPr>
                <w:rFonts w:ascii="Rockwell" w:hAnsi="Rockwell"/>
                <w:bCs/>
                <w:szCs w:val="26"/>
                <w:vertAlign w:val="superscript"/>
              </w:rPr>
              <w:t>e</w:t>
            </w:r>
            <w:r>
              <w:rPr>
                <w:rFonts w:ascii="Rockwell" w:hAnsi="Rockwell"/>
                <w:bCs/>
                <w:szCs w:val="26"/>
              </w:rPr>
              <w:t xml:space="preserve"> ex</w:t>
            </w:r>
          </w:p>
        </w:tc>
        <w:tc>
          <w:tcPr>
            <w:tcW w:w="3094" w:type="dxa"/>
            <w:shd w:val="clear" w:color="auto" w:fill="auto"/>
            <w:tcMar>
              <w:top w:w="0" w:type="dxa"/>
              <w:left w:w="108" w:type="dxa"/>
              <w:bottom w:w="0" w:type="dxa"/>
              <w:right w:w="108" w:type="dxa"/>
            </w:tcMar>
          </w:tcPr>
          <w:p w14:paraId="660D49FB" w14:textId="77777777" w:rsidR="00284822" w:rsidRDefault="00F77BF8">
            <w:pPr>
              <w:spacing w:before="120" w:after="120"/>
              <w:jc w:val="left"/>
              <w:rPr>
                <w:rFonts w:ascii="Rockwell" w:hAnsi="Rockwell"/>
                <w:b/>
                <w:szCs w:val="26"/>
              </w:rPr>
            </w:pPr>
            <w:r>
              <w:rPr>
                <w:rFonts w:ascii="Rockwell" w:hAnsi="Rockwell"/>
                <w:b/>
                <w:szCs w:val="26"/>
              </w:rPr>
              <w:t>MRB</w:t>
            </w:r>
          </w:p>
        </w:tc>
        <w:tc>
          <w:tcPr>
            <w:tcW w:w="1178" w:type="dxa"/>
            <w:shd w:val="clear" w:color="auto" w:fill="auto"/>
            <w:tcMar>
              <w:top w:w="0" w:type="dxa"/>
              <w:left w:w="108" w:type="dxa"/>
              <w:bottom w:w="0" w:type="dxa"/>
              <w:right w:w="108" w:type="dxa"/>
            </w:tcMar>
          </w:tcPr>
          <w:p w14:paraId="26DC0FCE" w14:textId="77777777" w:rsidR="00284822" w:rsidRDefault="00F77BF8">
            <w:pPr>
              <w:spacing w:before="120" w:after="120"/>
              <w:jc w:val="center"/>
              <w:rPr>
                <w:rFonts w:ascii="Rockwell" w:hAnsi="Rockwell"/>
                <w:szCs w:val="26"/>
              </w:rPr>
            </w:pPr>
            <w:r>
              <w:rPr>
                <w:rFonts w:ascii="Rockwell" w:hAnsi="Rockwell"/>
                <w:szCs w:val="26"/>
              </w:rPr>
              <w:t>5</w:t>
            </w:r>
          </w:p>
        </w:tc>
        <w:tc>
          <w:tcPr>
            <w:tcW w:w="1620" w:type="dxa"/>
            <w:shd w:val="clear" w:color="auto" w:fill="auto"/>
            <w:tcMar>
              <w:top w:w="0" w:type="dxa"/>
              <w:left w:w="108" w:type="dxa"/>
              <w:bottom w:w="0" w:type="dxa"/>
              <w:right w:w="108" w:type="dxa"/>
            </w:tcMar>
          </w:tcPr>
          <w:p w14:paraId="635721B5" w14:textId="77777777" w:rsidR="00284822" w:rsidRDefault="00F77BF8">
            <w:pPr>
              <w:spacing w:before="120" w:after="120"/>
              <w:jc w:val="center"/>
              <w:rPr>
                <w:rFonts w:ascii="Rockwell" w:hAnsi="Rockwell"/>
                <w:szCs w:val="26"/>
              </w:rPr>
            </w:pPr>
            <w:r>
              <w:rPr>
                <w:rFonts w:ascii="Rockwell" w:hAnsi="Rockwell"/>
                <w:szCs w:val="26"/>
              </w:rPr>
              <w:t>4,42%</w:t>
            </w:r>
          </w:p>
        </w:tc>
        <w:tc>
          <w:tcPr>
            <w:tcW w:w="1620" w:type="dxa"/>
            <w:shd w:val="clear" w:color="auto" w:fill="auto"/>
            <w:tcMar>
              <w:top w:w="0" w:type="dxa"/>
              <w:left w:w="108" w:type="dxa"/>
              <w:bottom w:w="0" w:type="dxa"/>
              <w:right w:w="108" w:type="dxa"/>
            </w:tcMar>
          </w:tcPr>
          <w:p w14:paraId="20B50EB9" w14:textId="77777777" w:rsidR="00284822" w:rsidRDefault="00F77BF8">
            <w:pPr>
              <w:spacing w:before="120" w:after="120"/>
              <w:jc w:val="center"/>
              <w:rPr>
                <w:rFonts w:ascii="Rockwell" w:hAnsi="Rockwell"/>
                <w:szCs w:val="26"/>
              </w:rPr>
            </w:pPr>
            <w:r>
              <w:rPr>
                <w:rFonts w:ascii="Rockwell" w:hAnsi="Rockwell"/>
                <w:szCs w:val="26"/>
              </w:rPr>
              <w:t>6</w:t>
            </w:r>
          </w:p>
        </w:tc>
        <w:tc>
          <w:tcPr>
            <w:tcW w:w="1936" w:type="dxa"/>
            <w:shd w:val="clear" w:color="auto" w:fill="auto"/>
            <w:tcMar>
              <w:top w:w="0" w:type="dxa"/>
              <w:left w:w="108" w:type="dxa"/>
              <w:bottom w:w="0" w:type="dxa"/>
              <w:right w:w="108" w:type="dxa"/>
            </w:tcMar>
          </w:tcPr>
          <w:p w14:paraId="5D028D3F" w14:textId="77777777" w:rsidR="00284822" w:rsidRDefault="00F77BF8">
            <w:pPr>
              <w:spacing w:before="120" w:after="120"/>
              <w:jc w:val="center"/>
              <w:rPr>
                <w:rFonts w:ascii="Rockwell" w:hAnsi="Rockwell"/>
                <w:szCs w:val="26"/>
              </w:rPr>
            </w:pPr>
            <w:r>
              <w:rPr>
                <w:rFonts w:ascii="Rockwell" w:hAnsi="Rockwell"/>
                <w:szCs w:val="26"/>
              </w:rPr>
              <w:t>3,39%</w:t>
            </w:r>
          </w:p>
        </w:tc>
      </w:tr>
      <w:tr w:rsidR="00284822" w14:paraId="15E9EDCC" w14:textId="77777777">
        <w:trPr>
          <w:trHeight w:val="83"/>
          <w:jc w:val="center"/>
        </w:trPr>
        <w:tc>
          <w:tcPr>
            <w:tcW w:w="1468" w:type="dxa"/>
            <w:shd w:val="clear" w:color="auto" w:fill="FFFFFF"/>
            <w:noWrap/>
            <w:tcMar>
              <w:top w:w="0" w:type="dxa"/>
              <w:left w:w="108" w:type="dxa"/>
              <w:bottom w:w="0" w:type="dxa"/>
              <w:right w:w="108" w:type="dxa"/>
            </w:tcMar>
          </w:tcPr>
          <w:p w14:paraId="5FA1ADDC" w14:textId="77777777" w:rsidR="00284822" w:rsidRDefault="00F77BF8">
            <w:pPr>
              <w:spacing w:before="120" w:after="120"/>
              <w:rPr>
                <w:rFonts w:ascii="Rockwell" w:hAnsi="Rockwell"/>
                <w:szCs w:val="26"/>
              </w:rPr>
            </w:pPr>
            <w:r>
              <w:rPr>
                <w:rFonts w:ascii="Rockwell" w:hAnsi="Rockwell"/>
                <w:bCs/>
                <w:szCs w:val="26"/>
              </w:rPr>
              <w:t>8</w:t>
            </w:r>
            <w:r>
              <w:rPr>
                <w:rFonts w:ascii="Rockwell" w:hAnsi="Rockwell"/>
                <w:bCs/>
                <w:szCs w:val="26"/>
                <w:vertAlign w:val="superscript"/>
              </w:rPr>
              <w:t xml:space="preserve">e </w:t>
            </w:r>
          </w:p>
        </w:tc>
        <w:tc>
          <w:tcPr>
            <w:tcW w:w="3094" w:type="dxa"/>
            <w:shd w:val="clear" w:color="auto" w:fill="auto"/>
            <w:tcMar>
              <w:top w:w="0" w:type="dxa"/>
              <w:left w:w="108" w:type="dxa"/>
              <w:bottom w:w="0" w:type="dxa"/>
              <w:right w:w="108" w:type="dxa"/>
            </w:tcMar>
          </w:tcPr>
          <w:p w14:paraId="5897AD9B" w14:textId="77777777" w:rsidR="00284822" w:rsidRDefault="00F77BF8">
            <w:pPr>
              <w:spacing w:before="120" w:after="120"/>
              <w:jc w:val="left"/>
              <w:rPr>
                <w:rFonts w:ascii="Rockwell" w:hAnsi="Rockwell"/>
                <w:b/>
                <w:szCs w:val="26"/>
              </w:rPr>
            </w:pPr>
            <w:r>
              <w:rPr>
                <w:rFonts w:ascii="Rockwell" w:hAnsi="Rockwell"/>
                <w:b/>
                <w:szCs w:val="26"/>
              </w:rPr>
              <w:t>ADF/RDA</w:t>
            </w:r>
          </w:p>
        </w:tc>
        <w:tc>
          <w:tcPr>
            <w:tcW w:w="1178" w:type="dxa"/>
            <w:shd w:val="clear" w:color="auto" w:fill="auto"/>
            <w:tcMar>
              <w:top w:w="0" w:type="dxa"/>
              <w:left w:w="108" w:type="dxa"/>
              <w:bottom w:w="0" w:type="dxa"/>
              <w:right w:w="108" w:type="dxa"/>
            </w:tcMar>
          </w:tcPr>
          <w:p w14:paraId="4DEC0799" w14:textId="77777777" w:rsidR="00284822" w:rsidRDefault="00F77BF8">
            <w:pPr>
              <w:spacing w:before="120" w:after="120"/>
              <w:jc w:val="center"/>
              <w:rPr>
                <w:rFonts w:ascii="Rockwell" w:hAnsi="Rockwell"/>
                <w:szCs w:val="26"/>
              </w:rPr>
            </w:pPr>
            <w:r>
              <w:rPr>
                <w:rFonts w:ascii="Rockwell" w:hAnsi="Rockwell"/>
                <w:szCs w:val="26"/>
              </w:rPr>
              <w:t>3</w:t>
            </w:r>
          </w:p>
        </w:tc>
        <w:tc>
          <w:tcPr>
            <w:tcW w:w="1620" w:type="dxa"/>
            <w:shd w:val="clear" w:color="auto" w:fill="auto"/>
            <w:tcMar>
              <w:top w:w="0" w:type="dxa"/>
              <w:left w:w="108" w:type="dxa"/>
              <w:bottom w:w="0" w:type="dxa"/>
              <w:right w:w="108" w:type="dxa"/>
            </w:tcMar>
          </w:tcPr>
          <w:p w14:paraId="72EC4ED2" w14:textId="77777777" w:rsidR="00284822" w:rsidRDefault="00F77BF8">
            <w:pPr>
              <w:spacing w:before="120" w:after="120"/>
              <w:jc w:val="center"/>
              <w:rPr>
                <w:rFonts w:ascii="Rockwell" w:hAnsi="Rockwell"/>
                <w:szCs w:val="26"/>
              </w:rPr>
            </w:pPr>
            <w:r>
              <w:rPr>
                <w:rFonts w:ascii="Rockwell" w:hAnsi="Rockwell"/>
                <w:szCs w:val="26"/>
              </w:rPr>
              <w:t>2,65%</w:t>
            </w:r>
          </w:p>
        </w:tc>
        <w:tc>
          <w:tcPr>
            <w:tcW w:w="1620" w:type="dxa"/>
            <w:shd w:val="clear" w:color="auto" w:fill="auto"/>
            <w:tcMar>
              <w:top w:w="0" w:type="dxa"/>
              <w:left w:w="108" w:type="dxa"/>
              <w:bottom w:w="0" w:type="dxa"/>
              <w:right w:w="108" w:type="dxa"/>
            </w:tcMar>
          </w:tcPr>
          <w:p w14:paraId="6E98D11D" w14:textId="77777777" w:rsidR="00284822" w:rsidRDefault="00F77BF8">
            <w:pPr>
              <w:spacing w:before="120" w:after="120"/>
              <w:jc w:val="center"/>
              <w:rPr>
                <w:rFonts w:ascii="Rockwell" w:hAnsi="Rockwell"/>
                <w:szCs w:val="26"/>
              </w:rPr>
            </w:pPr>
            <w:r>
              <w:rPr>
                <w:rFonts w:ascii="Rockwell" w:hAnsi="Rockwell"/>
                <w:szCs w:val="26"/>
              </w:rPr>
              <w:t>3</w:t>
            </w:r>
          </w:p>
        </w:tc>
        <w:tc>
          <w:tcPr>
            <w:tcW w:w="1936" w:type="dxa"/>
            <w:shd w:val="clear" w:color="auto" w:fill="auto"/>
            <w:tcMar>
              <w:top w:w="0" w:type="dxa"/>
              <w:left w:w="108" w:type="dxa"/>
              <w:bottom w:w="0" w:type="dxa"/>
              <w:right w:w="108" w:type="dxa"/>
            </w:tcMar>
          </w:tcPr>
          <w:p w14:paraId="779B2511" w14:textId="77777777" w:rsidR="00284822" w:rsidRDefault="00F77BF8">
            <w:pPr>
              <w:spacing w:before="120" w:after="120"/>
              <w:jc w:val="center"/>
              <w:rPr>
                <w:rFonts w:ascii="Rockwell" w:hAnsi="Rockwell"/>
                <w:szCs w:val="26"/>
              </w:rPr>
            </w:pPr>
            <w:r>
              <w:rPr>
                <w:rFonts w:ascii="Rockwell" w:hAnsi="Rockwell"/>
                <w:szCs w:val="26"/>
              </w:rPr>
              <w:t>1,69%</w:t>
            </w:r>
          </w:p>
        </w:tc>
      </w:tr>
      <w:tr w:rsidR="00284822" w14:paraId="132B2584" w14:textId="77777777">
        <w:trPr>
          <w:trHeight w:val="83"/>
          <w:jc w:val="center"/>
        </w:trPr>
        <w:tc>
          <w:tcPr>
            <w:tcW w:w="1468" w:type="dxa"/>
            <w:shd w:val="clear" w:color="auto" w:fill="FFFFFF"/>
            <w:noWrap/>
            <w:tcMar>
              <w:top w:w="0" w:type="dxa"/>
              <w:left w:w="108" w:type="dxa"/>
              <w:bottom w:w="0" w:type="dxa"/>
              <w:right w:w="108" w:type="dxa"/>
            </w:tcMar>
          </w:tcPr>
          <w:p w14:paraId="4A545EE2" w14:textId="77777777" w:rsidR="00284822" w:rsidRDefault="00F77BF8">
            <w:pPr>
              <w:spacing w:before="120" w:after="120"/>
              <w:rPr>
                <w:rFonts w:ascii="Rockwell" w:hAnsi="Rockwell"/>
                <w:szCs w:val="26"/>
              </w:rPr>
            </w:pPr>
            <w:r>
              <w:rPr>
                <w:rFonts w:ascii="Rockwell" w:hAnsi="Rockwell"/>
                <w:bCs/>
                <w:szCs w:val="26"/>
              </w:rPr>
              <w:t>9</w:t>
            </w:r>
            <w:r>
              <w:rPr>
                <w:rFonts w:ascii="Rockwell" w:hAnsi="Rockwell"/>
                <w:bCs/>
                <w:szCs w:val="26"/>
                <w:vertAlign w:val="superscript"/>
              </w:rPr>
              <w:t>e</w:t>
            </w:r>
            <w:r>
              <w:rPr>
                <w:rFonts w:ascii="Rockwell" w:hAnsi="Rockwell"/>
                <w:bCs/>
                <w:szCs w:val="26"/>
              </w:rPr>
              <w:t xml:space="preserve"> </w:t>
            </w:r>
          </w:p>
        </w:tc>
        <w:tc>
          <w:tcPr>
            <w:tcW w:w="3094" w:type="dxa"/>
            <w:shd w:val="clear" w:color="auto" w:fill="auto"/>
            <w:tcMar>
              <w:top w:w="0" w:type="dxa"/>
              <w:left w:w="108" w:type="dxa"/>
              <w:bottom w:w="0" w:type="dxa"/>
              <w:right w:w="108" w:type="dxa"/>
            </w:tcMar>
          </w:tcPr>
          <w:p w14:paraId="21C8F1A6" w14:textId="77777777" w:rsidR="00284822" w:rsidRDefault="00F77BF8">
            <w:pPr>
              <w:spacing w:before="120" w:after="120"/>
              <w:jc w:val="left"/>
              <w:rPr>
                <w:rFonts w:ascii="Rockwell" w:hAnsi="Rockwell"/>
                <w:b/>
                <w:szCs w:val="26"/>
              </w:rPr>
            </w:pPr>
            <w:r>
              <w:rPr>
                <w:rFonts w:ascii="Rockwell" w:hAnsi="Rockwell"/>
                <w:b/>
                <w:szCs w:val="26"/>
              </w:rPr>
              <w:t>LES DEMOCRATES</w:t>
            </w:r>
          </w:p>
        </w:tc>
        <w:tc>
          <w:tcPr>
            <w:tcW w:w="1178" w:type="dxa"/>
            <w:shd w:val="clear" w:color="auto" w:fill="auto"/>
            <w:tcMar>
              <w:top w:w="0" w:type="dxa"/>
              <w:left w:w="108" w:type="dxa"/>
              <w:bottom w:w="0" w:type="dxa"/>
              <w:right w:w="108" w:type="dxa"/>
            </w:tcMar>
          </w:tcPr>
          <w:p w14:paraId="34EB3636" w14:textId="77777777" w:rsidR="00284822" w:rsidRDefault="00F77BF8">
            <w:pPr>
              <w:spacing w:before="120" w:after="120"/>
              <w:jc w:val="center"/>
              <w:rPr>
                <w:rFonts w:ascii="Rockwell" w:hAnsi="Rockwell"/>
                <w:szCs w:val="26"/>
              </w:rPr>
            </w:pPr>
            <w:r>
              <w:rPr>
                <w:rFonts w:ascii="Rockwell" w:hAnsi="Rockwell"/>
                <w:szCs w:val="26"/>
              </w:rPr>
              <w:t>2</w:t>
            </w:r>
          </w:p>
        </w:tc>
        <w:tc>
          <w:tcPr>
            <w:tcW w:w="1620" w:type="dxa"/>
            <w:shd w:val="clear" w:color="auto" w:fill="auto"/>
            <w:tcMar>
              <w:top w:w="0" w:type="dxa"/>
              <w:left w:w="108" w:type="dxa"/>
              <w:bottom w:w="0" w:type="dxa"/>
              <w:right w:w="108" w:type="dxa"/>
            </w:tcMar>
          </w:tcPr>
          <w:p w14:paraId="3E8B8557" w14:textId="77777777" w:rsidR="00284822" w:rsidRDefault="00F77BF8">
            <w:pPr>
              <w:spacing w:before="120" w:after="120"/>
              <w:jc w:val="center"/>
              <w:rPr>
                <w:rFonts w:ascii="Rockwell" w:hAnsi="Rockwell"/>
                <w:szCs w:val="26"/>
              </w:rPr>
            </w:pPr>
            <w:r>
              <w:rPr>
                <w:rFonts w:ascii="Rockwell" w:hAnsi="Rockwell"/>
                <w:szCs w:val="26"/>
              </w:rPr>
              <w:t>1,77%</w:t>
            </w:r>
          </w:p>
        </w:tc>
        <w:tc>
          <w:tcPr>
            <w:tcW w:w="1620" w:type="dxa"/>
            <w:shd w:val="clear" w:color="auto" w:fill="auto"/>
            <w:tcMar>
              <w:top w:w="0" w:type="dxa"/>
              <w:left w:w="108" w:type="dxa"/>
              <w:bottom w:w="0" w:type="dxa"/>
              <w:right w:w="108" w:type="dxa"/>
            </w:tcMar>
          </w:tcPr>
          <w:p w14:paraId="09873EA3" w14:textId="77777777" w:rsidR="00284822" w:rsidRDefault="00F77BF8">
            <w:pPr>
              <w:spacing w:before="120" w:after="120"/>
              <w:jc w:val="center"/>
              <w:rPr>
                <w:rFonts w:ascii="Rockwell" w:hAnsi="Rockwell"/>
                <w:szCs w:val="26"/>
              </w:rPr>
            </w:pPr>
            <w:r>
              <w:rPr>
                <w:rFonts w:ascii="Rockwell" w:hAnsi="Rockwell"/>
                <w:szCs w:val="26"/>
              </w:rPr>
              <w:t>5</w:t>
            </w:r>
          </w:p>
        </w:tc>
        <w:tc>
          <w:tcPr>
            <w:tcW w:w="1936" w:type="dxa"/>
            <w:shd w:val="clear" w:color="auto" w:fill="auto"/>
            <w:tcMar>
              <w:top w:w="0" w:type="dxa"/>
              <w:left w:w="108" w:type="dxa"/>
              <w:bottom w:w="0" w:type="dxa"/>
              <w:right w:w="108" w:type="dxa"/>
            </w:tcMar>
          </w:tcPr>
          <w:p w14:paraId="247AB980" w14:textId="77777777" w:rsidR="00284822" w:rsidRDefault="00F77BF8">
            <w:pPr>
              <w:spacing w:before="120" w:after="120"/>
              <w:jc w:val="center"/>
              <w:rPr>
                <w:rFonts w:ascii="Rockwell" w:hAnsi="Rockwell"/>
                <w:szCs w:val="26"/>
              </w:rPr>
            </w:pPr>
            <w:r>
              <w:rPr>
                <w:rFonts w:ascii="Rockwell" w:hAnsi="Rockwell"/>
                <w:szCs w:val="26"/>
              </w:rPr>
              <w:t>2,82%</w:t>
            </w:r>
          </w:p>
        </w:tc>
      </w:tr>
      <w:tr w:rsidR="00284822" w14:paraId="2814F83D" w14:textId="77777777">
        <w:trPr>
          <w:trHeight w:val="83"/>
          <w:jc w:val="center"/>
        </w:trPr>
        <w:tc>
          <w:tcPr>
            <w:tcW w:w="1468" w:type="dxa"/>
            <w:shd w:val="clear" w:color="auto" w:fill="FFFFFF"/>
            <w:noWrap/>
            <w:tcMar>
              <w:top w:w="0" w:type="dxa"/>
              <w:left w:w="108" w:type="dxa"/>
              <w:bottom w:w="0" w:type="dxa"/>
              <w:right w:w="108" w:type="dxa"/>
            </w:tcMar>
          </w:tcPr>
          <w:p w14:paraId="794AED66" w14:textId="77777777" w:rsidR="00284822" w:rsidRDefault="00F77BF8">
            <w:pPr>
              <w:spacing w:before="120" w:after="120"/>
              <w:rPr>
                <w:rFonts w:ascii="Rockwell" w:hAnsi="Rockwell"/>
                <w:szCs w:val="26"/>
              </w:rPr>
            </w:pPr>
            <w:r>
              <w:rPr>
                <w:rFonts w:ascii="Rockwell" w:hAnsi="Rockwell"/>
                <w:bCs/>
                <w:szCs w:val="26"/>
              </w:rPr>
              <w:t>9</w:t>
            </w:r>
            <w:r>
              <w:rPr>
                <w:rFonts w:ascii="Rockwell" w:hAnsi="Rockwell"/>
                <w:bCs/>
                <w:szCs w:val="26"/>
                <w:vertAlign w:val="superscript"/>
              </w:rPr>
              <w:t xml:space="preserve">e </w:t>
            </w:r>
            <w:r>
              <w:rPr>
                <w:rFonts w:ascii="Rockwell" w:hAnsi="Rockwell"/>
                <w:bCs/>
                <w:szCs w:val="26"/>
              </w:rPr>
              <w:t>ex</w:t>
            </w:r>
          </w:p>
        </w:tc>
        <w:tc>
          <w:tcPr>
            <w:tcW w:w="3094" w:type="dxa"/>
            <w:shd w:val="clear" w:color="auto" w:fill="auto"/>
            <w:tcMar>
              <w:top w:w="0" w:type="dxa"/>
              <w:left w:w="108" w:type="dxa"/>
              <w:bottom w:w="0" w:type="dxa"/>
              <w:right w:w="108" w:type="dxa"/>
            </w:tcMar>
          </w:tcPr>
          <w:p w14:paraId="4A8267F4" w14:textId="77777777" w:rsidR="00284822" w:rsidRDefault="00F77BF8">
            <w:pPr>
              <w:spacing w:before="120" w:after="120"/>
              <w:jc w:val="left"/>
              <w:rPr>
                <w:rFonts w:ascii="Rockwell" w:hAnsi="Rockwell"/>
                <w:b/>
                <w:szCs w:val="26"/>
              </w:rPr>
            </w:pPr>
            <w:r>
              <w:rPr>
                <w:rFonts w:ascii="Rockwell" w:hAnsi="Rockwell"/>
                <w:b/>
                <w:szCs w:val="26"/>
              </w:rPr>
              <w:t>MCR</w:t>
            </w:r>
          </w:p>
        </w:tc>
        <w:tc>
          <w:tcPr>
            <w:tcW w:w="1178" w:type="dxa"/>
            <w:shd w:val="clear" w:color="auto" w:fill="auto"/>
            <w:tcMar>
              <w:top w:w="0" w:type="dxa"/>
              <w:left w:w="108" w:type="dxa"/>
              <w:bottom w:w="0" w:type="dxa"/>
              <w:right w:w="108" w:type="dxa"/>
            </w:tcMar>
          </w:tcPr>
          <w:p w14:paraId="07DAC5E6" w14:textId="77777777" w:rsidR="00284822" w:rsidRDefault="00F77BF8">
            <w:pPr>
              <w:spacing w:before="120" w:after="120"/>
              <w:jc w:val="center"/>
              <w:rPr>
                <w:rFonts w:ascii="Rockwell" w:hAnsi="Rockwell"/>
                <w:szCs w:val="26"/>
              </w:rPr>
            </w:pPr>
            <w:r>
              <w:rPr>
                <w:rFonts w:ascii="Rockwell" w:hAnsi="Rockwell"/>
                <w:szCs w:val="26"/>
              </w:rPr>
              <w:t>2</w:t>
            </w:r>
          </w:p>
        </w:tc>
        <w:tc>
          <w:tcPr>
            <w:tcW w:w="1620" w:type="dxa"/>
            <w:shd w:val="clear" w:color="auto" w:fill="auto"/>
            <w:tcMar>
              <w:top w:w="0" w:type="dxa"/>
              <w:left w:w="108" w:type="dxa"/>
              <w:bottom w:w="0" w:type="dxa"/>
              <w:right w:w="108" w:type="dxa"/>
            </w:tcMar>
          </w:tcPr>
          <w:p w14:paraId="6EE6BC41" w14:textId="77777777" w:rsidR="00284822" w:rsidRDefault="00F77BF8">
            <w:pPr>
              <w:spacing w:before="120" w:after="120"/>
              <w:jc w:val="center"/>
              <w:rPr>
                <w:rFonts w:ascii="Rockwell" w:hAnsi="Rockwell"/>
                <w:szCs w:val="26"/>
              </w:rPr>
            </w:pPr>
            <w:r>
              <w:rPr>
                <w:rFonts w:ascii="Rockwell" w:hAnsi="Rockwell"/>
                <w:szCs w:val="26"/>
              </w:rPr>
              <w:t>1,77%</w:t>
            </w:r>
          </w:p>
        </w:tc>
        <w:tc>
          <w:tcPr>
            <w:tcW w:w="1620" w:type="dxa"/>
            <w:shd w:val="clear" w:color="auto" w:fill="auto"/>
            <w:tcMar>
              <w:top w:w="0" w:type="dxa"/>
              <w:left w:w="108" w:type="dxa"/>
              <w:bottom w:w="0" w:type="dxa"/>
              <w:right w:w="108" w:type="dxa"/>
            </w:tcMar>
          </w:tcPr>
          <w:p w14:paraId="24D0F031" w14:textId="77777777" w:rsidR="00284822" w:rsidRDefault="00F77BF8">
            <w:pPr>
              <w:spacing w:before="120" w:after="120"/>
              <w:jc w:val="center"/>
              <w:rPr>
                <w:rFonts w:ascii="Rockwell" w:hAnsi="Rockwell"/>
                <w:szCs w:val="26"/>
              </w:rPr>
            </w:pPr>
            <w:r>
              <w:rPr>
                <w:rFonts w:ascii="Rockwell" w:hAnsi="Rockwell"/>
                <w:szCs w:val="26"/>
              </w:rPr>
              <w:t>2</w:t>
            </w:r>
          </w:p>
        </w:tc>
        <w:tc>
          <w:tcPr>
            <w:tcW w:w="1936" w:type="dxa"/>
            <w:shd w:val="clear" w:color="auto" w:fill="auto"/>
            <w:tcMar>
              <w:top w:w="0" w:type="dxa"/>
              <w:left w:w="108" w:type="dxa"/>
              <w:bottom w:w="0" w:type="dxa"/>
              <w:right w:w="108" w:type="dxa"/>
            </w:tcMar>
          </w:tcPr>
          <w:p w14:paraId="7E9B54E6" w14:textId="77777777" w:rsidR="00284822" w:rsidRDefault="00F77BF8">
            <w:pPr>
              <w:spacing w:before="120" w:after="120"/>
              <w:jc w:val="center"/>
              <w:rPr>
                <w:rFonts w:ascii="Rockwell" w:hAnsi="Rockwell"/>
                <w:szCs w:val="26"/>
              </w:rPr>
            </w:pPr>
            <w:r>
              <w:rPr>
                <w:rFonts w:ascii="Rockwell" w:hAnsi="Rockwell"/>
                <w:szCs w:val="26"/>
              </w:rPr>
              <w:t>1,13%</w:t>
            </w:r>
          </w:p>
        </w:tc>
      </w:tr>
    </w:tbl>
    <w:p w14:paraId="4783F93A" w14:textId="77777777" w:rsidR="00284822" w:rsidRDefault="00F77BF8">
      <w:pPr>
        <w:tabs>
          <w:tab w:val="left" w:pos="895"/>
        </w:tabs>
        <w:spacing w:before="120" w:after="120"/>
        <w:ind w:left="-851"/>
        <w:rPr>
          <w:rFonts w:ascii="Rockwell" w:hAnsi="Rockwell"/>
          <w:i/>
          <w:sz w:val="20"/>
          <w:szCs w:val="20"/>
        </w:rPr>
      </w:pPr>
      <w:r>
        <w:rPr>
          <w:rFonts w:ascii="Rockwell" w:hAnsi="Rockwell"/>
          <w:i/>
          <w:sz w:val="20"/>
          <w:szCs w:val="20"/>
          <w:u w:val="single"/>
        </w:rPr>
        <w:t>Source</w:t>
      </w:r>
      <w:r>
        <w:rPr>
          <w:rFonts w:ascii="Rockwell" w:hAnsi="Rockwell"/>
          <w:i/>
          <w:sz w:val="20"/>
          <w:szCs w:val="20"/>
        </w:rPr>
        <w:t> : Monitoring CSC</w:t>
      </w:r>
    </w:p>
    <w:p w14:paraId="2CFD0156" w14:textId="77777777" w:rsidR="00284822" w:rsidRDefault="00284822">
      <w:pPr>
        <w:spacing w:before="120" w:after="120"/>
        <w:rPr>
          <w:rFonts w:ascii="Rockwell" w:hAnsi="Rockwell"/>
          <w:i/>
          <w:szCs w:val="26"/>
        </w:rPr>
      </w:pPr>
    </w:p>
    <w:p w14:paraId="2833B199" w14:textId="77777777" w:rsidR="00284822" w:rsidRDefault="00284822">
      <w:pPr>
        <w:spacing w:before="120" w:after="120"/>
        <w:rPr>
          <w:rFonts w:ascii="Rockwell" w:hAnsi="Rockwell"/>
          <w:szCs w:val="26"/>
        </w:rPr>
        <w:sectPr w:rsidR="00284822">
          <w:pgSz w:w="11906" w:h="16838"/>
          <w:pgMar w:top="1418" w:right="1418" w:bottom="1418" w:left="1418" w:header="720" w:footer="720" w:gutter="0"/>
          <w:cols w:space="720"/>
        </w:sectPr>
      </w:pPr>
    </w:p>
    <w:p w14:paraId="1C795BBE" w14:textId="77777777" w:rsidR="00284822" w:rsidRDefault="00F77BF8">
      <w:pPr>
        <w:spacing w:before="120" w:after="120"/>
        <w:jc w:val="center"/>
        <w:rPr>
          <w:rFonts w:ascii="Rockwell" w:hAnsi="Rockwell"/>
          <w:i/>
          <w:sz w:val="20"/>
          <w:szCs w:val="20"/>
          <w:u w:val="single"/>
        </w:rPr>
      </w:pPr>
      <w:r>
        <w:rPr>
          <w:rFonts w:ascii="Rockwell" w:hAnsi="Rockwell"/>
          <w:i/>
          <w:sz w:val="20"/>
          <w:szCs w:val="20"/>
          <w:u w:val="single"/>
        </w:rPr>
        <w:lastRenderedPageBreak/>
        <w:t xml:space="preserve">Représentation graphique des NA et NI obtenus par les partis politiques dans </w:t>
      </w:r>
      <w:hyperlink r:id="rId74" w:history="1">
        <w:r>
          <w:rPr>
            <w:rFonts w:ascii="Rockwell" w:hAnsi="Rockwell"/>
            <w:i/>
            <w:sz w:val="20"/>
            <w:szCs w:val="20"/>
            <w:u w:val="single"/>
          </w:rPr>
          <w:t>actualites.bf</w:t>
        </w:r>
      </w:hyperlink>
    </w:p>
    <w:p w14:paraId="76C13700" w14:textId="77777777" w:rsidR="00284822" w:rsidRDefault="00F77BF8">
      <w:pPr>
        <w:spacing w:before="120" w:after="120"/>
        <w:jc w:val="center"/>
        <w:rPr>
          <w:rFonts w:ascii="Rockwell" w:hAnsi="Rockwell"/>
          <w:sz w:val="20"/>
          <w:szCs w:val="20"/>
        </w:rPr>
      </w:pPr>
      <w:r>
        <w:rPr>
          <w:rFonts w:ascii="Rockwell" w:hAnsi="Rockwell"/>
          <w:noProof/>
          <w:sz w:val="20"/>
          <w:szCs w:val="20"/>
        </w:rPr>
        <w:drawing>
          <wp:inline distT="0" distB="0" distL="0" distR="0" wp14:anchorId="2C17B4FE" wp14:editId="248730D1">
            <wp:extent cx="6335395" cy="3635375"/>
            <wp:effectExtent l="0" t="0" r="8255" b="3175"/>
            <wp:docPr id="54" name="Graphique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p w14:paraId="6D68026E" w14:textId="77777777" w:rsidR="00284822" w:rsidRDefault="00284822">
      <w:pPr>
        <w:spacing w:before="120" w:after="120"/>
        <w:jc w:val="center"/>
        <w:rPr>
          <w:rFonts w:ascii="Rockwell" w:hAnsi="Rockwell"/>
          <w:sz w:val="20"/>
          <w:szCs w:val="20"/>
        </w:rPr>
      </w:pPr>
    </w:p>
    <w:p w14:paraId="4A322F1F" w14:textId="77777777" w:rsidR="00284822" w:rsidRDefault="00F77BF8">
      <w:pPr>
        <w:pStyle w:val="Paragraphedeliste"/>
        <w:numPr>
          <w:ilvl w:val="1"/>
          <w:numId w:val="19"/>
        </w:numPr>
        <w:rPr>
          <w:rFonts w:ascii="Rockwell" w:hAnsi="Rockwell"/>
          <w:b/>
          <w:i/>
        </w:rPr>
      </w:pPr>
      <w:proofErr w:type="spellStart"/>
      <w:r>
        <w:rPr>
          <w:rFonts w:ascii="Rockwell" w:hAnsi="Rockwell"/>
          <w:b/>
          <w:bCs/>
          <w:i/>
          <w:color w:val="000000"/>
        </w:rPr>
        <w:t>Infoh</w:t>
      </w:r>
      <w:proofErr w:type="spellEnd"/>
      <w:r>
        <w:rPr>
          <w:rFonts w:ascii="Rockwell" w:hAnsi="Rockwell"/>
          <w:b/>
          <w:bCs/>
          <w:i/>
          <w:color w:val="000000"/>
        </w:rPr>
        <w:t xml:space="preserve"> 24</w:t>
      </w:r>
    </w:p>
    <w:p w14:paraId="0246872A" w14:textId="77777777" w:rsidR="00284822" w:rsidRDefault="00F77BF8">
      <w:pPr>
        <w:spacing w:before="120" w:after="120"/>
        <w:rPr>
          <w:rFonts w:ascii="Rockwell" w:hAnsi="Rockwell"/>
          <w:szCs w:val="26"/>
        </w:rPr>
      </w:pPr>
      <w:r>
        <w:rPr>
          <w:rFonts w:ascii="Rockwell" w:hAnsi="Rockwell"/>
          <w:szCs w:val="26"/>
        </w:rPr>
        <w:t xml:space="preserve">Le journal en ligne </w:t>
      </w:r>
      <w:proofErr w:type="spellStart"/>
      <w:r>
        <w:rPr>
          <w:rFonts w:ascii="Rockwell" w:hAnsi="Rockwell"/>
          <w:i/>
          <w:szCs w:val="26"/>
        </w:rPr>
        <w:t>infoh</w:t>
      </w:r>
      <w:proofErr w:type="spellEnd"/>
      <w:r>
        <w:rPr>
          <w:rFonts w:ascii="Rockwell" w:hAnsi="Rockwell"/>
          <w:i/>
          <w:szCs w:val="26"/>
        </w:rPr>
        <w:t xml:space="preserve"> 24</w:t>
      </w:r>
      <w:r>
        <w:rPr>
          <w:rFonts w:ascii="Rockwell" w:hAnsi="Rockwell"/>
          <w:szCs w:val="26"/>
        </w:rPr>
        <w:t xml:space="preserve"> a traité l’actualité de 13 partis politiques à travers la publication de 33 articles et 62 illustrations. Les 10 premiers sont classés comme suit. </w:t>
      </w:r>
    </w:p>
    <w:p w14:paraId="66BC13FF" w14:textId="77777777" w:rsidR="00284822" w:rsidRDefault="00284822">
      <w:pPr>
        <w:spacing w:before="120" w:after="120"/>
        <w:rPr>
          <w:rFonts w:ascii="Rockwell" w:hAnsi="Rockwell"/>
          <w:b/>
          <w:szCs w:val="26"/>
          <w:u w:val="single"/>
        </w:rPr>
      </w:pPr>
    </w:p>
    <w:p w14:paraId="58581141" w14:textId="77777777" w:rsidR="00284822" w:rsidRDefault="00F77BF8">
      <w:pPr>
        <w:suppressAutoHyphens w:val="0"/>
        <w:autoSpaceDN/>
        <w:spacing w:before="120" w:after="120"/>
        <w:jc w:val="left"/>
        <w:textAlignment w:val="auto"/>
        <w:rPr>
          <w:rFonts w:ascii="Rockwell" w:hAnsi="Rockwell"/>
          <w:b/>
          <w:i/>
          <w:szCs w:val="26"/>
        </w:rPr>
      </w:pPr>
      <w:r>
        <w:rPr>
          <w:rFonts w:ascii="Rockwell" w:hAnsi="Rockwell"/>
          <w:b/>
          <w:i/>
          <w:szCs w:val="26"/>
        </w:rPr>
        <w:br w:type="page"/>
      </w:r>
    </w:p>
    <w:p w14:paraId="459ABF82" w14:textId="77777777" w:rsidR="00284822" w:rsidRDefault="00F77BF8">
      <w:pPr>
        <w:spacing w:before="120" w:after="120"/>
        <w:jc w:val="center"/>
        <w:rPr>
          <w:rFonts w:ascii="Rockwell" w:hAnsi="Rockwell"/>
          <w:b/>
          <w:sz w:val="20"/>
          <w:szCs w:val="20"/>
          <w:u w:val="single"/>
        </w:rPr>
      </w:pPr>
      <w:r>
        <w:rPr>
          <w:rFonts w:ascii="Rockwell" w:hAnsi="Rockwell"/>
          <w:b/>
          <w:sz w:val="20"/>
          <w:szCs w:val="20"/>
          <w:u w:val="single"/>
        </w:rPr>
        <w:lastRenderedPageBreak/>
        <w:t>Tableau 14</w:t>
      </w:r>
      <w:r>
        <w:rPr>
          <w:rFonts w:ascii="Rockwell" w:hAnsi="Rockwell"/>
          <w:b/>
          <w:i/>
          <w:sz w:val="20"/>
          <w:szCs w:val="20"/>
        </w:rPr>
        <w:t xml:space="preserve"> : </w:t>
      </w:r>
      <w:r>
        <w:rPr>
          <w:rFonts w:ascii="Rockwell" w:hAnsi="Rockwell"/>
          <w:i/>
          <w:sz w:val="20"/>
          <w:szCs w:val="20"/>
        </w:rPr>
        <w:t xml:space="preserve">Classement des dix premiers partis politiques selon les NA et NI publiés dans </w:t>
      </w:r>
      <w:proofErr w:type="spellStart"/>
      <w:r>
        <w:rPr>
          <w:rFonts w:ascii="Rockwell" w:hAnsi="Rockwell"/>
          <w:bCs/>
          <w:i/>
          <w:sz w:val="20"/>
          <w:szCs w:val="20"/>
        </w:rPr>
        <w:t>infoh</w:t>
      </w:r>
      <w:proofErr w:type="spellEnd"/>
      <w:r>
        <w:rPr>
          <w:rFonts w:ascii="Rockwell" w:hAnsi="Rockwell"/>
          <w:bCs/>
          <w:i/>
          <w:sz w:val="20"/>
          <w:szCs w:val="20"/>
        </w:rPr>
        <w:t xml:space="preserve"> 24</w:t>
      </w:r>
      <w:r>
        <w:rPr>
          <w:rFonts w:ascii="Rockwell" w:hAnsi="Rockwell"/>
          <w:b/>
          <w:bCs/>
          <w:i/>
          <w:sz w:val="20"/>
          <w:szCs w:val="20"/>
          <w:u w:val="single"/>
        </w:rPr>
        <w:t xml:space="preserve"> </w:t>
      </w:r>
    </w:p>
    <w:tbl>
      <w:tblPr>
        <w:tblW w:w="10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29"/>
        <w:gridCol w:w="3828"/>
        <w:gridCol w:w="1417"/>
        <w:gridCol w:w="1418"/>
        <w:gridCol w:w="1276"/>
        <w:gridCol w:w="1276"/>
      </w:tblGrid>
      <w:tr w:rsidR="00284822" w14:paraId="27C7232C" w14:textId="77777777">
        <w:trPr>
          <w:trHeight w:val="673"/>
          <w:jc w:val="center"/>
        </w:trPr>
        <w:tc>
          <w:tcPr>
            <w:tcW w:w="10344" w:type="dxa"/>
            <w:gridSpan w:val="6"/>
            <w:shd w:val="clear" w:color="auto" w:fill="BDD6EE" w:themeFill="accent1" w:themeFillTint="66"/>
            <w:noWrap/>
            <w:tcMar>
              <w:top w:w="0" w:type="dxa"/>
              <w:left w:w="70" w:type="dxa"/>
              <w:bottom w:w="0" w:type="dxa"/>
              <w:right w:w="70" w:type="dxa"/>
            </w:tcMar>
            <w:vAlign w:val="center"/>
          </w:tcPr>
          <w:p w14:paraId="5CB1B059" w14:textId="77777777" w:rsidR="00284822" w:rsidRDefault="00F77BF8">
            <w:pPr>
              <w:spacing w:before="120" w:after="120"/>
              <w:jc w:val="center"/>
              <w:rPr>
                <w:rFonts w:ascii="Rockwell" w:hAnsi="Rockwell"/>
                <w:i/>
                <w:szCs w:val="26"/>
              </w:rPr>
            </w:pPr>
            <w:proofErr w:type="spellStart"/>
            <w:r>
              <w:rPr>
                <w:rFonts w:ascii="Rockwell" w:hAnsi="Rockwell"/>
                <w:b/>
                <w:bCs/>
                <w:i/>
                <w:szCs w:val="26"/>
              </w:rPr>
              <w:t>Infoh</w:t>
            </w:r>
            <w:proofErr w:type="spellEnd"/>
            <w:r>
              <w:rPr>
                <w:rFonts w:ascii="Rockwell" w:hAnsi="Rockwell"/>
                <w:b/>
                <w:bCs/>
                <w:i/>
                <w:szCs w:val="26"/>
              </w:rPr>
              <w:t xml:space="preserve"> 24</w:t>
            </w:r>
          </w:p>
        </w:tc>
      </w:tr>
      <w:tr w:rsidR="00284822" w14:paraId="6CAC29AE" w14:textId="77777777">
        <w:trPr>
          <w:trHeight w:val="850"/>
          <w:jc w:val="center"/>
        </w:trPr>
        <w:tc>
          <w:tcPr>
            <w:tcW w:w="1129" w:type="dxa"/>
            <w:shd w:val="clear" w:color="auto" w:fill="BDD6EE" w:themeFill="accent1" w:themeFillTint="66"/>
            <w:noWrap/>
            <w:tcMar>
              <w:top w:w="0" w:type="dxa"/>
              <w:left w:w="70" w:type="dxa"/>
              <w:bottom w:w="0" w:type="dxa"/>
              <w:right w:w="70" w:type="dxa"/>
            </w:tcMar>
          </w:tcPr>
          <w:p w14:paraId="1D9D047C" w14:textId="77777777" w:rsidR="00284822" w:rsidRDefault="00F77BF8">
            <w:pPr>
              <w:spacing w:before="120" w:after="120"/>
              <w:jc w:val="center"/>
              <w:rPr>
                <w:rFonts w:ascii="Rockwell" w:hAnsi="Rockwell"/>
                <w:szCs w:val="26"/>
              </w:rPr>
            </w:pPr>
            <w:r>
              <w:rPr>
                <w:rFonts w:ascii="Rockwell" w:hAnsi="Rockwell" w:cs="Calibri"/>
                <w:b/>
                <w:bCs/>
                <w:color w:val="000000"/>
                <w:szCs w:val="26"/>
              </w:rPr>
              <w:t>Rang</w:t>
            </w:r>
          </w:p>
        </w:tc>
        <w:tc>
          <w:tcPr>
            <w:tcW w:w="3828" w:type="dxa"/>
            <w:shd w:val="clear" w:color="auto" w:fill="BDD6EE" w:themeFill="accent1" w:themeFillTint="66"/>
            <w:tcMar>
              <w:top w:w="0" w:type="dxa"/>
              <w:left w:w="70" w:type="dxa"/>
              <w:bottom w:w="0" w:type="dxa"/>
              <w:right w:w="70" w:type="dxa"/>
            </w:tcMar>
          </w:tcPr>
          <w:p w14:paraId="2BC1D70C" w14:textId="62D74901" w:rsidR="00284822" w:rsidRDefault="00746D14">
            <w:pPr>
              <w:spacing w:before="120" w:after="120"/>
              <w:jc w:val="center"/>
              <w:rPr>
                <w:rFonts w:ascii="Rockwell" w:hAnsi="Rockwell"/>
                <w:szCs w:val="26"/>
              </w:rPr>
            </w:pPr>
            <w:r>
              <w:rPr>
                <w:rFonts w:ascii="Rockwell" w:hAnsi="Rockwell"/>
                <w:b/>
                <w:bCs/>
              </w:rPr>
              <w:t>PARTIS</w:t>
            </w:r>
            <w:r w:rsidR="00F77BF8">
              <w:rPr>
                <w:rFonts w:ascii="Rockwell" w:hAnsi="Rockwell"/>
                <w:b/>
                <w:bCs/>
                <w:szCs w:val="26"/>
              </w:rPr>
              <w:t xml:space="preserve"> POLITIQUES</w:t>
            </w:r>
          </w:p>
        </w:tc>
        <w:tc>
          <w:tcPr>
            <w:tcW w:w="1417" w:type="dxa"/>
            <w:shd w:val="clear" w:color="auto" w:fill="BDD6EE" w:themeFill="accent1" w:themeFillTint="66"/>
            <w:tcMar>
              <w:top w:w="0" w:type="dxa"/>
              <w:left w:w="70" w:type="dxa"/>
              <w:bottom w:w="0" w:type="dxa"/>
              <w:right w:w="70" w:type="dxa"/>
            </w:tcMar>
          </w:tcPr>
          <w:p w14:paraId="4663C492" w14:textId="77777777" w:rsidR="00284822" w:rsidRDefault="00F77BF8">
            <w:pPr>
              <w:spacing w:before="120" w:after="120"/>
              <w:jc w:val="center"/>
              <w:rPr>
                <w:rFonts w:ascii="Rockwell" w:hAnsi="Rockwell"/>
                <w:b/>
                <w:szCs w:val="26"/>
              </w:rPr>
            </w:pPr>
            <w:r>
              <w:rPr>
                <w:rFonts w:ascii="Rockwell" w:hAnsi="Rockwell"/>
                <w:b/>
                <w:szCs w:val="26"/>
              </w:rPr>
              <w:t>NA</w:t>
            </w:r>
          </w:p>
        </w:tc>
        <w:tc>
          <w:tcPr>
            <w:tcW w:w="1418" w:type="dxa"/>
            <w:shd w:val="clear" w:color="auto" w:fill="BDD6EE" w:themeFill="accent1" w:themeFillTint="66"/>
            <w:tcMar>
              <w:top w:w="0" w:type="dxa"/>
              <w:left w:w="70" w:type="dxa"/>
              <w:bottom w:w="0" w:type="dxa"/>
              <w:right w:w="70" w:type="dxa"/>
            </w:tcMar>
          </w:tcPr>
          <w:p w14:paraId="7C78ED60" w14:textId="77777777" w:rsidR="00284822" w:rsidRDefault="00F77BF8">
            <w:pPr>
              <w:spacing w:before="120" w:after="120"/>
              <w:jc w:val="center"/>
              <w:rPr>
                <w:rFonts w:ascii="Rockwell" w:hAnsi="Rockwell"/>
                <w:b/>
                <w:szCs w:val="26"/>
              </w:rPr>
            </w:pPr>
            <w:r>
              <w:rPr>
                <w:rFonts w:ascii="Rockwell" w:hAnsi="Rockwell"/>
                <w:b/>
                <w:szCs w:val="26"/>
              </w:rPr>
              <w:t>% NA</w:t>
            </w:r>
          </w:p>
        </w:tc>
        <w:tc>
          <w:tcPr>
            <w:tcW w:w="1276" w:type="dxa"/>
            <w:shd w:val="clear" w:color="auto" w:fill="BDD6EE" w:themeFill="accent1" w:themeFillTint="66"/>
            <w:tcMar>
              <w:top w:w="0" w:type="dxa"/>
              <w:left w:w="70" w:type="dxa"/>
              <w:bottom w:w="0" w:type="dxa"/>
              <w:right w:w="70" w:type="dxa"/>
            </w:tcMar>
          </w:tcPr>
          <w:p w14:paraId="463781FF" w14:textId="77777777" w:rsidR="00284822" w:rsidRDefault="00F77BF8">
            <w:pPr>
              <w:spacing w:before="120" w:after="120"/>
              <w:jc w:val="center"/>
              <w:rPr>
                <w:rFonts w:ascii="Rockwell" w:hAnsi="Rockwell"/>
                <w:b/>
                <w:szCs w:val="26"/>
              </w:rPr>
            </w:pPr>
            <w:r>
              <w:rPr>
                <w:rFonts w:ascii="Rockwell" w:hAnsi="Rockwell"/>
                <w:b/>
                <w:szCs w:val="26"/>
              </w:rPr>
              <w:t>NI</w:t>
            </w:r>
          </w:p>
        </w:tc>
        <w:tc>
          <w:tcPr>
            <w:tcW w:w="1276" w:type="dxa"/>
            <w:shd w:val="clear" w:color="auto" w:fill="BDD6EE" w:themeFill="accent1" w:themeFillTint="66"/>
            <w:tcMar>
              <w:top w:w="0" w:type="dxa"/>
              <w:left w:w="70" w:type="dxa"/>
              <w:bottom w:w="0" w:type="dxa"/>
              <w:right w:w="70" w:type="dxa"/>
            </w:tcMar>
          </w:tcPr>
          <w:p w14:paraId="5A82F2DF" w14:textId="77777777" w:rsidR="00284822" w:rsidRDefault="00F77BF8">
            <w:pPr>
              <w:spacing w:before="120" w:after="120"/>
              <w:jc w:val="center"/>
              <w:rPr>
                <w:rFonts w:ascii="Rockwell" w:hAnsi="Rockwell"/>
                <w:b/>
                <w:szCs w:val="26"/>
              </w:rPr>
            </w:pPr>
            <w:r>
              <w:rPr>
                <w:rFonts w:ascii="Rockwell" w:hAnsi="Rockwell"/>
                <w:b/>
                <w:szCs w:val="26"/>
              </w:rPr>
              <w:t>% NI</w:t>
            </w:r>
          </w:p>
        </w:tc>
      </w:tr>
      <w:tr w:rsidR="00284822" w14:paraId="38FB3C43" w14:textId="77777777">
        <w:trPr>
          <w:trHeight w:val="60"/>
          <w:jc w:val="center"/>
        </w:trPr>
        <w:tc>
          <w:tcPr>
            <w:tcW w:w="1129" w:type="dxa"/>
            <w:shd w:val="clear" w:color="auto" w:fill="auto"/>
            <w:noWrap/>
            <w:tcMar>
              <w:top w:w="0" w:type="dxa"/>
              <w:left w:w="70" w:type="dxa"/>
              <w:bottom w:w="0" w:type="dxa"/>
              <w:right w:w="70" w:type="dxa"/>
            </w:tcMar>
          </w:tcPr>
          <w:p w14:paraId="23C7DBCB" w14:textId="77777777" w:rsidR="00284822" w:rsidRDefault="00F77BF8">
            <w:pPr>
              <w:spacing w:before="120" w:after="120"/>
              <w:rPr>
                <w:rFonts w:ascii="Rockwell" w:hAnsi="Rockwell"/>
                <w:szCs w:val="26"/>
              </w:rPr>
            </w:pPr>
            <w:r>
              <w:rPr>
                <w:rFonts w:ascii="Rockwell" w:hAnsi="Rockwell"/>
                <w:bCs/>
                <w:szCs w:val="26"/>
              </w:rPr>
              <w:t>1</w:t>
            </w:r>
            <w:r>
              <w:rPr>
                <w:rFonts w:ascii="Rockwell" w:hAnsi="Rockwell"/>
                <w:bCs/>
                <w:szCs w:val="26"/>
                <w:vertAlign w:val="superscript"/>
              </w:rPr>
              <w:t>er</w:t>
            </w:r>
            <w:r>
              <w:rPr>
                <w:rFonts w:ascii="Rockwell" w:hAnsi="Rockwell"/>
                <w:bCs/>
                <w:szCs w:val="26"/>
              </w:rPr>
              <w:t xml:space="preserve"> </w:t>
            </w:r>
          </w:p>
        </w:tc>
        <w:tc>
          <w:tcPr>
            <w:tcW w:w="3828" w:type="dxa"/>
            <w:shd w:val="clear" w:color="auto" w:fill="auto"/>
            <w:tcMar>
              <w:top w:w="0" w:type="dxa"/>
              <w:left w:w="70" w:type="dxa"/>
              <w:bottom w:w="0" w:type="dxa"/>
              <w:right w:w="70" w:type="dxa"/>
            </w:tcMar>
          </w:tcPr>
          <w:p w14:paraId="4547BDA8" w14:textId="77777777" w:rsidR="00284822" w:rsidRDefault="00F77BF8">
            <w:pPr>
              <w:spacing w:before="120" w:after="120"/>
              <w:jc w:val="left"/>
              <w:rPr>
                <w:rFonts w:ascii="Rockwell" w:hAnsi="Rockwell"/>
                <w:b/>
                <w:szCs w:val="26"/>
              </w:rPr>
            </w:pPr>
            <w:r>
              <w:rPr>
                <w:rFonts w:ascii="Rockwell" w:hAnsi="Rockwell"/>
                <w:b/>
                <w:szCs w:val="26"/>
              </w:rPr>
              <w:t>MPP</w:t>
            </w:r>
          </w:p>
        </w:tc>
        <w:tc>
          <w:tcPr>
            <w:tcW w:w="1417" w:type="dxa"/>
            <w:shd w:val="clear" w:color="auto" w:fill="auto"/>
            <w:tcMar>
              <w:top w:w="0" w:type="dxa"/>
              <w:left w:w="70" w:type="dxa"/>
              <w:bottom w:w="0" w:type="dxa"/>
              <w:right w:w="70" w:type="dxa"/>
            </w:tcMar>
          </w:tcPr>
          <w:p w14:paraId="6C43B7BC" w14:textId="77777777" w:rsidR="00284822" w:rsidRDefault="00F77BF8">
            <w:pPr>
              <w:spacing w:before="120" w:after="120"/>
              <w:jc w:val="center"/>
              <w:rPr>
                <w:rFonts w:ascii="Rockwell" w:hAnsi="Rockwell"/>
                <w:szCs w:val="26"/>
              </w:rPr>
            </w:pPr>
            <w:r>
              <w:rPr>
                <w:rFonts w:ascii="Rockwell" w:hAnsi="Rockwell"/>
                <w:szCs w:val="26"/>
              </w:rPr>
              <w:t>8</w:t>
            </w:r>
          </w:p>
        </w:tc>
        <w:tc>
          <w:tcPr>
            <w:tcW w:w="1418" w:type="dxa"/>
            <w:shd w:val="clear" w:color="auto" w:fill="auto"/>
            <w:tcMar>
              <w:top w:w="0" w:type="dxa"/>
              <w:left w:w="70" w:type="dxa"/>
              <w:bottom w:w="0" w:type="dxa"/>
              <w:right w:w="70" w:type="dxa"/>
            </w:tcMar>
          </w:tcPr>
          <w:p w14:paraId="7CECA21A" w14:textId="77777777" w:rsidR="00284822" w:rsidRDefault="00F77BF8">
            <w:pPr>
              <w:spacing w:before="120" w:after="120"/>
              <w:jc w:val="center"/>
              <w:rPr>
                <w:rFonts w:ascii="Rockwell" w:hAnsi="Rockwell"/>
                <w:szCs w:val="26"/>
              </w:rPr>
            </w:pPr>
            <w:r>
              <w:rPr>
                <w:rFonts w:ascii="Rockwell" w:hAnsi="Rockwell"/>
                <w:szCs w:val="26"/>
              </w:rPr>
              <w:t>24,24%</w:t>
            </w:r>
          </w:p>
        </w:tc>
        <w:tc>
          <w:tcPr>
            <w:tcW w:w="1276" w:type="dxa"/>
            <w:shd w:val="clear" w:color="auto" w:fill="auto"/>
            <w:tcMar>
              <w:top w:w="0" w:type="dxa"/>
              <w:left w:w="70" w:type="dxa"/>
              <w:bottom w:w="0" w:type="dxa"/>
              <w:right w:w="70" w:type="dxa"/>
            </w:tcMar>
          </w:tcPr>
          <w:p w14:paraId="1D13B490" w14:textId="77777777" w:rsidR="00284822" w:rsidRDefault="00F77BF8">
            <w:pPr>
              <w:spacing w:before="120" w:after="120"/>
              <w:jc w:val="center"/>
              <w:rPr>
                <w:rFonts w:ascii="Rockwell" w:hAnsi="Rockwell"/>
                <w:szCs w:val="26"/>
              </w:rPr>
            </w:pPr>
            <w:r>
              <w:rPr>
                <w:rFonts w:ascii="Rockwell" w:hAnsi="Rockwell"/>
                <w:szCs w:val="26"/>
              </w:rPr>
              <w:t>16</w:t>
            </w:r>
          </w:p>
        </w:tc>
        <w:tc>
          <w:tcPr>
            <w:tcW w:w="1276" w:type="dxa"/>
            <w:shd w:val="clear" w:color="auto" w:fill="auto"/>
            <w:tcMar>
              <w:top w:w="0" w:type="dxa"/>
              <w:left w:w="70" w:type="dxa"/>
              <w:bottom w:w="0" w:type="dxa"/>
              <w:right w:w="70" w:type="dxa"/>
            </w:tcMar>
          </w:tcPr>
          <w:p w14:paraId="1802A832" w14:textId="77777777" w:rsidR="00284822" w:rsidRDefault="00F77BF8">
            <w:pPr>
              <w:spacing w:before="120" w:after="120"/>
              <w:jc w:val="center"/>
              <w:rPr>
                <w:rFonts w:ascii="Rockwell" w:hAnsi="Rockwell"/>
                <w:szCs w:val="26"/>
              </w:rPr>
            </w:pPr>
            <w:r>
              <w:rPr>
                <w:rFonts w:ascii="Rockwell" w:hAnsi="Rockwell"/>
                <w:szCs w:val="26"/>
              </w:rPr>
              <w:t>25,81%</w:t>
            </w:r>
          </w:p>
        </w:tc>
      </w:tr>
      <w:tr w:rsidR="00284822" w14:paraId="667A282A" w14:textId="77777777">
        <w:trPr>
          <w:trHeight w:val="60"/>
          <w:jc w:val="center"/>
        </w:trPr>
        <w:tc>
          <w:tcPr>
            <w:tcW w:w="1129" w:type="dxa"/>
            <w:shd w:val="clear" w:color="auto" w:fill="auto"/>
            <w:noWrap/>
            <w:tcMar>
              <w:top w:w="0" w:type="dxa"/>
              <w:left w:w="70" w:type="dxa"/>
              <w:bottom w:w="0" w:type="dxa"/>
              <w:right w:w="70" w:type="dxa"/>
            </w:tcMar>
          </w:tcPr>
          <w:p w14:paraId="1943B5BA" w14:textId="77777777" w:rsidR="00284822" w:rsidRDefault="00F77BF8">
            <w:pPr>
              <w:spacing w:before="120" w:after="120"/>
              <w:rPr>
                <w:rFonts w:ascii="Rockwell" w:hAnsi="Rockwell"/>
                <w:szCs w:val="26"/>
              </w:rPr>
            </w:pPr>
            <w:r>
              <w:rPr>
                <w:rFonts w:ascii="Rockwell" w:hAnsi="Rockwell"/>
                <w:bCs/>
                <w:szCs w:val="26"/>
              </w:rPr>
              <w:t>2</w:t>
            </w:r>
            <w:r>
              <w:rPr>
                <w:rFonts w:ascii="Rockwell" w:hAnsi="Rockwell"/>
                <w:bCs/>
                <w:szCs w:val="26"/>
                <w:vertAlign w:val="superscript"/>
              </w:rPr>
              <w:t>e</w:t>
            </w:r>
            <w:r>
              <w:rPr>
                <w:rFonts w:ascii="Rockwell" w:hAnsi="Rockwell"/>
                <w:bCs/>
                <w:szCs w:val="26"/>
              </w:rPr>
              <w:t xml:space="preserve"> </w:t>
            </w:r>
          </w:p>
        </w:tc>
        <w:tc>
          <w:tcPr>
            <w:tcW w:w="3828" w:type="dxa"/>
            <w:shd w:val="clear" w:color="auto" w:fill="auto"/>
            <w:tcMar>
              <w:top w:w="0" w:type="dxa"/>
              <w:left w:w="70" w:type="dxa"/>
              <w:bottom w:w="0" w:type="dxa"/>
              <w:right w:w="70" w:type="dxa"/>
            </w:tcMar>
          </w:tcPr>
          <w:p w14:paraId="559F5CD0" w14:textId="77777777" w:rsidR="00284822" w:rsidRDefault="00F77BF8">
            <w:pPr>
              <w:spacing w:before="120" w:after="120"/>
              <w:jc w:val="left"/>
              <w:rPr>
                <w:rFonts w:ascii="Rockwell" w:hAnsi="Rockwell"/>
                <w:b/>
                <w:szCs w:val="26"/>
              </w:rPr>
            </w:pPr>
            <w:r>
              <w:rPr>
                <w:rFonts w:ascii="Rockwell" w:hAnsi="Rockwell"/>
                <w:b/>
                <w:szCs w:val="26"/>
              </w:rPr>
              <w:t>UNIR/MPS</w:t>
            </w:r>
          </w:p>
        </w:tc>
        <w:tc>
          <w:tcPr>
            <w:tcW w:w="1417" w:type="dxa"/>
            <w:shd w:val="clear" w:color="auto" w:fill="auto"/>
            <w:tcMar>
              <w:top w:w="0" w:type="dxa"/>
              <w:left w:w="70" w:type="dxa"/>
              <w:bottom w:w="0" w:type="dxa"/>
              <w:right w:w="70" w:type="dxa"/>
            </w:tcMar>
          </w:tcPr>
          <w:p w14:paraId="5DB872E6" w14:textId="77777777" w:rsidR="00284822" w:rsidRDefault="00F77BF8">
            <w:pPr>
              <w:spacing w:before="120" w:after="120"/>
              <w:jc w:val="center"/>
              <w:rPr>
                <w:rFonts w:ascii="Rockwell" w:hAnsi="Rockwell"/>
                <w:szCs w:val="26"/>
              </w:rPr>
            </w:pPr>
            <w:r>
              <w:rPr>
                <w:rFonts w:ascii="Rockwell" w:hAnsi="Rockwell"/>
                <w:szCs w:val="26"/>
              </w:rPr>
              <w:t>7</w:t>
            </w:r>
          </w:p>
        </w:tc>
        <w:tc>
          <w:tcPr>
            <w:tcW w:w="1418" w:type="dxa"/>
            <w:shd w:val="clear" w:color="auto" w:fill="auto"/>
            <w:tcMar>
              <w:top w:w="0" w:type="dxa"/>
              <w:left w:w="70" w:type="dxa"/>
              <w:bottom w:w="0" w:type="dxa"/>
              <w:right w:w="70" w:type="dxa"/>
            </w:tcMar>
          </w:tcPr>
          <w:p w14:paraId="081CCB82" w14:textId="77777777" w:rsidR="00284822" w:rsidRDefault="00F77BF8">
            <w:pPr>
              <w:spacing w:before="120" w:after="120"/>
              <w:jc w:val="center"/>
              <w:rPr>
                <w:rFonts w:ascii="Rockwell" w:hAnsi="Rockwell"/>
                <w:szCs w:val="26"/>
              </w:rPr>
            </w:pPr>
            <w:r>
              <w:rPr>
                <w:rFonts w:ascii="Rockwell" w:hAnsi="Rockwell"/>
                <w:szCs w:val="26"/>
              </w:rPr>
              <w:t>21,21%</w:t>
            </w:r>
          </w:p>
        </w:tc>
        <w:tc>
          <w:tcPr>
            <w:tcW w:w="1276" w:type="dxa"/>
            <w:shd w:val="clear" w:color="auto" w:fill="auto"/>
            <w:tcMar>
              <w:top w:w="0" w:type="dxa"/>
              <w:left w:w="70" w:type="dxa"/>
              <w:bottom w:w="0" w:type="dxa"/>
              <w:right w:w="70" w:type="dxa"/>
            </w:tcMar>
          </w:tcPr>
          <w:p w14:paraId="53B7E78F" w14:textId="77777777" w:rsidR="00284822" w:rsidRDefault="00F77BF8">
            <w:pPr>
              <w:spacing w:before="120" w:after="120"/>
              <w:jc w:val="center"/>
              <w:rPr>
                <w:rFonts w:ascii="Rockwell" w:hAnsi="Rockwell"/>
                <w:szCs w:val="26"/>
              </w:rPr>
            </w:pPr>
            <w:r>
              <w:rPr>
                <w:rFonts w:ascii="Rockwell" w:hAnsi="Rockwell"/>
                <w:szCs w:val="26"/>
              </w:rPr>
              <w:t>8</w:t>
            </w:r>
          </w:p>
        </w:tc>
        <w:tc>
          <w:tcPr>
            <w:tcW w:w="1276" w:type="dxa"/>
            <w:shd w:val="clear" w:color="auto" w:fill="auto"/>
            <w:tcMar>
              <w:top w:w="0" w:type="dxa"/>
              <w:left w:w="70" w:type="dxa"/>
              <w:bottom w:w="0" w:type="dxa"/>
              <w:right w:w="70" w:type="dxa"/>
            </w:tcMar>
          </w:tcPr>
          <w:p w14:paraId="513B2EAB" w14:textId="77777777" w:rsidR="00284822" w:rsidRDefault="00F77BF8">
            <w:pPr>
              <w:spacing w:before="120" w:after="120"/>
              <w:jc w:val="center"/>
              <w:rPr>
                <w:rFonts w:ascii="Rockwell" w:hAnsi="Rockwell"/>
                <w:szCs w:val="26"/>
              </w:rPr>
            </w:pPr>
            <w:r>
              <w:rPr>
                <w:rFonts w:ascii="Rockwell" w:hAnsi="Rockwell"/>
                <w:szCs w:val="26"/>
              </w:rPr>
              <w:t>12,90%</w:t>
            </w:r>
          </w:p>
        </w:tc>
      </w:tr>
      <w:tr w:rsidR="00284822" w14:paraId="60059DF3" w14:textId="77777777">
        <w:trPr>
          <w:trHeight w:val="60"/>
          <w:jc w:val="center"/>
        </w:trPr>
        <w:tc>
          <w:tcPr>
            <w:tcW w:w="1129" w:type="dxa"/>
            <w:shd w:val="clear" w:color="auto" w:fill="auto"/>
            <w:noWrap/>
            <w:tcMar>
              <w:top w:w="0" w:type="dxa"/>
              <w:left w:w="70" w:type="dxa"/>
              <w:bottom w:w="0" w:type="dxa"/>
              <w:right w:w="70" w:type="dxa"/>
            </w:tcMar>
          </w:tcPr>
          <w:p w14:paraId="7763CF7C" w14:textId="77777777" w:rsidR="00284822" w:rsidRDefault="00F77BF8">
            <w:pPr>
              <w:spacing w:before="120" w:after="120"/>
              <w:rPr>
                <w:rFonts w:ascii="Rockwell" w:hAnsi="Rockwell"/>
                <w:szCs w:val="26"/>
              </w:rPr>
            </w:pPr>
            <w:r>
              <w:rPr>
                <w:rFonts w:ascii="Rockwell" w:hAnsi="Rockwell"/>
                <w:bCs/>
                <w:szCs w:val="26"/>
              </w:rPr>
              <w:t>3</w:t>
            </w:r>
            <w:r>
              <w:rPr>
                <w:rFonts w:ascii="Rockwell" w:hAnsi="Rockwell"/>
                <w:bCs/>
                <w:szCs w:val="26"/>
                <w:vertAlign w:val="superscript"/>
              </w:rPr>
              <w:t>e</w:t>
            </w:r>
            <w:r>
              <w:rPr>
                <w:rFonts w:ascii="Rockwell" w:hAnsi="Rockwell"/>
                <w:bCs/>
                <w:szCs w:val="26"/>
              </w:rPr>
              <w:t xml:space="preserve"> </w:t>
            </w:r>
          </w:p>
        </w:tc>
        <w:tc>
          <w:tcPr>
            <w:tcW w:w="3828" w:type="dxa"/>
            <w:shd w:val="clear" w:color="auto" w:fill="auto"/>
            <w:tcMar>
              <w:top w:w="0" w:type="dxa"/>
              <w:left w:w="70" w:type="dxa"/>
              <w:bottom w:w="0" w:type="dxa"/>
              <w:right w:w="70" w:type="dxa"/>
            </w:tcMar>
          </w:tcPr>
          <w:p w14:paraId="4B1BCE65" w14:textId="77777777" w:rsidR="00284822" w:rsidRDefault="00F77BF8">
            <w:pPr>
              <w:spacing w:before="120" w:after="120"/>
              <w:jc w:val="left"/>
              <w:rPr>
                <w:rFonts w:ascii="Rockwell" w:hAnsi="Rockwell"/>
                <w:b/>
                <w:szCs w:val="26"/>
              </w:rPr>
            </w:pPr>
            <w:r>
              <w:rPr>
                <w:rFonts w:ascii="Rockwell" w:hAnsi="Rockwell"/>
                <w:b/>
                <w:szCs w:val="26"/>
              </w:rPr>
              <w:t>CDP</w:t>
            </w:r>
          </w:p>
        </w:tc>
        <w:tc>
          <w:tcPr>
            <w:tcW w:w="1417" w:type="dxa"/>
            <w:shd w:val="clear" w:color="auto" w:fill="auto"/>
            <w:tcMar>
              <w:top w:w="0" w:type="dxa"/>
              <w:left w:w="70" w:type="dxa"/>
              <w:bottom w:w="0" w:type="dxa"/>
              <w:right w:w="70" w:type="dxa"/>
            </w:tcMar>
          </w:tcPr>
          <w:p w14:paraId="04C9C665" w14:textId="77777777" w:rsidR="00284822" w:rsidRDefault="00F77BF8">
            <w:pPr>
              <w:spacing w:before="120" w:after="120"/>
              <w:jc w:val="center"/>
              <w:rPr>
                <w:rFonts w:ascii="Rockwell" w:hAnsi="Rockwell"/>
                <w:szCs w:val="26"/>
              </w:rPr>
            </w:pPr>
            <w:r>
              <w:rPr>
                <w:rFonts w:ascii="Rockwell" w:hAnsi="Rockwell"/>
                <w:szCs w:val="26"/>
              </w:rPr>
              <w:t>3</w:t>
            </w:r>
          </w:p>
        </w:tc>
        <w:tc>
          <w:tcPr>
            <w:tcW w:w="1418" w:type="dxa"/>
            <w:shd w:val="clear" w:color="auto" w:fill="auto"/>
            <w:tcMar>
              <w:top w:w="0" w:type="dxa"/>
              <w:left w:w="70" w:type="dxa"/>
              <w:bottom w:w="0" w:type="dxa"/>
              <w:right w:w="70" w:type="dxa"/>
            </w:tcMar>
          </w:tcPr>
          <w:p w14:paraId="4BCCD207" w14:textId="77777777" w:rsidR="00284822" w:rsidRDefault="00F77BF8">
            <w:pPr>
              <w:spacing w:before="120" w:after="120"/>
              <w:jc w:val="center"/>
              <w:rPr>
                <w:rFonts w:ascii="Rockwell" w:hAnsi="Rockwell"/>
                <w:szCs w:val="26"/>
              </w:rPr>
            </w:pPr>
            <w:r>
              <w:rPr>
                <w:rFonts w:ascii="Rockwell" w:hAnsi="Rockwell"/>
                <w:szCs w:val="26"/>
              </w:rPr>
              <w:t>9,09%</w:t>
            </w:r>
          </w:p>
        </w:tc>
        <w:tc>
          <w:tcPr>
            <w:tcW w:w="1276" w:type="dxa"/>
            <w:shd w:val="clear" w:color="auto" w:fill="auto"/>
            <w:tcMar>
              <w:top w:w="0" w:type="dxa"/>
              <w:left w:w="70" w:type="dxa"/>
              <w:bottom w:w="0" w:type="dxa"/>
              <w:right w:w="70" w:type="dxa"/>
            </w:tcMar>
          </w:tcPr>
          <w:p w14:paraId="0BA23F5F" w14:textId="77777777" w:rsidR="00284822" w:rsidRDefault="00F77BF8">
            <w:pPr>
              <w:spacing w:before="120" w:after="120"/>
              <w:jc w:val="center"/>
              <w:rPr>
                <w:rFonts w:ascii="Rockwell" w:hAnsi="Rockwell"/>
                <w:szCs w:val="26"/>
              </w:rPr>
            </w:pPr>
            <w:r>
              <w:rPr>
                <w:rFonts w:ascii="Rockwell" w:hAnsi="Rockwell"/>
                <w:szCs w:val="26"/>
              </w:rPr>
              <w:t>7</w:t>
            </w:r>
          </w:p>
        </w:tc>
        <w:tc>
          <w:tcPr>
            <w:tcW w:w="1276" w:type="dxa"/>
            <w:shd w:val="clear" w:color="auto" w:fill="auto"/>
            <w:tcMar>
              <w:top w:w="0" w:type="dxa"/>
              <w:left w:w="70" w:type="dxa"/>
              <w:bottom w:w="0" w:type="dxa"/>
              <w:right w:w="70" w:type="dxa"/>
            </w:tcMar>
          </w:tcPr>
          <w:p w14:paraId="6A65D768" w14:textId="77777777" w:rsidR="00284822" w:rsidRDefault="00F77BF8">
            <w:pPr>
              <w:spacing w:before="120" w:after="120"/>
              <w:jc w:val="center"/>
              <w:rPr>
                <w:rFonts w:ascii="Rockwell" w:hAnsi="Rockwell"/>
                <w:szCs w:val="26"/>
              </w:rPr>
            </w:pPr>
            <w:r>
              <w:rPr>
                <w:rFonts w:ascii="Rockwell" w:hAnsi="Rockwell"/>
                <w:szCs w:val="26"/>
              </w:rPr>
              <w:t>11,29%</w:t>
            </w:r>
          </w:p>
        </w:tc>
      </w:tr>
      <w:tr w:rsidR="00284822" w14:paraId="631643C1" w14:textId="77777777">
        <w:trPr>
          <w:trHeight w:val="60"/>
          <w:jc w:val="center"/>
        </w:trPr>
        <w:tc>
          <w:tcPr>
            <w:tcW w:w="1129" w:type="dxa"/>
            <w:shd w:val="clear" w:color="auto" w:fill="auto"/>
            <w:noWrap/>
            <w:tcMar>
              <w:top w:w="0" w:type="dxa"/>
              <w:left w:w="70" w:type="dxa"/>
              <w:bottom w:w="0" w:type="dxa"/>
              <w:right w:w="70" w:type="dxa"/>
            </w:tcMar>
          </w:tcPr>
          <w:p w14:paraId="52896611" w14:textId="77777777" w:rsidR="00284822" w:rsidRDefault="00F77BF8">
            <w:pPr>
              <w:spacing w:before="120" w:after="120"/>
              <w:rPr>
                <w:rFonts w:ascii="Rockwell" w:hAnsi="Rockwell"/>
                <w:szCs w:val="26"/>
              </w:rPr>
            </w:pPr>
            <w:r>
              <w:rPr>
                <w:rFonts w:ascii="Rockwell" w:hAnsi="Rockwell"/>
                <w:bCs/>
                <w:szCs w:val="26"/>
              </w:rPr>
              <w:t>3</w:t>
            </w:r>
            <w:r>
              <w:rPr>
                <w:rFonts w:ascii="Rockwell" w:hAnsi="Rockwell"/>
                <w:bCs/>
                <w:szCs w:val="26"/>
                <w:vertAlign w:val="superscript"/>
              </w:rPr>
              <w:t>e</w:t>
            </w:r>
            <w:r>
              <w:rPr>
                <w:rFonts w:ascii="Rockwell" w:hAnsi="Rockwell"/>
                <w:bCs/>
                <w:szCs w:val="26"/>
              </w:rPr>
              <w:t xml:space="preserve"> ex</w:t>
            </w:r>
          </w:p>
        </w:tc>
        <w:tc>
          <w:tcPr>
            <w:tcW w:w="3828" w:type="dxa"/>
            <w:shd w:val="clear" w:color="auto" w:fill="auto"/>
            <w:tcMar>
              <w:top w:w="0" w:type="dxa"/>
              <w:left w:w="70" w:type="dxa"/>
              <w:bottom w:w="0" w:type="dxa"/>
              <w:right w:w="70" w:type="dxa"/>
            </w:tcMar>
          </w:tcPr>
          <w:p w14:paraId="7C1D7E80" w14:textId="77777777" w:rsidR="00284822" w:rsidRDefault="00F77BF8">
            <w:pPr>
              <w:spacing w:before="120" w:after="120"/>
              <w:jc w:val="left"/>
              <w:rPr>
                <w:rFonts w:ascii="Rockwell" w:hAnsi="Rockwell"/>
                <w:b/>
                <w:szCs w:val="26"/>
              </w:rPr>
            </w:pPr>
            <w:r>
              <w:rPr>
                <w:rFonts w:ascii="Rockwell" w:hAnsi="Rockwell"/>
                <w:b/>
                <w:szCs w:val="26"/>
              </w:rPr>
              <w:t>SENS</w:t>
            </w:r>
          </w:p>
        </w:tc>
        <w:tc>
          <w:tcPr>
            <w:tcW w:w="1417" w:type="dxa"/>
            <w:shd w:val="clear" w:color="auto" w:fill="auto"/>
            <w:tcMar>
              <w:top w:w="0" w:type="dxa"/>
              <w:left w:w="70" w:type="dxa"/>
              <w:bottom w:w="0" w:type="dxa"/>
              <w:right w:w="70" w:type="dxa"/>
            </w:tcMar>
          </w:tcPr>
          <w:p w14:paraId="128AFD06" w14:textId="77777777" w:rsidR="00284822" w:rsidRDefault="00F77BF8">
            <w:pPr>
              <w:spacing w:before="120" w:after="120"/>
              <w:jc w:val="center"/>
              <w:rPr>
                <w:rFonts w:ascii="Rockwell" w:hAnsi="Rockwell"/>
                <w:szCs w:val="26"/>
              </w:rPr>
            </w:pPr>
            <w:r>
              <w:rPr>
                <w:rFonts w:ascii="Rockwell" w:hAnsi="Rockwell"/>
                <w:szCs w:val="26"/>
              </w:rPr>
              <w:t>3</w:t>
            </w:r>
          </w:p>
        </w:tc>
        <w:tc>
          <w:tcPr>
            <w:tcW w:w="1418" w:type="dxa"/>
            <w:shd w:val="clear" w:color="auto" w:fill="auto"/>
            <w:tcMar>
              <w:top w:w="0" w:type="dxa"/>
              <w:left w:w="70" w:type="dxa"/>
              <w:bottom w:w="0" w:type="dxa"/>
              <w:right w:w="70" w:type="dxa"/>
            </w:tcMar>
          </w:tcPr>
          <w:p w14:paraId="791980DB" w14:textId="77777777" w:rsidR="00284822" w:rsidRDefault="00F77BF8">
            <w:pPr>
              <w:spacing w:before="120" w:after="120"/>
              <w:jc w:val="center"/>
              <w:rPr>
                <w:rFonts w:ascii="Rockwell" w:hAnsi="Rockwell"/>
                <w:szCs w:val="26"/>
              </w:rPr>
            </w:pPr>
            <w:r>
              <w:rPr>
                <w:rFonts w:ascii="Rockwell" w:hAnsi="Rockwell"/>
                <w:szCs w:val="26"/>
              </w:rPr>
              <w:t>9,09%</w:t>
            </w:r>
          </w:p>
        </w:tc>
        <w:tc>
          <w:tcPr>
            <w:tcW w:w="1276" w:type="dxa"/>
            <w:shd w:val="clear" w:color="auto" w:fill="auto"/>
            <w:tcMar>
              <w:top w:w="0" w:type="dxa"/>
              <w:left w:w="70" w:type="dxa"/>
              <w:bottom w:w="0" w:type="dxa"/>
              <w:right w:w="70" w:type="dxa"/>
            </w:tcMar>
          </w:tcPr>
          <w:p w14:paraId="62713BCE" w14:textId="77777777" w:rsidR="00284822" w:rsidRDefault="00F77BF8">
            <w:pPr>
              <w:spacing w:before="120" w:after="120"/>
              <w:jc w:val="center"/>
              <w:rPr>
                <w:rFonts w:ascii="Rockwell" w:hAnsi="Rockwell"/>
                <w:szCs w:val="26"/>
              </w:rPr>
            </w:pPr>
            <w:r>
              <w:rPr>
                <w:rFonts w:ascii="Rockwell" w:hAnsi="Rockwell"/>
                <w:szCs w:val="26"/>
              </w:rPr>
              <w:t>5</w:t>
            </w:r>
          </w:p>
        </w:tc>
        <w:tc>
          <w:tcPr>
            <w:tcW w:w="1276" w:type="dxa"/>
            <w:shd w:val="clear" w:color="auto" w:fill="auto"/>
            <w:tcMar>
              <w:top w:w="0" w:type="dxa"/>
              <w:left w:w="70" w:type="dxa"/>
              <w:bottom w:w="0" w:type="dxa"/>
              <w:right w:w="70" w:type="dxa"/>
            </w:tcMar>
          </w:tcPr>
          <w:p w14:paraId="2D103D8E" w14:textId="77777777" w:rsidR="00284822" w:rsidRDefault="00F77BF8">
            <w:pPr>
              <w:spacing w:before="120" w:after="120"/>
              <w:jc w:val="center"/>
              <w:rPr>
                <w:rFonts w:ascii="Rockwell" w:hAnsi="Rockwell"/>
                <w:szCs w:val="26"/>
              </w:rPr>
            </w:pPr>
            <w:r>
              <w:rPr>
                <w:rFonts w:ascii="Rockwell" w:hAnsi="Rockwell"/>
                <w:szCs w:val="26"/>
              </w:rPr>
              <w:t>8,06%</w:t>
            </w:r>
          </w:p>
        </w:tc>
      </w:tr>
      <w:tr w:rsidR="00284822" w14:paraId="4B5880D8" w14:textId="77777777">
        <w:trPr>
          <w:trHeight w:val="647"/>
          <w:jc w:val="center"/>
        </w:trPr>
        <w:tc>
          <w:tcPr>
            <w:tcW w:w="1129" w:type="dxa"/>
            <w:shd w:val="clear" w:color="auto" w:fill="auto"/>
            <w:noWrap/>
            <w:tcMar>
              <w:top w:w="0" w:type="dxa"/>
              <w:left w:w="70" w:type="dxa"/>
              <w:bottom w:w="0" w:type="dxa"/>
              <w:right w:w="70" w:type="dxa"/>
            </w:tcMar>
          </w:tcPr>
          <w:p w14:paraId="683234C7" w14:textId="77777777" w:rsidR="00284822" w:rsidRDefault="00F77BF8">
            <w:pPr>
              <w:spacing w:before="120" w:after="120"/>
              <w:rPr>
                <w:rFonts w:ascii="Rockwell" w:hAnsi="Rockwell"/>
                <w:szCs w:val="26"/>
              </w:rPr>
            </w:pPr>
            <w:r>
              <w:rPr>
                <w:rFonts w:ascii="Rockwell" w:hAnsi="Rockwell"/>
                <w:bCs/>
                <w:szCs w:val="26"/>
              </w:rPr>
              <w:t>5</w:t>
            </w:r>
            <w:r>
              <w:rPr>
                <w:rFonts w:ascii="Rockwell" w:hAnsi="Rockwell"/>
                <w:bCs/>
                <w:szCs w:val="26"/>
                <w:vertAlign w:val="superscript"/>
              </w:rPr>
              <w:t>e</w:t>
            </w:r>
            <w:r>
              <w:rPr>
                <w:rFonts w:ascii="Rockwell" w:hAnsi="Rockwell"/>
                <w:bCs/>
                <w:szCs w:val="26"/>
              </w:rPr>
              <w:t xml:space="preserve"> </w:t>
            </w:r>
          </w:p>
        </w:tc>
        <w:tc>
          <w:tcPr>
            <w:tcW w:w="3828" w:type="dxa"/>
            <w:shd w:val="clear" w:color="auto" w:fill="auto"/>
            <w:tcMar>
              <w:top w:w="0" w:type="dxa"/>
              <w:left w:w="70" w:type="dxa"/>
              <w:bottom w:w="0" w:type="dxa"/>
              <w:right w:w="70" w:type="dxa"/>
            </w:tcMar>
          </w:tcPr>
          <w:p w14:paraId="691FA52F" w14:textId="77777777" w:rsidR="00284822" w:rsidRDefault="00F77BF8">
            <w:pPr>
              <w:spacing w:before="120" w:after="120"/>
              <w:jc w:val="left"/>
              <w:rPr>
                <w:rFonts w:ascii="Rockwell" w:hAnsi="Rockwell"/>
                <w:b/>
                <w:szCs w:val="26"/>
              </w:rPr>
            </w:pPr>
            <w:r>
              <w:rPr>
                <w:rFonts w:ascii="Rockwell" w:hAnsi="Rockwell"/>
                <w:b/>
                <w:szCs w:val="26"/>
              </w:rPr>
              <w:t>PPS</w:t>
            </w:r>
          </w:p>
        </w:tc>
        <w:tc>
          <w:tcPr>
            <w:tcW w:w="1417" w:type="dxa"/>
            <w:shd w:val="clear" w:color="auto" w:fill="auto"/>
            <w:tcMar>
              <w:top w:w="0" w:type="dxa"/>
              <w:left w:w="70" w:type="dxa"/>
              <w:bottom w:w="0" w:type="dxa"/>
              <w:right w:w="70" w:type="dxa"/>
            </w:tcMar>
          </w:tcPr>
          <w:p w14:paraId="7E10F5AE" w14:textId="77777777" w:rsidR="00284822" w:rsidRDefault="00F77BF8">
            <w:pPr>
              <w:spacing w:before="120" w:after="120"/>
              <w:jc w:val="center"/>
              <w:rPr>
                <w:rFonts w:ascii="Rockwell" w:hAnsi="Rockwell"/>
                <w:szCs w:val="26"/>
              </w:rPr>
            </w:pPr>
            <w:r>
              <w:rPr>
                <w:rFonts w:ascii="Rockwell" w:hAnsi="Rockwell"/>
                <w:szCs w:val="26"/>
              </w:rPr>
              <w:t>2</w:t>
            </w:r>
          </w:p>
        </w:tc>
        <w:tc>
          <w:tcPr>
            <w:tcW w:w="1418" w:type="dxa"/>
            <w:shd w:val="clear" w:color="auto" w:fill="auto"/>
            <w:tcMar>
              <w:top w:w="0" w:type="dxa"/>
              <w:left w:w="70" w:type="dxa"/>
              <w:bottom w:w="0" w:type="dxa"/>
              <w:right w:w="70" w:type="dxa"/>
            </w:tcMar>
          </w:tcPr>
          <w:p w14:paraId="6BAE0CD8" w14:textId="77777777" w:rsidR="00284822" w:rsidRDefault="00F77BF8">
            <w:pPr>
              <w:spacing w:before="120" w:after="120"/>
              <w:jc w:val="center"/>
              <w:rPr>
                <w:rFonts w:ascii="Rockwell" w:hAnsi="Rockwell"/>
                <w:szCs w:val="26"/>
              </w:rPr>
            </w:pPr>
            <w:r>
              <w:rPr>
                <w:rFonts w:ascii="Rockwell" w:hAnsi="Rockwell"/>
                <w:szCs w:val="26"/>
              </w:rPr>
              <w:t>6,06%</w:t>
            </w:r>
          </w:p>
        </w:tc>
        <w:tc>
          <w:tcPr>
            <w:tcW w:w="1276" w:type="dxa"/>
            <w:shd w:val="clear" w:color="auto" w:fill="auto"/>
            <w:tcMar>
              <w:top w:w="0" w:type="dxa"/>
              <w:left w:w="70" w:type="dxa"/>
              <w:bottom w:w="0" w:type="dxa"/>
              <w:right w:w="70" w:type="dxa"/>
            </w:tcMar>
          </w:tcPr>
          <w:p w14:paraId="0F2FA565" w14:textId="77777777" w:rsidR="00284822" w:rsidRDefault="00F77BF8">
            <w:pPr>
              <w:spacing w:before="120" w:after="120"/>
              <w:jc w:val="center"/>
              <w:rPr>
                <w:rFonts w:ascii="Rockwell" w:hAnsi="Rockwell"/>
                <w:szCs w:val="26"/>
              </w:rPr>
            </w:pPr>
            <w:r>
              <w:rPr>
                <w:rFonts w:ascii="Rockwell" w:hAnsi="Rockwell"/>
                <w:szCs w:val="26"/>
              </w:rPr>
              <w:t>10</w:t>
            </w:r>
          </w:p>
        </w:tc>
        <w:tc>
          <w:tcPr>
            <w:tcW w:w="1276" w:type="dxa"/>
            <w:shd w:val="clear" w:color="auto" w:fill="auto"/>
            <w:tcMar>
              <w:top w:w="0" w:type="dxa"/>
              <w:left w:w="70" w:type="dxa"/>
              <w:bottom w:w="0" w:type="dxa"/>
              <w:right w:w="70" w:type="dxa"/>
            </w:tcMar>
          </w:tcPr>
          <w:p w14:paraId="31E8CEF6" w14:textId="77777777" w:rsidR="00284822" w:rsidRDefault="00F77BF8">
            <w:pPr>
              <w:spacing w:before="120" w:after="120"/>
              <w:jc w:val="center"/>
              <w:rPr>
                <w:rFonts w:ascii="Rockwell" w:hAnsi="Rockwell"/>
                <w:szCs w:val="26"/>
              </w:rPr>
            </w:pPr>
            <w:r>
              <w:rPr>
                <w:rFonts w:ascii="Rockwell" w:hAnsi="Rockwell"/>
                <w:szCs w:val="26"/>
              </w:rPr>
              <w:t>16,13%</w:t>
            </w:r>
          </w:p>
        </w:tc>
      </w:tr>
      <w:tr w:rsidR="00284822" w14:paraId="122CA972" w14:textId="77777777">
        <w:trPr>
          <w:trHeight w:val="653"/>
          <w:jc w:val="center"/>
        </w:trPr>
        <w:tc>
          <w:tcPr>
            <w:tcW w:w="1129" w:type="dxa"/>
            <w:shd w:val="clear" w:color="auto" w:fill="auto"/>
            <w:noWrap/>
            <w:tcMar>
              <w:top w:w="0" w:type="dxa"/>
              <w:left w:w="70" w:type="dxa"/>
              <w:bottom w:w="0" w:type="dxa"/>
              <w:right w:w="70" w:type="dxa"/>
            </w:tcMar>
          </w:tcPr>
          <w:p w14:paraId="1D53B144" w14:textId="77777777" w:rsidR="00284822" w:rsidRDefault="00F77BF8">
            <w:pPr>
              <w:spacing w:before="120" w:after="120"/>
              <w:rPr>
                <w:rFonts w:ascii="Rockwell" w:hAnsi="Rockwell"/>
                <w:szCs w:val="26"/>
              </w:rPr>
            </w:pPr>
            <w:r>
              <w:rPr>
                <w:rFonts w:ascii="Rockwell" w:hAnsi="Rockwell"/>
                <w:bCs/>
                <w:szCs w:val="26"/>
              </w:rPr>
              <w:t>5</w:t>
            </w:r>
            <w:r>
              <w:rPr>
                <w:rFonts w:ascii="Rockwell" w:hAnsi="Rockwell"/>
                <w:bCs/>
                <w:szCs w:val="26"/>
                <w:vertAlign w:val="superscript"/>
              </w:rPr>
              <w:t>e</w:t>
            </w:r>
            <w:r>
              <w:rPr>
                <w:rFonts w:ascii="Rockwell" w:hAnsi="Rockwell"/>
                <w:bCs/>
                <w:szCs w:val="26"/>
              </w:rPr>
              <w:t xml:space="preserve"> ex</w:t>
            </w:r>
          </w:p>
        </w:tc>
        <w:tc>
          <w:tcPr>
            <w:tcW w:w="3828" w:type="dxa"/>
            <w:shd w:val="clear" w:color="auto" w:fill="auto"/>
            <w:tcMar>
              <w:top w:w="0" w:type="dxa"/>
              <w:left w:w="70" w:type="dxa"/>
              <w:bottom w:w="0" w:type="dxa"/>
              <w:right w:w="70" w:type="dxa"/>
            </w:tcMar>
          </w:tcPr>
          <w:p w14:paraId="2EC44C87" w14:textId="77777777" w:rsidR="00284822" w:rsidRDefault="00F77BF8">
            <w:pPr>
              <w:spacing w:before="120" w:after="120"/>
              <w:jc w:val="left"/>
              <w:rPr>
                <w:rFonts w:ascii="Rockwell" w:hAnsi="Rockwell"/>
                <w:b/>
                <w:szCs w:val="26"/>
              </w:rPr>
            </w:pPr>
            <w:r>
              <w:rPr>
                <w:rFonts w:ascii="Rockwell" w:hAnsi="Rockwell"/>
                <w:b/>
                <w:szCs w:val="26"/>
              </w:rPr>
              <w:t>LES DEMOCRATES</w:t>
            </w:r>
          </w:p>
        </w:tc>
        <w:tc>
          <w:tcPr>
            <w:tcW w:w="1417" w:type="dxa"/>
            <w:shd w:val="clear" w:color="auto" w:fill="auto"/>
            <w:tcMar>
              <w:top w:w="0" w:type="dxa"/>
              <w:left w:w="70" w:type="dxa"/>
              <w:bottom w:w="0" w:type="dxa"/>
              <w:right w:w="70" w:type="dxa"/>
            </w:tcMar>
          </w:tcPr>
          <w:p w14:paraId="3BB8B42E" w14:textId="77777777" w:rsidR="00284822" w:rsidRDefault="00F77BF8">
            <w:pPr>
              <w:spacing w:before="120" w:after="120"/>
              <w:jc w:val="center"/>
              <w:rPr>
                <w:rFonts w:ascii="Rockwell" w:hAnsi="Rockwell"/>
                <w:szCs w:val="26"/>
              </w:rPr>
            </w:pPr>
            <w:r>
              <w:rPr>
                <w:rFonts w:ascii="Rockwell" w:hAnsi="Rockwell"/>
                <w:szCs w:val="26"/>
              </w:rPr>
              <w:t>2</w:t>
            </w:r>
          </w:p>
        </w:tc>
        <w:tc>
          <w:tcPr>
            <w:tcW w:w="1418" w:type="dxa"/>
            <w:shd w:val="clear" w:color="auto" w:fill="auto"/>
            <w:tcMar>
              <w:top w:w="0" w:type="dxa"/>
              <w:left w:w="70" w:type="dxa"/>
              <w:bottom w:w="0" w:type="dxa"/>
              <w:right w:w="70" w:type="dxa"/>
            </w:tcMar>
          </w:tcPr>
          <w:p w14:paraId="37E51A15" w14:textId="77777777" w:rsidR="00284822" w:rsidRDefault="00F77BF8">
            <w:pPr>
              <w:spacing w:before="120" w:after="120"/>
              <w:jc w:val="center"/>
              <w:rPr>
                <w:rFonts w:ascii="Rockwell" w:hAnsi="Rockwell"/>
                <w:szCs w:val="26"/>
              </w:rPr>
            </w:pPr>
            <w:r>
              <w:rPr>
                <w:rFonts w:ascii="Rockwell" w:hAnsi="Rockwell"/>
                <w:szCs w:val="26"/>
              </w:rPr>
              <w:t>6,06%</w:t>
            </w:r>
          </w:p>
        </w:tc>
        <w:tc>
          <w:tcPr>
            <w:tcW w:w="1276" w:type="dxa"/>
            <w:shd w:val="clear" w:color="auto" w:fill="auto"/>
            <w:tcMar>
              <w:top w:w="0" w:type="dxa"/>
              <w:left w:w="70" w:type="dxa"/>
              <w:bottom w:w="0" w:type="dxa"/>
              <w:right w:w="70" w:type="dxa"/>
            </w:tcMar>
          </w:tcPr>
          <w:p w14:paraId="6B267B82" w14:textId="77777777" w:rsidR="00284822" w:rsidRDefault="00F77BF8">
            <w:pPr>
              <w:spacing w:before="120" w:after="120"/>
              <w:jc w:val="center"/>
              <w:rPr>
                <w:rFonts w:ascii="Rockwell" w:hAnsi="Rockwell"/>
                <w:szCs w:val="26"/>
              </w:rPr>
            </w:pPr>
            <w:r>
              <w:rPr>
                <w:rFonts w:ascii="Rockwell" w:hAnsi="Rockwell"/>
                <w:szCs w:val="26"/>
              </w:rPr>
              <w:t>6</w:t>
            </w:r>
          </w:p>
        </w:tc>
        <w:tc>
          <w:tcPr>
            <w:tcW w:w="1276" w:type="dxa"/>
            <w:shd w:val="clear" w:color="auto" w:fill="auto"/>
            <w:tcMar>
              <w:top w:w="0" w:type="dxa"/>
              <w:left w:w="70" w:type="dxa"/>
              <w:bottom w:w="0" w:type="dxa"/>
              <w:right w:w="70" w:type="dxa"/>
            </w:tcMar>
          </w:tcPr>
          <w:p w14:paraId="3E5D08F0" w14:textId="77777777" w:rsidR="00284822" w:rsidRDefault="00F77BF8">
            <w:pPr>
              <w:spacing w:before="120" w:after="120"/>
              <w:jc w:val="center"/>
              <w:rPr>
                <w:rFonts w:ascii="Rockwell" w:hAnsi="Rockwell"/>
                <w:szCs w:val="26"/>
              </w:rPr>
            </w:pPr>
            <w:r>
              <w:rPr>
                <w:rFonts w:ascii="Rockwell" w:hAnsi="Rockwell"/>
                <w:szCs w:val="26"/>
              </w:rPr>
              <w:t>9,68%</w:t>
            </w:r>
          </w:p>
        </w:tc>
      </w:tr>
      <w:tr w:rsidR="00284822" w14:paraId="4A7803F9" w14:textId="77777777">
        <w:trPr>
          <w:trHeight w:val="60"/>
          <w:jc w:val="center"/>
        </w:trPr>
        <w:tc>
          <w:tcPr>
            <w:tcW w:w="1129" w:type="dxa"/>
            <w:shd w:val="clear" w:color="auto" w:fill="auto"/>
            <w:noWrap/>
            <w:tcMar>
              <w:top w:w="0" w:type="dxa"/>
              <w:left w:w="70" w:type="dxa"/>
              <w:bottom w:w="0" w:type="dxa"/>
              <w:right w:w="70" w:type="dxa"/>
            </w:tcMar>
          </w:tcPr>
          <w:p w14:paraId="566D2E1D" w14:textId="77777777" w:rsidR="00284822" w:rsidRDefault="00F77BF8">
            <w:pPr>
              <w:spacing w:before="120" w:after="120"/>
              <w:rPr>
                <w:rFonts w:ascii="Rockwell" w:hAnsi="Rockwell"/>
                <w:szCs w:val="26"/>
              </w:rPr>
            </w:pPr>
            <w:r>
              <w:rPr>
                <w:rFonts w:ascii="Rockwell" w:hAnsi="Rockwell"/>
                <w:bCs/>
                <w:szCs w:val="26"/>
              </w:rPr>
              <w:t>5</w:t>
            </w:r>
            <w:r>
              <w:rPr>
                <w:rFonts w:ascii="Rockwell" w:hAnsi="Rockwell"/>
                <w:bCs/>
                <w:szCs w:val="26"/>
                <w:vertAlign w:val="superscript"/>
              </w:rPr>
              <w:t>e</w:t>
            </w:r>
            <w:r>
              <w:rPr>
                <w:rFonts w:ascii="Rockwell" w:hAnsi="Rockwell"/>
                <w:bCs/>
                <w:szCs w:val="26"/>
              </w:rPr>
              <w:t xml:space="preserve"> ex </w:t>
            </w:r>
          </w:p>
        </w:tc>
        <w:tc>
          <w:tcPr>
            <w:tcW w:w="3828" w:type="dxa"/>
            <w:shd w:val="clear" w:color="auto" w:fill="auto"/>
            <w:tcMar>
              <w:top w:w="0" w:type="dxa"/>
              <w:left w:w="70" w:type="dxa"/>
              <w:bottom w:w="0" w:type="dxa"/>
              <w:right w:w="70" w:type="dxa"/>
            </w:tcMar>
          </w:tcPr>
          <w:p w14:paraId="358EF51D" w14:textId="77777777" w:rsidR="00284822" w:rsidRDefault="00F77BF8">
            <w:pPr>
              <w:spacing w:before="120" w:after="120"/>
              <w:jc w:val="left"/>
              <w:rPr>
                <w:rFonts w:ascii="Rockwell" w:hAnsi="Rockwell"/>
                <w:b/>
                <w:szCs w:val="26"/>
              </w:rPr>
            </w:pPr>
            <w:r>
              <w:rPr>
                <w:rFonts w:ascii="Rockwell" w:hAnsi="Rockwell"/>
                <w:b/>
                <w:szCs w:val="26"/>
              </w:rPr>
              <w:t>MRB</w:t>
            </w:r>
          </w:p>
        </w:tc>
        <w:tc>
          <w:tcPr>
            <w:tcW w:w="1417" w:type="dxa"/>
            <w:shd w:val="clear" w:color="auto" w:fill="auto"/>
            <w:tcMar>
              <w:top w:w="0" w:type="dxa"/>
              <w:left w:w="70" w:type="dxa"/>
              <w:bottom w:w="0" w:type="dxa"/>
              <w:right w:w="70" w:type="dxa"/>
            </w:tcMar>
          </w:tcPr>
          <w:p w14:paraId="485E2690" w14:textId="77777777" w:rsidR="00284822" w:rsidRDefault="00F77BF8">
            <w:pPr>
              <w:spacing w:before="120" w:after="120"/>
              <w:jc w:val="center"/>
              <w:rPr>
                <w:rFonts w:ascii="Rockwell" w:hAnsi="Rockwell"/>
                <w:szCs w:val="26"/>
              </w:rPr>
            </w:pPr>
            <w:r>
              <w:rPr>
                <w:rFonts w:ascii="Rockwell" w:hAnsi="Rockwell"/>
                <w:szCs w:val="26"/>
              </w:rPr>
              <w:t>2</w:t>
            </w:r>
          </w:p>
        </w:tc>
        <w:tc>
          <w:tcPr>
            <w:tcW w:w="1418" w:type="dxa"/>
            <w:shd w:val="clear" w:color="auto" w:fill="auto"/>
            <w:tcMar>
              <w:top w:w="0" w:type="dxa"/>
              <w:left w:w="70" w:type="dxa"/>
              <w:bottom w:w="0" w:type="dxa"/>
              <w:right w:w="70" w:type="dxa"/>
            </w:tcMar>
          </w:tcPr>
          <w:p w14:paraId="5EFA31A9" w14:textId="77777777" w:rsidR="00284822" w:rsidRDefault="00F77BF8">
            <w:pPr>
              <w:spacing w:before="120" w:after="120"/>
              <w:jc w:val="center"/>
              <w:rPr>
                <w:rFonts w:ascii="Rockwell" w:hAnsi="Rockwell"/>
                <w:szCs w:val="26"/>
              </w:rPr>
            </w:pPr>
            <w:r>
              <w:rPr>
                <w:rFonts w:ascii="Rockwell" w:hAnsi="Rockwell"/>
                <w:szCs w:val="26"/>
              </w:rPr>
              <w:t>6,06%</w:t>
            </w:r>
          </w:p>
        </w:tc>
        <w:tc>
          <w:tcPr>
            <w:tcW w:w="1276" w:type="dxa"/>
            <w:shd w:val="clear" w:color="auto" w:fill="auto"/>
            <w:tcMar>
              <w:top w:w="0" w:type="dxa"/>
              <w:left w:w="70" w:type="dxa"/>
              <w:bottom w:w="0" w:type="dxa"/>
              <w:right w:w="70" w:type="dxa"/>
            </w:tcMar>
          </w:tcPr>
          <w:p w14:paraId="3F5007F2" w14:textId="77777777" w:rsidR="00284822" w:rsidRDefault="00F77BF8">
            <w:pPr>
              <w:spacing w:before="120" w:after="120"/>
              <w:jc w:val="center"/>
              <w:rPr>
                <w:rFonts w:ascii="Rockwell" w:hAnsi="Rockwell"/>
                <w:szCs w:val="26"/>
              </w:rPr>
            </w:pPr>
            <w:r>
              <w:rPr>
                <w:rFonts w:ascii="Rockwell" w:hAnsi="Rockwell"/>
                <w:szCs w:val="26"/>
              </w:rPr>
              <w:t>2</w:t>
            </w:r>
          </w:p>
        </w:tc>
        <w:tc>
          <w:tcPr>
            <w:tcW w:w="1276" w:type="dxa"/>
            <w:shd w:val="clear" w:color="auto" w:fill="auto"/>
            <w:tcMar>
              <w:top w:w="0" w:type="dxa"/>
              <w:left w:w="70" w:type="dxa"/>
              <w:bottom w:w="0" w:type="dxa"/>
              <w:right w:w="70" w:type="dxa"/>
            </w:tcMar>
          </w:tcPr>
          <w:p w14:paraId="7C4DA9CC" w14:textId="77777777" w:rsidR="00284822" w:rsidRDefault="00F77BF8">
            <w:pPr>
              <w:spacing w:before="120" w:after="120"/>
              <w:jc w:val="center"/>
              <w:rPr>
                <w:rFonts w:ascii="Rockwell" w:hAnsi="Rockwell"/>
                <w:szCs w:val="26"/>
              </w:rPr>
            </w:pPr>
            <w:r>
              <w:rPr>
                <w:rFonts w:ascii="Rockwell" w:hAnsi="Rockwell"/>
                <w:szCs w:val="26"/>
              </w:rPr>
              <w:t>3,23%</w:t>
            </w:r>
          </w:p>
        </w:tc>
      </w:tr>
      <w:tr w:rsidR="00284822" w14:paraId="0DB3FDB7" w14:textId="77777777">
        <w:trPr>
          <w:trHeight w:val="60"/>
          <w:jc w:val="center"/>
        </w:trPr>
        <w:tc>
          <w:tcPr>
            <w:tcW w:w="1129" w:type="dxa"/>
            <w:shd w:val="clear" w:color="auto" w:fill="auto"/>
            <w:noWrap/>
            <w:tcMar>
              <w:top w:w="0" w:type="dxa"/>
              <w:left w:w="70" w:type="dxa"/>
              <w:bottom w:w="0" w:type="dxa"/>
              <w:right w:w="70" w:type="dxa"/>
            </w:tcMar>
          </w:tcPr>
          <w:p w14:paraId="793D53E0" w14:textId="77777777" w:rsidR="00284822" w:rsidRDefault="00F77BF8">
            <w:pPr>
              <w:spacing w:before="120" w:after="120"/>
              <w:rPr>
                <w:rFonts w:ascii="Rockwell" w:hAnsi="Rockwell"/>
                <w:szCs w:val="26"/>
              </w:rPr>
            </w:pPr>
            <w:r>
              <w:rPr>
                <w:rFonts w:ascii="Rockwell" w:hAnsi="Rockwell"/>
                <w:bCs/>
                <w:szCs w:val="26"/>
              </w:rPr>
              <w:t>8</w:t>
            </w:r>
            <w:r>
              <w:rPr>
                <w:rFonts w:ascii="Rockwell" w:hAnsi="Rockwell"/>
                <w:bCs/>
                <w:szCs w:val="26"/>
                <w:vertAlign w:val="superscript"/>
              </w:rPr>
              <w:t xml:space="preserve">e </w:t>
            </w:r>
          </w:p>
        </w:tc>
        <w:tc>
          <w:tcPr>
            <w:tcW w:w="3828" w:type="dxa"/>
            <w:shd w:val="clear" w:color="auto" w:fill="auto"/>
            <w:tcMar>
              <w:top w:w="0" w:type="dxa"/>
              <w:left w:w="70" w:type="dxa"/>
              <w:bottom w:w="0" w:type="dxa"/>
              <w:right w:w="70" w:type="dxa"/>
            </w:tcMar>
          </w:tcPr>
          <w:p w14:paraId="40C7B235" w14:textId="77777777" w:rsidR="00284822" w:rsidRDefault="00F77BF8">
            <w:pPr>
              <w:spacing w:before="120" w:after="120"/>
              <w:jc w:val="left"/>
              <w:rPr>
                <w:rFonts w:ascii="Rockwell" w:hAnsi="Rockwell"/>
                <w:b/>
                <w:szCs w:val="26"/>
              </w:rPr>
            </w:pPr>
            <w:r>
              <w:rPr>
                <w:rFonts w:ascii="Rockwell" w:hAnsi="Rockwell"/>
                <w:b/>
                <w:szCs w:val="26"/>
              </w:rPr>
              <w:t>PDP/PS</w:t>
            </w:r>
          </w:p>
        </w:tc>
        <w:tc>
          <w:tcPr>
            <w:tcW w:w="1417" w:type="dxa"/>
            <w:shd w:val="clear" w:color="auto" w:fill="auto"/>
            <w:tcMar>
              <w:top w:w="0" w:type="dxa"/>
              <w:left w:w="70" w:type="dxa"/>
              <w:bottom w:w="0" w:type="dxa"/>
              <w:right w:w="70" w:type="dxa"/>
            </w:tcMar>
          </w:tcPr>
          <w:p w14:paraId="480C8294" w14:textId="77777777" w:rsidR="00284822" w:rsidRDefault="00F77BF8">
            <w:pPr>
              <w:spacing w:before="120" w:after="120"/>
              <w:jc w:val="center"/>
              <w:rPr>
                <w:rFonts w:ascii="Rockwell" w:hAnsi="Rockwell"/>
                <w:szCs w:val="26"/>
              </w:rPr>
            </w:pPr>
            <w:r>
              <w:rPr>
                <w:rFonts w:ascii="Rockwell" w:hAnsi="Rockwell"/>
                <w:szCs w:val="26"/>
              </w:rPr>
              <w:t>1</w:t>
            </w:r>
          </w:p>
        </w:tc>
        <w:tc>
          <w:tcPr>
            <w:tcW w:w="1418" w:type="dxa"/>
            <w:shd w:val="clear" w:color="auto" w:fill="auto"/>
            <w:tcMar>
              <w:top w:w="0" w:type="dxa"/>
              <w:left w:w="70" w:type="dxa"/>
              <w:bottom w:w="0" w:type="dxa"/>
              <w:right w:w="70" w:type="dxa"/>
            </w:tcMar>
          </w:tcPr>
          <w:p w14:paraId="22FA541D" w14:textId="77777777" w:rsidR="00284822" w:rsidRDefault="00F77BF8">
            <w:pPr>
              <w:spacing w:before="120" w:after="120"/>
              <w:jc w:val="center"/>
              <w:rPr>
                <w:rFonts w:ascii="Rockwell" w:hAnsi="Rockwell"/>
                <w:szCs w:val="26"/>
              </w:rPr>
            </w:pPr>
            <w:r>
              <w:rPr>
                <w:rFonts w:ascii="Rockwell" w:hAnsi="Rockwell"/>
                <w:szCs w:val="26"/>
              </w:rPr>
              <w:t>3,03%</w:t>
            </w:r>
          </w:p>
        </w:tc>
        <w:tc>
          <w:tcPr>
            <w:tcW w:w="1276" w:type="dxa"/>
            <w:shd w:val="clear" w:color="auto" w:fill="auto"/>
            <w:tcMar>
              <w:top w:w="0" w:type="dxa"/>
              <w:left w:w="70" w:type="dxa"/>
              <w:bottom w:w="0" w:type="dxa"/>
              <w:right w:w="70" w:type="dxa"/>
            </w:tcMar>
          </w:tcPr>
          <w:p w14:paraId="7879A909" w14:textId="77777777" w:rsidR="00284822" w:rsidRDefault="00F77BF8">
            <w:pPr>
              <w:spacing w:before="120" w:after="120"/>
              <w:jc w:val="center"/>
              <w:rPr>
                <w:rFonts w:ascii="Rockwell" w:hAnsi="Rockwell"/>
                <w:szCs w:val="26"/>
              </w:rPr>
            </w:pPr>
            <w:r>
              <w:rPr>
                <w:rFonts w:ascii="Rockwell" w:hAnsi="Rockwell"/>
                <w:szCs w:val="26"/>
              </w:rPr>
              <w:t>3</w:t>
            </w:r>
          </w:p>
        </w:tc>
        <w:tc>
          <w:tcPr>
            <w:tcW w:w="1276" w:type="dxa"/>
            <w:shd w:val="clear" w:color="auto" w:fill="auto"/>
            <w:tcMar>
              <w:top w:w="0" w:type="dxa"/>
              <w:left w:w="70" w:type="dxa"/>
              <w:bottom w:w="0" w:type="dxa"/>
              <w:right w:w="70" w:type="dxa"/>
            </w:tcMar>
          </w:tcPr>
          <w:p w14:paraId="6E56A990" w14:textId="77777777" w:rsidR="00284822" w:rsidRDefault="00F77BF8">
            <w:pPr>
              <w:spacing w:before="120" w:after="120"/>
              <w:jc w:val="center"/>
              <w:rPr>
                <w:rFonts w:ascii="Rockwell" w:hAnsi="Rockwell"/>
                <w:szCs w:val="26"/>
              </w:rPr>
            </w:pPr>
            <w:r>
              <w:rPr>
                <w:rFonts w:ascii="Rockwell" w:hAnsi="Rockwell"/>
                <w:szCs w:val="26"/>
              </w:rPr>
              <w:t>4,84%</w:t>
            </w:r>
          </w:p>
        </w:tc>
      </w:tr>
      <w:tr w:rsidR="00284822" w14:paraId="50360C16" w14:textId="77777777">
        <w:trPr>
          <w:trHeight w:val="60"/>
          <w:jc w:val="center"/>
        </w:trPr>
        <w:tc>
          <w:tcPr>
            <w:tcW w:w="1129" w:type="dxa"/>
            <w:shd w:val="clear" w:color="auto" w:fill="auto"/>
            <w:noWrap/>
            <w:tcMar>
              <w:top w:w="0" w:type="dxa"/>
              <w:left w:w="70" w:type="dxa"/>
              <w:bottom w:w="0" w:type="dxa"/>
              <w:right w:w="70" w:type="dxa"/>
            </w:tcMar>
          </w:tcPr>
          <w:p w14:paraId="4D190775" w14:textId="77777777" w:rsidR="00284822" w:rsidRDefault="00F77BF8">
            <w:pPr>
              <w:spacing w:before="120" w:after="120"/>
              <w:rPr>
                <w:rFonts w:ascii="Rockwell" w:hAnsi="Rockwell"/>
                <w:szCs w:val="26"/>
              </w:rPr>
            </w:pPr>
            <w:r>
              <w:rPr>
                <w:rFonts w:ascii="Rockwell" w:hAnsi="Rockwell"/>
                <w:bCs/>
                <w:szCs w:val="26"/>
              </w:rPr>
              <w:t>8</w:t>
            </w:r>
            <w:r>
              <w:rPr>
                <w:rFonts w:ascii="Rockwell" w:hAnsi="Rockwell"/>
                <w:bCs/>
                <w:szCs w:val="26"/>
                <w:vertAlign w:val="superscript"/>
              </w:rPr>
              <w:t>e</w:t>
            </w:r>
            <w:r>
              <w:rPr>
                <w:rFonts w:ascii="Rockwell" w:hAnsi="Rockwell"/>
                <w:bCs/>
                <w:szCs w:val="26"/>
              </w:rPr>
              <w:t xml:space="preserve"> ex</w:t>
            </w:r>
          </w:p>
        </w:tc>
        <w:tc>
          <w:tcPr>
            <w:tcW w:w="3828" w:type="dxa"/>
            <w:shd w:val="clear" w:color="auto" w:fill="auto"/>
            <w:tcMar>
              <w:top w:w="0" w:type="dxa"/>
              <w:left w:w="70" w:type="dxa"/>
              <w:bottom w:w="0" w:type="dxa"/>
              <w:right w:w="70" w:type="dxa"/>
            </w:tcMar>
          </w:tcPr>
          <w:p w14:paraId="543FF343" w14:textId="77777777" w:rsidR="00284822" w:rsidRDefault="00F77BF8">
            <w:pPr>
              <w:spacing w:before="120" w:after="120"/>
              <w:jc w:val="left"/>
              <w:rPr>
                <w:rFonts w:ascii="Rockwell" w:hAnsi="Rockwell"/>
                <w:b/>
                <w:szCs w:val="26"/>
              </w:rPr>
            </w:pPr>
            <w:r>
              <w:rPr>
                <w:rFonts w:ascii="Rockwell" w:hAnsi="Rockwell"/>
                <w:b/>
                <w:szCs w:val="26"/>
              </w:rPr>
              <w:t>ADF/RDA</w:t>
            </w:r>
          </w:p>
        </w:tc>
        <w:tc>
          <w:tcPr>
            <w:tcW w:w="1417" w:type="dxa"/>
            <w:shd w:val="clear" w:color="auto" w:fill="auto"/>
            <w:tcMar>
              <w:top w:w="0" w:type="dxa"/>
              <w:left w:w="70" w:type="dxa"/>
              <w:bottom w:w="0" w:type="dxa"/>
              <w:right w:w="70" w:type="dxa"/>
            </w:tcMar>
          </w:tcPr>
          <w:p w14:paraId="3464306D" w14:textId="77777777" w:rsidR="00284822" w:rsidRDefault="00F77BF8">
            <w:pPr>
              <w:spacing w:before="120" w:after="120"/>
              <w:jc w:val="center"/>
              <w:rPr>
                <w:rFonts w:ascii="Rockwell" w:hAnsi="Rockwell"/>
                <w:szCs w:val="26"/>
              </w:rPr>
            </w:pPr>
            <w:r>
              <w:rPr>
                <w:rFonts w:ascii="Rockwell" w:hAnsi="Rockwell"/>
                <w:szCs w:val="26"/>
              </w:rPr>
              <w:t>1</w:t>
            </w:r>
          </w:p>
        </w:tc>
        <w:tc>
          <w:tcPr>
            <w:tcW w:w="1418" w:type="dxa"/>
            <w:shd w:val="clear" w:color="auto" w:fill="auto"/>
            <w:tcMar>
              <w:top w:w="0" w:type="dxa"/>
              <w:left w:w="70" w:type="dxa"/>
              <w:bottom w:w="0" w:type="dxa"/>
              <w:right w:w="70" w:type="dxa"/>
            </w:tcMar>
          </w:tcPr>
          <w:p w14:paraId="02A28C56" w14:textId="77777777" w:rsidR="00284822" w:rsidRDefault="00F77BF8">
            <w:pPr>
              <w:spacing w:before="120" w:after="120"/>
              <w:jc w:val="center"/>
              <w:rPr>
                <w:rFonts w:ascii="Rockwell" w:hAnsi="Rockwell"/>
                <w:szCs w:val="26"/>
              </w:rPr>
            </w:pPr>
            <w:r>
              <w:rPr>
                <w:rFonts w:ascii="Rockwell" w:hAnsi="Rockwell"/>
                <w:szCs w:val="26"/>
              </w:rPr>
              <w:t>3,03%</w:t>
            </w:r>
          </w:p>
        </w:tc>
        <w:tc>
          <w:tcPr>
            <w:tcW w:w="1276" w:type="dxa"/>
            <w:shd w:val="clear" w:color="auto" w:fill="auto"/>
            <w:tcMar>
              <w:top w:w="0" w:type="dxa"/>
              <w:left w:w="70" w:type="dxa"/>
              <w:bottom w:w="0" w:type="dxa"/>
              <w:right w:w="70" w:type="dxa"/>
            </w:tcMar>
          </w:tcPr>
          <w:p w14:paraId="30EE5E57" w14:textId="77777777" w:rsidR="00284822" w:rsidRDefault="00F77BF8">
            <w:pPr>
              <w:spacing w:before="120" w:after="120"/>
              <w:jc w:val="center"/>
              <w:rPr>
                <w:rFonts w:ascii="Rockwell" w:hAnsi="Rockwell"/>
                <w:szCs w:val="26"/>
              </w:rPr>
            </w:pPr>
            <w:r>
              <w:rPr>
                <w:rFonts w:ascii="Rockwell" w:hAnsi="Rockwell"/>
                <w:szCs w:val="26"/>
              </w:rPr>
              <w:t>1</w:t>
            </w:r>
          </w:p>
        </w:tc>
        <w:tc>
          <w:tcPr>
            <w:tcW w:w="1276" w:type="dxa"/>
            <w:shd w:val="clear" w:color="auto" w:fill="auto"/>
            <w:tcMar>
              <w:top w:w="0" w:type="dxa"/>
              <w:left w:w="70" w:type="dxa"/>
              <w:bottom w:w="0" w:type="dxa"/>
              <w:right w:w="70" w:type="dxa"/>
            </w:tcMar>
          </w:tcPr>
          <w:p w14:paraId="43A5F1B2" w14:textId="77777777" w:rsidR="00284822" w:rsidRDefault="00F77BF8">
            <w:pPr>
              <w:spacing w:before="120" w:after="120"/>
              <w:jc w:val="center"/>
              <w:rPr>
                <w:rFonts w:ascii="Rockwell" w:hAnsi="Rockwell"/>
                <w:szCs w:val="26"/>
              </w:rPr>
            </w:pPr>
            <w:r>
              <w:rPr>
                <w:rFonts w:ascii="Rockwell" w:hAnsi="Rockwell"/>
                <w:szCs w:val="26"/>
              </w:rPr>
              <w:t>1,61%</w:t>
            </w:r>
          </w:p>
        </w:tc>
      </w:tr>
      <w:tr w:rsidR="00284822" w14:paraId="00D4B69B" w14:textId="77777777">
        <w:trPr>
          <w:trHeight w:val="60"/>
          <w:jc w:val="center"/>
        </w:trPr>
        <w:tc>
          <w:tcPr>
            <w:tcW w:w="1129" w:type="dxa"/>
            <w:shd w:val="clear" w:color="auto" w:fill="auto"/>
            <w:noWrap/>
            <w:tcMar>
              <w:top w:w="0" w:type="dxa"/>
              <w:left w:w="70" w:type="dxa"/>
              <w:bottom w:w="0" w:type="dxa"/>
              <w:right w:w="70" w:type="dxa"/>
            </w:tcMar>
          </w:tcPr>
          <w:p w14:paraId="447A7A57" w14:textId="77777777" w:rsidR="00284822" w:rsidRDefault="00F77BF8">
            <w:pPr>
              <w:spacing w:before="120" w:after="120"/>
              <w:rPr>
                <w:rFonts w:ascii="Rockwell" w:hAnsi="Rockwell"/>
                <w:szCs w:val="26"/>
              </w:rPr>
            </w:pPr>
            <w:r>
              <w:rPr>
                <w:rFonts w:ascii="Rockwell" w:hAnsi="Rockwell"/>
                <w:bCs/>
                <w:szCs w:val="26"/>
              </w:rPr>
              <w:t>8</w:t>
            </w:r>
            <w:r>
              <w:rPr>
                <w:rFonts w:ascii="Rockwell" w:hAnsi="Rockwell"/>
                <w:bCs/>
                <w:szCs w:val="26"/>
                <w:vertAlign w:val="superscript"/>
              </w:rPr>
              <w:t>e</w:t>
            </w:r>
            <w:r>
              <w:rPr>
                <w:rFonts w:ascii="Rockwell" w:hAnsi="Rockwell"/>
                <w:bCs/>
                <w:szCs w:val="26"/>
              </w:rPr>
              <w:t xml:space="preserve"> ex</w:t>
            </w:r>
          </w:p>
        </w:tc>
        <w:tc>
          <w:tcPr>
            <w:tcW w:w="3828" w:type="dxa"/>
            <w:shd w:val="clear" w:color="auto" w:fill="auto"/>
            <w:tcMar>
              <w:top w:w="0" w:type="dxa"/>
              <w:left w:w="70" w:type="dxa"/>
              <w:bottom w:w="0" w:type="dxa"/>
              <w:right w:w="70" w:type="dxa"/>
            </w:tcMar>
          </w:tcPr>
          <w:p w14:paraId="29B426FC" w14:textId="77777777" w:rsidR="00284822" w:rsidRDefault="00F77BF8">
            <w:pPr>
              <w:spacing w:before="120" w:after="120"/>
              <w:jc w:val="left"/>
              <w:rPr>
                <w:rFonts w:ascii="Rockwell" w:hAnsi="Rockwell"/>
                <w:b/>
                <w:szCs w:val="26"/>
              </w:rPr>
            </w:pPr>
            <w:r>
              <w:rPr>
                <w:rFonts w:ascii="Rockwell" w:hAnsi="Rockwell"/>
                <w:b/>
                <w:szCs w:val="26"/>
              </w:rPr>
              <w:t>LE FASO AUTREMENT</w:t>
            </w:r>
          </w:p>
        </w:tc>
        <w:tc>
          <w:tcPr>
            <w:tcW w:w="1417" w:type="dxa"/>
            <w:shd w:val="clear" w:color="auto" w:fill="auto"/>
            <w:tcMar>
              <w:top w:w="0" w:type="dxa"/>
              <w:left w:w="70" w:type="dxa"/>
              <w:bottom w:w="0" w:type="dxa"/>
              <w:right w:w="70" w:type="dxa"/>
            </w:tcMar>
          </w:tcPr>
          <w:p w14:paraId="7F48610B" w14:textId="77777777" w:rsidR="00284822" w:rsidRDefault="00F77BF8">
            <w:pPr>
              <w:spacing w:before="120" w:after="120"/>
              <w:jc w:val="center"/>
              <w:rPr>
                <w:rFonts w:ascii="Rockwell" w:hAnsi="Rockwell"/>
                <w:szCs w:val="26"/>
              </w:rPr>
            </w:pPr>
            <w:r>
              <w:rPr>
                <w:rFonts w:ascii="Rockwell" w:hAnsi="Rockwell"/>
                <w:szCs w:val="26"/>
              </w:rPr>
              <w:t>1</w:t>
            </w:r>
          </w:p>
        </w:tc>
        <w:tc>
          <w:tcPr>
            <w:tcW w:w="1418" w:type="dxa"/>
            <w:shd w:val="clear" w:color="auto" w:fill="auto"/>
            <w:tcMar>
              <w:top w:w="0" w:type="dxa"/>
              <w:left w:w="70" w:type="dxa"/>
              <w:bottom w:w="0" w:type="dxa"/>
              <w:right w:w="70" w:type="dxa"/>
            </w:tcMar>
          </w:tcPr>
          <w:p w14:paraId="16BFD87D" w14:textId="77777777" w:rsidR="00284822" w:rsidRDefault="00F77BF8">
            <w:pPr>
              <w:spacing w:before="120" w:after="120"/>
              <w:jc w:val="center"/>
              <w:rPr>
                <w:rFonts w:ascii="Rockwell" w:hAnsi="Rockwell"/>
                <w:szCs w:val="26"/>
              </w:rPr>
            </w:pPr>
            <w:r>
              <w:rPr>
                <w:rFonts w:ascii="Rockwell" w:hAnsi="Rockwell"/>
                <w:szCs w:val="26"/>
              </w:rPr>
              <w:t>3,03%</w:t>
            </w:r>
          </w:p>
        </w:tc>
        <w:tc>
          <w:tcPr>
            <w:tcW w:w="1276" w:type="dxa"/>
            <w:shd w:val="clear" w:color="auto" w:fill="auto"/>
            <w:tcMar>
              <w:top w:w="0" w:type="dxa"/>
              <w:left w:w="70" w:type="dxa"/>
              <w:bottom w:w="0" w:type="dxa"/>
              <w:right w:w="70" w:type="dxa"/>
            </w:tcMar>
          </w:tcPr>
          <w:p w14:paraId="58E0DFB1" w14:textId="77777777" w:rsidR="00284822" w:rsidRDefault="00F77BF8">
            <w:pPr>
              <w:spacing w:before="120" w:after="120"/>
              <w:jc w:val="center"/>
              <w:rPr>
                <w:rFonts w:ascii="Rockwell" w:hAnsi="Rockwell"/>
                <w:szCs w:val="26"/>
              </w:rPr>
            </w:pPr>
            <w:r>
              <w:rPr>
                <w:rFonts w:ascii="Rockwell" w:hAnsi="Rockwell"/>
                <w:szCs w:val="26"/>
              </w:rPr>
              <w:t>1</w:t>
            </w:r>
          </w:p>
        </w:tc>
        <w:tc>
          <w:tcPr>
            <w:tcW w:w="1276" w:type="dxa"/>
            <w:shd w:val="clear" w:color="auto" w:fill="auto"/>
            <w:tcMar>
              <w:top w:w="0" w:type="dxa"/>
              <w:left w:w="70" w:type="dxa"/>
              <w:bottom w:w="0" w:type="dxa"/>
              <w:right w:w="70" w:type="dxa"/>
            </w:tcMar>
          </w:tcPr>
          <w:p w14:paraId="45F2708D" w14:textId="77777777" w:rsidR="00284822" w:rsidRDefault="00F77BF8">
            <w:pPr>
              <w:spacing w:before="120" w:after="120"/>
              <w:jc w:val="center"/>
              <w:rPr>
                <w:rFonts w:ascii="Rockwell" w:hAnsi="Rockwell"/>
                <w:szCs w:val="26"/>
              </w:rPr>
            </w:pPr>
            <w:r>
              <w:rPr>
                <w:rFonts w:ascii="Rockwell" w:hAnsi="Rockwell"/>
                <w:szCs w:val="26"/>
              </w:rPr>
              <w:t>1,61%</w:t>
            </w:r>
          </w:p>
        </w:tc>
      </w:tr>
    </w:tbl>
    <w:p w14:paraId="7B6E0291" w14:textId="77777777" w:rsidR="00284822" w:rsidRDefault="00F77BF8">
      <w:pPr>
        <w:tabs>
          <w:tab w:val="left" w:pos="895"/>
        </w:tabs>
        <w:spacing w:before="120" w:after="120"/>
        <w:ind w:left="-709"/>
        <w:rPr>
          <w:rFonts w:ascii="Rockwell" w:hAnsi="Rockwell"/>
          <w:i/>
          <w:sz w:val="20"/>
          <w:szCs w:val="20"/>
        </w:rPr>
      </w:pPr>
      <w:r>
        <w:rPr>
          <w:rFonts w:ascii="Rockwell" w:hAnsi="Rockwell"/>
          <w:i/>
          <w:sz w:val="20"/>
          <w:szCs w:val="20"/>
          <w:u w:val="single"/>
        </w:rPr>
        <w:t>Source</w:t>
      </w:r>
      <w:r>
        <w:rPr>
          <w:rFonts w:ascii="Rockwell" w:hAnsi="Rockwell"/>
          <w:i/>
          <w:sz w:val="20"/>
          <w:szCs w:val="20"/>
        </w:rPr>
        <w:t> : Monitoring CSC</w:t>
      </w:r>
    </w:p>
    <w:p w14:paraId="46655F99" w14:textId="77777777" w:rsidR="00284822" w:rsidRDefault="00284822">
      <w:pPr>
        <w:spacing w:before="120" w:after="120"/>
        <w:rPr>
          <w:rFonts w:ascii="Rockwell" w:hAnsi="Rockwell"/>
          <w:b/>
          <w:i/>
          <w:szCs w:val="26"/>
          <w:u w:val="single"/>
        </w:rPr>
      </w:pPr>
    </w:p>
    <w:p w14:paraId="3A115DC1" w14:textId="77777777" w:rsidR="00284822" w:rsidRDefault="00F77BF8">
      <w:pPr>
        <w:suppressAutoHyphens w:val="0"/>
        <w:autoSpaceDN/>
        <w:spacing w:before="120" w:after="120"/>
        <w:jc w:val="left"/>
        <w:textAlignment w:val="auto"/>
        <w:rPr>
          <w:rFonts w:ascii="Rockwell" w:hAnsi="Rockwell"/>
          <w:b/>
          <w:i/>
          <w:szCs w:val="26"/>
          <w:u w:val="single"/>
        </w:rPr>
      </w:pPr>
      <w:r>
        <w:rPr>
          <w:rFonts w:ascii="Rockwell" w:hAnsi="Rockwell"/>
          <w:b/>
          <w:i/>
          <w:szCs w:val="26"/>
          <w:u w:val="single"/>
        </w:rPr>
        <w:br w:type="page"/>
      </w:r>
    </w:p>
    <w:p w14:paraId="4746818A" w14:textId="77777777" w:rsidR="00284822" w:rsidRDefault="00F77BF8">
      <w:pPr>
        <w:spacing w:before="120" w:after="120"/>
        <w:ind w:left="720"/>
        <w:jc w:val="center"/>
        <w:rPr>
          <w:rFonts w:ascii="Rockwell" w:hAnsi="Rockwell"/>
          <w:i/>
          <w:sz w:val="20"/>
          <w:szCs w:val="20"/>
          <w:u w:val="single"/>
        </w:rPr>
      </w:pPr>
      <w:r>
        <w:rPr>
          <w:rFonts w:ascii="Rockwell" w:hAnsi="Rockwell"/>
          <w:i/>
          <w:sz w:val="20"/>
          <w:szCs w:val="20"/>
          <w:u w:val="single"/>
        </w:rPr>
        <w:lastRenderedPageBreak/>
        <w:t xml:space="preserve">Représentation graphique des NA et NI obtenus par les dix premiers partis politiques dans </w:t>
      </w:r>
      <w:r>
        <w:rPr>
          <w:rFonts w:ascii="Rockwell" w:hAnsi="Rockwell"/>
          <w:bCs/>
          <w:i/>
          <w:color w:val="000000"/>
          <w:sz w:val="20"/>
          <w:szCs w:val="20"/>
          <w:u w:val="single"/>
        </w:rPr>
        <w:t>infoh.24</w:t>
      </w:r>
    </w:p>
    <w:p w14:paraId="76E46F75" w14:textId="77777777" w:rsidR="00284822" w:rsidRDefault="00F77BF8">
      <w:pPr>
        <w:spacing w:before="120" w:after="120"/>
        <w:ind w:left="142"/>
        <w:jc w:val="center"/>
        <w:textAlignment w:val="auto"/>
        <w:rPr>
          <w:rFonts w:ascii="Rockwell" w:hAnsi="Rockwell"/>
          <w:szCs w:val="26"/>
        </w:rPr>
      </w:pPr>
      <w:r>
        <w:rPr>
          <w:rFonts w:ascii="Rockwell" w:hAnsi="Rockwell"/>
          <w:noProof/>
          <w:szCs w:val="26"/>
        </w:rPr>
        <w:drawing>
          <wp:inline distT="0" distB="0" distL="0" distR="0" wp14:anchorId="716892C5" wp14:editId="53D38F65">
            <wp:extent cx="5349240" cy="3037840"/>
            <wp:effectExtent l="0" t="0" r="3810" b="10160"/>
            <wp:docPr id="55" name="Graphique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76"/>
              </a:graphicData>
            </a:graphic>
          </wp:inline>
        </w:drawing>
      </w:r>
    </w:p>
    <w:p w14:paraId="3494E406" w14:textId="77777777" w:rsidR="00284822" w:rsidRDefault="00284822">
      <w:pPr>
        <w:spacing w:before="120" w:after="120"/>
        <w:ind w:left="720"/>
        <w:textAlignment w:val="auto"/>
        <w:rPr>
          <w:rFonts w:ascii="Rockwell" w:hAnsi="Rockwell"/>
          <w:sz w:val="16"/>
          <w:szCs w:val="16"/>
        </w:rPr>
      </w:pPr>
    </w:p>
    <w:p w14:paraId="4EFC9238" w14:textId="77777777" w:rsidR="00284822" w:rsidRDefault="003148F1">
      <w:pPr>
        <w:pStyle w:val="Titre5"/>
        <w:numPr>
          <w:ilvl w:val="1"/>
          <w:numId w:val="19"/>
        </w:numPr>
        <w:ind w:hanging="589"/>
        <w:rPr>
          <w:rFonts w:ascii="Rockwell" w:hAnsi="Rockwell"/>
          <w:i/>
          <w:szCs w:val="26"/>
        </w:rPr>
      </w:pPr>
      <w:hyperlink r:id="rId77" w:history="1">
        <w:r w:rsidR="00F77BF8">
          <w:rPr>
            <w:rFonts w:ascii="Rockwell" w:hAnsi="Rockwell"/>
            <w:i/>
            <w:color w:val="000000"/>
            <w:szCs w:val="26"/>
          </w:rPr>
          <w:t xml:space="preserve"> </w:t>
        </w:r>
        <w:bookmarkStart w:id="162" w:name="_Toc175048680"/>
        <w:proofErr w:type="spellStart"/>
        <w:r w:rsidR="00F77BF8">
          <w:rPr>
            <w:rFonts w:ascii="Rockwell" w:hAnsi="Rockwell"/>
            <w:i/>
            <w:color w:val="000000"/>
            <w:szCs w:val="26"/>
          </w:rPr>
          <w:t>Filinfos</w:t>
        </w:r>
        <w:bookmarkEnd w:id="162"/>
        <w:proofErr w:type="spellEnd"/>
        <w:r w:rsidR="00F77BF8">
          <w:rPr>
            <w:rFonts w:ascii="Rockwell" w:hAnsi="Rockwell"/>
            <w:i/>
            <w:szCs w:val="26"/>
          </w:rPr>
          <w:t xml:space="preserve"> </w:t>
        </w:r>
      </w:hyperlink>
    </w:p>
    <w:p w14:paraId="4A825897" w14:textId="77777777" w:rsidR="00284822" w:rsidRDefault="00F77BF8">
      <w:pPr>
        <w:spacing w:before="120" w:after="120"/>
        <w:rPr>
          <w:rFonts w:ascii="Rockwell" w:hAnsi="Rockwell"/>
          <w:szCs w:val="26"/>
        </w:rPr>
      </w:pPr>
      <w:proofErr w:type="spellStart"/>
      <w:r>
        <w:rPr>
          <w:rFonts w:ascii="Rockwell" w:hAnsi="Rockwell"/>
          <w:i/>
          <w:szCs w:val="26"/>
        </w:rPr>
        <w:t>Filinfos</w:t>
      </w:r>
      <w:proofErr w:type="spellEnd"/>
      <w:r>
        <w:rPr>
          <w:rFonts w:ascii="Rockwell" w:hAnsi="Rockwell"/>
          <w:szCs w:val="26"/>
        </w:rPr>
        <w:t xml:space="preserve"> a accordé 29 articles et 32 illustrations à 10 partis politiques classés comme suit :</w:t>
      </w:r>
    </w:p>
    <w:p w14:paraId="21B782D5" w14:textId="77777777" w:rsidR="00284822" w:rsidRDefault="00F77BF8">
      <w:pPr>
        <w:spacing w:before="120" w:after="120"/>
        <w:jc w:val="center"/>
        <w:rPr>
          <w:rFonts w:ascii="Rockwell" w:hAnsi="Rockwell"/>
          <w:sz w:val="20"/>
          <w:szCs w:val="20"/>
        </w:rPr>
      </w:pPr>
      <w:r>
        <w:rPr>
          <w:rFonts w:ascii="Rockwell" w:hAnsi="Rockwell"/>
          <w:b/>
          <w:sz w:val="20"/>
          <w:szCs w:val="20"/>
          <w:u w:val="single"/>
        </w:rPr>
        <w:t>Tableau 15</w:t>
      </w:r>
      <w:r>
        <w:rPr>
          <w:rFonts w:ascii="Rockwell" w:hAnsi="Rockwell"/>
          <w:b/>
          <w:i/>
          <w:sz w:val="20"/>
          <w:szCs w:val="20"/>
          <w:u w:val="single"/>
        </w:rPr>
        <w:t> </w:t>
      </w:r>
      <w:r>
        <w:rPr>
          <w:rFonts w:ascii="Rockwell" w:hAnsi="Rockwell"/>
          <w:b/>
          <w:i/>
          <w:sz w:val="20"/>
          <w:szCs w:val="20"/>
        </w:rPr>
        <w:t xml:space="preserve">: </w:t>
      </w:r>
      <w:r>
        <w:rPr>
          <w:rFonts w:ascii="Rockwell" w:hAnsi="Rockwell"/>
          <w:i/>
          <w:sz w:val="20"/>
          <w:szCs w:val="20"/>
        </w:rPr>
        <w:t xml:space="preserve">Classement des partis politiques selon les NA et NI publiés dans </w:t>
      </w:r>
      <w:proofErr w:type="spellStart"/>
      <w:r>
        <w:rPr>
          <w:rFonts w:ascii="Rockwell" w:hAnsi="Rockwell"/>
          <w:i/>
          <w:color w:val="000000"/>
          <w:sz w:val="20"/>
          <w:szCs w:val="20"/>
        </w:rPr>
        <w:t>filinfos</w:t>
      </w:r>
      <w:proofErr w:type="spellEnd"/>
    </w:p>
    <w:tbl>
      <w:tblPr>
        <w:tblW w:w="107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04"/>
        <w:gridCol w:w="3453"/>
        <w:gridCol w:w="1275"/>
        <w:gridCol w:w="1276"/>
        <w:gridCol w:w="1559"/>
        <w:gridCol w:w="1712"/>
      </w:tblGrid>
      <w:tr w:rsidR="00284822" w14:paraId="10B463E2" w14:textId="77777777">
        <w:trPr>
          <w:trHeight w:val="809"/>
          <w:jc w:val="center"/>
        </w:trPr>
        <w:tc>
          <w:tcPr>
            <w:tcW w:w="10779" w:type="dxa"/>
            <w:gridSpan w:val="6"/>
            <w:shd w:val="clear" w:color="auto" w:fill="BDD6EE" w:themeFill="accent1" w:themeFillTint="66"/>
            <w:noWrap/>
            <w:tcMar>
              <w:top w:w="0" w:type="dxa"/>
              <w:left w:w="70" w:type="dxa"/>
              <w:bottom w:w="0" w:type="dxa"/>
              <w:right w:w="70" w:type="dxa"/>
            </w:tcMar>
          </w:tcPr>
          <w:p w14:paraId="1822F8ED" w14:textId="77777777" w:rsidR="00284822" w:rsidRDefault="00F77BF8">
            <w:pPr>
              <w:spacing w:before="120" w:after="120"/>
              <w:jc w:val="center"/>
              <w:rPr>
                <w:rFonts w:ascii="Rockwell" w:hAnsi="Rockwell"/>
                <w:b/>
                <w:color w:val="000000"/>
                <w:szCs w:val="26"/>
              </w:rPr>
            </w:pPr>
            <w:proofErr w:type="spellStart"/>
            <w:r>
              <w:rPr>
                <w:rFonts w:ascii="Rockwell" w:hAnsi="Rockwell"/>
                <w:b/>
                <w:color w:val="000000"/>
                <w:szCs w:val="26"/>
              </w:rPr>
              <w:t>Filinfos</w:t>
            </w:r>
            <w:proofErr w:type="spellEnd"/>
          </w:p>
        </w:tc>
      </w:tr>
      <w:tr w:rsidR="00284822" w14:paraId="03EDF369" w14:textId="77777777">
        <w:trPr>
          <w:trHeight w:val="629"/>
          <w:jc w:val="center"/>
        </w:trPr>
        <w:tc>
          <w:tcPr>
            <w:tcW w:w="1504" w:type="dxa"/>
            <w:shd w:val="clear" w:color="auto" w:fill="BDD6EE" w:themeFill="accent1" w:themeFillTint="66"/>
            <w:noWrap/>
            <w:tcMar>
              <w:top w:w="0" w:type="dxa"/>
              <w:left w:w="70" w:type="dxa"/>
              <w:bottom w:w="0" w:type="dxa"/>
              <w:right w:w="70" w:type="dxa"/>
            </w:tcMar>
          </w:tcPr>
          <w:p w14:paraId="73688906" w14:textId="77777777" w:rsidR="00284822" w:rsidRDefault="00F77BF8">
            <w:pPr>
              <w:spacing w:before="120" w:after="120"/>
              <w:jc w:val="center"/>
              <w:rPr>
                <w:rFonts w:ascii="Rockwell" w:hAnsi="Rockwell"/>
                <w:b/>
                <w:color w:val="000000"/>
                <w:szCs w:val="26"/>
              </w:rPr>
            </w:pPr>
            <w:r>
              <w:rPr>
                <w:rFonts w:ascii="Rockwell" w:hAnsi="Rockwell" w:cs="Calibri"/>
                <w:b/>
                <w:bCs/>
                <w:color w:val="000000"/>
                <w:szCs w:val="26"/>
              </w:rPr>
              <w:t>Rang</w:t>
            </w:r>
          </w:p>
        </w:tc>
        <w:tc>
          <w:tcPr>
            <w:tcW w:w="3453" w:type="dxa"/>
            <w:shd w:val="clear" w:color="auto" w:fill="BDD6EE" w:themeFill="accent1" w:themeFillTint="66"/>
            <w:tcMar>
              <w:top w:w="0" w:type="dxa"/>
              <w:left w:w="70" w:type="dxa"/>
              <w:bottom w:w="0" w:type="dxa"/>
              <w:right w:w="70" w:type="dxa"/>
            </w:tcMar>
          </w:tcPr>
          <w:p w14:paraId="0C5DA6AA" w14:textId="653B6E31" w:rsidR="00284822" w:rsidRDefault="00746D14">
            <w:pPr>
              <w:spacing w:before="120" w:after="120"/>
              <w:jc w:val="center"/>
              <w:rPr>
                <w:rFonts w:ascii="Rockwell" w:hAnsi="Rockwell"/>
                <w:szCs w:val="26"/>
              </w:rPr>
            </w:pPr>
            <w:r>
              <w:rPr>
                <w:rFonts w:ascii="Rockwell" w:hAnsi="Rockwell"/>
                <w:b/>
                <w:bCs/>
              </w:rPr>
              <w:t>PARTIS</w:t>
            </w:r>
            <w:r w:rsidR="00F77BF8">
              <w:rPr>
                <w:rFonts w:ascii="Rockwell" w:hAnsi="Rockwell"/>
                <w:b/>
                <w:bCs/>
                <w:color w:val="000000"/>
                <w:szCs w:val="26"/>
              </w:rPr>
              <w:t xml:space="preserve"> POLITIQUES</w:t>
            </w:r>
          </w:p>
        </w:tc>
        <w:tc>
          <w:tcPr>
            <w:tcW w:w="1275" w:type="dxa"/>
            <w:shd w:val="clear" w:color="auto" w:fill="BDD6EE" w:themeFill="accent1" w:themeFillTint="66"/>
            <w:tcMar>
              <w:top w:w="0" w:type="dxa"/>
              <w:left w:w="70" w:type="dxa"/>
              <w:bottom w:w="0" w:type="dxa"/>
              <w:right w:w="70" w:type="dxa"/>
            </w:tcMar>
          </w:tcPr>
          <w:p w14:paraId="7FCF886B" w14:textId="77777777" w:rsidR="00284822" w:rsidRDefault="00F77BF8">
            <w:pPr>
              <w:spacing w:before="120" w:after="120"/>
              <w:jc w:val="center"/>
              <w:rPr>
                <w:rFonts w:ascii="Rockwell" w:hAnsi="Rockwell"/>
                <w:b/>
                <w:color w:val="000000"/>
                <w:szCs w:val="26"/>
              </w:rPr>
            </w:pPr>
            <w:r>
              <w:rPr>
                <w:rFonts w:ascii="Rockwell" w:hAnsi="Rockwell"/>
                <w:b/>
                <w:color w:val="000000"/>
                <w:szCs w:val="26"/>
              </w:rPr>
              <w:t>NA</w:t>
            </w:r>
          </w:p>
        </w:tc>
        <w:tc>
          <w:tcPr>
            <w:tcW w:w="1276" w:type="dxa"/>
            <w:shd w:val="clear" w:color="auto" w:fill="BDD6EE" w:themeFill="accent1" w:themeFillTint="66"/>
            <w:tcMar>
              <w:top w:w="0" w:type="dxa"/>
              <w:left w:w="70" w:type="dxa"/>
              <w:bottom w:w="0" w:type="dxa"/>
              <w:right w:w="70" w:type="dxa"/>
            </w:tcMar>
          </w:tcPr>
          <w:p w14:paraId="57B167B5" w14:textId="77777777" w:rsidR="00284822" w:rsidRDefault="00F77BF8">
            <w:pPr>
              <w:spacing w:before="120" w:after="120"/>
              <w:jc w:val="center"/>
              <w:rPr>
                <w:rFonts w:ascii="Rockwell" w:hAnsi="Rockwell"/>
                <w:b/>
                <w:color w:val="000000"/>
                <w:szCs w:val="26"/>
              </w:rPr>
            </w:pPr>
            <w:r>
              <w:rPr>
                <w:rFonts w:ascii="Rockwell" w:hAnsi="Rockwell"/>
                <w:b/>
                <w:color w:val="000000"/>
                <w:szCs w:val="26"/>
              </w:rPr>
              <w:t>% NA</w:t>
            </w:r>
          </w:p>
        </w:tc>
        <w:tc>
          <w:tcPr>
            <w:tcW w:w="1559" w:type="dxa"/>
            <w:shd w:val="clear" w:color="auto" w:fill="BDD6EE" w:themeFill="accent1" w:themeFillTint="66"/>
            <w:tcMar>
              <w:top w:w="0" w:type="dxa"/>
              <w:left w:w="70" w:type="dxa"/>
              <w:bottom w:w="0" w:type="dxa"/>
              <w:right w:w="70" w:type="dxa"/>
            </w:tcMar>
          </w:tcPr>
          <w:p w14:paraId="4BE467E4" w14:textId="77777777" w:rsidR="00284822" w:rsidRDefault="00F77BF8">
            <w:pPr>
              <w:spacing w:before="120" w:after="120"/>
              <w:jc w:val="center"/>
              <w:rPr>
                <w:rFonts w:ascii="Rockwell" w:hAnsi="Rockwell"/>
                <w:b/>
                <w:color w:val="000000"/>
                <w:szCs w:val="26"/>
              </w:rPr>
            </w:pPr>
            <w:r>
              <w:rPr>
                <w:rFonts w:ascii="Rockwell" w:hAnsi="Rockwell"/>
                <w:b/>
                <w:color w:val="000000"/>
                <w:szCs w:val="26"/>
              </w:rPr>
              <w:t>NI</w:t>
            </w:r>
          </w:p>
        </w:tc>
        <w:tc>
          <w:tcPr>
            <w:tcW w:w="1712" w:type="dxa"/>
            <w:shd w:val="clear" w:color="auto" w:fill="BDD6EE" w:themeFill="accent1" w:themeFillTint="66"/>
            <w:tcMar>
              <w:top w:w="0" w:type="dxa"/>
              <w:left w:w="70" w:type="dxa"/>
              <w:bottom w:w="0" w:type="dxa"/>
              <w:right w:w="70" w:type="dxa"/>
            </w:tcMar>
          </w:tcPr>
          <w:p w14:paraId="14726734" w14:textId="77777777" w:rsidR="00284822" w:rsidRDefault="00F77BF8">
            <w:pPr>
              <w:spacing w:before="120" w:after="120"/>
              <w:jc w:val="center"/>
              <w:rPr>
                <w:rFonts w:ascii="Rockwell" w:hAnsi="Rockwell"/>
                <w:b/>
                <w:color w:val="000000"/>
                <w:szCs w:val="26"/>
              </w:rPr>
            </w:pPr>
            <w:r>
              <w:rPr>
                <w:rFonts w:ascii="Rockwell" w:hAnsi="Rockwell"/>
                <w:b/>
                <w:color w:val="000000"/>
                <w:szCs w:val="26"/>
              </w:rPr>
              <w:t>% NI</w:t>
            </w:r>
          </w:p>
        </w:tc>
      </w:tr>
      <w:tr w:rsidR="00284822" w14:paraId="1EACD7D1" w14:textId="77777777">
        <w:trPr>
          <w:trHeight w:val="60"/>
          <w:jc w:val="center"/>
        </w:trPr>
        <w:tc>
          <w:tcPr>
            <w:tcW w:w="1504" w:type="dxa"/>
            <w:shd w:val="clear" w:color="auto" w:fill="auto"/>
            <w:noWrap/>
            <w:tcMar>
              <w:top w:w="0" w:type="dxa"/>
              <w:left w:w="70" w:type="dxa"/>
              <w:bottom w:w="0" w:type="dxa"/>
              <w:right w:w="70" w:type="dxa"/>
            </w:tcMar>
          </w:tcPr>
          <w:p w14:paraId="5A9FBB7D" w14:textId="77777777" w:rsidR="00284822" w:rsidRDefault="00F77BF8">
            <w:pPr>
              <w:spacing w:before="120" w:after="120"/>
              <w:rPr>
                <w:rFonts w:ascii="Rockwell" w:hAnsi="Rockwell"/>
                <w:szCs w:val="26"/>
              </w:rPr>
            </w:pPr>
            <w:r>
              <w:rPr>
                <w:rFonts w:ascii="Rockwell" w:hAnsi="Rockwell"/>
                <w:bCs/>
                <w:szCs w:val="26"/>
              </w:rPr>
              <w:t>1</w:t>
            </w:r>
            <w:r>
              <w:rPr>
                <w:rFonts w:ascii="Rockwell" w:hAnsi="Rockwell"/>
                <w:bCs/>
                <w:szCs w:val="26"/>
                <w:vertAlign w:val="superscript"/>
              </w:rPr>
              <w:t>er</w:t>
            </w:r>
            <w:r>
              <w:rPr>
                <w:rFonts w:ascii="Rockwell" w:hAnsi="Rockwell"/>
                <w:bCs/>
                <w:szCs w:val="26"/>
              </w:rPr>
              <w:t xml:space="preserve"> </w:t>
            </w:r>
          </w:p>
        </w:tc>
        <w:tc>
          <w:tcPr>
            <w:tcW w:w="3453" w:type="dxa"/>
            <w:shd w:val="clear" w:color="auto" w:fill="auto"/>
            <w:tcMar>
              <w:top w:w="0" w:type="dxa"/>
              <w:left w:w="70" w:type="dxa"/>
              <w:bottom w:w="0" w:type="dxa"/>
              <w:right w:w="70" w:type="dxa"/>
            </w:tcMar>
            <w:vAlign w:val="bottom"/>
          </w:tcPr>
          <w:p w14:paraId="3CE89B07" w14:textId="77777777" w:rsidR="00284822" w:rsidRDefault="00F77BF8">
            <w:pPr>
              <w:spacing w:before="120" w:after="120"/>
              <w:rPr>
                <w:rFonts w:ascii="Rockwell" w:hAnsi="Rockwell"/>
                <w:b/>
                <w:color w:val="000000"/>
                <w:szCs w:val="26"/>
              </w:rPr>
            </w:pPr>
            <w:r>
              <w:rPr>
                <w:rFonts w:ascii="Rockwell" w:hAnsi="Rockwell"/>
                <w:b/>
                <w:color w:val="000000"/>
                <w:szCs w:val="26"/>
              </w:rPr>
              <w:t>MPP</w:t>
            </w:r>
          </w:p>
        </w:tc>
        <w:tc>
          <w:tcPr>
            <w:tcW w:w="1275" w:type="dxa"/>
            <w:shd w:val="clear" w:color="auto" w:fill="auto"/>
            <w:tcMar>
              <w:top w:w="0" w:type="dxa"/>
              <w:left w:w="70" w:type="dxa"/>
              <w:bottom w:w="0" w:type="dxa"/>
              <w:right w:w="70" w:type="dxa"/>
            </w:tcMar>
            <w:vAlign w:val="center"/>
          </w:tcPr>
          <w:p w14:paraId="4290359B" w14:textId="77777777" w:rsidR="00284822" w:rsidRDefault="00F77BF8">
            <w:pPr>
              <w:spacing w:before="120" w:after="120"/>
              <w:rPr>
                <w:rFonts w:ascii="Rockwell" w:hAnsi="Rockwell"/>
                <w:color w:val="000000"/>
                <w:szCs w:val="26"/>
              </w:rPr>
            </w:pPr>
            <w:r>
              <w:rPr>
                <w:rFonts w:ascii="Rockwell" w:hAnsi="Rockwell"/>
                <w:color w:val="000000"/>
                <w:szCs w:val="26"/>
              </w:rPr>
              <w:t>12</w:t>
            </w:r>
          </w:p>
        </w:tc>
        <w:tc>
          <w:tcPr>
            <w:tcW w:w="1276" w:type="dxa"/>
            <w:shd w:val="clear" w:color="auto" w:fill="auto"/>
            <w:tcMar>
              <w:top w:w="0" w:type="dxa"/>
              <w:left w:w="70" w:type="dxa"/>
              <w:bottom w:w="0" w:type="dxa"/>
              <w:right w:w="70" w:type="dxa"/>
            </w:tcMar>
            <w:vAlign w:val="center"/>
          </w:tcPr>
          <w:p w14:paraId="316561E3" w14:textId="77777777" w:rsidR="00284822" w:rsidRDefault="00F77BF8">
            <w:pPr>
              <w:spacing w:before="120" w:after="120"/>
              <w:rPr>
                <w:rFonts w:ascii="Rockwell" w:hAnsi="Rockwell"/>
                <w:color w:val="000000"/>
                <w:szCs w:val="26"/>
              </w:rPr>
            </w:pPr>
            <w:r>
              <w:rPr>
                <w:rFonts w:ascii="Rockwell" w:hAnsi="Rockwell"/>
                <w:color w:val="000000"/>
                <w:szCs w:val="26"/>
              </w:rPr>
              <w:t>41,38%</w:t>
            </w:r>
          </w:p>
        </w:tc>
        <w:tc>
          <w:tcPr>
            <w:tcW w:w="1559" w:type="dxa"/>
            <w:shd w:val="clear" w:color="auto" w:fill="auto"/>
            <w:tcMar>
              <w:top w:w="0" w:type="dxa"/>
              <w:left w:w="70" w:type="dxa"/>
              <w:bottom w:w="0" w:type="dxa"/>
              <w:right w:w="70" w:type="dxa"/>
            </w:tcMar>
            <w:vAlign w:val="center"/>
          </w:tcPr>
          <w:p w14:paraId="19690E7E" w14:textId="77777777" w:rsidR="00284822" w:rsidRDefault="00F77BF8">
            <w:pPr>
              <w:spacing w:before="120" w:after="120"/>
              <w:rPr>
                <w:rFonts w:ascii="Rockwell" w:hAnsi="Rockwell"/>
                <w:color w:val="000000"/>
                <w:szCs w:val="26"/>
              </w:rPr>
            </w:pPr>
            <w:r>
              <w:rPr>
                <w:rFonts w:ascii="Rockwell" w:hAnsi="Rockwell"/>
                <w:color w:val="000000"/>
                <w:szCs w:val="26"/>
              </w:rPr>
              <w:t>14</w:t>
            </w:r>
          </w:p>
        </w:tc>
        <w:tc>
          <w:tcPr>
            <w:tcW w:w="1712" w:type="dxa"/>
            <w:shd w:val="clear" w:color="auto" w:fill="auto"/>
            <w:tcMar>
              <w:top w:w="0" w:type="dxa"/>
              <w:left w:w="70" w:type="dxa"/>
              <w:bottom w:w="0" w:type="dxa"/>
              <w:right w:w="70" w:type="dxa"/>
            </w:tcMar>
            <w:vAlign w:val="center"/>
          </w:tcPr>
          <w:p w14:paraId="6E5DC71F" w14:textId="77777777" w:rsidR="00284822" w:rsidRDefault="00F77BF8">
            <w:pPr>
              <w:spacing w:before="120" w:after="120"/>
              <w:rPr>
                <w:rFonts w:ascii="Rockwell" w:hAnsi="Rockwell"/>
                <w:color w:val="000000"/>
                <w:szCs w:val="26"/>
              </w:rPr>
            </w:pPr>
            <w:r>
              <w:rPr>
                <w:rFonts w:ascii="Rockwell" w:hAnsi="Rockwell"/>
                <w:color w:val="000000"/>
                <w:szCs w:val="26"/>
              </w:rPr>
              <w:t>43,75%</w:t>
            </w:r>
          </w:p>
        </w:tc>
      </w:tr>
      <w:tr w:rsidR="00284822" w14:paraId="05D8E4EE" w14:textId="77777777">
        <w:trPr>
          <w:trHeight w:val="60"/>
          <w:jc w:val="center"/>
        </w:trPr>
        <w:tc>
          <w:tcPr>
            <w:tcW w:w="1504" w:type="dxa"/>
            <w:shd w:val="clear" w:color="auto" w:fill="auto"/>
            <w:noWrap/>
            <w:tcMar>
              <w:top w:w="0" w:type="dxa"/>
              <w:left w:w="70" w:type="dxa"/>
              <w:bottom w:w="0" w:type="dxa"/>
              <w:right w:w="70" w:type="dxa"/>
            </w:tcMar>
          </w:tcPr>
          <w:p w14:paraId="67E02199" w14:textId="77777777" w:rsidR="00284822" w:rsidRDefault="00F77BF8">
            <w:pPr>
              <w:spacing w:before="120" w:after="120"/>
              <w:rPr>
                <w:rFonts w:ascii="Rockwell" w:hAnsi="Rockwell"/>
                <w:szCs w:val="26"/>
              </w:rPr>
            </w:pPr>
            <w:r>
              <w:rPr>
                <w:rFonts w:ascii="Rockwell" w:hAnsi="Rockwell"/>
                <w:bCs/>
                <w:szCs w:val="26"/>
              </w:rPr>
              <w:t>2</w:t>
            </w:r>
            <w:r>
              <w:rPr>
                <w:rFonts w:ascii="Rockwell" w:hAnsi="Rockwell"/>
                <w:bCs/>
                <w:szCs w:val="26"/>
                <w:vertAlign w:val="superscript"/>
              </w:rPr>
              <w:t>e</w:t>
            </w:r>
            <w:r>
              <w:rPr>
                <w:rFonts w:ascii="Rockwell" w:hAnsi="Rockwell"/>
                <w:bCs/>
                <w:szCs w:val="26"/>
              </w:rPr>
              <w:t xml:space="preserve"> </w:t>
            </w:r>
          </w:p>
        </w:tc>
        <w:tc>
          <w:tcPr>
            <w:tcW w:w="3453" w:type="dxa"/>
            <w:shd w:val="clear" w:color="auto" w:fill="auto"/>
            <w:tcMar>
              <w:top w:w="0" w:type="dxa"/>
              <w:left w:w="70" w:type="dxa"/>
              <w:bottom w:w="0" w:type="dxa"/>
              <w:right w:w="70" w:type="dxa"/>
            </w:tcMar>
            <w:vAlign w:val="bottom"/>
          </w:tcPr>
          <w:p w14:paraId="1C75DF06" w14:textId="77777777" w:rsidR="00284822" w:rsidRDefault="00F77BF8">
            <w:pPr>
              <w:spacing w:before="120" w:after="120"/>
              <w:rPr>
                <w:rFonts w:ascii="Rockwell" w:hAnsi="Rockwell"/>
                <w:b/>
                <w:color w:val="000000"/>
                <w:szCs w:val="26"/>
              </w:rPr>
            </w:pPr>
            <w:r>
              <w:rPr>
                <w:rFonts w:ascii="Rockwell" w:hAnsi="Rockwell"/>
                <w:b/>
                <w:color w:val="000000"/>
                <w:szCs w:val="26"/>
              </w:rPr>
              <w:t>CDP</w:t>
            </w:r>
          </w:p>
        </w:tc>
        <w:tc>
          <w:tcPr>
            <w:tcW w:w="1275" w:type="dxa"/>
            <w:shd w:val="clear" w:color="auto" w:fill="auto"/>
            <w:tcMar>
              <w:top w:w="0" w:type="dxa"/>
              <w:left w:w="70" w:type="dxa"/>
              <w:bottom w:w="0" w:type="dxa"/>
              <w:right w:w="70" w:type="dxa"/>
            </w:tcMar>
            <w:vAlign w:val="center"/>
          </w:tcPr>
          <w:p w14:paraId="70F9A6FE" w14:textId="77777777" w:rsidR="00284822" w:rsidRDefault="00F77BF8">
            <w:pPr>
              <w:spacing w:before="120" w:after="120"/>
              <w:rPr>
                <w:rFonts w:ascii="Rockwell" w:hAnsi="Rockwell"/>
                <w:color w:val="000000"/>
                <w:szCs w:val="26"/>
              </w:rPr>
            </w:pPr>
            <w:r>
              <w:rPr>
                <w:rFonts w:ascii="Rockwell" w:hAnsi="Rockwell"/>
                <w:color w:val="000000"/>
                <w:szCs w:val="26"/>
              </w:rPr>
              <w:t>5</w:t>
            </w:r>
          </w:p>
        </w:tc>
        <w:tc>
          <w:tcPr>
            <w:tcW w:w="1276" w:type="dxa"/>
            <w:shd w:val="clear" w:color="auto" w:fill="auto"/>
            <w:tcMar>
              <w:top w:w="0" w:type="dxa"/>
              <w:left w:w="70" w:type="dxa"/>
              <w:bottom w:w="0" w:type="dxa"/>
              <w:right w:w="70" w:type="dxa"/>
            </w:tcMar>
            <w:vAlign w:val="center"/>
          </w:tcPr>
          <w:p w14:paraId="348858DB" w14:textId="77777777" w:rsidR="00284822" w:rsidRDefault="00F77BF8">
            <w:pPr>
              <w:spacing w:before="120" w:after="120"/>
              <w:rPr>
                <w:rFonts w:ascii="Rockwell" w:hAnsi="Rockwell"/>
                <w:color w:val="000000"/>
                <w:szCs w:val="26"/>
              </w:rPr>
            </w:pPr>
            <w:r>
              <w:rPr>
                <w:rFonts w:ascii="Rockwell" w:hAnsi="Rockwell"/>
                <w:color w:val="000000"/>
                <w:szCs w:val="26"/>
              </w:rPr>
              <w:t>17,24%</w:t>
            </w:r>
          </w:p>
        </w:tc>
        <w:tc>
          <w:tcPr>
            <w:tcW w:w="1559" w:type="dxa"/>
            <w:shd w:val="clear" w:color="auto" w:fill="auto"/>
            <w:tcMar>
              <w:top w:w="0" w:type="dxa"/>
              <w:left w:w="70" w:type="dxa"/>
              <w:bottom w:w="0" w:type="dxa"/>
              <w:right w:w="70" w:type="dxa"/>
            </w:tcMar>
            <w:vAlign w:val="center"/>
          </w:tcPr>
          <w:p w14:paraId="6DC5A9B0" w14:textId="77777777" w:rsidR="00284822" w:rsidRDefault="00F77BF8">
            <w:pPr>
              <w:spacing w:before="120" w:after="120"/>
              <w:rPr>
                <w:rFonts w:ascii="Rockwell" w:hAnsi="Rockwell"/>
                <w:color w:val="000000"/>
                <w:szCs w:val="26"/>
              </w:rPr>
            </w:pPr>
            <w:r>
              <w:rPr>
                <w:rFonts w:ascii="Rockwell" w:hAnsi="Rockwell"/>
                <w:color w:val="000000"/>
                <w:szCs w:val="26"/>
              </w:rPr>
              <w:t>5</w:t>
            </w:r>
          </w:p>
        </w:tc>
        <w:tc>
          <w:tcPr>
            <w:tcW w:w="1712" w:type="dxa"/>
            <w:shd w:val="clear" w:color="auto" w:fill="auto"/>
            <w:tcMar>
              <w:top w:w="0" w:type="dxa"/>
              <w:left w:w="70" w:type="dxa"/>
              <w:bottom w:w="0" w:type="dxa"/>
              <w:right w:w="70" w:type="dxa"/>
            </w:tcMar>
            <w:vAlign w:val="center"/>
          </w:tcPr>
          <w:p w14:paraId="530BC6DD" w14:textId="77777777" w:rsidR="00284822" w:rsidRDefault="00F77BF8">
            <w:pPr>
              <w:spacing w:before="120" w:after="120"/>
              <w:rPr>
                <w:rFonts w:ascii="Rockwell" w:hAnsi="Rockwell"/>
                <w:color w:val="000000"/>
                <w:szCs w:val="26"/>
              </w:rPr>
            </w:pPr>
            <w:r>
              <w:rPr>
                <w:rFonts w:ascii="Rockwell" w:hAnsi="Rockwell"/>
                <w:color w:val="000000"/>
                <w:szCs w:val="26"/>
              </w:rPr>
              <w:t>15,63%</w:t>
            </w:r>
          </w:p>
        </w:tc>
      </w:tr>
      <w:tr w:rsidR="00284822" w14:paraId="4CB146D6" w14:textId="77777777">
        <w:trPr>
          <w:trHeight w:val="60"/>
          <w:jc w:val="center"/>
        </w:trPr>
        <w:tc>
          <w:tcPr>
            <w:tcW w:w="1504" w:type="dxa"/>
            <w:shd w:val="clear" w:color="auto" w:fill="auto"/>
            <w:noWrap/>
            <w:tcMar>
              <w:top w:w="0" w:type="dxa"/>
              <w:left w:w="70" w:type="dxa"/>
              <w:bottom w:w="0" w:type="dxa"/>
              <w:right w:w="70" w:type="dxa"/>
            </w:tcMar>
          </w:tcPr>
          <w:p w14:paraId="6CD32D5D" w14:textId="77777777" w:rsidR="00284822" w:rsidRDefault="00F77BF8">
            <w:pPr>
              <w:spacing w:before="120" w:after="120"/>
              <w:rPr>
                <w:rFonts w:ascii="Rockwell" w:hAnsi="Rockwell"/>
                <w:szCs w:val="26"/>
              </w:rPr>
            </w:pPr>
            <w:r>
              <w:rPr>
                <w:rFonts w:ascii="Rockwell" w:hAnsi="Rockwell"/>
                <w:bCs/>
                <w:szCs w:val="26"/>
              </w:rPr>
              <w:t>3</w:t>
            </w:r>
            <w:r>
              <w:rPr>
                <w:rFonts w:ascii="Rockwell" w:hAnsi="Rockwell"/>
                <w:bCs/>
                <w:szCs w:val="26"/>
                <w:vertAlign w:val="superscript"/>
              </w:rPr>
              <w:t>e</w:t>
            </w:r>
            <w:r>
              <w:rPr>
                <w:rFonts w:ascii="Rockwell" w:hAnsi="Rockwell"/>
                <w:bCs/>
                <w:szCs w:val="26"/>
              </w:rPr>
              <w:t xml:space="preserve"> </w:t>
            </w:r>
          </w:p>
        </w:tc>
        <w:tc>
          <w:tcPr>
            <w:tcW w:w="3453" w:type="dxa"/>
            <w:shd w:val="clear" w:color="auto" w:fill="auto"/>
            <w:tcMar>
              <w:top w:w="0" w:type="dxa"/>
              <w:left w:w="70" w:type="dxa"/>
              <w:bottom w:w="0" w:type="dxa"/>
              <w:right w:w="70" w:type="dxa"/>
            </w:tcMar>
            <w:vAlign w:val="bottom"/>
          </w:tcPr>
          <w:p w14:paraId="7C803DBF" w14:textId="77777777" w:rsidR="00284822" w:rsidRDefault="00F77BF8">
            <w:pPr>
              <w:spacing w:before="120" w:after="120"/>
              <w:rPr>
                <w:rFonts w:ascii="Rockwell" w:hAnsi="Rockwell"/>
                <w:b/>
                <w:color w:val="000000"/>
                <w:szCs w:val="26"/>
              </w:rPr>
            </w:pPr>
            <w:r>
              <w:rPr>
                <w:rFonts w:ascii="Rockwell" w:hAnsi="Rockwell"/>
                <w:b/>
                <w:color w:val="000000"/>
                <w:szCs w:val="26"/>
              </w:rPr>
              <w:t>LE FASO AUTREMENT</w:t>
            </w:r>
          </w:p>
        </w:tc>
        <w:tc>
          <w:tcPr>
            <w:tcW w:w="1275" w:type="dxa"/>
            <w:shd w:val="clear" w:color="auto" w:fill="auto"/>
            <w:tcMar>
              <w:top w:w="0" w:type="dxa"/>
              <w:left w:w="70" w:type="dxa"/>
              <w:bottom w:w="0" w:type="dxa"/>
              <w:right w:w="70" w:type="dxa"/>
            </w:tcMar>
            <w:vAlign w:val="center"/>
          </w:tcPr>
          <w:p w14:paraId="5ECDB70E" w14:textId="77777777" w:rsidR="00284822" w:rsidRDefault="00F77BF8">
            <w:pPr>
              <w:spacing w:before="120" w:after="120"/>
              <w:rPr>
                <w:rFonts w:ascii="Rockwell" w:hAnsi="Rockwell"/>
                <w:color w:val="000000"/>
                <w:szCs w:val="26"/>
              </w:rPr>
            </w:pPr>
            <w:r>
              <w:rPr>
                <w:rFonts w:ascii="Rockwell" w:hAnsi="Rockwell"/>
                <w:color w:val="000000"/>
                <w:szCs w:val="26"/>
              </w:rPr>
              <w:t>2</w:t>
            </w:r>
          </w:p>
        </w:tc>
        <w:tc>
          <w:tcPr>
            <w:tcW w:w="1276" w:type="dxa"/>
            <w:shd w:val="clear" w:color="auto" w:fill="auto"/>
            <w:tcMar>
              <w:top w:w="0" w:type="dxa"/>
              <w:left w:w="70" w:type="dxa"/>
              <w:bottom w:w="0" w:type="dxa"/>
              <w:right w:w="70" w:type="dxa"/>
            </w:tcMar>
            <w:vAlign w:val="center"/>
          </w:tcPr>
          <w:p w14:paraId="14F478DE" w14:textId="77777777" w:rsidR="00284822" w:rsidRDefault="00F77BF8">
            <w:pPr>
              <w:spacing w:before="120" w:after="120"/>
              <w:rPr>
                <w:rFonts w:ascii="Rockwell" w:hAnsi="Rockwell"/>
                <w:color w:val="000000"/>
                <w:szCs w:val="26"/>
              </w:rPr>
            </w:pPr>
            <w:r>
              <w:rPr>
                <w:rFonts w:ascii="Rockwell" w:hAnsi="Rockwell"/>
                <w:color w:val="000000"/>
                <w:szCs w:val="26"/>
              </w:rPr>
              <w:t>6,90%</w:t>
            </w:r>
          </w:p>
        </w:tc>
        <w:tc>
          <w:tcPr>
            <w:tcW w:w="1559" w:type="dxa"/>
            <w:shd w:val="clear" w:color="auto" w:fill="auto"/>
            <w:tcMar>
              <w:top w:w="0" w:type="dxa"/>
              <w:left w:w="70" w:type="dxa"/>
              <w:bottom w:w="0" w:type="dxa"/>
              <w:right w:w="70" w:type="dxa"/>
            </w:tcMar>
            <w:vAlign w:val="center"/>
          </w:tcPr>
          <w:p w14:paraId="01CD9BE4" w14:textId="77777777" w:rsidR="00284822" w:rsidRDefault="00F77BF8">
            <w:pPr>
              <w:spacing w:before="120" w:after="120"/>
              <w:rPr>
                <w:rFonts w:ascii="Rockwell" w:hAnsi="Rockwell"/>
                <w:color w:val="000000"/>
                <w:szCs w:val="26"/>
              </w:rPr>
            </w:pPr>
            <w:r>
              <w:rPr>
                <w:rFonts w:ascii="Rockwell" w:hAnsi="Rockwell"/>
                <w:color w:val="000000"/>
                <w:szCs w:val="26"/>
              </w:rPr>
              <w:t>2</w:t>
            </w:r>
          </w:p>
        </w:tc>
        <w:tc>
          <w:tcPr>
            <w:tcW w:w="1712" w:type="dxa"/>
            <w:shd w:val="clear" w:color="auto" w:fill="auto"/>
            <w:tcMar>
              <w:top w:w="0" w:type="dxa"/>
              <w:left w:w="70" w:type="dxa"/>
              <w:bottom w:w="0" w:type="dxa"/>
              <w:right w:w="70" w:type="dxa"/>
            </w:tcMar>
            <w:vAlign w:val="center"/>
          </w:tcPr>
          <w:p w14:paraId="47E238FE" w14:textId="77777777" w:rsidR="00284822" w:rsidRDefault="00F77BF8">
            <w:pPr>
              <w:spacing w:before="120" w:after="120"/>
              <w:rPr>
                <w:rFonts w:ascii="Rockwell" w:hAnsi="Rockwell"/>
                <w:color w:val="000000"/>
                <w:szCs w:val="26"/>
              </w:rPr>
            </w:pPr>
            <w:r>
              <w:rPr>
                <w:rFonts w:ascii="Rockwell" w:hAnsi="Rockwell"/>
                <w:color w:val="000000"/>
                <w:szCs w:val="26"/>
              </w:rPr>
              <w:t>6,25%</w:t>
            </w:r>
          </w:p>
        </w:tc>
      </w:tr>
      <w:tr w:rsidR="00284822" w14:paraId="24B82AC4" w14:textId="77777777">
        <w:trPr>
          <w:trHeight w:val="60"/>
          <w:jc w:val="center"/>
        </w:trPr>
        <w:tc>
          <w:tcPr>
            <w:tcW w:w="1504" w:type="dxa"/>
            <w:shd w:val="clear" w:color="auto" w:fill="auto"/>
            <w:noWrap/>
            <w:tcMar>
              <w:top w:w="0" w:type="dxa"/>
              <w:left w:w="70" w:type="dxa"/>
              <w:bottom w:w="0" w:type="dxa"/>
              <w:right w:w="70" w:type="dxa"/>
            </w:tcMar>
          </w:tcPr>
          <w:p w14:paraId="47F75310" w14:textId="77777777" w:rsidR="00284822" w:rsidRDefault="00F77BF8">
            <w:pPr>
              <w:spacing w:before="120" w:after="120"/>
              <w:rPr>
                <w:rFonts w:ascii="Rockwell" w:hAnsi="Rockwell"/>
                <w:szCs w:val="26"/>
              </w:rPr>
            </w:pPr>
            <w:r>
              <w:rPr>
                <w:rFonts w:ascii="Rockwell" w:hAnsi="Rockwell"/>
                <w:bCs/>
                <w:szCs w:val="26"/>
              </w:rPr>
              <w:t>3</w:t>
            </w:r>
            <w:r>
              <w:rPr>
                <w:rFonts w:ascii="Rockwell" w:hAnsi="Rockwell"/>
                <w:bCs/>
                <w:szCs w:val="26"/>
                <w:vertAlign w:val="superscript"/>
              </w:rPr>
              <w:t>e</w:t>
            </w:r>
            <w:r>
              <w:rPr>
                <w:rFonts w:ascii="Rockwell" w:hAnsi="Rockwell"/>
                <w:bCs/>
                <w:szCs w:val="26"/>
              </w:rPr>
              <w:t xml:space="preserve"> ex</w:t>
            </w:r>
          </w:p>
        </w:tc>
        <w:tc>
          <w:tcPr>
            <w:tcW w:w="3453" w:type="dxa"/>
            <w:shd w:val="clear" w:color="auto" w:fill="auto"/>
            <w:tcMar>
              <w:top w:w="0" w:type="dxa"/>
              <w:left w:w="70" w:type="dxa"/>
              <w:bottom w:w="0" w:type="dxa"/>
              <w:right w:w="70" w:type="dxa"/>
            </w:tcMar>
            <w:vAlign w:val="bottom"/>
          </w:tcPr>
          <w:p w14:paraId="763A660D" w14:textId="77777777" w:rsidR="00284822" w:rsidRDefault="00F77BF8">
            <w:pPr>
              <w:spacing w:before="120" w:after="120"/>
              <w:rPr>
                <w:rFonts w:ascii="Rockwell" w:hAnsi="Rockwell"/>
                <w:b/>
                <w:color w:val="000000"/>
                <w:szCs w:val="26"/>
              </w:rPr>
            </w:pPr>
            <w:r>
              <w:rPr>
                <w:rFonts w:ascii="Rockwell" w:hAnsi="Rockwell"/>
                <w:b/>
                <w:color w:val="000000"/>
                <w:szCs w:val="26"/>
              </w:rPr>
              <w:t>MRB</w:t>
            </w:r>
          </w:p>
        </w:tc>
        <w:tc>
          <w:tcPr>
            <w:tcW w:w="1275" w:type="dxa"/>
            <w:shd w:val="clear" w:color="auto" w:fill="auto"/>
            <w:tcMar>
              <w:top w:w="0" w:type="dxa"/>
              <w:left w:w="70" w:type="dxa"/>
              <w:bottom w:w="0" w:type="dxa"/>
              <w:right w:w="70" w:type="dxa"/>
            </w:tcMar>
            <w:vAlign w:val="center"/>
          </w:tcPr>
          <w:p w14:paraId="3969E760" w14:textId="77777777" w:rsidR="00284822" w:rsidRDefault="00F77BF8">
            <w:pPr>
              <w:spacing w:before="120" w:after="120"/>
              <w:rPr>
                <w:rFonts w:ascii="Rockwell" w:hAnsi="Rockwell"/>
                <w:color w:val="000000"/>
                <w:szCs w:val="26"/>
              </w:rPr>
            </w:pPr>
            <w:r>
              <w:rPr>
                <w:rFonts w:ascii="Rockwell" w:hAnsi="Rockwell"/>
                <w:color w:val="000000"/>
                <w:szCs w:val="26"/>
              </w:rPr>
              <w:t>2</w:t>
            </w:r>
          </w:p>
        </w:tc>
        <w:tc>
          <w:tcPr>
            <w:tcW w:w="1276" w:type="dxa"/>
            <w:shd w:val="clear" w:color="auto" w:fill="auto"/>
            <w:tcMar>
              <w:top w:w="0" w:type="dxa"/>
              <w:left w:w="70" w:type="dxa"/>
              <w:bottom w:w="0" w:type="dxa"/>
              <w:right w:w="70" w:type="dxa"/>
            </w:tcMar>
            <w:vAlign w:val="center"/>
          </w:tcPr>
          <w:p w14:paraId="2EDE2205" w14:textId="77777777" w:rsidR="00284822" w:rsidRDefault="00F77BF8">
            <w:pPr>
              <w:spacing w:before="120" w:after="120"/>
              <w:rPr>
                <w:rFonts w:ascii="Rockwell" w:hAnsi="Rockwell"/>
                <w:color w:val="000000"/>
                <w:szCs w:val="26"/>
              </w:rPr>
            </w:pPr>
            <w:r>
              <w:rPr>
                <w:rFonts w:ascii="Rockwell" w:hAnsi="Rockwell"/>
                <w:color w:val="000000"/>
                <w:szCs w:val="26"/>
              </w:rPr>
              <w:t>6,90%</w:t>
            </w:r>
          </w:p>
        </w:tc>
        <w:tc>
          <w:tcPr>
            <w:tcW w:w="1559" w:type="dxa"/>
            <w:shd w:val="clear" w:color="auto" w:fill="auto"/>
            <w:tcMar>
              <w:top w:w="0" w:type="dxa"/>
              <w:left w:w="70" w:type="dxa"/>
              <w:bottom w:w="0" w:type="dxa"/>
              <w:right w:w="70" w:type="dxa"/>
            </w:tcMar>
            <w:vAlign w:val="center"/>
          </w:tcPr>
          <w:p w14:paraId="1ACBF2FC" w14:textId="77777777" w:rsidR="00284822" w:rsidRDefault="00F77BF8">
            <w:pPr>
              <w:spacing w:before="120" w:after="120"/>
              <w:rPr>
                <w:rFonts w:ascii="Rockwell" w:hAnsi="Rockwell"/>
                <w:color w:val="000000"/>
                <w:szCs w:val="26"/>
              </w:rPr>
            </w:pPr>
            <w:r>
              <w:rPr>
                <w:rFonts w:ascii="Rockwell" w:hAnsi="Rockwell"/>
                <w:color w:val="000000"/>
                <w:szCs w:val="26"/>
              </w:rPr>
              <w:t>2</w:t>
            </w:r>
          </w:p>
        </w:tc>
        <w:tc>
          <w:tcPr>
            <w:tcW w:w="1712" w:type="dxa"/>
            <w:shd w:val="clear" w:color="auto" w:fill="auto"/>
            <w:tcMar>
              <w:top w:w="0" w:type="dxa"/>
              <w:left w:w="70" w:type="dxa"/>
              <w:bottom w:w="0" w:type="dxa"/>
              <w:right w:w="70" w:type="dxa"/>
            </w:tcMar>
            <w:vAlign w:val="center"/>
          </w:tcPr>
          <w:p w14:paraId="1D3566DF" w14:textId="77777777" w:rsidR="00284822" w:rsidRDefault="00F77BF8">
            <w:pPr>
              <w:spacing w:before="120" w:after="120"/>
              <w:rPr>
                <w:rFonts w:ascii="Rockwell" w:hAnsi="Rockwell"/>
                <w:color w:val="000000"/>
                <w:szCs w:val="26"/>
              </w:rPr>
            </w:pPr>
            <w:r>
              <w:rPr>
                <w:rFonts w:ascii="Rockwell" w:hAnsi="Rockwell"/>
                <w:color w:val="000000"/>
                <w:szCs w:val="26"/>
              </w:rPr>
              <w:t>6,25%</w:t>
            </w:r>
          </w:p>
        </w:tc>
      </w:tr>
      <w:tr w:rsidR="00284822" w14:paraId="37DDDD6E" w14:textId="77777777">
        <w:trPr>
          <w:trHeight w:val="60"/>
          <w:jc w:val="center"/>
        </w:trPr>
        <w:tc>
          <w:tcPr>
            <w:tcW w:w="1504" w:type="dxa"/>
            <w:shd w:val="clear" w:color="auto" w:fill="auto"/>
            <w:noWrap/>
            <w:tcMar>
              <w:top w:w="0" w:type="dxa"/>
              <w:left w:w="70" w:type="dxa"/>
              <w:bottom w:w="0" w:type="dxa"/>
              <w:right w:w="70" w:type="dxa"/>
            </w:tcMar>
          </w:tcPr>
          <w:p w14:paraId="484D6C0E" w14:textId="77777777" w:rsidR="00284822" w:rsidRDefault="00F77BF8">
            <w:pPr>
              <w:spacing w:before="120" w:after="120"/>
              <w:rPr>
                <w:rFonts w:ascii="Rockwell" w:hAnsi="Rockwell"/>
                <w:szCs w:val="26"/>
              </w:rPr>
            </w:pPr>
            <w:r>
              <w:rPr>
                <w:rFonts w:ascii="Rockwell" w:hAnsi="Rockwell"/>
                <w:bCs/>
                <w:szCs w:val="26"/>
              </w:rPr>
              <w:t>3</w:t>
            </w:r>
            <w:r>
              <w:rPr>
                <w:rFonts w:ascii="Rockwell" w:hAnsi="Rockwell"/>
                <w:bCs/>
                <w:szCs w:val="26"/>
                <w:vertAlign w:val="superscript"/>
              </w:rPr>
              <w:t>e</w:t>
            </w:r>
            <w:r>
              <w:rPr>
                <w:rFonts w:ascii="Rockwell" w:hAnsi="Rockwell"/>
                <w:bCs/>
                <w:szCs w:val="26"/>
              </w:rPr>
              <w:t xml:space="preserve"> ex</w:t>
            </w:r>
          </w:p>
        </w:tc>
        <w:tc>
          <w:tcPr>
            <w:tcW w:w="3453" w:type="dxa"/>
            <w:shd w:val="clear" w:color="auto" w:fill="auto"/>
            <w:tcMar>
              <w:top w:w="0" w:type="dxa"/>
              <w:left w:w="70" w:type="dxa"/>
              <w:bottom w:w="0" w:type="dxa"/>
              <w:right w:w="70" w:type="dxa"/>
            </w:tcMar>
            <w:vAlign w:val="bottom"/>
          </w:tcPr>
          <w:p w14:paraId="5D374088" w14:textId="77777777" w:rsidR="00284822" w:rsidRDefault="00F77BF8">
            <w:pPr>
              <w:spacing w:before="120" w:after="120"/>
              <w:rPr>
                <w:rFonts w:ascii="Rockwell" w:hAnsi="Rockwell"/>
                <w:b/>
                <w:color w:val="000000"/>
                <w:szCs w:val="26"/>
              </w:rPr>
            </w:pPr>
            <w:r>
              <w:rPr>
                <w:rFonts w:ascii="Rockwell" w:hAnsi="Rockwell"/>
                <w:b/>
                <w:color w:val="000000"/>
                <w:szCs w:val="26"/>
              </w:rPr>
              <w:t>SOLEIL D’AVENIR</w:t>
            </w:r>
          </w:p>
        </w:tc>
        <w:tc>
          <w:tcPr>
            <w:tcW w:w="1275" w:type="dxa"/>
            <w:shd w:val="clear" w:color="auto" w:fill="auto"/>
            <w:tcMar>
              <w:top w:w="0" w:type="dxa"/>
              <w:left w:w="70" w:type="dxa"/>
              <w:bottom w:w="0" w:type="dxa"/>
              <w:right w:w="70" w:type="dxa"/>
            </w:tcMar>
            <w:vAlign w:val="center"/>
          </w:tcPr>
          <w:p w14:paraId="2BB38D61" w14:textId="77777777" w:rsidR="00284822" w:rsidRDefault="00F77BF8">
            <w:pPr>
              <w:spacing w:before="120" w:after="120"/>
              <w:rPr>
                <w:rFonts w:ascii="Rockwell" w:hAnsi="Rockwell"/>
                <w:color w:val="000000"/>
                <w:szCs w:val="26"/>
              </w:rPr>
            </w:pPr>
            <w:r>
              <w:rPr>
                <w:rFonts w:ascii="Rockwell" w:hAnsi="Rockwell"/>
                <w:color w:val="000000"/>
                <w:szCs w:val="26"/>
              </w:rPr>
              <w:t>2</w:t>
            </w:r>
          </w:p>
        </w:tc>
        <w:tc>
          <w:tcPr>
            <w:tcW w:w="1276" w:type="dxa"/>
            <w:shd w:val="clear" w:color="auto" w:fill="auto"/>
            <w:tcMar>
              <w:top w:w="0" w:type="dxa"/>
              <w:left w:w="70" w:type="dxa"/>
              <w:bottom w:w="0" w:type="dxa"/>
              <w:right w:w="70" w:type="dxa"/>
            </w:tcMar>
            <w:vAlign w:val="center"/>
          </w:tcPr>
          <w:p w14:paraId="22439244" w14:textId="77777777" w:rsidR="00284822" w:rsidRDefault="00F77BF8">
            <w:pPr>
              <w:spacing w:before="120" w:after="120"/>
              <w:rPr>
                <w:rFonts w:ascii="Rockwell" w:hAnsi="Rockwell"/>
                <w:color w:val="000000"/>
                <w:szCs w:val="26"/>
              </w:rPr>
            </w:pPr>
            <w:r>
              <w:rPr>
                <w:rFonts w:ascii="Rockwell" w:hAnsi="Rockwell"/>
                <w:color w:val="000000"/>
                <w:szCs w:val="26"/>
              </w:rPr>
              <w:t>6,90%</w:t>
            </w:r>
          </w:p>
        </w:tc>
        <w:tc>
          <w:tcPr>
            <w:tcW w:w="1559" w:type="dxa"/>
            <w:shd w:val="clear" w:color="auto" w:fill="auto"/>
            <w:tcMar>
              <w:top w:w="0" w:type="dxa"/>
              <w:left w:w="70" w:type="dxa"/>
              <w:bottom w:w="0" w:type="dxa"/>
              <w:right w:w="70" w:type="dxa"/>
            </w:tcMar>
            <w:vAlign w:val="center"/>
          </w:tcPr>
          <w:p w14:paraId="154EEDE2" w14:textId="77777777" w:rsidR="00284822" w:rsidRDefault="00F77BF8">
            <w:pPr>
              <w:spacing w:before="120" w:after="120"/>
              <w:rPr>
                <w:rFonts w:ascii="Rockwell" w:hAnsi="Rockwell"/>
                <w:color w:val="000000"/>
                <w:szCs w:val="26"/>
              </w:rPr>
            </w:pPr>
            <w:r>
              <w:rPr>
                <w:rFonts w:ascii="Rockwell" w:hAnsi="Rockwell"/>
                <w:color w:val="000000"/>
                <w:szCs w:val="26"/>
              </w:rPr>
              <w:t>2</w:t>
            </w:r>
          </w:p>
        </w:tc>
        <w:tc>
          <w:tcPr>
            <w:tcW w:w="1712" w:type="dxa"/>
            <w:shd w:val="clear" w:color="auto" w:fill="auto"/>
            <w:tcMar>
              <w:top w:w="0" w:type="dxa"/>
              <w:left w:w="70" w:type="dxa"/>
              <w:bottom w:w="0" w:type="dxa"/>
              <w:right w:w="70" w:type="dxa"/>
            </w:tcMar>
            <w:vAlign w:val="center"/>
          </w:tcPr>
          <w:p w14:paraId="1008ACE7" w14:textId="77777777" w:rsidR="00284822" w:rsidRDefault="00F77BF8">
            <w:pPr>
              <w:spacing w:before="120" w:after="120"/>
              <w:rPr>
                <w:rFonts w:ascii="Rockwell" w:hAnsi="Rockwell"/>
                <w:color w:val="000000"/>
                <w:szCs w:val="26"/>
              </w:rPr>
            </w:pPr>
            <w:r>
              <w:rPr>
                <w:rFonts w:ascii="Rockwell" w:hAnsi="Rockwell"/>
                <w:color w:val="000000"/>
                <w:szCs w:val="26"/>
              </w:rPr>
              <w:t>6,25%</w:t>
            </w:r>
          </w:p>
        </w:tc>
      </w:tr>
      <w:tr w:rsidR="00284822" w14:paraId="6E652920" w14:textId="77777777">
        <w:trPr>
          <w:trHeight w:val="60"/>
          <w:jc w:val="center"/>
        </w:trPr>
        <w:tc>
          <w:tcPr>
            <w:tcW w:w="1504" w:type="dxa"/>
            <w:shd w:val="clear" w:color="auto" w:fill="auto"/>
            <w:noWrap/>
            <w:tcMar>
              <w:top w:w="0" w:type="dxa"/>
              <w:left w:w="70" w:type="dxa"/>
              <w:bottom w:w="0" w:type="dxa"/>
              <w:right w:w="70" w:type="dxa"/>
            </w:tcMar>
          </w:tcPr>
          <w:p w14:paraId="558491B0" w14:textId="77777777" w:rsidR="00284822" w:rsidRDefault="00F77BF8">
            <w:pPr>
              <w:spacing w:before="120" w:after="120"/>
              <w:rPr>
                <w:rFonts w:ascii="Rockwell" w:hAnsi="Rockwell"/>
                <w:szCs w:val="26"/>
              </w:rPr>
            </w:pPr>
            <w:r>
              <w:rPr>
                <w:rFonts w:ascii="Rockwell" w:hAnsi="Rockwell"/>
                <w:bCs/>
                <w:szCs w:val="26"/>
              </w:rPr>
              <w:lastRenderedPageBreak/>
              <w:t>3</w:t>
            </w:r>
            <w:r>
              <w:rPr>
                <w:rFonts w:ascii="Rockwell" w:hAnsi="Rockwell"/>
                <w:bCs/>
                <w:szCs w:val="26"/>
                <w:vertAlign w:val="superscript"/>
              </w:rPr>
              <w:t>e</w:t>
            </w:r>
            <w:r>
              <w:rPr>
                <w:rFonts w:ascii="Rockwell" w:hAnsi="Rockwell"/>
                <w:bCs/>
                <w:szCs w:val="26"/>
              </w:rPr>
              <w:t xml:space="preserve"> ex</w:t>
            </w:r>
          </w:p>
        </w:tc>
        <w:tc>
          <w:tcPr>
            <w:tcW w:w="3453" w:type="dxa"/>
            <w:shd w:val="clear" w:color="auto" w:fill="auto"/>
            <w:tcMar>
              <w:top w:w="0" w:type="dxa"/>
              <w:left w:w="70" w:type="dxa"/>
              <w:bottom w:w="0" w:type="dxa"/>
              <w:right w:w="70" w:type="dxa"/>
            </w:tcMar>
            <w:vAlign w:val="bottom"/>
          </w:tcPr>
          <w:p w14:paraId="59D5E6C6" w14:textId="77777777" w:rsidR="00284822" w:rsidRDefault="00F77BF8">
            <w:pPr>
              <w:spacing w:before="120" w:after="120"/>
              <w:rPr>
                <w:rFonts w:ascii="Rockwell" w:hAnsi="Rockwell"/>
                <w:b/>
                <w:color w:val="000000"/>
                <w:szCs w:val="26"/>
              </w:rPr>
            </w:pPr>
            <w:r>
              <w:rPr>
                <w:rFonts w:ascii="Rockwell" w:hAnsi="Rockwell"/>
                <w:b/>
                <w:color w:val="000000"/>
                <w:szCs w:val="26"/>
              </w:rPr>
              <w:t>UPC</w:t>
            </w:r>
          </w:p>
        </w:tc>
        <w:tc>
          <w:tcPr>
            <w:tcW w:w="1275" w:type="dxa"/>
            <w:shd w:val="clear" w:color="auto" w:fill="auto"/>
            <w:tcMar>
              <w:top w:w="0" w:type="dxa"/>
              <w:left w:w="70" w:type="dxa"/>
              <w:bottom w:w="0" w:type="dxa"/>
              <w:right w:w="70" w:type="dxa"/>
            </w:tcMar>
            <w:vAlign w:val="center"/>
          </w:tcPr>
          <w:p w14:paraId="7E0331F6" w14:textId="77777777" w:rsidR="00284822" w:rsidRDefault="00F77BF8">
            <w:pPr>
              <w:spacing w:before="120" w:after="120"/>
              <w:rPr>
                <w:rFonts w:ascii="Rockwell" w:hAnsi="Rockwell"/>
                <w:color w:val="000000"/>
                <w:szCs w:val="26"/>
              </w:rPr>
            </w:pPr>
            <w:r>
              <w:rPr>
                <w:rFonts w:ascii="Rockwell" w:hAnsi="Rockwell"/>
                <w:color w:val="000000"/>
                <w:szCs w:val="26"/>
              </w:rPr>
              <w:t>2</w:t>
            </w:r>
          </w:p>
        </w:tc>
        <w:tc>
          <w:tcPr>
            <w:tcW w:w="1276" w:type="dxa"/>
            <w:shd w:val="clear" w:color="auto" w:fill="auto"/>
            <w:tcMar>
              <w:top w:w="0" w:type="dxa"/>
              <w:left w:w="70" w:type="dxa"/>
              <w:bottom w:w="0" w:type="dxa"/>
              <w:right w:w="70" w:type="dxa"/>
            </w:tcMar>
            <w:vAlign w:val="center"/>
          </w:tcPr>
          <w:p w14:paraId="5BA0AA1E" w14:textId="77777777" w:rsidR="00284822" w:rsidRDefault="00F77BF8">
            <w:pPr>
              <w:spacing w:before="120" w:after="120"/>
              <w:rPr>
                <w:rFonts w:ascii="Rockwell" w:hAnsi="Rockwell"/>
                <w:color w:val="000000"/>
                <w:szCs w:val="26"/>
              </w:rPr>
            </w:pPr>
            <w:r>
              <w:rPr>
                <w:rFonts w:ascii="Rockwell" w:hAnsi="Rockwell"/>
                <w:color w:val="000000"/>
                <w:szCs w:val="26"/>
              </w:rPr>
              <w:t>6,90%</w:t>
            </w:r>
          </w:p>
        </w:tc>
        <w:tc>
          <w:tcPr>
            <w:tcW w:w="1559" w:type="dxa"/>
            <w:shd w:val="clear" w:color="auto" w:fill="auto"/>
            <w:tcMar>
              <w:top w:w="0" w:type="dxa"/>
              <w:left w:w="70" w:type="dxa"/>
              <w:bottom w:w="0" w:type="dxa"/>
              <w:right w:w="70" w:type="dxa"/>
            </w:tcMar>
            <w:vAlign w:val="center"/>
          </w:tcPr>
          <w:p w14:paraId="3DAB3590" w14:textId="77777777" w:rsidR="00284822" w:rsidRDefault="00F77BF8">
            <w:pPr>
              <w:spacing w:before="120" w:after="120"/>
              <w:rPr>
                <w:rFonts w:ascii="Rockwell" w:hAnsi="Rockwell"/>
                <w:color w:val="000000"/>
                <w:szCs w:val="26"/>
              </w:rPr>
            </w:pPr>
            <w:r>
              <w:rPr>
                <w:rFonts w:ascii="Rockwell" w:hAnsi="Rockwell"/>
                <w:color w:val="000000"/>
                <w:szCs w:val="26"/>
              </w:rPr>
              <w:t>2</w:t>
            </w:r>
          </w:p>
        </w:tc>
        <w:tc>
          <w:tcPr>
            <w:tcW w:w="1712" w:type="dxa"/>
            <w:shd w:val="clear" w:color="auto" w:fill="auto"/>
            <w:tcMar>
              <w:top w:w="0" w:type="dxa"/>
              <w:left w:w="70" w:type="dxa"/>
              <w:bottom w:w="0" w:type="dxa"/>
              <w:right w:w="70" w:type="dxa"/>
            </w:tcMar>
            <w:vAlign w:val="center"/>
          </w:tcPr>
          <w:p w14:paraId="6C32A808" w14:textId="77777777" w:rsidR="00284822" w:rsidRDefault="00F77BF8">
            <w:pPr>
              <w:spacing w:before="120" w:after="120"/>
              <w:rPr>
                <w:rFonts w:ascii="Rockwell" w:hAnsi="Rockwell"/>
                <w:color w:val="000000"/>
                <w:szCs w:val="26"/>
              </w:rPr>
            </w:pPr>
            <w:r>
              <w:rPr>
                <w:rFonts w:ascii="Rockwell" w:hAnsi="Rockwell"/>
                <w:color w:val="000000"/>
                <w:szCs w:val="26"/>
              </w:rPr>
              <w:t>6,25%</w:t>
            </w:r>
          </w:p>
        </w:tc>
      </w:tr>
      <w:tr w:rsidR="00284822" w14:paraId="028AFA1D" w14:textId="77777777">
        <w:trPr>
          <w:trHeight w:val="60"/>
          <w:jc w:val="center"/>
        </w:trPr>
        <w:tc>
          <w:tcPr>
            <w:tcW w:w="1504" w:type="dxa"/>
            <w:shd w:val="clear" w:color="auto" w:fill="auto"/>
            <w:noWrap/>
            <w:tcMar>
              <w:top w:w="0" w:type="dxa"/>
              <w:left w:w="70" w:type="dxa"/>
              <w:bottom w:w="0" w:type="dxa"/>
              <w:right w:w="70" w:type="dxa"/>
            </w:tcMar>
          </w:tcPr>
          <w:p w14:paraId="39E791F5" w14:textId="77777777" w:rsidR="00284822" w:rsidRDefault="00F77BF8">
            <w:pPr>
              <w:spacing w:before="120" w:after="120"/>
              <w:rPr>
                <w:rFonts w:ascii="Rockwell" w:hAnsi="Rockwell"/>
                <w:szCs w:val="26"/>
              </w:rPr>
            </w:pPr>
            <w:r>
              <w:rPr>
                <w:rFonts w:ascii="Rockwell" w:hAnsi="Rockwell"/>
                <w:bCs/>
                <w:szCs w:val="26"/>
              </w:rPr>
              <w:t>7</w:t>
            </w:r>
            <w:r>
              <w:rPr>
                <w:rFonts w:ascii="Rockwell" w:hAnsi="Rockwell"/>
                <w:bCs/>
                <w:szCs w:val="26"/>
                <w:vertAlign w:val="superscript"/>
              </w:rPr>
              <w:t>e</w:t>
            </w:r>
            <w:r>
              <w:rPr>
                <w:rFonts w:ascii="Rockwell" w:hAnsi="Rockwell"/>
                <w:bCs/>
                <w:szCs w:val="26"/>
              </w:rPr>
              <w:t xml:space="preserve"> </w:t>
            </w:r>
          </w:p>
        </w:tc>
        <w:tc>
          <w:tcPr>
            <w:tcW w:w="3453" w:type="dxa"/>
            <w:shd w:val="clear" w:color="auto" w:fill="auto"/>
            <w:tcMar>
              <w:top w:w="0" w:type="dxa"/>
              <w:left w:w="70" w:type="dxa"/>
              <w:bottom w:w="0" w:type="dxa"/>
              <w:right w:w="70" w:type="dxa"/>
            </w:tcMar>
            <w:vAlign w:val="bottom"/>
          </w:tcPr>
          <w:p w14:paraId="03D73C0C" w14:textId="77777777" w:rsidR="00284822" w:rsidRDefault="00F77BF8">
            <w:pPr>
              <w:spacing w:before="120" w:after="120"/>
              <w:rPr>
                <w:rFonts w:ascii="Rockwell" w:hAnsi="Rockwell"/>
                <w:b/>
                <w:color w:val="000000"/>
                <w:szCs w:val="26"/>
              </w:rPr>
            </w:pPr>
            <w:r>
              <w:rPr>
                <w:rFonts w:ascii="Rockwell" w:hAnsi="Rockwell"/>
                <w:b/>
                <w:color w:val="000000"/>
                <w:szCs w:val="26"/>
              </w:rPr>
              <w:t>ADP</w:t>
            </w:r>
          </w:p>
        </w:tc>
        <w:tc>
          <w:tcPr>
            <w:tcW w:w="1275" w:type="dxa"/>
            <w:shd w:val="clear" w:color="auto" w:fill="auto"/>
            <w:tcMar>
              <w:top w:w="0" w:type="dxa"/>
              <w:left w:w="70" w:type="dxa"/>
              <w:bottom w:w="0" w:type="dxa"/>
              <w:right w:w="70" w:type="dxa"/>
            </w:tcMar>
            <w:vAlign w:val="center"/>
          </w:tcPr>
          <w:p w14:paraId="73275C3E" w14:textId="77777777" w:rsidR="00284822" w:rsidRDefault="00F77BF8">
            <w:pPr>
              <w:spacing w:before="120" w:after="120"/>
              <w:rPr>
                <w:rFonts w:ascii="Rockwell" w:hAnsi="Rockwell"/>
                <w:color w:val="000000"/>
                <w:szCs w:val="26"/>
              </w:rPr>
            </w:pPr>
            <w:r>
              <w:rPr>
                <w:rFonts w:ascii="Rockwell" w:hAnsi="Rockwell"/>
                <w:color w:val="000000"/>
                <w:szCs w:val="26"/>
              </w:rPr>
              <w:t>1</w:t>
            </w:r>
          </w:p>
        </w:tc>
        <w:tc>
          <w:tcPr>
            <w:tcW w:w="1276" w:type="dxa"/>
            <w:shd w:val="clear" w:color="auto" w:fill="auto"/>
            <w:tcMar>
              <w:top w:w="0" w:type="dxa"/>
              <w:left w:w="70" w:type="dxa"/>
              <w:bottom w:w="0" w:type="dxa"/>
              <w:right w:w="70" w:type="dxa"/>
            </w:tcMar>
            <w:vAlign w:val="center"/>
          </w:tcPr>
          <w:p w14:paraId="480AA617" w14:textId="77777777" w:rsidR="00284822" w:rsidRDefault="00F77BF8">
            <w:pPr>
              <w:spacing w:before="120" w:after="120"/>
              <w:rPr>
                <w:rFonts w:ascii="Rockwell" w:hAnsi="Rockwell"/>
                <w:color w:val="000000"/>
                <w:szCs w:val="26"/>
              </w:rPr>
            </w:pPr>
            <w:r>
              <w:rPr>
                <w:rFonts w:ascii="Rockwell" w:hAnsi="Rockwell"/>
                <w:color w:val="000000"/>
                <w:szCs w:val="26"/>
              </w:rPr>
              <w:t>3,45%</w:t>
            </w:r>
          </w:p>
        </w:tc>
        <w:tc>
          <w:tcPr>
            <w:tcW w:w="1559" w:type="dxa"/>
            <w:shd w:val="clear" w:color="auto" w:fill="auto"/>
            <w:tcMar>
              <w:top w:w="0" w:type="dxa"/>
              <w:left w:w="70" w:type="dxa"/>
              <w:bottom w:w="0" w:type="dxa"/>
              <w:right w:w="70" w:type="dxa"/>
            </w:tcMar>
            <w:vAlign w:val="center"/>
          </w:tcPr>
          <w:p w14:paraId="5B92AC07" w14:textId="77777777" w:rsidR="00284822" w:rsidRDefault="00F77BF8">
            <w:pPr>
              <w:spacing w:before="120" w:after="120"/>
              <w:rPr>
                <w:rFonts w:ascii="Rockwell" w:hAnsi="Rockwell"/>
                <w:color w:val="000000"/>
                <w:szCs w:val="26"/>
              </w:rPr>
            </w:pPr>
            <w:r>
              <w:rPr>
                <w:rFonts w:ascii="Rockwell" w:hAnsi="Rockwell"/>
                <w:color w:val="000000"/>
                <w:szCs w:val="26"/>
              </w:rPr>
              <w:t>2</w:t>
            </w:r>
          </w:p>
        </w:tc>
        <w:tc>
          <w:tcPr>
            <w:tcW w:w="1712" w:type="dxa"/>
            <w:shd w:val="clear" w:color="auto" w:fill="auto"/>
            <w:tcMar>
              <w:top w:w="0" w:type="dxa"/>
              <w:left w:w="70" w:type="dxa"/>
              <w:bottom w:w="0" w:type="dxa"/>
              <w:right w:w="70" w:type="dxa"/>
            </w:tcMar>
            <w:vAlign w:val="center"/>
          </w:tcPr>
          <w:p w14:paraId="24DE630F" w14:textId="77777777" w:rsidR="00284822" w:rsidRDefault="00F77BF8">
            <w:pPr>
              <w:spacing w:before="120" w:after="120"/>
              <w:rPr>
                <w:rFonts w:ascii="Rockwell" w:hAnsi="Rockwell"/>
                <w:color w:val="000000"/>
                <w:szCs w:val="26"/>
              </w:rPr>
            </w:pPr>
            <w:r>
              <w:rPr>
                <w:rFonts w:ascii="Rockwell" w:hAnsi="Rockwell"/>
                <w:color w:val="000000"/>
                <w:szCs w:val="26"/>
              </w:rPr>
              <w:t>6,25%</w:t>
            </w:r>
          </w:p>
        </w:tc>
      </w:tr>
      <w:tr w:rsidR="00284822" w14:paraId="2121AE85" w14:textId="77777777">
        <w:trPr>
          <w:trHeight w:val="60"/>
          <w:jc w:val="center"/>
        </w:trPr>
        <w:tc>
          <w:tcPr>
            <w:tcW w:w="1504" w:type="dxa"/>
            <w:shd w:val="clear" w:color="auto" w:fill="auto"/>
            <w:noWrap/>
            <w:tcMar>
              <w:top w:w="0" w:type="dxa"/>
              <w:left w:w="70" w:type="dxa"/>
              <w:bottom w:w="0" w:type="dxa"/>
              <w:right w:w="70" w:type="dxa"/>
            </w:tcMar>
          </w:tcPr>
          <w:p w14:paraId="28A9DED6" w14:textId="77777777" w:rsidR="00284822" w:rsidRDefault="00F77BF8">
            <w:pPr>
              <w:spacing w:before="120" w:after="120"/>
              <w:rPr>
                <w:rFonts w:ascii="Rockwell" w:hAnsi="Rockwell"/>
                <w:szCs w:val="26"/>
              </w:rPr>
            </w:pPr>
            <w:r>
              <w:rPr>
                <w:rFonts w:ascii="Rockwell" w:hAnsi="Rockwell"/>
                <w:bCs/>
                <w:szCs w:val="26"/>
              </w:rPr>
              <w:t>7</w:t>
            </w:r>
            <w:r>
              <w:rPr>
                <w:rFonts w:ascii="Rockwell" w:hAnsi="Rockwell"/>
                <w:bCs/>
                <w:szCs w:val="26"/>
                <w:vertAlign w:val="superscript"/>
              </w:rPr>
              <w:t xml:space="preserve">e </w:t>
            </w:r>
            <w:r>
              <w:rPr>
                <w:rFonts w:ascii="Rockwell" w:hAnsi="Rockwell"/>
                <w:bCs/>
                <w:szCs w:val="26"/>
              </w:rPr>
              <w:t>ex</w:t>
            </w:r>
          </w:p>
        </w:tc>
        <w:tc>
          <w:tcPr>
            <w:tcW w:w="3453" w:type="dxa"/>
            <w:shd w:val="clear" w:color="auto" w:fill="auto"/>
            <w:tcMar>
              <w:top w:w="0" w:type="dxa"/>
              <w:left w:w="70" w:type="dxa"/>
              <w:bottom w:w="0" w:type="dxa"/>
              <w:right w:w="70" w:type="dxa"/>
            </w:tcMar>
            <w:vAlign w:val="bottom"/>
          </w:tcPr>
          <w:p w14:paraId="17D68958" w14:textId="77777777" w:rsidR="00284822" w:rsidRDefault="00F77BF8">
            <w:pPr>
              <w:spacing w:before="120" w:after="120"/>
              <w:rPr>
                <w:rFonts w:ascii="Rockwell" w:hAnsi="Rockwell"/>
                <w:b/>
                <w:color w:val="000000"/>
                <w:szCs w:val="26"/>
              </w:rPr>
            </w:pPr>
            <w:r>
              <w:rPr>
                <w:rFonts w:ascii="Rockwell" w:hAnsi="Rockwell"/>
                <w:b/>
                <w:color w:val="000000"/>
                <w:szCs w:val="26"/>
              </w:rPr>
              <w:t>APP/B</w:t>
            </w:r>
          </w:p>
        </w:tc>
        <w:tc>
          <w:tcPr>
            <w:tcW w:w="1275" w:type="dxa"/>
            <w:shd w:val="clear" w:color="auto" w:fill="auto"/>
            <w:tcMar>
              <w:top w:w="0" w:type="dxa"/>
              <w:left w:w="70" w:type="dxa"/>
              <w:bottom w:w="0" w:type="dxa"/>
              <w:right w:w="70" w:type="dxa"/>
            </w:tcMar>
            <w:vAlign w:val="center"/>
          </w:tcPr>
          <w:p w14:paraId="1C5FB808" w14:textId="77777777" w:rsidR="00284822" w:rsidRDefault="00F77BF8">
            <w:pPr>
              <w:spacing w:before="120" w:after="120"/>
              <w:rPr>
                <w:rFonts w:ascii="Rockwell" w:hAnsi="Rockwell"/>
                <w:color w:val="000000"/>
                <w:szCs w:val="26"/>
              </w:rPr>
            </w:pPr>
            <w:r>
              <w:rPr>
                <w:rFonts w:ascii="Rockwell" w:hAnsi="Rockwell"/>
                <w:color w:val="000000"/>
                <w:szCs w:val="26"/>
              </w:rPr>
              <w:t>1</w:t>
            </w:r>
          </w:p>
        </w:tc>
        <w:tc>
          <w:tcPr>
            <w:tcW w:w="1276" w:type="dxa"/>
            <w:shd w:val="clear" w:color="auto" w:fill="auto"/>
            <w:tcMar>
              <w:top w:w="0" w:type="dxa"/>
              <w:left w:w="70" w:type="dxa"/>
              <w:bottom w:w="0" w:type="dxa"/>
              <w:right w:w="70" w:type="dxa"/>
            </w:tcMar>
            <w:vAlign w:val="center"/>
          </w:tcPr>
          <w:p w14:paraId="1F23D430" w14:textId="77777777" w:rsidR="00284822" w:rsidRDefault="00F77BF8">
            <w:pPr>
              <w:spacing w:before="120" w:after="120"/>
              <w:rPr>
                <w:rFonts w:ascii="Rockwell" w:hAnsi="Rockwell"/>
                <w:color w:val="000000"/>
                <w:szCs w:val="26"/>
              </w:rPr>
            </w:pPr>
            <w:r>
              <w:rPr>
                <w:rFonts w:ascii="Rockwell" w:hAnsi="Rockwell"/>
                <w:color w:val="000000"/>
                <w:szCs w:val="26"/>
              </w:rPr>
              <w:t>3,45%</w:t>
            </w:r>
          </w:p>
        </w:tc>
        <w:tc>
          <w:tcPr>
            <w:tcW w:w="1559" w:type="dxa"/>
            <w:shd w:val="clear" w:color="auto" w:fill="auto"/>
            <w:tcMar>
              <w:top w:w="0" w:type="dxa"/>
              <w:left w:w="70" w:type="dxa"/>
              <w:bottom w:w="0" w:type="dxa"/>
              <w:right w:w="70" w:type="dxa"/>
            </w:tcMar>
            <w:vAlign w:val="center"/>
          </w:tcPr>
          <w:p w14:paraId="3C9001A4" w14:textId="77777777" w:rsidR="00284822" w:rsidRDefault="00F77BF8">
            <w:pPr>
              <w:spacing w:before="120" w:after="120"/>
              <w:rPr>
                <w:rFonts w:ascii="Rockwell" w:hAnsi="Rockwell"/>
                <w:color w:val="000000"/>
                <w:szCs w:val="26"/>
              </w:rPr>
            </w:pPr>
            <w:r>
              <w:rPr>
                <w:rFonts w:ascii="Rockwell" w:hAnsi="Rockwell"/>
                <w:color w:val="000000"/>
                <w:szCs w:val="26"/>
              </w:rPr>
              <w:t>1</w:t>
            </w:r>
          </w:p>
        </w:tc>
        <w:tc>
          <w:tcPr>
            <w:tcW w:w="1712" w:type="dxa"/>
            <w:shd w:val="clear" w:color="auto" w:fill="auto"/>
            <w:tcMar>
              <w:top w:w="0" w:type="dxa"/>
              <w:left w:w="70" w:type="dxa"/>
              <w:bottom w:w="0" w:type="dxa"/>
              <w:right w:w="70" w:type="dxa"/>
            </w:tcMar>
            <w:vAlign w:val="center"/>
          </w:tcPr>
          <w:p w14:paraId="7B9BC000" w14:textId="77777777" w:rsidR="00284822" w:rsidRDefault="00F77BF8">
            <w:pPr>
              <w:spacing w:before="120" w:after="120"/>
              <w:rPr>
                <w:rFonts w:ascii="Rockwell" w:hAnsi="Rockwell"/>
                <w:color w:val="000000"/>
                <w:szCs w:val="26"/>
              </w:rPr>
            </w:pPr>
            <w:r>
              <w:rPr>
                <w:rFonts w:ascii="Rockwell" w:hAnsi="Rockwell"/>
                <w:color w:val="000000"/>
                <w:szCs w:val="26"/>
              </w:rPr>
              <w:t>3,13%</w:t>
            </w:r>
          </w:p>
        </w:tc>
      </w:tr>
      <w:tr w:rsidR="00284822" w14:paraId="32A65420" w14:textId="77777777">
        <w:trPr>
          <w:trHeight w:val="60"/>
          <w:jc w:val="center"/>
        </w:trPr>
        <w:tc>
          <w:tcPr>
            <w:tcW w:w="1504" w:type="dxa"/>
            <w:shd w:val="clear" w:color="auto" w:fill="auto"/>
            <w:noWrap/>
            <w:tcMar>
              <w:top w:w="0" w:type="dxa"/>
              <w:left w:w="70" w:type="dxa"/>
              <w:bottom w:w="0" w:type="dxa"/>
              <w:right w:w="70" w:type="dxa"/>
            </w:tcMar>
          </w:tcPr>
          <w:p w14:paraId="2430FB29" w14:textId="77777777" w:rsidR="00284822" w:rsidRDefault="00F77BF8">
            <w:pPr>
              <w:spacing w:before="120" w:after="120"/>
              <w:rPr>
                <w:rFonts w:ascii="Rockwell" w:hAnsi="Rockwell"/>
                <w:szCs w:val="26"/>
              </w:rPr>
            </w:pPr>
            <w:r>
              <w:rPr>
                <w:rFonts w:ascii="Rockwell" w:hAnsi="Rockwell"/>
                <w:bCs/>
                <w:szCs w:val="26"/>
              </w:rPr>
              <w:t>7</w:t>
            </w:r>
            <w:r>
              <w:rPr>
                <w:rFonts w:ascii="Rockwell" w:hAnsi="Rockwell"/>
                <w:bCs/>
                <w:szCs w:val="26"/>
                <w:vertAlign w:val="superscript"/>
              </w:rPr>
              <w:t>e</w:t>
            </w:r>
            <w:r>
              <w:rPr>
                <w:rFonts w:ascii="Rockwell" w:hAnsi="Rockwell"/>
                <w:bCs/>
                <w:szCs w:val="26"/>
              </w:rPr>
              <w:t xml:space="preserve"> ex</w:t>
            </w:r>
          </w:p>
        </w:tc>
        <w:tc>
          <w:tcPr>
            <w:tcW w:w="3453" w:type="dxa"/>
            <w:shd w:val="clear" w:color="auto" w:fill="auto"/>
            <w:tcMar>
              <w:top w:w="0" w:type="dxa"/>
              <w:left w:w="70" w:type="dxa"/>
              <w:bottom w:w="0" w:type="dxa"/>
              <w:right w:w="70" w:type="dxa"/>
            </w:tcMar>
            <w:vAlign w:val="bottom"/>
          </w:tcPr>
          <w:p w14:paraId="06201B61" w14:textId="77777777" w:rsidR="00284822" w:rsidRDefault="00F77BF8">
            <w:pPr>
              <w:spacing w:before="120" w:after="120"/>
              <w:rPr>
                <w:rFonts w:ascii="Rockwell" w:hAnsi="Rockwell"/>
                <w:b/>
                <w:color w:val="000000"/>
                <w:szCs w:val="26"/>
              </w:rPr>
            </w:pPr>
            <w:r>
              <w:rPr>
                <w:rFonts w:ascii="Rockwell" w:hAnsi="Rockwell"/>
                <w:b/>
                <w:color w:val="000000"/>
                <w:szCs w:val="26"/>
              </w:rPr>
              <w:t>SENS</w:t>
            </w:r>
          </w:p>
        </w:tc>
        <w:tc>
          <w:tcPr>
            <w:tcW w:w="1275" w:type="dxa"/>
            <w:shd w:val="clear" w:color="auto" w:fill="auto"/>
            <w:tcMar>
              <w:top w:w="0" w:type="dxa"/>
              <w:left w:w="70" w:type="dxa"/>
              <w:bottom w:w="0" w:type="dxa"/>
              <w:right w:w="70" w:type="dxa"/>
            </w:tcMar>
            <w:vAlign w:val="center"/>
          </w:tcPr>
          <w:p w14:paraId="18C716A8" w14:textId="77777777" w:rsidR="00284822" w:rsidRDefault="00F77BF8">
            <w:pPr>
              <w:spacing w:before="120" w:after="120"/>
              <w:rPr>
                <w:rFonts w:ascii="Rockwell" w:hAnsi="Rockwell"/>
                <w:color w:val="000000"/>
                <w:szCs w:val="26"/>
              </w:rPr>
            </w:pPr>
            <w:r>
              <w:rPr>
                <w:rFonts w:ascii="Rockwell" w:hAnsi="Rockwell"/>
                <w:color w:val="000000"/>
                <w:szCs w:val="26"/>
              </w:rPr>
              <w:t>1</w:t>
            </w:r>
          </w:p>
        </w:tc>
        <w:tc>
          <w:tcPr>
            <w:tcW w:w="1276" w:type="dxa"/>
            <w:shd w:val="clear" w:color="auto" w:fill="auto"/>
            <w:tcMar>
              <w:top w:w="0" w:type="dxa"/>
              <w:left w:w="70" w:type="dxa"/>
              <w:bottom w:w="0" w:type="dxa"/>
              <w:right w:w="70" w:type="dxa"/>
            </w:tcMar>
            <w:vAlign w:val="center"/>
          </w:tcPr>
          <w:p w14:paraId="28BCEA46" w14:textId="77777777" w:rsidR="00284822" w:rsidRDefault="00F77BF8">
            <w:pPr>
              <w:spacing w:before="120" w:after="120"/>
              <w:rPr>
                <w:rFonts w:ascii="Rockwell" w:hAnsi="Rockwell"/>
                <w:color w:val="000000"/>
                <w:szCs w:val="26"/>
              </w:rPr>
            </w:pPr>
            <w:r>
              <w:rPr>
                <w:rFonts w:ascii="Rockwell" w:hAnsi="Rockwell"/>
                <w:color w:val="000000"/>
                <w:szCs w:val="26"/>
              </w:rPr>
              <w:t>3,45%</w:t>
            </w:r>
          </w:p>
        </w:tc>
        <w:tc>
          <w:tcPr>
            <w:tcW w:w="1559" w:type="dxa"/>
            <w:shd w:val="clear" w:color="auto" w:fill="auto"/>
            <w:tcMar>
              <w:top w:w="0" w:type="dxa"/>
              <w:left w:w="70" w:type="dxa"/>
              <w:bottom w:w="0" w:type="dxa"/>
              <w:right w:w="70" w:type="dxa"/>
            </w:tcMar>
            <w:vAlign w:val="center"/>
          </w:tcPr>
          <w:p w14:paraId="72743E97" w14:textId="77777777" w:rsidR="00284822" w:rsidRDefault="00F77BF8">
            <w:pPr>
              <w:spacing w:before="120" w:after="120"/>
              <w:rPr>
                <w:rFonts w:ascii="Rockwell" w:hAnsi="Rockwell"/>
                <w:color w:val="000000"/>
                <w:szCs w:val="26"/>
              </w:rPr>
            </w:pPr>
            <w:r>
              <w:rPr>
                <w:rFonts w:ascii="Rockwell" w:hAnsi="Rockwell"/>
                <w:color w:val="000000"/>
                <w:szCs w:val="26"/>
              </w:rPr>
              <w:t>1</w:t>
            </w:r>
          </w:p>
        </w:tc>
        <w:tc>
          <w:tcPr>
            <w:tcW w:w="1712" w:type="dxa"/>
            <w:shd w:val="clear" w:color="auto" w:fill="auto"/>
            <w:tcMar>
              <w:top w:w="0" w:type="dxa"/>
              <w:left w:w="70" w:type="dxa"/>
              <w:bottom w:w="0" w:type="dxa"/>
              <w:right w:w="70" w:type="dxa"/>
            </w:tcMar>
            <w:vAlign w:val="center"/>
          </w:tcPr>
          <w:p w14:paraId="70922BC7" w14:textId="77777777" w:rsidR="00284822" w:rsidRDefault="00F77BF8">
            <w:pPr>
              <w:spacing w:before="120" w:after="120"/>
              <w:rPr>
                <w:rFonts w:ascii="Rockwell" w:hAnsi="Rockwell"/>
                <w:color w:val="000000"/>
                <w:szCs w:val="26"/>
              </w:rPr>
            </w:pPr>
            <w:r>
              <w:rPr>
                <w:rFonts w:ascii="Rockwell" w:hAnsi="Rockwell"/>
                <w:color w:val="000000"/>
                <w:szCs w:val="26"/>
              </w:rPr>
              <w:t>3,13%</w:t>
            </w:r>
          </w:p>
        </w:tc>
      </w:tr>
      <w:tr w:rsidR="00284822" w14:paraId="0031A420" w14:textId="77777777">
        <w:trPr>
          <w:trHeight w:val="315"/>
          <w:jc w:val="center"/>
        </w:trPr>
        <w:tc>
          <w:tcPr>
            <w:tcW w:w="1504" w:type="dxa"/>
            <w:shd w:val="clear" w:color="auto" w:fill="auto"/>
            <w:noWrap/>
            <w:tcMar>
              <w:top w:w="0" w:type="dxa"/>
              <w:left w:w="70" w:type="dxa"/>
              <w:bottom w:w="0" w:type="dxa"/>
              <w:right w:w="70" w:type="dxa"/>
            </w:tcMar>
          </w:tcPr>
          <w:p w14:paraId="31F61995" w14:textId="77777777" w:rsidR="00284822" w:rsidRDefault="00F77BF8">
            <w:pPr>
              <w:spacing w:before="120" w:after="120"/>
              <w:rPr>
                <w:rFonts w:ascii="Rockwell" w:hAnsi="Rockwell"/>
                <w:szCs w:val="26"/>
              </w:rPr>
            </w:pPr>
            <w:r>
              <w:rPr>
                <w:rFonts w:ascii="Rockwell" w:hAnsi="Rockwell"/>
                <w:bCs/>
                <w:szCs w:val="26"/>
              </w:rPr>
              <w:t>7</w:t>
            </w:r>
            <w:r>
              <w:rPr>
                <w:rFonts w:ascii="Rockwell" w:hAnsi="Rockwell"/>
                <w:bCs/>
                <w:szCs w:val="26"/>
                <w:vertAlign w:val="superscript"/>
              </w:rPr>
              <w:t xml:space="preserve">e </w:t>
            </w:r>
            <w:r>
              <w:rPr>
                <w:rFonts w:ascii="Rockwell" w:hAnsi="Rockwell"/>
                <w:bCs/>
                <w:szCs w:val="26"/>
              </w:rPr>
              <w:t>ex</w:t>
            </w:r>
          </w:p>
        </w:tc>
        <w:tc>
          <w:tcPr>
            <w:tcW w:w="3453" w:type="dxa"/>
            <w:shd w:val="clear" w:color="auto" w:fill="auto"/>
            <w:tcMar>
              <w:top w:w="0" w:type="dxa"/>
              <w:left w:w="70" w:type="dxa"/>
              <w:bottom w:w="0" w:type="dxa"/>
              <w:right w:w="70" w:type="dxa"/>
            </w:tcMar>
            <w:vAlign w:val="bottom"/>
          </w:tcPr>
          <w:p w14:paraId="49402752" w14:textId="77777777" w:rsidR="00284822" w:rsidRDefault="00F77BF8">
            <w:pPr>
              <w:spacing w:before="120" w:after="120"/>
              <w:rPr>
                <w:rFonts w:ascii="Rockwell" w:hAnsi="Rockwell"/>
                <w:b/>
                <w:color w:val="000000"/>
                <w:szCs w:val="26"/>
              </w:rPr>
            </w:pPr>
            <w:r>
              <w:rPr>
                <w:rFonts w:ascii="Rockwell" w:hAnsi="Rockwell"/>
                <w:b/>
                <w:color w:val="000000"/>
                <w:szCs w:val="26"/>
              </w:rPr>
              <w:t>SOCL</w:t>
            </w:r>
          </w:p>
        </w:tc>
        <w:tc>
          <w:tcPr>
            <w:tcW w:w="1275" w:type="dxa"/>
            <w:shd w:val="clear" w:color="auto" w:fill="auto"/>
            <w:tcMar>
              <w:top w:w="0" w:type="dxa"/>
              <w:left w:w="70" w:type="dxa"/>
              <w:bottom w:w="0" w:type="dxa"/>
              <w:right w:w="70" w:type="dxa"/>
            </w:tcMar>
            <w:vAlign w:val="center"/>
          </w:tcPr>
          <w:p w14:paraId="3D31457D" w14:textId="77777777" w:rsidR="00284822" w:rsidRDefault="00F77BF8">
            <w:pPr>
              <w:spacing w:before="120" w:after="120"/>
              <w:rPr>
                <w:rFonts w:ascii="Rockwell" w:hAnsi="Rockwell"/>
                <w:color w:val="000000"/>
                <w:szCs w:val="26"/>
              </w:rPr>
            </w:pPr>
            <w:r>
              <w:rPr>
                <w:rFonts w:ascii="Rockwell" w:hAnsi="Rockwell"/>
                <w:color w:val="000000"/>
                <w:szCs w:val="26"/>
              </w:rPr>
              <w:t>1</w:t>
            </w:r>
          </w:p>
        </w:tc>
        <w:tc>
          <w:tcPr>
            <w:tcW w:w="1276" w:type="dxa"/>
            <w:shd w:val="clear" w:color="auto" w:fill="auto"/>
            <w:tcMar>
              <w:top w:w="0" w:type="dxa"/>
              <w:left w:w="70" w:type="dxa"/>
              <w:bottom w:w="0" w:type="dxa"/>
              <w:right w:w="70" w:type="dxa"/>
            </w:tcMar>
            <w:vAlign w:val="center"/>
          </w:tcPr>
          <w:p w14:paraId="264397F1" w14:textId="77777777" w:rsidR="00284822" w:rsidRDefault="00F77BF8">
            <w:pPr>
              <w:spacing w:before="120" w:after="120"/>
              <w:rPr>
                <w:rFonts w:ascii="Rockwell" w:hAnsi="Rockwell"/>
                <w:color w:val="000000"/>
                <w:szCs w:val="26"/>
              </w:rPr>
            </w:pPr>
            <w:r>
              <w:rPr>
                <w:rFonts w:ascii="Rockwell" w:hAnsi="Rockwell"/>
                <w:color w:val="000000"/>
                <w:szCs w:val="26"/>
              </w:rPr>
              <w:t>3,45%</w:t>
            </w:r>
          </w:p>
        </w:tc>
        <w:tc>
          <w:tcPr>
            <w:tcW w:w="1559" w:type="dxa"/>
            <w:shd w:val="clear" w:color="auto" w:fill="auto"/>
            <w:tcMar>
              <w:top w:w="0" w:type="dxa"/>
              <w:left w:w="70" w:type="dxa"/>
              <w:bottom w:w="0" w:type="dxa"/>
              <w:right w:w="70" w:type="dxa"/>
            </w:tcMar>
            <w:vAlign w:val="center"/>
          </w:tcPr>
          <w:p w14:paraId="0A28AFA0" w14:textId="77777777" w:rsidR="00284822" w:rsidRDefault="00F77BF8">
            <w:pPr>
              <w:spacing w:before="120" w:after="120"/>
              <w:rPr>
                <w:rFonts w:ascii="Rockwell" w:hAnsi="Rockwell"/>
                <w:color w:val="000000"/>
                <w:szCs w:val="26"/>
              </w:rPr>
            </w:pPr>
            <w:r>
              <w:rPr>
                <w:rFonts w:ascii="Rockwell" w:hAnsi="Rockwell"/>
                <w:color w:val="000000"/>
                <w:szCs w:val="26"/>
              </w:rPr>
              <w:t>1</w:t>
            </w:r>
          </w:p>
        </w:tc>
        <w:tc>
          <w:tcPr>
            <w:tcW w:w="1712" w:type="dxa"/>
            <w:shd w:val="clear" w:color="auto" w:fill="auto"/>
            <w:tcMar>
              <w:top w:w="0" w:type="dxa"/>
              <w:left w:w="70" w:type="dxa"/>
              <w:bottom w:w="0" w:type="dxa"/>
              <w:right w:w="70" w:type="dxa"/>
            </w:tcMar>
            <w:vAlign w:val="center"/>
          </w:tcPr>
          <w:p w14:paraId="55E65402" w14:textId="77777777" w:rsidR="00284822" w:rsidRDefault="00F77BF8">
            <w:pPr>
              <w:spacing w:before="120" w:after="120"/>
              <w:rPr>
                <w:rFonts w:ascii="Rockwell" w:hAnsi="Rockwell"/>
                <w:color w:val="000000"/>
                <w:szCs w:val="26"/>
              </w:rPr>
            </w:pPr>
            <w:r>
              <w:rPr>
                <w:rFonts w:ascii="Rockwell" w:hAnsi="Rockwell"/>
                <w:color w:val="000000"/>
                <w:szCs w:val="26"/>
              </w:rPr>
              <w:t>3,13%</w:t>
            </w:r>
          </w:p>
        </w:tc>
      </w:tr>
    </w:tbl>
    <w:p w14:paraId="0B721979" w14:textId="77777777" w:rsidR="00284822" w:rsidRDefault="00F77BF8">
      <w:pPr>
        <w:tabs>
          <w:tab w:val="left" w:pos="895"/>
        </w:tabs>
        <w:spacing w:before="120" w:after="120"/>
        <w:ind w:left="-709"/>
        <w:rPr>
          <w:rFonts w:ascii="Rockwell" w:hAnsi="Rockwell"/>
          <w:i/>
          <w:sz w:val="20"/>
          <w:szCs w:val="20"/>
        </w:rPr>
      </w:pPr>
      <w:r>
        <w:rPr>
          <w:rFonts w:ascii="Rockwell" w:hAnsi="Rockwell"/>
          <w:i/>
          <w:sz w:val="20"/>
          <w:szCs w:val="20"/>
          <w:u w:val="single"/>
        </w:rPr>
        <w:t>Source</w:t>
      </w:r>
      <w:r>
        <w:rPr>
          <w:rFonts w:ascii="Rockwell" w:hAnsi="Rockwell"/>
          <w:i/>
          <w:sz w:val="20"/>
          <w:szCs w:val="20"/>
        </w:rPr>
        <w:t> : Monitoring CSC</w:t>
      </w:r>
    </w:p>
    <w:p w14:paraId="52432EE3" w14:textId="77777777" w:rsidR="00284822" w:rsidRDefault="00284822">
      <w:pPr>
        <w:tabs>
          <w:tab w:val="left" w:pos="895"/>
        </w:tabs>
        <w:spacing w:before="120" w:after="120"/>
        <w:ind w:left="-709"/>
        <w:rPr>
          <w:rFonts w:ascii="Rockwell" w:hAnsi="Rockwell"/>
          <w:i/>
          <w:sz w:val="20"/>
          <w:szCs w:val="20"/>
        </w:rPr>
      </w:pPr>
    </w:p>
    <w:p w14:paraId="3F40178A" w14:textId="2B6864D6" w:rsidR="00284822" w:rsidRDefault="00F77BF8">
      <w:pPr>
        <w:spacing w:before="120" w:after="120"/>
        <w:jc w:val="center"/>
        <w:rPr>
          <w:rFonts w:ascii="Rockwell" w:hAnsi="Rockwell"/>
          <w:sz w:val="20"/>
          <w:szCs w:val="20"/>
          <w:u w:val="single"/>
        </w:rPr>
      </w:pPr>
      <w:r>
        <w:rPr>
          <w:rFonts w:ascii="Rockwell" w:hAnsi="Rockwell"/>
          <w:i/>
          <w:sz w:val="20"/>
          <w:szCs w:val="20"/>
          <w:u w:val="single"/>
        </w:rPr>
        <w:t xml:space="preserve">Représentation graphique des NA et NI obtenus par les partis politiques dans </w:t>
      </w:r>
      <w:proofErr w:type="spellStart"/>
      <w:r>
        <w:rPr>
          <w:rFonts w:ascii="Rockwell" w:hAnsi="Rockwell"/>
          <w:i/>
          <w:color w:val="000000"/>
          <w:sz w:val="20"/>
          <w:szCs w:val="20"/>
          <w:u w:val="single"/>
        </w:rPr>
        <w:t>filinfos</w:t>
      </w:r>
      <w:proofErr w:type="spellEnd"/>
    </w:p>
    <w:p w14:paraId="18D3D902" w14:textId="77777777" w:rsidR="00284822" w:rsidRDefault="00F77BF8">
      <w:pPr>
        <w:spacing w:before="120" w:after="120"/>
        <w:rPr>
          <w:rFonts w:ascii="Rockwell" w:hAnsi="Rockwell"/>
          <w:szCs w:val="26"/>
        </w:rPr>
      </w:pPr>
      <w:r>
        <w:rPr>
          <w:rFonts w:ascii="Rockwell" w:hAnsi="Rockwell"/>
          <w:noProof/>
          <w:szCs w:val="26"/>
        </w:rPr>
        <w:drawing>
          <wp:inline distT="0" distB="0" distL="0" distR="0" wp14:anchorId="7630EB08" wp14:editId="4DB58DD6">
            <wp:extent cx="6011545" cy="3981450"/>
            <wp:effectExtent l="0" t="0" r="8255" b="0"/>
            <wp:docPr id="56" name="Graphique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78"/>
              </a:graphicData>
            </a:graphic>
          </wp:inline>
        </w:drawing>
      </w:r>
    </w:p>
    <w:p w14:paraId="1238ED55" w14:textId="77777777" w:rsidR="00284822" w:rsidRDefault="00284822">
      <w:pPr>
        <w:spacing w:before="120" w:after="120"/>
        <w:rPr>
          <w:rFonts w:ascii="Rockwell" w:hAnsi="Rockwell"/>
          <w:sz w:val="16"/>
          <w:szCs w:val="16"/>
          <w:u w:val="single"/>
        </w:rPr>
      </w:pPr>
    </w:p>
    <w:p w14:paraId="2CF593EC" w14:textId="77777777" w:rsidR="00284822" w:rsidRDefault="003148F1">
      <w:pPr>
        <w:pStyle w:val="Titre5"/>
        <w:numPr>
          <w:ilvl w:val="1"/>
          <w:numId w:val="19"/>
        </w:numPr>
        <w:rPr>
          <w:rFonts w:ascii="Rockwell" w:hAnsi="Rockwell"/>
          <w:i/>
          <w:u w:val="single"/>
        </w:rPr>
      </w:pPr>
      <w:hyperlink r:id="rId79" w:history="1">
        <w:bookmarkStart w:id="163" w:name="_Toc175048681"/>
        <w:proofErr w:type="spellStart"/>
        <w:r w:rsidR="00F77BF8">
          <w:rPr>
            <w:rFonts w:ascii="Rockwell" w:hAnsi="Rockwell"/>
            <w:bCs/>
            <w:i/>
            <w:color w:val="000000"/>
            <w:u w:val="single"/>
          </w:rPr>
          <w:t>Directinfoburkina</w:t>
        </w:r>
        <w:bookmarkEnd w:id="163"/>
        <w:proofErr w:type="spellEnd"/>
        <w:r w:rsidR="00F77BF8">
          <w:rPr>
            <w:rFonts w:ascii="Rockwell" w:hAnsi="Rockwell"/>
            <w:i/>
            <w:u w:val="single"/>
          </w:rPr>
          <w:t xml:space="preserve"> </w:t>
        </w:r>
      </w:hyperlink>
    </w:p>
    <w:p w14:paraId="3675D223" w14:textId="77777777" w:rsidR="00284822" w:rsidRDefault="00F77BF8">
      <w:pPr>
        <w:spacing w:before="120" w:after="120"/>
        <w:rPr>
          <w:rFonts w:ascii="Rockwell" w:hAnsi="Rockwell"/>
          <w:szCs w:val="26"/>
        </w:rPr>
      </w:pPr>
      <w:r>
        <w:rPr>
          <w:rFonts w:ascii="Rockwell" w:hAnsi="Rockwell"/>
          <w:szCs w:val="26"/>
        </w:rPr>
        <w:t xml:space="preserve">A travers 19 articles et 24 illustrations, 10 partis politiques ont bénéficié de la couverture de leurs activités par </w:t>
      </w:r>
      <w:proofErr w:type="spellStart"/>
      <w:r>
        <w:rPr>
          <w:rFonts w:ascii="Rockwell" w:hAnsi="Rockwell"/>
          <w:szCs w:val="26"/>
        </w:rPr>
        <w:t>D</w:t>
      </w:r>
      <w:r>
        <w:rPr>
          <w:rFonts w:ascii="Rockwell" w:hAnsi="Rockwell"/>
          <w:bCs/>
          <w:i/>
          <w:color w:val="000000"/>
          <w:szCs w:val="26"/>
        </w:rPr>
        <w:t>irectinfoburkina</w:t>
      </w:r>
      <w:proofErr w:type="spellEnd"/>
      <w:r>
        <w:rPr>
          <w:rFonts w:ascii="Rockwell" w:hAnsi="Rockwell"/>
          <w:bCs/>
          <w:i/>
          <w:color w:val="000000"/>
          <w:szCs w:val="26"/>
        </w:rPr>
        <w:t>.</w:t>
      </w:r>
      <w:r>
        <w:rPr>
          <w:rFonts w:ascii="Rockwell" w:hAnsi="Rockwell"/>
          <w:szCs w:val="26"/>
        </w:rPr>
        <w:t xml:space="preserve"> Le classement suivant précise leur rang :</w:t>
      </w:r>
    </w:p>
    <w:p w14:paraId="4B5E4AD4" w14:textId="77777777" w:rsidR="00284822" w:rsidRDefault="00284822">
      <w:pPr>
        <w:spacing w:before="120" w:after="120"/>
        <w:rPr>
          <w:rFonts w:ascii="Rockwell" w:hAnsi="Rockwell"/>
          <w:sz w:val="16"/>
          <w:szCs w:val="16"/>
        </w:rPr>
      </w:pPr>
    </w:p>
    <w:p w14:paraId="67B2E6E8" w14:textId="77777777" w:rsidR="00284822" w:rsidRDefault="00F77BF8">
      <w:pPr>
        <w:tabs>
          <w:tab w:val="left" w:pos="6237"/>
        </w:tabs>
        <w:spacing w:before="120" w:after="120"/>
        <w:jc w:val="center"/>
        <w:rPr>
          <w:rFonts w:ascii="Rockwell" w:hAnsi="Rockwell"/>
          <w:sz w:val="20"/>
          <w:szCs w:val="20"/>
        </w:rPr>
      </w:pPr>
      <w:r>
        <w:rPr>
          <w:rFonts w:ascii="Rockwell" w:hAnsi="Rockwell"/>
          <w:b/>
          <w:i/>
          <w:sz w:val="20"/>
          <w:szCs w:val="20"/>
          <w:u w:val="single"/>
        </w:rPr>
        <w:t>Tableau 16</w:t>
      </w:r>
      <w:r>
        <w:rPr>
          <w:rFonts w:ascii="Rockwell" w:hAnsi="Rockwell"/>
          <w:b/>
          <w:i/>
          <w:sz w:val="20"/>
          <w:szCs w:val="20"/>
        </w:rPr>
        <w:t xml:space="preserve"> : </w:t>
      </w:r>
      <w:r>
        <w:rPr>
          <w:rFonts w:ascii="Rockwell" w:hAnsi="Rockwell"/>
          <w:i/>
          <w:sz w:val="20"/>
          <w:szCs w:val="20"/>
        </w:rPr>
        <w:t xml:space="preserve">Classement des dix premiers partis politiques selon les NA et NI publiés dans </w:t>
      </w:r>
      <w:r>
        <w:rPr>
          <w:rFonts w:ascii="Rockwell" w:hAnsi="Rockwell"/>
          <w:bCs/>
          <w:i/>
          <w:color w:val="000000"/>
          <w:sz w:val="20"/>
          <w:szCs w:val="20"/>
        </w:rPr>
        <w:t>directinfoburkina.net</w:t>
      </w:r>
    </w:p>
    <w:tbl>
      <w:tblPr>
        <w:tblW w:w="6021"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56"/>
        <w:gridCol w:w="2153"/>
        <w:gridCol w:w="1271"/>
        <w:gridCol w:w="1557"/>
        <w:gridCol w:w="1976"/>
        <w:gridCol w:w="2397"/>
      </w:tblGrid>
      <w:tr w:rsidR="00284822" w14:paraId="2683AE05" w14:textId="77777777">
        <w:trPr>
          <w:trHeight w:val="628"/>
        </w:trPr>
        <w:tc>
          <w:tcPr>
            <w:tcW w:w="10910" w:type="dxa"/>
            <w:gridSpan w:val="6"/>
            <w:shd w:val="clear" w:color="auto" w:fill="BDD6EE" w:themeFill="accent1" w:themeFillTint="66"/>
            <w:tcMar>
              <w:top w:w="0" w:type="dxa"/>
              <w:left w:w="108" w:type="dxa"/>
              <w:bottom w:w="0" w:type="dxa"/>
              <w:right w:w="108" w:type="dxa"/>
            </w:tcMar>
          </w:tcPr>
          <w:p w14:paraId="55512EF7" w14:textId="77777777" w:rsidR="00284822" w:rsidRDefault="00F77BF8">
            <w:pPr>
              <w:spacing w:before="120" w:after="120"/>
              <w:jc w:val="center"/>
              <w:rPr>
                <w:rFonts w:ascii="Rockwell" w:hAnsi="Rockwell"/>
                <w:b/>
                <w:bCs/>
                <w:color w:val="000000"/>
                <w:szCs w:val="26"/>
              </w:rPr>
            </w:pPr>
            <w:r>
              <w:rPr>
                <w:rFonts w:ascii="Rockwell" w:hAnsi="Rockwell"/>
                <w:b/>
                <w:bCs/>
                <w:color w:val="000000"/>
                <w:szCs w:val="26"/>
              </w:rPr>
              <w:t>Directinfoburkina.Net</w:t>
            </w:r>
          </w:p>
        </w:tc>
      </w:tr>
      <w:tr w:rsidR="00284822" w14:paraId="48E2C83D" w14:textId="77777777">
        <w:trPr>
          <w:trHeight w:val="567"/>
        </w:trPr>
        <w:tc>
          <w:tcPr>
            <w:tcW w:w="1560" w:type="dxa"/>
            <w:shd w:val="clear" w:color="auto" w:fill="BDD6EE" w:themeFill="accent1" w:themeFillTint="66"/>
            <w:tcMar>
              <w:top w:w="0" w:type="dxa"/>
              <w:left w:w="108" w:type="dxa"/>
              <w:bottom w:w="0" w:type="dxa"/>
              <w:right w:w="108" w:type="dxa"/>
            </w:tcMar>
          </w:tcPr>
          <w:p w14:paraId="24B7CC10" w14:textId="77777777" w:rsidR="00284822" w:rsidRDefault="00F77BF8">
            <w:pPr>
              <w:spacing w:before="120" w:after="120"/>
              <w:jc w:val="center"/>
              <w:rPr>
                <w:rFonts w:ascii="Rockwell" w:hAnsi="Rockwell"/>
                <w:b/>
                <w:bCs/>
                <w:color w:val="000000"/>
                <w:szCs w:val="26"/>
              </w:rPr>
            </w:pPr>
            <w:r>
              <w:rPr>
                <w:rFonts w:ascii="Rockwell" w:hAnsi="Rockwell" w:cs="Calibri"/>
                <w:b/>
                <w:bCs/>
                <w:color w:val="000000"/>
                <w:szCs w:val="26"/>
              </w:rPr>
              <w:t>Rang</w:t>
            </w:r>
          </w:p>
        </w:tc>
        <w:tc>
          <w:tcPr>
            <w:tcW w:w="2127" w:type="dxa"/>
            <w:shd w:val="clear" w:color="auto" w:fill="BDD6EE" w:themeFill="accent1" w:themeFillTint="66"/>
            <w:tcMar>
              <w:top w:w="0" w:type="dxa"/>
              <w:left w:w="108" w:type="dxa"/>
              <w:bottom w:w="0" w:type="dxa"/>
              <w:right w:w="108" w:type="dxa"/>
            </w:tcMar>
          </w:tcPr>
          <w:p w14:paraId="3A1C37E9" w14:textId="60A5F8F8" w:rsidR="00284822" w:rsidRDefault="00746D14">
            <w:pPr>
              <w:spacing w:before="120" w:after="120"/>
              <w:jc w:val="center"/>
              <w:rPr>
                <w:rFonts w:ascii="Rockwell" w:hAnsi="Rockwell"/>
                <w:szCs w:val="26"/>
              </w:rPr>
            </w:pPr>
            <w:r>
              <w:rPr>
                <w:rFonts w:ascii="Rockwell" w:hAnsi="Rockwell"/>
                <w:b/>
                <w:bCs/>
              </w:rPr>
              <w:t>PARTIS</w:t>
            </w:r>
            <w:r w:rsidR="00F77BF8">
              <w:rPr>
                <w:rFonts w:ascii="Rockwell" w:hAnsi="Rockwell"/>
                <w:b/>
                <w:bCs/>
                <w:color w:val="000000"/>
                <w:szCs w:val="26"/>
              </w:rPr>
              <w:t xml:space="preserve"> POLITIQUES</w:t>
            </w:r>
          </w:p>
        </w:tc>
        <w:tc>
          <w:tcPr>
            <w:tcW w:w="1275" w:type="dxa"/>
            <w:shd w:val="clear" w:color="auto" w:fill="BDD6EE" w:themeFill="accent1" w:themeFillTint="66"/>
            <w:tcMar>
              <w:top w:w="0" w:type="dxa"/>
              <w:left w:w="108" w:type="dxa"/>
              <w:bottom w:w="0" w:type="dxa"/>
              <w:right w:w="108" w:type="dxa"/>
            </w:tcMar>
          </w:tcPr>
          <w:p w14:paraId="6799C507" w14:textId="77777777" w:rsidR="00284822" w:rsidRDefault="00F77BF8">
            <w:pPr>
              <w:spacing w:before="120" w:after="120"/>
              <w:jc w:val="center"/>
              <w:rPr>
                <w:rFonts w:ascii="Rockwell" w:hAnsi="Rockwell"/>
                <w:b/>
                <w:color w:val="000000"/>
                <w:szCs w:val="26"/>
              </w:rPr>
            </w:pPr>
            <w:r>
              <w:rPr>
                <w:rFonts w:ascii="Rockwell" w:hAnsi="Rockwell"/>
                <w:b/>
                <w:color w:val="000000"/>
                <w:szCs w:val="26"/>
              </w:rPr>
              <w:t>NA</w:t>
            </w:r>
          </w:p>
        </w:tc>
        <w:tc>
          <w:tcPr>
            <w:tcW w:w="1560" w:type="dxa"/>
            <w:shd w:val="clear" w:color="auto" w:fill="BDD6EE" w:themeFill="accent1" w:themeFillTint="66"/>
            <w:tcMar>
              <w:top w:w="0" w:type="dxa"/>
              <w:left w:w="108" w:type="dxa"/>
              <w:bottom w:w="0" w:type="dxa"/>
              <w:right w:w="108" w:type="dxa"/>
            </w:tcMar>
          </w:tcPr>
          <w:p w14:paraId="11288027" w14:textId="77777777" w:rsidR="00284822" w:rsidRDefault="00F77BF8">
            <w:pPr>
              <w:spacing w:before="120" w:after="120"/>
              <w:jc w:val="center"/>
              <w:rPr>
                <w:rFonts w:ascii="Rockwell" w:hAnsi="Rockwell"/>
                <w:b/>
                <w:color w:val="000000"/>
                <w:szCs w:val="26"/>
              </w:rPr>
            </w:pPr>
            <w:r>
              <w:rPr>
                <w:rFonts w:ascii="Rockwell" w:hAnsi="Rockwell"/>
                <w:b/>
                <w:color w:val="000000"/>
                <w:szCs w:val="26"/>
              </w:rPr>
              <w:t>% NA</w:t>
            </w:r>
          </w:p>
        </w:tc>
        <w:tc>
          <w:tcPr>
            <w:tcW w:w="1984" w:type="dxa"/>
            <w:shd w:val="clear" w:color="auto" w:fill="BDD6EE" w:themeFill="accent1" w:themeFillTint="66"/>
            <w:tcMar>
              <w:top w:w="0" w:type="dxa"/>
              <w:left w:w="108" w:type="dxa"/>
              <w:bottom w:w="0" w:type="dxa"/>
              <w:right w:w="108" w:type="dxa"/>
            </w:tcMar>
          </w:tcPr>
          <w:p w14:paraId="59C90D24" w14:textId="77777777" w:rsidR="00284822" w:rsidRDefault="00F77BF8">
            <w:pPr>
              <w:spacing w:before="120" w:after="120"/>
              <w:jc w:val="center"/>
              <w:rPr>
                <w:rFonts w:ascii="Rockwell" w:hAnsi="Rockwell"/>
                <w:b/>
                <w:color w:val="000000"/>
                <w:szCs w:val="26"/>
              </w:rPr>
            </w:pPr>
            <w:r>
              <w:rPr>
                <w:rFonts w:ascii="Rockwell" w:hAnsi="Rockwell"/>
                <w:b/>
                <w:color w:val="000000"/>
                <w:szCs w:val="26"/>
              </w:rPr>
              <w:t>NI</w:t>
            </w:r>
          </w:p>
        </w:tc>
        <w:tc>
          <w:tcPr>
            <w:tcW w:w="2404" w:type="dxa"/>
            <w:shd w:val="clear" w:color="auto" w:fill="BDD6EE" w:themeFill="accent1" w:themeFillTint="66"/>
            <w:tcMar>
              <w:top w:w="0" w:type="dxa"/>
              <w:left w:w="108" w:type="dxa"/>
              <w:bottom w:w="0" w:type="dxa"/>
              <w:right w:w="108" w:type="dxa"/>
            </w:tcMar>
          </w:tcPr>
          <w:p w14:paraId="110A0808" w14:textId="77777777" w:rsidR="00284822" w:rsidRDefault="00F77BF8">
            <w:pPr>
              <w:spacing w:before="120" w:after="120"/>
              <w:jc w:val="center"/>
              <w:rPr>
                <w:rFonts w:ascii="Rockwell" w:hAnsi="Rockwell"/>
                <w:b/>
                <w:color w:val="000000"/>
                <w:szCs w:val="26"/>
              </w:rPr>
            </w:pPr>
            <w:r>
              <w:rPr>
                <w:rFonts w:ascii="Rockwell" w:hAnsi="Rockwell"/>
                <w:b/>
                <w:color w:val="000000"/>
                <w:szCs w:val="26"/>
              </w:rPr>
              <w:t>% NI</w:t>
            </w:r>
          </w:p>
        </w:tc>
      </w:tr>
      <w:tr w:rsidR="00284822" w14:paraId="2A35F5C1" w14:textId="77777777">
        <w:trPr>
          <w:trHeight w:val="600"/>
        </w:trPr>
        <w:tc>
          <w:tcPr>
            <w:tcW w:w="1560" w:type="dxa"/>
            <w:shd w:val="clear" w:color="auto" w:fill="FFFFFF"/>
            <w:tcMar>
              <w:top w:w="0" w:type="dxa"/>
              <w:left w:w="108" w:type="dxa"/>
              <w:bottom w:w="0" w:type="dxa"/>
              <w:right w:w="108" w:type="dxa"/>
            </w:tcMar>
          </w:tcPr>
          <w:p w14:paraId="3F28A1E1" w14:textId="77777777" w:rsidR="00284822" w:rsidRDefault="00F77BF8">
            <w:pPr>
              <w:spacing w:before="120" w:after="120"/>
              <w:rPr>
                <w:rFonts w:ascii="Rockwell" w:hAnsi="Rockwell"/>
                <w:szCs w:val="26"/>
              </w:rPr>
            </w:pPr>
            <w:r>
              <w:rPr>
                <w:rFonts w:ascii="Rockwell" w:hAnsi="Rockwell"/>
                <w:bCs/>
                <w:szCs w:val="26"/>
              </w:rPr>
              <w:t>1</w:t>
            </w:r>
            <w:r>
              <w:rPr>
                <w:rFonts w:ascii="Rockwell" w:hAnsi="Rockwell"/>
                <w:bCs/>
                <w:szCs w:val="26"/>
                <w:vertAlign w:val="superscript"/>
              </w:rPr>
              <w:t>er</w:t>
            </w:r>
            <w:r>
              <w:rPr>
                <w:rFonts w:ascii="Rockwell" w:hAnsi="Rockwell"/>
                <w:bCs/>
                <w:szCs w:val="26"/>
              </w:rPr>
              <w:t xml:space="preserve"> </w:t>
            </w:r>
          </w:p>
        </w:tc>
        <w:tc>
          <w:tcPr>
            <w:tcW w:w="2127" w:type="dxa"/>
            <w:shd w:val="clear" w:color="auto" w:fill="auto"/>
            <w:tcMar>
              <w:top w:w="0" w:type="dxa"/>
              <w:left w:w="108" w:type="dxa"/>
              <w:bottom w:w="0" w:type="dxa"/>
              <w:right w:w="108" w:type="dxa"/>
            </w:tcMar>
          </w:tcPr>
          <w:p w14:paraId="14D706CA" w14:textId="77777777" w:rsidR="00284822" w:rsidRDefault="00F77BF8">
            <w:pPr>
              <w:spacing w:before="120" w:after="120"/>
              <w:jc w:val="left"/>
              <w:rPr>
                <w:rFonts w:ascii="Rockwell" w:hAnsi="Rockwell"/>
                <w:b/>
                <w:color w:val="000000"/>
                <w:szCs w:val="26"/>
              </w:rPr>
            </w:pPr>
            <w:r>
              <w:rPr>
                <w:rFonts w:ascii="Rockwell" w:hAnsi="Rockwell"/>
                <w:b/>
                <w:color w:val="000000"/>
                <w:szCs w:val="26"/>
              </w:rPr>
              <w:t>MPP</w:t>
            </w:r>
          </w:p>
        </w:tc>
        <w:tc>
          <w:tcPr>
            <w:tcW w:w="1275" w:type="dxa"/>
            <w:shd w:val="clear" w:color="auto" w:fill="auto"/>
            <w:tcMar>
              <w:top w:w="0" w:type="dxa"/>
              <w:left w:w="108" w:type="dxa"/>
              <w:bottom w:w="0" w:type="dxa"/>
              <w:right w:w="108" w:type="dxa"/>
            </w:tcMar>
          </w:tcPr>
          <w:p w14:paraId="182C22E4" w14:textId="77777777" w:rsidR="00284822" w:rsidRDefault="00F77BF8">
            <w:pPr>
              <w:spacing w:before="120" w:after="120"/>
              <w:jc w:val="left"/>
              <w:rPr>
                <w:rFonts w:ascii="Rockwell" w:hAnsi="Rockwell"/>
                <w:color w:val="000000"/>
                <w:szCs w:val="26"/>
              </w:rPr>
            </w:pPr>
            <w:r>
              <w:rPr>
                <w:rFonts w:ascii="Rockwell" w:hAnsi="Rockwell"/>
                <w:color w:val="000000"/>
                <w:szCs w:val="26"/>
              </w:rPr>
              <w:t>4</w:t>
            </w:r>
          </w:p>
        </w:tc>
        <w:tc>
          <w:tcPr>
            <w:tcW w:w="1560" w:type="dxa"/>
            <w:shd w:val="clear" w:color="auto" w:fill="auto"/>
            <w:tcMar>
              <w:top w:w="0" w:type="dxa"/>
              <w:left w:w="108" w:type="dxa"/>
              <w:bottom w:w="0" w:type="dxa"/>
              <w:right w:w="108" w:type="dxa"/>
            </w:tcMar>
          </w:tcPr>
          <w:p w14:paraId="70433E72" w14:textId="77777777" w:rsidR="00284822" w:rsidRDefault="00F77BF8">
            <w:pPr>
              <w:spacing w:before="120" w:after="120"/>
              <w:jc w:val="left"/>
              <w:rPr>
                <w:rFonts w:ascii="Rockwell" w:hAnsi="Rockwell"/>
                <w:color w:val="000000"/>
                <w:szCs w:val="26"/>
              </w:rPr>
            </w:pPr>
            <w:r>
              <w:rPr>
                <w:rFonts w:ascii="Rockwell" w:hAnsi="Rockwell"/>
                <w:color w:val="000000"/>
                <w:szCs w:val="26"/>
              </w:rPr>
              <w:t>21,05%</w:t>
            </w:r>
          </w:p>
        </w:tc>
        <w:tc>
          <w:tcPr>
            <w:tcW w:w="1984" w:type="dxa"/>
            <w:shd w:val="clear" w:color="auto" w:fill="auto"/>
            <w:tcMar>
              <w:top w:w="0" w:type="dxa"/>
              <w:left w:w="108" w:type="dxa"/>
              <w:bottom w:w="0" w:type="dxa"/>
              <w:right w:w="108" w:type="dxa"/>
            </w:tcMar>
          </w:tcPr>
          <w:p w14:paraId="5EBF8F67" w14:textId="77777777" w:rsidR="00284822" w:rsidRDefault="00F77BF8">
            <w:pPr>
              <w:spacing w:before="120" w:after="120"/>
              <w:jc w:val="left"/>
              <w:rPr>
                <w:rFonts w:ascii="Rockwell" w:hAnsi="Rockwell"/>
                <w:color w:val="000000"/>
                <w:szCs w:val="26"/>
              </w:rPr>
            </w:pPr>
            <w:r>
              <w:rPr>
                <w:rFonts w:ascii="Rockwell" w:hAnsi="Rockwell"/>
                <w:color w:val="000000"/>
                <w:szCs w:val="26"/>
              </w:rPr>
              <w:t>7</w:t>
            </w:r>
          </w:p>
        </w:tc>
        <w:tc>
          <w:tcPr>
            <w:tcW w:w="2404" w:type="dxa"/>
            <w:shd w:val="clear" w:color="auto" w:fill="auto"/>
            <w:tcMar>
              <w:top w:w="0" w:type="dxa"/>
              <w:left w:w="108" w:type="dxa"/>
              <w:bottom w:w="0" w:type="dxa"/>
              <w:right w:w="108" w:type="dxa"/>
            </w:tcMar>
          </w:tcPr>
          <w:p w14:paraId="75ED4326" w14:textId="77777777" w:rsidR="00284822" w:rsidRDefault="00F77BF8">
            <w:pPr>
              <w:spacing w:before="120" w:after="120"/>
              <w:jc w:val="left"/>
              <w:rPr>
                <w:rFonts w:ascii="Rockwell" w:hAnsi="Rockwell"/>
                <w:color w:val="000000"/>
                <w:szCs w:val="26"/>
              </w:rPr>
            </w:pPr>
            <w:r>
              <w:rPr>
                <w:rFonts w:ascii="Rockwell" w:hAnsi="Rockwell"/>
                <w:color w:val="000000"/>
                <w:szCs w:val="26"/>
              </w:rPr>
              <w:t>29,17%</w:t>
            </w:r>
          </w:p>
        </w:tc>
      </w:tr>
      <w:tr w:rsidR="00284822" w14:paraId="6A67D89F" w14:textId="77777777">
        <w:trPr>
          <w:trHeight w:val="553"/>
        </w:trPr>
        <w:tc>
          <w:tcPr>
            <w:tcW w:w="1560" w:type="dxa"/>
            <w:shd w:val="clear" w:color="auto" w:fill="FFFFFF"/>
            <w:tcMar>
              <w:top w:w="0" w:type="dxa"/>
              <w:left w:w="108" w:type="dxa"/>
              <w:bottom w:w="0" w:type="dxa"/>
              <w:right w:w="108" w:type="dxa"/>
            </w:tcMar>
          </w:tcPr>
          <w:p w14:paraId="7321A4C8" w14:textId="77777777" w:rsidR="00284822" w:rsidRDefault="00F77BF8">
            <w:pPr>
              <w:spacing w:before="120" w:after="120"/>
              <w:rPr>
                <w:rFonts w:ascii="Rockwell" w:hAnsi="Rockwell"/>
                <w:szCs w:val="26"/>
              </w:rPr>
            </w:pPr>
            <w:r>
              <w:rPr>
                <w:rFonts w:ascii="Rockwell" w:hAnsi="Rockwell"/>
                <w:bCs/>
                <w:szCs w:val="26"/>
              </w:rPr>
              <w:t>1</w:t>
            </w:r>
            <w:r>
              <w:rPr>
                <w:rFonts w:ascii="Rockwell" w:hAnsi="Rockwell"/>
                <w:bCs/>
                <w:szCs w:val="26"/>
                <w:vertAlign w:val="superscript"/>
              </w:rPr>
              <w:t>er</w:t>
            </w:r>
            <w:r>
              <w:rPr>
                <w:rFonts w:ascii="Rockwell" w:hAnsi="Rockwell"/>
                <w:bCs/>
                <w:szCs w:val="26"/>
              </w:rPr>
              <w:t xml:space="preserve"> ex</w:t>
            </w:r>
          </w:p>
        </w:tc>
        <w:tc>
          <w:tcPr>
            <w:tcW w:w="2127" w:type="dxa"/>
            <w:shd w:val="clear" w:color="auto" w:fill="auto"/>
            <w:tcMar>
              <w:top w:w="0" w:type="dxa"/>
              <w:left w:w="108" w:type="dxa"/>
              <w:bottom w:w="0" w:type="dxa"/>
              <w:right w:w="108" w:type="dxa"/>
            </w:tcMar>
          </w:tcPr>
          <w:p w14:paraId="6CBB8B48" w14:textId="77777777" w:rsidR="00284822" w:rsidRDefault="00F77BF8">
            <w:pPr>
              <w:spacing w:before="120" w:after="120"/>
              <w:jc w:val="left"/>
              <w:rPr>
                <w:rFonts w:ascii="Rockwell" w:hAnsi="Rockwell"/>
                <w:b/>
                <w:color w:val="000000"/>
                <w:szCs w:val="26"/>
              </w:rPr>
            </w:pPr>
            <w:r>
              <w:rPr>
                <w:rFonts w:ascii="Rockwell" w:hAnsi="Rockwell"/>
                <w:b/>
                <w:color w:val="000000"/>
                <w:szCs w:val="26"/>
              </w:rPr>
              <w:t>CDP</w:t>
            </w:r>
          </w:p>
        </w:tc>
        <w:tc>
          <w:tcPr>
            <w:tcW w:w="1275" w:type="dxa"/>
            <w:shd w:val="clear" w:color="auto" w:fill="auto"/>
            <w:tcMar>
              <w:top w:w="0" w:type="dxa"/>
              <w:left w:w="108" w:type="dxa"/>
              <w:bottom w:w="0" w:type="dxa"/>
              <w:right w:w="108" w:type="dxa"/>
            </w:tcMar>
          </w:tcPr>
          <w:p w14:paraId="71DB4875" w14:textId="77777777" w:rsidR="00284822" w:rsidRDefault="00F77BF8">
            <w:pPr>
              <w:spacing w:before="120" w:after="120"/>
              <w:jc w:val="left"/>
              <w:rPr>
                <w:rFonts w:ascii="Rockwell" w:hAnsi="Rockwell"/>
                <w:color w:val="000000"/>
                <w:szCs w:val="26"/>
              </w:rPr>
            </w:pPr>
            <w:r>
              <w:rPr>
                <w:rFonts w:ascii="Rockwell" w:hAnsi="Rockwell"/>
                <w:color w:val="000000"/>
                <w:szCs w:val="26"/>
              </w:rPr>
              <w:t>4</w:t>
            </w:r>
          </w:p>
        </w:tc>
        <w:tc>
          <w:tcPr>
            <w:tcW w:w="1560" w:type="dxa"/>
            <w:shd w:val="clear" w:color="auto" w:fill="auto"/>
            <w:tcMar>
              <w:top w:w="0" w:type="dxa"/>
              <w:left w:w="108" w:type="dxa"/>
              <w:bottom w:w="0" w:type="dxa"/>
              <w:right w:w="108" w:type="dxa"/>
            </w:tcMar>
          </w:tcPr>
          <w:p w14:paraId="0477A1B9" w14:textId="77777777" w:rsidR="00284822" w:rsidRDefault="00F77BF8">
            <w:pPr>
              <w:spacing w:before="120" w:after="120"/>
              <w:jc w:val="left"/>
              <w:rPr>
                <w:rFonts w:ascii="Rockwell" w:hAnsi="Rockwell"/>
                <w:color w:val="000000"/>
                <w:szCs w:val="26"/>
              </w:rPr>
            </w:pPr>
            <w:r>
              <w:rPr>
                <w:rFonts w:ascii="Rockwell" w:hAnsi="Rockwell"/>
                <w:color w:val="000000"/>
                <w:szCs w:val="26"/>
              </w:rPr>
              <w:t>21,05%</w:t>
            </w:r>
          </w:p>
        </w:tc>
        <w:tc>
          <w:tcPr>
            <w:tcW w:w="1984" w:type="dxa"/>
            <w:shd w:val="clear" w:color="auto" w:fill="auto"/>
            <w:tcMar>
              <w:top w:w="0" w:type="dxa"/>
              <w:left w:w="108" w:type="dxa"/>
              <w:bottom w:w="0" w:type="dxa"/>
              <w:right w:w="108" w:type="dxa"/>
            </w:tcMar>
          </w:tcPr>
          <w:p w14:paraId="7C83FB5D" w14:textId="77777777" w:rsidR="00284822" w:rsidRDefault="00F77BF8">
            <w:pPr>
              <w:spacing w:before="120" w:after="120"/>
              <w:jc w:val="left"/>
              <w:rPr>
                <w:rFonts w:ascii="Rockwell" w:hAnsi="Rockwell"/>
                <w:color w:val="000000"/>
                <w:szCs w:val="26"/>
              </w:rPr>
            </w:pPr>
            <w:r>
              <w:rPr>
                <w:rFonts w:ascii="Rockwell" w:hAnsi="Rockwell"/>
                <w:color w:val="000000"/>
                <w:szCs w:val="26"/>
              </w:rPr>
              <w:t>4</w:t>
            </w:r>
          </w:p>
        </w:tc>
        <w:tc>
          <w:tcPr>
            <w:tcW w:w="2404" w:type="dxa"/>
            <w:shd w:val="clear" w:color="auto" w:fill="auto"/>
            <w:tcMar>
              <w:top w:w="0" w:type="dxa"/>
              <w:left w:w="108" w:type="dxa"/>
              <w:bottom w:w="0" w:type="dxa"/>
              <w:right w:w="108" w:type="dxa"/>
            </w:tcMar>
          </w:tcPr>
          <w:p w14:paraId="6E4F11B9" w14:textId="77777777" w:rsidR="00284822" w:rsidRDefault="00F77BF8">
            <w:pPr>
              <w:spacing w:before="120" w:after="120"/>
              <w:jc w:val="left"/>
              <w:rPr>
                <w:rFonts w:ascii="Rockwell" w:hAnsi="Rockwell"/>
                <w:color w:val="000000"/>
                <w:szCs w:val="26"/>
              </w:rPr>
            </w:pPr>
            <w:r>
              <w:rPr>
                <w:rFonts w:ascii="Rockwell" w:hAnsi="Rockwell"/>
                <w:color w:val="000000"/>
                <w:szCs w:val="26"/>
              </w:rPr>
              <w:t>16,67%</w:t>
            </w:r>
          </w:p>
        </w:tc>
      </w:tr>
      <w:tr w:rsidR="00284822" w14:paraId="31E0F179" w14:textId="77777777">
        <w:trPr>
          <w:trHeight w:val="560"/>
        </w:trPr>
        <w:tc>
          <w:tcPr>
            <w:tcW w:w="1560" w:type="dxa"/>
            <w:shd w:val="clear" w:color="auto" w:fill="FFFFFF"/>
            <w:tcMar>
              <w:top w:w="0" w:type="dxa"/>
              <w:left w:w="108" w:type="dxa"/>
              <w:bottom w:w="0" w:type="dxa"/>
              <w:right w:w="108" w:type="dxa"/>
            </w:tcMar>
          </w:tcPr>
          <w:p w14:paraId="2CEE33B0" w14:textId="77777777" w:rsidR="00284822" w:rsidRDefault="00F77BF8">
            <w:pPr>
              <w:spacing w:before="120" w:after="120"/>
              <w:rPr>
                <w:rFonts w:ascii="Rockwell" w:hAnsi="Rockwell"/>
                <w:szCs w:val="26"/>
              </w:rPr>
            </w:pPr>
            <w:r>
              <w:rPr>
                <w:rFonts w:ascii="Rockwell" w:hAnsi="Rockwell"/>
                <w:bCs/>
                <w:szCs w:val="26"/>
              </w:rPr>
              <w:t>3</w:t>
            </w:r>
            <w:r>
              <w:rPr>
                <w:rFonts w:ascii="Rockwell" w:hAnsi="Rockwell"/>
                <w:bCs/>
                <w:szCs w:val="26"/>
                <w:vertAlign w:val="superscript"/>
              </w:rPr>
              <w:t>e</w:t>
            </w:r>
            <w:r>
              <w:rPr>
                <w:rFonts w:ascii="Rockwell" w:hAnsi="Rockwell"/>
                <w:bCs/>
                <w:szCs w:val="26"/>
              </w:rPr>
              <w:t xml:space="preserve"> </w:t>
            </w:r>
          </w:p>
        </w:tc>
        <w:tc>
          <w:tcPr>
            <w:tcW w:w="2127" w:type="dxa"/>
            <w:shd w:val="clear" w:color="auto" w:fill="auto"/>
            <w:tcMar>
              <w:top w:w="0" w:type="dxa"/>
              <w:left w:w="108" w:type="dxa"/>
              <w:bottom w:w="0" w:type="dxa"/>
              <w:right w:w="108" w:type="dxa"/>
            </w:tcMar>
          </w:tcPr>
          <w:p w14:paraId="4941BE4E" w14:textId="77777777" w:rsidR="00284822" w:rsidRDefault="00F77BF8">
            <w:pPr>
              <w:spacing w:before="120" w:after="120"/>
              <w:jc w:val="left"/>
              <w:rPr>
                <w:rFonts w:ascii="Rockwell" w:hAnsi="Rockwell"/>
                <w:b/>
                <w:color w:val="000000"/>
                <w:szCs w:val="26"/>
              </w:rPr>
            </w:pPr>
            <w:r>
              <w:rPr>
                <w:rFonts w:ascii="Rockwell" w:hAnsi="Rockwell"/>
                <w:b/>
                <w:color w:val="000000"/>
                <w:szCs w:val="26"/>
              </w:rPr>
              <w:t>UNDD</w:t>
            </w:r>
          </w:p>
        </w:tc>
        <w:tc>
          <w:tcPr>
            <w:tcW w:w="1275" w:type="dxa"/>
            <w:shd w:val="clear" w:color="auto" w:fill="auto"/>
            <w:tcMar>
              <w:top w:w="0" w:type="dxa"/>
              <w:left w:w="108" w:type="dxa"/>
              <w:bottom w:w="0" w:type="dxa"/>
              <w:right w:w="108" w:type="dxa"/>
            </w:tcMar>
          </w:tcPr>
          <w:p w14:paraId="7A2E883B" w14:textId="77777777" w:rsidR="00284822" w:rsidRDefault="00F77BF8">
            <w:pPr>
              <w:spacing w:before="120" w:after="120"/>
              <w:jc w:val="left"/>
              <w:rPr>
                <w:rFonts w:ascii="Rockwell" w:hAnsi="Rockwell"/>
                <w:color w:val="000000"/>
                <w:szCs w:val="26"/>
              </w:rPr>
            </w:pPr>
            <w:r>
              <w:rPr>
                <w:rFonts w:ascii="Rockwell" w:hAnsi="Rockwell"/>
                <w:color w:val="000000"/>
                <w:szCs w:val="26"/>
              </w:rPr>
              <w:t>2</w:t>
            </w:r>
          </w:p>
        </w:tc>
        <w:tc>
          <w:tcPr>
            <w:tcW w:w="1560" w:type="dxa"/>
            <w:shd w:val="clear" w:color="auto" w:fill="auto"/>
            <w:tcMar>
              <w:top w:w="0" w:type="dxa"/>
              <w:left w:w="108" w:type="dxa"/>
              <w:bottom w:w="0" w:type="dxa"/>
              <w:right w:w="108" w:type="dxa"/>
            </w:tcMar>
          </w:tcPr>
          <w:p w14:paraId="662D2DBA" w14:textId="77777777" w:rsidR="00284822" w:rsidRDefault="00F77BF8">
            <w:pPr>
              <w:spacing w:before="120" w:after="120"/>
              <w:jc w:val="left"/>
              <w:rPr>
                <w:rFonts w:ascii="Rockwell" w:hAnsi="Rockwell"/>
                <w:color w:val="000000"/>
                <w:szCs w:val="26"/>
              </w:rPr>
            </w:pPr>
            <w:r>
              <w:rPr>
                <w:rFonts w:ascii="Rockwell" w:hAnsi="Rockwell"/>
                <w:color w:val="000000"/>
                <w:szCs w:val="26"/>
              </w:rPr>
              <w:t>10,53%</w:t>
            </w:r>
          </w:p>
        </w:tc>
        <w:tc>
          <w:tcPr>
            <w:tcW w:w="1984" w:type="dxa"/>
            <w:shd w:val="clear" w:color="auto" w:fill="auto"/>
            <w:tcMar>
              <w:top w:w="0" w:type="dxa"/>
              <w:left w:w="108" w:type="dxa"/>
              <w:bottom w:w="0" w:type="dxa"/>
              <w:right w:w="108" w:type="dxa"/>
            </w:tcMar>
          </w:tcPr>
          <w:p w14:paraId="6E4020CB" w14:textId="77777777" w:rsidR="00284822" w:rsidRDefault="00F77BF8">
            <w:pPr>
              <w:spacing w:before="120" w:after="120"/>
              <w:jc w:val="left"/>
              <w:rPr>
                <w:rFonts w:ascii="Rockwell" w:hAnsi="Rockwell"/>
                <w:color w:val="000000"/>
                <w:szCs w:val="26"/>
              </w:rPr>
            </w:pPr>
            <w:r>
              <w:rPr>
                <w:rFonts w:ascii="Rockwell" w:hAnsi="Rockwell"/>
                <w:color w:val="000000"/>
                <w:szCs w:val="26"/>
              </w:rPr>
              <w:t>3</w:t>
            </w:r>
          </w:p>
        </w:tc>
        <w:tc>
          <w:tcPr>
            <w:tcW w:w="2404" w:type="dxa"/>
            <w:shd w:val="clear" w:color="auto" w:fill="auto"/>
            <w:tcMar>
              <w:top w:w="0" w:type="dxa"/>
              <w:left w:w="108" w:type="dxa"/>
              <w:bottom w:w="0" w:type="dxa"/>
              <w:right w:w="108" w:type="dxa"/>
            </w:tcMar>
          </w:tcPr>
          <w:p w14:paraId="2D36FEFD" w14:textId="77777777" w:rsidR="00284822" w:rsidRDefault="00F77BF8">
            <w:pPr>
              <w:spacing w:before="120" w:after="120"/>
              <w:jc w:val="left"/>
              <w:rPr>
                <w:rFonts w:ascii="Rockwell" w:hAnsi="Rockwell"/>
                <w:color w:val="000000"/>
                <w:szCs w:val="26"/>
              </w:rPr>
            </w:pPr>
            <w:r>
              <w:rPr>
                <w:rFonts w:ascii="Rockwell" w:hAnsi="Rockwell"/>
                <w:color w:val="000000"/>
                <w:szCs w:val="26"/>
              </w:rPr>
              <w:t>12,50%</w:t>
            </w:r>
          </w:p>
        </w:tc>
      </w:tr>
      <w:tr w:rsidR="00284822" w14:paraId="71D7C8F5" w14:textId="77777777">
        <w:trPr>
          <w:trHeight w:val="554"/>
        </w:trPr>
        <w:tc>
          <w:tcPr>
            <w:tcW w:w="1560" w:type="dxa"/>
            <w:shd w:val="clear" w:color="auto" w:fill="FFFFFF"/>
            <w:tcMar>
              <w:top w:w="0" w:type="dxa"/>
              <w:left w:w="108" w:type="dxa"/>
              <w:bottom w:w="0" w:type="dxa"/>
              <w:right w:w="108" w:type="dxa"/>
            </w:tcMar>
          </w:tcPr>
          <w:p w14:paraId="1D9C8653" w14:textId="77777777" w:rsidR="00284822" w:rsidRDefault="00F77BF8">
            <w:pPr>
              <w:spacing w:before="120" w:after="120"/>
              <w:rPr>
                <w:rFonts w:ascii="Rockwell" w:hAnsi="Rockwell"/>
                <w:szCs w:val="26"/>
              </w:rPr>
            </w:pPr>
            <w:r>
              <w:rPr>
                <w:rFonts w:ascii="Rockwell" w:hAnsi="Rockwell"/>
                <w:bCs/>
                <w:szCs w:val="26"/>
              </w:rPr>
              <w:t>3</w:t>
            </w:r>
            <w:r>
              <w:rPr>
                <w:rFonts w:ascii="Rockwell" w:hAnsi="Rockwell"/>
                <w:bCs/>
                <w:szCs w:val="26"/>
                <w:vertAlign w:val="superscript"/>
              </w:rPr>
              <w:t>e</w:t>
            </w:r>
            <w:r>
              <w:rPr>
                <w:rFonts w:ascii="Rockwell" w:hAnsi="Rockwell"/>
                <w:bCs/>
                <w:szCs w:val="26"/>
              </w:rPr>
              <w:t xml:space="preserve"> ex</w:t>
            </w:r>
          </w:p>
        </w:tc>
        <w:tc>
          <w:tcPr>
            <w:tcW w:w="2127" w:type="dxa"/>
            <w:shd w:val="clear" w:color="auto" w:fill="auto"/>
            <w:tcMar>
              <w:top w:w="0" w:type="dxa"/>
              <w:left w:w="108" w:type="dxa"/>
              <w:bottom w:w="0" w:type="dxa"/>
              <w:right w:w="108" w:type="dxa"/>
            </w:tcMar>
          </w:tcPr>
          <w:p w14:paraId="18D9F00D" w14:textId="77777777" w:rsidR="00284822" w:rsidRDefault="00F77BF8">
            <w:pPr>
              <w:spacing w:before="120" w:after="120"/>
              <w:jc w:val="left"/>
              <w:rPr>
                <w:rFonts w:ascii="Rockwell" w:hAnsi="Rockwell"/>
                <w:b/>
                <w:color w:val="000000"/>
                <w:szCs w:val="26"/>
              </w:rPr>
            </w:pPr>
            <w:r>
              <w:rPr>
                <w:rFonts w:ascii="Rockwell" w:hAnsi="Rockwell"/>
                <w:b/>
                <w:color w:val="000000"/>
                <w:szCs w:val="26"/>
              </w:rPr>
              <w:t>MRB</w:t>
            </w:r>
          </w:p>
        </w:tc>
        <w:tc>
          <w:tcPr>
            <w:tcW w:w="1275" w:type="dxa"/>
            <w:shd w:val="clear" w:color="auto" w:fill="auto"/>
            <w:tcMar>
              <w:top w:w="0" w:type="dxa"/>
              <w:left w:w="108" w:type="dxa"/>
              <w:bottom w:w="0" w:type="dxa"/>
              <w:right w:w="108" w:type="dxa"/>
            </w:tcMar>
          </w:tcPr>
          <w:p w14:paraId="7BDAEAA7" w14:textId="77777777" w:rsidR="00284822" w:rsidRDefault="00F77BF8">
            <w:pPr>
              <w:spacing w:before="120" w:after="120"/>
              <w:jc w:val="left"/>
              <w:rPr>
                <w:rFonts w:ascii="Rockwell" w:hAnsi="Rockwell"/>
                <w:color w:val="000000"/>
                <w:szCs w:val="26"/>
              </w:rPr>
            </w:pPr>
            <w:r>
              <w:rPr>
                <w:rFonts w:ascii="Rockwell" w:hAnsi="Rockwell"/>
                <w:color w:val="000000"/>
                <w:szCs w:val="26"/>
              </w:rPr>
              <w:t>2</w:t>
            </w:r>
          </w:p>
        </w:tc>
        <w:tc>
          <w:tcPr>
            <w:tcW w:w="1560" w:type="dxa"/>
            <w:shd w:val="clear" w:color="auto" w:fill="auto"/>
            <w:tcMar>
              <w:top w:w="0" w:type="dxa"/>
              <w:left w:w="108" w:type="dxa"/>
              <w:bottom w:w="0" w:type="dxa"/>
              <w:right w:w="108" w:type="dxa"/>
            </w:tcMar>
          </w:tcPr>
          <w:p w14:paraId="1868F0E5" w14:textId="77777777" w:rsidR="00284822" w:rsidRDefault="00F77BF8">
            <w:pPr>
              <w:spacing w:before="120" w:after="120"/>
              <w:jc w:val="left"/>
              <w:rPr>
                <w:rFonts w:ascii="Rockwell" w:hAnsi="Rockwell"/>
                <w:color w:val="000000"/>
                <w:szCs w:val="26"/>
              </w:rPr>
            </w:pPr>
            <w:r>
              <w:rPr>
                <w:rFonts w:ascii="Rockwell" w:hAnsi="Rockwell"/>
                <w:color w:val="000000"/>
                <w:szCs w:val="26"/>
              </w:rPr>
              <w:t>10,53%</w:t>
            </w:r>
          </w:p>
        </w:tc>
        <w:tc>
          <w:tcPr>
            <w:tcW w:w="1984" w:type="dxa"/>
            <w:shd w:val="clear" w:color="auto" w:fill="auto"/>
            <w:tcMar>
              <w:top w:w="0" w:type="dxa"/>
              <w:left w:w="108" w:type="dxa"/>
              <w:bottom w:w="0" w:type="dxa"/>
              <w:right w:w="108" w:type="dxa"/>
            </w:tcMar>
          </w:tcPr>
          <w:p w14:paraId="0CEE4E25" w14:textId="77777777" w:rsidR="00284822" w:rsidRDefault="00F77BF8">
            <w:pPr>
              <w:spacing w:before="120" w:after="120"/>
              <w:jc w:val="left"/>
              <w:rPr>
                <w:rFonts w:ascii="Rockwell" w:hAnsi="Rockwell"/>
                <w:color w:val="000000"/>
                <w:szCs w:val="26"/>
              </w:rPr>
            </w:pPr>
            <w:r>
              <w:rPr>
                <w:rFonts w:ascii="Rockwell" w:hAnsi="Rockwell"/>
                <w:color w:val="000000"/>
                <w:szCs w:val="26"/>
              </w:rPr>
              <w:t>2</w:t>
            </w:r>
          </w:p>
        </w:tc>
        <w:tc>
          <w:tcPr>
            <w:tcW w:w="2404" w:type="dxa"/>
            <w:shd w:val="clear" w:color="auto" w:fill="auto"/>
            <w:tcMar>
              <w:top w:w="0" w:type="dxa"/>
              <w:left w:w="108" w:type="dxa"/>
              <w:bottom w:w="0" w:type="dxa"/>
              <w:right w:w="108" w:type="dxa"/>
            </w:tcMar>
          </w:tcPr>
          <w:p w14:paraId="2D38A9D3" w14:textId="77777777" w:rsidR="00284822" w:rsidRDefault="00F77BF8">
            <w:pPr>
              <w:spacing w:before="120" w:after="120"/>
              <w:jc w:val="left"/>
              <w:rPr>
                <w:rFonts w:ascii="Rockwell" w:hAnsi="Rockwell"/>
                <w:color w:val="000000"/>
                <w:szCs w:val="26"/>
              </w:rPr>
            </w:pPr>
            <w:r>
              <w:rPr>
                <w:rFonts w:ascii="Rockwell" w:hAnsi="Rockwell"/>
                <w:color w:val="000000"/>
                <w:szCs w:val="26"/>
              </w:rPr>
              <w:t>8,33%</w:t>
            </w:r>
          </w:p>
        </w:tc>
      </w:tr>
      <w:tr w:rsidR="00284822" w14:paraId="6AD8FD2E" w14:textId="77777777">
        <w:trPr>
          <w:trHeight w:val="549"/>
        </w:trPr>
        <w:tc>
          <w:tcPr>
            <w:tcW w:w="1560" w:type="dxa"/>
            <w:shd w:val="clear" w:color="auto" w:fill="FFFFFF"/>
            <w:tcMar>
              <w:top w:w="0" w:type="dxa"/>
              <w:left w:w="108" w:type="dxa"/>
              <w:bottom w:w="0" w:type="dxa"/>
              <w:right w:w="108" w:type="dxa"/>
            </w:tcMar>
          </w:tcPr>
          <w:p w14:paraId="7E455FE1" w14:textId="77777777" w:rsidR="00284822" w:rsidRDefault="00F77BF8">
            <w:pPr>
              <w:spacing w:before="120" w:after="120"/>
              <w:rPr>
                <w:rFonts w:ascii="Rockwell" w:hAnsi="Rockwell"/>
                <w:szCs w:val="26"/>
              </w:rPr>
            </w:pPr>
            <w:r>
              <w:rPr>
                <w:rFonts w:ascii="Rockwell" w:hAnsi="Rockwell"/>
                <w:bCs/>
                <w:szCs w:val="26"/>
              </w:rPr>
              <w:t>3</w:t>
            </w:r>
            <w:r>
              <w:rPr>
                <w:rFonts w:ascii="Rockwell" w:hAnsi="Rockwell"/>
                <w:bCs/>
                <w:szCs w:val="26"/>
                <w:vertAlign w:val="superscript"/>
              </w:rPr>
              <w:t>e</w:t>
            </w:r>
            <w:r>
              <w:rPr>
                <w:rFonts w:ascii="Rockwell" w:hAnsi="Rockwell"/>
                <w:bCs/>
                <w:szCs w:val="26"/>
              </w:rPr>
              <w:t xml:space="preserve"> ex</w:t>
            </w:r>
          </w:p>
        </w:tc>
        <w:tc>
          <w:tcPr>
            <w:tcW w:w="2127" w:type="dxa"/>
            <w:shd w:val="clear" w:color="auto" w:fill="auto"/>
            <w:tcMar>
              <w:top w:w="0" w:type="dxa"/>
              <w:left w:w="108" w:type="dxa"/>
              <w:bottom w:w="0" w:type="dxa"/>
              <w:right w:w="108" w:type="dxa"/>
            </w:tcMar>
          </w:tcPr>
          <w:p w14:paraId="467C24C3" w14:textId="77777777" w:rsidR="00284822" w:rsidRDefault="00F77BF8">
            <w:pPr>
              <w:spacing w:before="120" w:after="120"/>
              <w:jc w:val="left"/>
              <w:rPr>
                <w:rFonts w:ascii="Rockwell" w:hAnsi="Rockwell"/>
                <w:b/>
                <w:color w:val="000000"/>
                <w:szCs w:val="26"/>
              </w:rPr>
            </w:pPr>
            <w:r>
              <w:rPr>
                <w:rFonts w:ascii="Rockwell" w:hAnsi="Rockwell"/>
                <w:b/>
                <w:color w:val="000000"/>
                <w:szCs w:val="26"/>
              </w:rPr>
              <w:t>UNIR/MPS</w:t>
            </w:r>
          </w:p>
        </w:tc>
        <w:tc>
          <w:tcPr>
            <w:tcW w:w="1275" w:type="dxa"/>
            <w:shd w:val="clear" w:color="auto" w:fill="auto"/>
            <w:tcMar>
              <w:top w:w="0" w:type="dxa"/>
              <w:left w:w="108" w:type="dxa"/>
              <w:bottom w:w="0" w:type="dxa"/>
              <w:right w:w="108" w:type="dxa"/>
            </w:tcMar>
          </w:tcPr>
          <w:p w14:paraId="239B2794" w14:textId="77777777" w:rsidR="00284822" w:rsidRDefault="00F77BF8">
            <w:pPr>
              <w:spacing w:before="120" w:after="120"/>
              <w:jc w:val="left"/>
              <w:rPr>
                <w:rFonts w:ascii="Rockwell" w:hAnsi="Rockwell"/>
                <w:color w:val="000000"/>
                <w:szCs w:val="26"/>
              </w:rPr>
            </w:pPr>
            <w:r>
              <w:rPr>
                <w:rFonts w:ascii="Rockwell" w:hAnsi="Rockwell"/>
                <w:color w:val="000000"/>
                <w:szCs w:val="26"/>
              </w:rPr>
              <w:t>2</w:t>
            </w:r>
          </w:p>
        </w:tc>
        <w:tc>
          <w:tcPr>
            <w:tcW w:w="1560" w:type="dxa"/>
            <w:shd w:val="clear" w:color="auto" w:fill="auto"/>
            <w:tcMar>
              <w:top w:w="0" w:type="dxa"/>
              <w:left w:w="108" w:type="dxa"/>
              <w:bottom w:w="0" w:type="dxa"/>
              <w:right w:w="108" w:type="dxa"/>
            </w:tcMar>
          </w:tcPr>
          <w:p w14:paraId="124A3155" w14:textId="77777777" w:rsidR="00284822" w:rsidRDefault="00F77BF8">
            <w:pPr>
              <w:spacing w:before="120" w:after="120"/>
              <w:jc w:val="left"/>
              <w:rPr>
                <w:rFonts w:ascii="Rockwell" w:hAnsi="Rockwell"/>
                <w:color w:val="000000"/>
                <w:szCs w:val="26"/>
              </w:rPr>
            </w:pPr>
            <w:r>
              <w:rPr>
                <w:rFonts w:ascii="Rockwell" w:hAnsi="Rockwell"/>
                <w:color w:val="000000"/>
                <w:szCs w:val="26"/>
              </w:rPr>
              <w:t>10,53%</w:t>
            </w:r>
          </w:p>
        </w:tc>
        <w:tc>
          <w:tcPr>
            <w:tcW w:w="1984" w:type="dxa"/>
            <w:shd w:val="clear" w:color="auto" w:fill="auto"/>
            <w:tcMar>
              <w:top w:w="0" w:type="dxa"/>
              <w:left w:w="108" w:type="dxa"/>
              <w:bottom w:w="0" w:type="dxa"/>
              <w:right w:w="108" w:type="dxa"/>
            </w:tcMar>
          </w:tcPr>
          <w:p w14:paraId="4353582E" w14:textId="77777777" w:rsidR="00284822" w:rsidRDefault="00F77BF8">
            <w:pPr>
              <w:spacing w:before="120" w:after="120"/>
              <w:jc w:val="left"/>
              <w:rPr>
                <w:rFonts w:ascii="Rockwell" w:hAnsi="Rockwell"/>
                <w:color w:val="000000"/>
                <w:szCs w:val="26"/>
              </w:rPr>
            </w:pPr>
            <w:r>
              <w:rPr>
                <w:rFonts w:ascii="Rockwell" w:hAnsi="Rockwell"/>
                <w:color w:val="000000"/>
                <w:szCs w:val="26"/>
              </w:rPr>
              <w:t>2</w:t>
            </w:r>
          </w:p>
        </w:tc>
        <w:tc>
          <w:tcPr>
            <w:tcW w:w="2404" w:type="dxa"/>
            <w:shd w:val="clear" w:color="auto" w:fill="auto"/>
            <w:tcMar>
              <w:top w:w="0" w:type="dxa"/>
              <w:left w:w="108" w:type="dxa"/>
              <w:bottom w:w="0" w:type="dxa"/>
              <w:right w:w="108" w:type="dxa"/>
            </w:tcMar>
          </w:tcPr>
          <w:p w14:paraId="6F6AAF6E" w14:textId="77777777" w:rsidR="00284822" w:rsidRDefault="00F77BF8">
            <w:pPr>
              <w:spacing w:before="120" w:after="120"/>
              <w:jc w:val="left"/>
              <w:rPr>
                <w:rFonts w:ascii="Rockwell" w:hAnsi="Rockwell"/>
                <w:color w:val="000000"/>
                <w:szCs w:val="26"/>
              </w:rPr>
            </w:pPr>
            <w:r>
              <w:rPr>
                <w:rFonts w:ascii="Rockwell" w:hAnsi="Rockwell"/>
                <w:color w:val="000000"/>
                <w:szCs w:val="26"/>
              </w:rPr>
              <w:t>8,33%</w:t>
            </w:r>
          </w:p>
        </w:tc>
      </w:tr>
      <w:tr w:rsidR="00284822" w14:paraId="4D35475E" w14:textId="77777777">
        <w:trPr>
          <w:trHeight w:val="570"/>
        </w:trPr>
        <w:tc>
          <w:tcPr>
            <w:tcW w:w="1560" w:type="dxa"/>
            <w:shd w:val="clear" w:color="auto" w:fill="FFFFFF"/>
            <w:tcMar>
              <w:top w:w="0" w:type="dxa"/>
              <w:left w:w="108" w:type="dxa"/>
              <w:bottom w:w="0" w:type="dxa"/>
              <w:right w:w="108" w:type="dxa"/>
            </w:tcMar>
          </w:tcPr>
          <w:p w14:paraId="2175AF0C" w14:textId="77777777" w:rsidR="00284822" w:rsidRDefault="00F77BF8">
            <w:pPr>
              <w:spacing w:before="120" w:after="120"/>
              <w:rPr>
                <w:rFonts w:ascii="Rockwell" w:hAnsi="Rockwell"/>
                <w:szCs w:val="26"/>
              </w:rPr>
            </w:pPr>
            <w:r>
              <w:rPr>
                <w:rFonts w:ascii="Rockwell" w:hAnsi="Rockwell"/>
                <w:bCs/>
                <w:szCs w:val="26"/>
              </w:rPr>
              <w:t>6</w:t>
            </w:r>
            <w:r>
              <w:rPr>
                <w:rFonts w:ascii="Rockwell" w:hAnsi="Rockwell"/>
                <w:bCs/>
                <w:szCs w:val="26"/>
                <w:vertAlign w:val="superscript"/>
              </w:rPr>
              <w:t>e</w:t>
            </w:r>
            <w:r>
              <w:rPr>
                <w:rFonts w:ascii="Rockwell" w:hAnsi="Rockwell"/>
                <w:bCs/>
                <w:szCs w:val="26"/>
              </w:rPr>
              <w:t xml:space="preserve"> </w:t>
            </w:r>
          </w:p>
        </w:tc>
        <w:tc>
          <w:tcPr>
            <w:tcW w:w="2127" w:type="dxa"/>
            <w:shd w:val="clear" w:color="auto" w:fill="auto"/>
            <w:tcMar>
              <w:top w:w="0" w:type="dxa"/>
              <w:left w:w="108" w:type="dxa"/>
              <w:bottom w:w="0" w:type="dxa"/>
              <w:right w:w="108" w:type="dxa"/>
            </w:tcMar>
          </w:tcPr>
          <w:p w14:paraId="3AC9110A" w14:textId="77777777" w:rsidR="00284822" w:rsidRDefault="00F77BF8">
            <w:pPr>
              <w:spacing w:before="120" w:after="120"/>
              <w:jc w:val="left"/>
              <w:rPr>
                <w:rFonts w:ascii="Rockwell" w:hAnsi="Rockwell"/>
                <w:b/>
                <w:color w:val="000000"/>
                <w:szCs w:val="26"/>
              </w:rPr>
            </w:pPr>
            <w:r>
              <w:rPr>
                <w:rFonts w:ascii="Rockwell" w:hAnsi="Rockwell"/>
                <w:b/>
                <w:color w:val="000000"/>
                <w:szCs w:val="26"/>
              </w:rPr>
              <w:t>LES DEMOCRATES</w:t>
            </w:r>
          </w:p>
        </w:tc>
        <w:tc>
          <w:tcPr>
            <w:tcW w:w="1275" w:type="dxa"/>
            <w:shd w:val="clear" w:color="auto" w:fill="auto"/>
            <w:tcMar>
              <w:top w:w="0" w:type="dxa"/>
              <w:left w:w="108" w:type="dxa"/>
              <w:bottom w:w="0" w:type="dxa"/>
              <w:right w:w="108" w:type="dxa"/>
            </w:tcMar>
          </w:tcPr>
          <w:p w14:paraId="4E9F7084" w14:textId="77777777" w:rsidR="00284822" w:rsidRDefault="00F77BF8">
            <w:pPr>
              <w:spacing w:before="120" w:after="120"/>
              <w:jc w:val="left"/>
              <w:rPr>
                <w:rFonts w:ascii="Rockwell" w:hAnsi="Rockwell"/>
                <w:color w:val="000000"/>
                <w:szCs w:val="26"/>
              </w:rPr>
            </w:pPr>
            <w:r>
              <w:rPr>
                <w:rFonts w:ascii="Rockwell" w:hAnsi="Rockwell"/>
                <w:color w:val="000000"/>
                <w:szCs w:val="26"/>
              </w:rPr>
              <w:t>1</w:t>
            </w:r>
          </w:p>
        </w:tc>
        <w:tc>
          <w:tcPr>
            <w:tcW w:w="1560" w:type="dxa"/>
            <w:shd w:val="clear" w:color="auto" w:fill="auto"/>
            <w:tcMar>
              <w:top w:w="0" w:type="dxa"/>
              <w:left w:w="108" w:type="dxa"/>
              <w:bottom w:w="0" w:type="dxa"/>
              <w:right w:w="108" w:type="dxa"/>
            </w:tcMar>
          </w:tcPr>
          <w:p w14:paraId="55AC6785" w14:textId="77777777" w:rsidR="00284822" w:rsidRDefault="00F77BF8">
            <w:pPr>
              <w:spacing w:before="120" w:after="120"/>
              <w:jc w:val="left"/>
              <w:rPr>
                <w:rFonts w:ascii="Rockwell" w:hAnsi="Rockwell"/>
                <w:color w:val="000000"/>
                <w:szCs w:val="26"/>
              </w:rPr>
            </w:pPr>
            <w:r>
              <w:rPr>
                <w:rFonts w:ascii="Rockwell" w:hAnsi="Rockwell"/>
                <w:color w:val="000000"/>
                <w:szCs w:val="26"/>
              </w:rPr>
              <w:t>5,26%</w:t>
            </w:r>
          </w:p>
        </w:tc>
        <w:tc>
          <w:tcPr>
            <w:tcW w:w="1984" w:type="dxa"/>
            <w:shd w:val="clear" w:color="auto" w:fill="auto"/>
            <w:tcMar>
              <w:top w:w="0" w:type="dxa"/>
              <w:left w:w="108" w:type="dxa"/>
              <w:bottom w:w="0" w:type="dxa"/>
              <w:right w:w="108" w:type="dxa"/>
            </w:tcMar>
          </w:tcPr>
          <w:p w14:paraId="520C44EA" w14:textId="77777777" w:rsidR="00284822" w:rsidRDefault="00F77BF8">
            <w:pPr>
              <w:spacing w:before="120" w:after="120"/>
              <w:jc w:val="left"/>
              <w:rPr>
                <w:rFonts w:ascii="Rockwell" w:hAnsi="Rockwell"/>
                <w:color w:val="000000"/>
                <w:szCs w:val="26"/>
              </w:rPr>
            </w:pPr>
            <w:r>
              <w:rPr>
                <w:rFonts w:ascii="Rockwell" w:hAnsi="Rockwell"/>
                <w:color w:val="000000"/>
                <w:szCs w:val="26"/>
              </w:rPr>
              <w:t>2</w:t>
            </w:r>
          </w:p>
        </w:tc>
        <w:tc>
          <w:tcPr>
            <w:tcW w:w="2404" w:type="dxa"/>
            <w:shd w:val="clear" w:color="auto" w:fill="auto"/>
            <w:tcMar>
              <w:top w:w="0" w:type="dxa"/>
              <w:left w:w="108" w:type="dxa"/>
              <w:bottom w:w="0" w:type="dxa"/>
              <w:right w:w="108" w:type="dxa"/>
            </w:tcMar>
          </w:tcPr>
          <w:p w14:paraId="3BBC988E" w14:textId="77777777" w:rsidR="00284822" w:rsidRDefault="00F77BF8">
            <w:pPr>
              <w:spacing w:before="120" w:after="120"/>
              <w:jc w:val="left"/>
              <w:rPr>
                <w:rFonts w:ascii="Rockwell" w:hAnsi="Rockwell"/>
                <w:color w:val="000000"/>
                <w:szCs w:val="26"/>
              </w:rPr>
            </w:pPr>
            <w:r>
              <w:rPr>
                <w:rFonts w:ascii="Rockwell" w:hAnsi="Rockwell"/>
                <w:color w:val="000000"/>
                <w:szCs w:val="26"/>
              </w:rPr>
              <w:t>8,33%</w:t>
            </w:r>
          </w:p>
        </w:tc>
      </w:tr>
      <w:tr w:rsidR="00284822" w14:paraId="27AA3BC0" w14:textId="77777777">
        <w:trPr>
          <w:trHeight w:val="551"/>
        </w:trPr>
        <w:tc>
          <w:tcPr>
            <w:tcW w:w="1560" w:type="dxa"/>
            <w:shd w:val="clear" w:color="auto" w:fill="FFFFFF"/>
            <w:tcMar>
              <w:top w:w="0" w:type="dxa"/>
              <w:left w:w="108" w:type="dxa"/>
              <w:bottom w:w="0" w:type="dxa"/>
              <w:right w:w="108" w:type="dxa"/>
            </w:tcMar>
          </w:tcPr>
          <w:p w14:paraId="0FFFBB71" w14:textId="77777777" w:rsidR="00284822" w:rsidRDefault="00F77BF8">
            <w:pPr>
              <w:spacing w:before="120" w:after="120"/>
              <w:rPr>
                <w:rFonts w:ascii="Rockwell" w:hAnsi="Rockwell"/>
                <w:szCs w:val="26"/>
              </w:rPr>
            </w:pPr>
            <w:r>
              <w:rPr>
                <w:rFonts w:ascii="Rockwell" w:hAnsi="Rockwell"/>
                <w:bCs/>
                <w:szCs w:val="26"/>
              </w:rPr>
              <w:t>6</w:t>
            </w:r>
            <w:r>
              <w:rPr>
                <w:rFonts w:ascii="Rockwell" w:hAnsi="Rockwell"/>
                <w:bCs/>
                <w:szCs w:val="26"/>
                <w:vertAlign w:val="superscript"/>
              </w:rPr>
              <w:t>e</w:t>
            </w:r>
            <w:r>
              <w:rPr>
                <w:rFonts w:ascii="Rockwell" w:hAnsi="Rockwell"/>
                <w:bCs/>
                <w:szCs w:val="26"/>
              </w:rPr>
              <w:t xml:space="preserve"> ex</w:t>
            </w:r>
          </w:p>
        </w:tc>
        <w:tc>
          <w:tcPr>
            <w:tcW w:w="2127" w:type="dxa"/>
            <w:shd w:val="clear" w:color="auto" w:fill="auto"/>
            <w:tcMar>
              <w:top w:w="0" w:type="dxa"/>
              <w:left w:w="108" w:type="dxa"/>
              <w:bottom w:w="0" w:type="dxa"/>
              <w:right w:w="108" w:type="dxa"/>
            </w:tcMar>
          </w:tcPr>
          <w:p w14:paraId="60C68CCE" w14:textId="77777777" w:rsidR="00284822" w:rsidRDefault="00F77BF8">
            <w:pPr>
              <w:spacing w:before="120" w:after="120"/>
              <w:jc w:val="left"/>
              <w:rPr>
                <w:rFonts w:ascii="Rockwell" w:hAnsi="Rockwell"/>
                <w:b/>
                <w:color w:val="000000"/>
                <w:szCs w:val="26"/>
              </w:rPr>
            </w:pPr>
            <w:r>
              <w:rPr>
                <w:rFonts w:ascii="Rockwell" w:hAnsi="Rockwell"/>
                <w:b/>
                <w:color w:val="000000"/>
                <w:szCs w:val="26"/>
              </w:rPr>
              <w:t>NAFA</w:t>
            </w:r>
          </w:p>
        </w:tc>
        <w:tc>
          <w:tcPr>
            <w:tcW w:w="1275" w:type="dxa"/>
            <w:shd w:val="clear" w:color="auto" w:fill="auto"/>
            <w:tcMar>
              <w:top w:w="0" w:type="dxa"/>
              <w:left w:w="108" w:type="dxa"/>
              <w:bottom w:w="0" w:type="dxa"/>
              <w:right w:w="108" w:type="dxa"/>
            </w:tcMar>
          </w:tcPr>
          <w:p w14:paraId="3C14A1DD" w14:textId="77777777" w:rsidR="00284822" w:rsidRDefault="00F77BF8">
            <w:pPr>
              <w:spacing w:before="120" w:after="120"/>
              <w:jc w:val="left"/>
              <w:rPr>
                <w:rFonts w:ascii="Rockwell" w:hAnsi="Rockwell"/>
                <w:color w:val="000000"/>
                <w:szCs w:val="26"/>
              </w:rPr>
            </w:pPr>
            <w:r>
              <w:rPr>
                <w:rFonts w:ascii="Rockwell" w:hAnsi="Rockwell"/>
                <w:color w:val="000000"/>
                <w:szCs w:val="26"/>
              </w:rPr>
              <w:t>1</w:t>
            </w:r>
          </w:p>
        </w:tc>
        <w:tc>
          <w:tcPr>
            <w:tcW w:w="1560" w:type="dxa"/>
            <w:shd w:val="clear" w:color="auto" w:fill="auto"/>
            <w:tcMar>
              <w:top w:w="0" w:type="dxa"/>
              <w:left w:w="108" w:type="dxa"/>
              <w:bottom w:w="0" w:type="dxa"/>
              <w:right w:w="108" w:type="dxa"/>
            </w:tcMar>
          </w:tcPr>
          <w:p w14:paraId="7E926BC1" w14:textId="77777777" w:rsidR="00284822" w:rsidRDefault="00F77BF8">
            <w:pPr>
              <w:spacing w:before="120" w:after="120"/>
              <w:jc w:val="left"/>
              <w:rPr>
                <w:rFonts w:ascii="Rockwell" w:hAnsi="Rockwell"/>
                <w:color w:val="000000"/>
                <w:szCs w:val="26"/>
              </w:rPr>
            </w:pPr>
            <w:r>
              <w:rPr>
                <w:rFonts w:ascii="Rockwell" w:hAnsi="Rockwell"/>
                <w:color w:val="000000"/>
                <w:szCs w:val="26"/>
              </w:rPr>
              <w:t>5,26%</w:t>
            </w:r>
          </w:p>
        </w:tc>
        <w:tc>
          <w:tcPr>
            <w:tcW w:w="1984" w:type="dxa"/>
            <w:shd w:val="clear" w:color="auto" w:fill="auto"/>
            <w:tcMar>
              <w:top w:w="0" w:type="dxa"/>
              <w:left w:w="108" w:type="dxa"/>
              <w:bottom w:w="0" w:type="dxa"/>
              <w:right w:w="108" w:type="dxa"/>
            </w:tcMar>
          </w:tcPr>
          <w:p w14:paraId="523CCE76" w14:textId="77777777" w:rsidR="00284822" w:rsidRDefault="00F77BF8">
            <w:pPr>
              <w:spacing w:before="120" w:after="120"/>
              <w:jc w:val="left"/>
              <w:rPr>
                <w:rFonts w:ascii="Rockwell" w:hAnsi="Rockwell"/>
                <w:color w:val="000000"/>
                <w:szCs w:val="26"/>
              </w:rPr>
            </w:pPr>
            <w:r>
              <w:rPr>
                <w:rFonts w:ascii="Rockwell" w:hAnsi="Rockwell"/>
                <w:color w:val="000000"/>
                <w:szCs w:val="26"/>
              </w:rPr>
              <w:t>1</w:t>
            </w:r>
          </w:p>
        </w:tc>
        <w:tc>
          <w:tcPr>
            <w:tcW w:w="2404" w:type="dxa"/>
            <w:shd w:val="clear" w:color="auto" w:fill="auto"/>
            <w:tcMar>
              <w:top w:w="0" w:type="dxa"/>
              <w:left w:w="108" w:type="dxa"/>
              <w:bottom w:w="0" w:type="dxa"/>
              <w:right w:w="108" w:type="dxa"/>
            </w:tcMar>
          </w:tcPr>
          <w:p w14:paraId="01C96EBF" w14:textId="77777777" w:rsidR="00284822" w:rsidRDefault="00F77BF8">
            <w:pPr>
              <w:spacing w:before="120" w:after="120"/>
              <w:jc w:val="left"/>
              <w:rPr>
                <w:rFonts w:ascii="Rockwell" w:hAnsi="Rockwell"/>
                <w:color w:val="000000"/>
                <w:szCs w:val="26"/>
              </w:rPr>
            </w:pPr>
            <w:r>
              <w:rPr>
                <w:rFonts w:ascii="Rockwell" w:hAnsi="Rockwell"/>
                <w:color w:val="000000"/>
                <w:szCs w:val="26"/>
              </w:rPr>
              <w:t>4,17%</w:t>
            </w:r>
          </w:p>
        </w:tc>
      </w:tr>
      <w:tr w:rsidR="00284822" w14:paraId="7DD52102" w14:textId="77777777">
        <w:trPr>
          <w:trHeight w:val="558"/>
        </w:trPr>
        <w:tc>
          <w:tcPr>
            <w:tcW w:w="1560" w:type="dxa"/>
            <w:shd w:val="clear" w:color="auto" w:fill="FFFFFF"/>
            <w:tcMar>
              <w:top w:w="0" w:type="dxa"/>
              <w:left w:w="108" w:type="dxa"/>
              <w:bottom w:w="0" w:type="dxa"/>
              <w:right w:w="108" w:type="dxa"/>
            </w:tcMar>
          </w:tcPr>
          <w:p w14:paraId="48C30E97" w14:textId="77777777" w:rsidR="00284822" w:rsidRDefault="00F77BF8">
            <w:pPr>
              <w:spacing w:before="120" w:after="120"/>
              <w:rPr>
                <w:rFonts w:ascii="Rockwell" w:hAnsi="Rockwell"/>
                <w:szCs w:val="26"/>
              </w:rPr>
            </w:pPr>
            <w:r>
              <w:rPr>
                <w:rFonts w:ascii="Rockwell" w:hAnsi="Rockwell"/>
                <w:bCs/>
                <w:szCs w:val="26"/>
              </w:rPr>
              <w:t>6</w:t>
            </w:r>
            <w:r>
              <w:rPr>
                <w:rFonts w:ascii="Rockwell" w:hAnsi="Rockwell"/>
                <w:bCs/>
                <w:szCs w:val="26"/>
                <w:vertAlign w:val="superscript"/>
              </w:rPr>
              <w:t xml:space="preserve">e </w:t>
            </w:r>
            <w:r>
              <w:rPr>
                <w:rFonts w:ascii="Rockwell" w:hAnsi="Rockwell"/>
                <w:bCs/>
                <w:szCs w:val="26"/>
              </w:rPr>
              <w:t>ex</w:t>
            </w:r>
          </w:p>
        </w:tc>
        <w:tc>
          <w:tcPr>
            <w:tcW w:w="2127" w:type="dxa"/>
            <w:shd w:val="clear" w:color="auto" w:fill="auto"/>
            <w:tcMar>
              <w:top w:w="0" w:type="dxa"/>
              <w:left w:w="108" w:type="dxa"/>
              <w:bottom w:w="0" w:type="dxa"/>
              <w:right w:w="108" w:type="dxa"/>
            </w:tcMar>
          </w:tcPr>
          <w:p w14:paraId="7E139F87" w14:textId="77777777" w:rsidR="00284822" w:rsidRDefault="00F77BF8">
            <w:pPr>
              <w:spacing w:before="120" w:after="120"/>
              <w:jc w:val="left"/>
              <w:rPr>
                <w:rFonts w:ascii="Rockwell" w:hAnsi="Rockwell"/>
                <w:b/>
                <w:color w:val="000000"/>
                <w:szCs w:val="26"/>
              </w:rPr>
            </w:pPr>
            <w:r>
              <w:rPr>
                <w:rFonts w:ascii="Rockwell" w:hAnsi="Rockwell"/>
                <w:b/>
                <w:color w:val="000000"/>
                <w:szCs w:val="26"/>
              </w:rPr>
              <w:t>NTD</w:t>
            </w:r>
          </w:p>
        </w:tc>
        <w:tc>
          <w:tcPr>
            <w:tcW w:w="1275" w:type="dxa"/>
            <w:shd w:val="clear" w:color="auto" w:fill="auto"/>
            <w:tcMar>
              <w:top w:w="0" w:type="dxa"/>
              <w:left w:w="108" w:type="dxa"/>
              <w:bottom w:w="0" w:type="dxa"/>
              <w:right w:w="108" w:type="dxa"/>
            </w:tcMar>
          </w:tcPr>
          <w:p w14:paraId="51DBF4BB" w14:textId="77777777" w:rsidR="00284822" w:rsidRDefault="00F77BF8">
            <w:pPr>
              <w:spacing w:before="120" w:after="120"/>
              <w:jc w:val="left"/>
              <w:rPr>
                <w:rFonts w:ascii="Rockwell" w:hAnsi="Rockwell"/>
                <w:color w:val="000000"/>
                <w:szCs w:val="26"/>
              </w:rPr>
            </w:pPr>
            <w:r>
              <w:rPr>
                <w:rFonts w:ascii="Rockwell" w:hAnsi="Rockwell"/>
                <w:color w:val="000000"/>
                <w:szCs w:val="26"/>
              </w:rPr>
              <w:t>1</w:t>
            </w:r>
          </w:p>
        </w:tc>
        <w:tc>
          <w:tcPr>
            <w:tcW w:w="1560" w:type="dxa"/>
            <w:shd w:val="clear" w:color="auto" w:fill="auto"/>
            <w:tcMar>
              <w:top w:w="0" w:type="dxa"/>
              <w:left w:w="108" w:type="dxa"/>
              <w:bottom w:w="0" w:type="dxa"/>
              <w:right w:w="108" w:type="dxa"/>
            </w:tcMar>
          </w:tcPr>
          <w:p w14:paraId="7E4878FB" w14:textId="77777777" w:rsidR="00284822" w:rsidRDefault="00F77BF8">
            <w:pPr>
              <w:spacing w:before="120" w:after="120"/>
              <w:jc w:val="left"/>
              <w:rPr>
                <w:rFonts w:ascii="Rockwell" w:hAnsi="Rockwell"/>
                <w:color w:val="000000"/>
                <w:szCs w:val="26"/>
              </w:rPr>
            </w:pPr>
            <w:r>
              <w:rPr>
                <w:rFonts w:ascii="Rockwell" w:hAnsi="Rockwell"/>
                <w:color w:val="000000"/>
                <w:szCs w:val="26"/>
              </w:rPr>
              <w:t>5,26%</w:t>
            </w:r>
          </w:p>
        </w:tc>
        <w:tc>
          <w:tcPr>
            <w:tcW w:w="1984" w:type="dxa"/>
            <w:shd w:val="clear" w:color="auto" w:fill="auto"/>
            <w:tcMar>
              <w:top w:w="0" w:type="dxa"/>
              <w:left w:w="108" w:type="dxa"/>
              <w:bottom w:w="0" w:type="dxa"/>
              <w:right w:w="108" w:type="dxa"/>
            </w:tcMar>
          </w:tcPr>
          <w:p w14:paraId="3D56273A" w14:textId="77777777" w:rsidR="00284822" w:rsidRDefault="00F77BF8">
            <w:pPr>
              <w:spacing w:before="120" w:after="120"/>
              <w:jc w:val="left"/>
              <w:rPr>
                <w:rFonts w:ascii="Rockwell" w:hAnsi="Rockwell"/>
                <w:color w:val="000000"/>
                <w:szCs w:val="26"/>
              </w:rPr>
            </w:pPr>
            <w:r>
              <w:rPr>
                <w:rFonts w:ascii="Rockwell" w:hAnsi="Rockwell"/>
                <w:color w:val="000000"/>
                <w:szCs w:val="26"/>
              </w:rPr>
              <w:t>1</w:t>
            </w:r>
          </w:p>
        </w:tc>
        <w:tc>
          <w:tcPr>
            <w:tcW w:w="2404" w:type="dxa"/>
            <w:shd w:val="clear" w:color="auto" w:fill="auto"/>
            <w:tcMar>
              <w:top w:w="0" w:type="dxa"/>
              <w:left w:w="108" w:type="dxa"/>
              <w:bottom w:w="0" w:type="dxa"/>
              <w:right w:w="108" w:type="dxa"/>
            </w:tcMar>
          </w:tcPr>
          <w:p w14:paraId="2D2BA13B" w14:textId="77777777" w:rsidR="00284822" w:rsidRDefault="00F77BF8">
            <w:pPr>
              <w:spacing w:before="120" w:after="120"/>
              <w:jc w:val="left"/>
              <w:rPr>
                <w:rFonts w:ascii="Rockwell" w:hAnsi="Rockwell"/>
                <w:color w:val="000000"/>
                <w:szCs w:val="26"/>
              </w:rPr>
            </w:pPr>
            <w:r>
              <w:rPr>
                <w:rFonts w:ascii="Rockwell" w:hAnsi="Rockwell"/>
                <w:color w:val="000000"/>
                <w:szCs w:val="26"/>
              </w:rPr>
              <w:t>4,17%</w:t>
            </w:r>
          </w:p>
        </w:tc>
      </w:tr>
      <w:tr w:rsidR="00284822" w14:paraId="37E7FDE8" w14:textId="77777777">
        <w:trPr>
          <w:trHeight w:val="552"/>
        </w:trPr>
        <w:tc>
          <w:tcPr>
            <w:tcW w:w="1560" w:type="dxa"/>
            <w:shd w:val="clear" w:color="auto" w:fill="FFFFFF"/>
            <w:tcMar>
              <w:top w:w="0" w:type="dxa"/>
              <w:left w:w="108" w:type="dxa"/>
              <w:bottom w:w="0" w:type="dxa"/>
              <w:right w:w="108" w:type="dxa"/>
            </w:tcMar>
          </w:tcPr>
          <w:p w14:paraId="74603BFD" w14:textId="77777777" w:rsidR="00284822" w:rsidRDefault="00F77BF8">
            <w:pPr>
              <w:spacing w:before="120" w:after="120"/>
              <w:rPr>
                <w:rFonts w:ascii="Rockwell" w:hAnsi="Rockwell"/>
                <w:szCs w:val="26"/>
              </w:rPr>
            </w:pPr>
            <w:r>
              <w:rPr>
                <w:rFonts w:ascii="Rockwell" w:hAnsi="Rockwell"/>
                <w:bCs/>
                <w:szCs w:val="26"/>
              </w:rPr>
              <w:t>6</w:t>
            </w:r>
            <w:r>
              <w:rPr>
                <w:rFonts w:ascii="Rockwell" w:hAnsi="Rockwell"/>
                <w:bCs/>
                <w:szCs w:val="26"/>
                <w:vertAlign w:val="superscript"/>
              </w:rPr>
              <w:t>e</w:t>
            </w:r>
            <w:r>
              <w:rPr>
                <w:rFonts w:ascii="Rockwell" w:hAnsi="Rockwell"/>
                <w:bCs/>
                <w:szCs w:val="26"/>
              </w:rPr>
              <w:t xml:space="preserve"> ex</w:t>
            </w:r>
          </w:p>
        </w:tc>
        <w:tc>
          <w:tcPr>
            <w:tcW w:w="2127" w:type="dxa"/>
            <w:shd w:val="clear" w:color="auto" w:fill="auto"/>
            <w:tcMar>
              <w:top w:w="0" w:type="dxa"/>
              <w:left w:w="108" w:type="dxa"/>
              <w:bottom w:w="0" w:type="dxa"/>
              <w:right w:w="108" w:type="dxa"/>
            </w:tcMar>
          </w:tcPr>
          <w:p w14:paraId="2AEA5944" w14:textId="77777777" w:rsidR="00284822" w:rsidRDefault="00F77BF8">
            <w:pPr>
              <w:spacing w:before="120" w:after="120"/>
              <w:jc w:val="left"/>
              <w:rPr>
                <w:rFonts w:ascii="Rockwell" w:hAnsi="Rockwell"/>
                <w:b/>
                <w:color w:val="000000"/>
                <w:szCs w:val="26"/>
              </w:rPr>
            </w:pPr>
            <w:r>
              <w:rPr>
                <w:rFonts w:ascii="Rockwell" w:hAnsi="Rockwell"/>
                <w:b/>
                <w:color w:val="000000"/>
                <w:szCs w:val="26"/>
              </w:rPr>
              <w:t>RPD</w:t>
            </w:r>
          </w:p>
        </w:tc>
        <w:tc>
          <w:tcPr>
            <w:tcW w:w="1275" w:type="dxa"/>
            <w:shd w:val="clear" w:color="auto" w:fill="auto"/>
            <w:tcMar>
              <w:top w:w="0" w:type="dxa"/>
              <w:left w:w="108" w:type="dxa"/>
              <w:bottom w:w="0" w:type="dxa"/>
              <w:right w:w="108" w:type="dxa"/>
            </w:tcMar>
          </w:tcPr>
          <w:p w14:paraId="7B6F3F05" w14:textId="77777777" w:rsidR="00284822" w:rsidRDefault="00F77BF8">
            <w:pPr>
              <w:spacing w:before="120" w:after="120"/>
              <w:jc w:val="left"/>
              <w:rPr>
                <w:rFonts w:ascii="Rockwell" w:hAnsi="Rockwell"/>
                <w:color w:val="000000"/>
                <w:szCs w:val="26"/>
              </w:rPr>
            </w:pPr>
            <w:r>
              <w:rPr>
                <w:rFonts w:ascii="Rockwell" w:hAnsi="Rockwell"/>
                <w:color w:val="000000"/>
                <w:szCs w:val="26"/>
              </w:rPr>
              <w:t>1</w:t>
            </w:r>
          </w:p>
        </w:tc>
        <w:tc>
          <w:tcPr>
            <w:tcW w:w="1560" w:type="dxa"/>
            <w:shd w:val="clear" w:color="auto" w:fill="auto"/>
            <w:tcMar>
              <w:top w:w="0" w:type="dxa"/>
              <w:left w:w="108" w:type="dxa"/>
              <w:bottom w:w="0" w:type="dxa"/>
              <w:right w:w="108" w:type="dxa"/>
            </w:tcMar>
          </w:tcPr>
          <w:p w14:paraId="75D1A14B" w14:textId="77777777" w:rsidR="00284822" w:rsidRDefault="00F77BF8">
            <w:pPr>
              <w:spacing w:before="120" w:after="120"/>
              <w:jc w:val="left"/>
              <w:rPr>
                <w:rFonts w:ascii="Rockwell" w:hAnsi="Rockwell"/>
                <w:color w:val="000000"/>
                <w:szCs w:val="26"/>
              </w:rPr>
            </w:pPr>
            <w:r>
              <w:rPr>
                <w:rFonts w:ascii="Rockwell" w:hAnsi="Rockwell"/>
                <w:color w:val="000000"/>
                <w:szCs w:val="26"/>
              </w:rPr>
              <w:t>5,26%</w:t>
            </w:r>
          </w:p>
        </w:tc>
        <w:tc>
          <w:tcPr>
            <w:tcW w:w="1984" w:type="dxa"/>
            <w:shd w:val="clear" w:color="auto" w:fill="auto"/>
            <w:tcMar>
              <w:top w:w="0" w:type="dxa"/>
              <w:left w:w="108" w:type="dxa"/>
              <w:bottom w:w="0" w:type="dxa"/>
              <w:right w:w="108" w:type="dxa"/>
            </w:tcMar>
          </w:tcPr>
          <w:p w14:paraId="0625AB77" w14:textId="77777777" w:rsidR="00284822" w:rsidRDefault="00F77BF8">
            <w:pPr>
              <w:spacing w:before="120" w:after="120"/>
              <w:jc w:val="left"/>
              <w:rPr>
                <w:rFonts w:ascii="Rockwell" w:hAnsi="Rockwell"/>
                <w:color w:val="000000"/>
                <w:szCs w:val="26"/>
              </w:rPr>
            </w:pPr>
            <w:r>
              <w:rPr>
                <w:rFonts w:ascii="Rockwell" w:hAnsi="Rockwell"/>
                <w:color w:val="000000"/>
                <w:szCs w:val="26"/>
              </w:rPr>
              <w:t>1</w:t>
            </w:r>
          </w:p>
        </w:tc>
        <w:tc>
          <w:tcPr>
            <w:tcW w:w="2404" w:type="dxa"/>
            <w:shd w:val="clear" w:color="auto" w:fill="auto"/>
            <w:tcMar>
              <w:top w:w="0" w:type="dxa"/>
              <w:left w:w="108" w:type="dxa"/>
              <w:bottom w:w="0" w:type="dxa"/>
              <w:right w:w="108" w:type="dxa"/>
            </w:tcMar>
          </w:tcPr>
          <w:p w14:paraId="6E2FB963" w14:textId="77777777" w:rsidR="00284822" w:rsidRDefault="00F77BF8">
            <w:pPr>
              <w:spacing w:before="120" w:after="120"/>
              <w:jc w:val="left"/>
              <w:rPr>
                <w:rFonts w:ascii="Rockwell" w:hAnsi="Rockwell"/>
                <w:color w:val="000000"/>
                <w:szCs w:val="26"/>
              </w:rPr>
            </w:pPr>
            <w:r>
              <w:rPr>
                <w:rFonts w:ascii="Rockwell" w:hAnsi="Rockwell"/>
                <w:color w:val="000000"/>
                <w:szCs w:val="26"/>
              </w:rPr>
              <w:t>4,17%</w:t>
            </w:r>
          </w:p>
        </w:tc>
      </w:tr>
      <w:tr w:rsidR="00284822" w14:paraId="178A9E0F" w14:textId="77777777">
        <w:trPr>
          <w:trHeight w:val="432"/>
        </w:trPr>
        <w:tc>
          <w:tcPr>
            <w:tcW w:w="1560" w:type="dxa"/>
            <w:shd w:val="clear" w:color="auto" w:fill="FFFFFF"/>
            <w:tcMar>
              <w:top w:w="0" w:type="dxa"/>
              <w:left w:w="108" w:type="dxa"/>
              <w:bottom w:w="0" w:type="dxa"/>
              <w:right w:w="108" w:type="dxa"/>
            </w:tcMar>
          </w:tcPr>
          <w:p w14:paraId="5A047955" w14:textId="77777777" w:rsidR="00284822" w:rsidRDefault="00F77BF8">
            <w:pPr>
              <w:spacing w:before="120" w:after="120"/>
              <w:rPr>
                <w:rFonts w:ascii="Rockwell" w:hAnsi="Rockwell"/>
                <w:szCs w:val="26"/>
              </w:rPr>
            </w:pPr>
            <w:r>
              <w:rPr>
                <w:rFonts w:ascii="Rockwell" w:hAnsi="Rockwell"/>
                <w:bCs/>
                <w:szCs w:val="26"/>
              </w:rPr>
              <w:t>6</w:t>
            </w:r>
            <w:r>
              <w:rPr>
                <w:rFonts w:ascii="Rockwell" w:hAnsi="Rockwell"/>
                <w:bCs/>
                <w:szCs w:val="26"/>
                <w:vertAlign w:val="superscript"/>
              </w:rPr>
              <w:t>e</w:t>
            </w:r>
            <w:r>
              <w:rPr>
                <w:rFonts w:ascii="Rockwell" w:hAnsi="Rockwell"/>
                <w:bCs/>
                <w:szCs w:val="26"/>
              </w:rPr>
              <w:t xml:space="preserve"> ex</w:t>
            </w:r>
          </w:p>
        </w:tc>
        <w:tc>
          <w:tcPr>
            <w:tcW w:w="2127" w:type="dxa"/>
            <w:shd w:val="clear" w:color="auto" w:fill="auto"/>
            <w:tcMar>
              <w:top w:w="0" w:type="dxa"/>
              <w:left w:w="108" w:type="dxa"/>
              <w:bottom w:w="0" w:type="dxa"/>
              <w:right w:w="108" w:type="dxa"/>
            </w:tcMar>
          </w:tcPr>
          <w:p w14:paraId="78AF99BA" w14:textId="77777777" w:rsidR="00284822" w:rsidRDefault="00F77BF8">
            <w:pPr>
              <w:spacing w:before="120" w:after="120"/>
              <w:jc w:val="left"/>
              <w:rPr>
                <w:rFonts w:ascii="Rockwell" w:hAnsi="Rockwell"/>
                <w:b/>
                <w:color w:val="000000"/>
                <w:szCs w:val="26"/>
              </w:rPr>
            </w:pPr>
            <w:r>
              <w:rPr>
                <w:rFonts w:ascii="Rockwell" w:hAnsi="Rockwell"/>
                <w:b/>
                <w:color w:val="000000"/>
                <w:szCs w:val="26"/>
              </w:rPr>
              <w:t>UPC</w:t>
            </w:r>
          </w:p>
        </w:tc>
        <w:tc>
          <w:tcPr>
            <w:tcW w:w="1275" w:type="dxa"/>
            <w:shd w:val="clear" w:color="auto" w:fill="auto"/>
            <w:tcMar>
              <w:top w:w="0" w:type="dxa"/>
              <w:left w:w="108" w:type="dxa"/>
              <w:bottom w:w="0" w:type="dxa"/>
              <w:right w:w="108" w:type="dxa"/>
            </w:tcMar>
          </w:tcPr>
          <w:p w14:paraId="03A96B56" w14:textId="77777777" w:rsidR="00284822" w:rsidRDefault="00F77BF8">
            <w:pPr>
              <w:spacing w:before="120" w:after="120"/>
              <w:jc w:val="left"/>
              <w:rPr>
                <w:rFonts w:ascii="Rockwell" w:hAnsi="Rockwell"/>
                <w:color w:val="000000"/>
                <w:szCs w:val="26"/>
              </w:rPr>
            </w:pPr>
            <w:r>
              <w:rPr>
                <w:rFonts w:ascii="Rockwell" w:hAnsi="Rockwell"/>
                <w:color w:val="000000"/>
                <w:szCs w:val="26"/>
              </w:rPr>
              <w:t>1</w:t>
            </w:r>
          </w:p>
        </w:tc>
        <w:tc>
          <w:tcPr>
            <w:tcW w:w="1560" w:type="dxa"/>
            <w:shd w:val="clear" w:color="auto" w:fill="auto"/>
            <w:tcMar>
              <w:top w:w="0" w:type="dxa"/>
              <w:left w:w="108" w:type="dxa"/>
              <w:bottom w:w="0" w:type="dxa"/>
              <w:right w:w="108" w:type="dxa"/>
            </w:tcMar>
          </w:tcPr>
          <w:p w14:paraId="158771F9" w14:textId="77777777" w:rsidR="00284822" w:rsidRDefault="00F77BF8">
            <w:pPr>
              <w:spacing w:before="120" w:after="120"/>
              <w:jc w:val="left"/>
              <w:rPr>
                <w:rFonts w:ascii="Rockwell" w:hAnsi="Rockwell"/>
                <w:color w:val="000000"/>
                <w:szCs w:val="26"/>
              </w:rPr>
            </w:pPr>
            <w:r>
              <w:rPr>
                <w:rFonts w:ascii="Rockwell" w:hAnsi="Rockwell"/>
                <w:color w:val="000000"/>
                <w:szCs w:val="26"/>
              </w:rPr>
              <w:t>5,26%</w:t>
            </w:r>
          </w:p>
        </w:tc>
        <w:tc>
          <w:tcPr>
            <w:tcW w:w="1984" w:type="dxa"/>
            <w:shd w:val="clear" w:color="auto" w:fill="auto"/>
            <w:tcMar>
              <w:top w:w="0" w:type="dxa"/>
              <w:left w:w="108" w:type="dxa"/>
              <w:bottom w:w="0" w:type="dxa"/>
              <w:right w:w="108" w:type="dxa"/>
            </w:tcMar>
          </w:tcPr>
          <w:p w14:paraId="082C2BFC" w14:textId="77777777" w:rsidR="00284822" w:rsidRDefault="00F77BF8">
            <w:pPr>
              <w:spacing w:before="120" w:after="120"/>
              <w:jc w:val="left"/>
              <w:rPr>
                <w:rFonts w:ascii="Rockwell" w:hAnsi="Rockwell"/>
                <w:color w:val="000000"/>
                <w:szCs w:val="26"/>
              </w:rPr>
            </w:pPr>
            <w:r>
              <w:rPr>
                <w:rFonts w:ascii="Rockwell" w:hAnsi="Rockwell"/>
                <w:color w:val="000000"/>
                <w:szCs w:val="26"/>
              </w:rPr>
              <w:t>1</w:t>
            </w:r>
          </w:p>
        </w:tc>
        <w:tc>
          <w:tcPr>
            <w:tcW w:w="2404" w:type="dxa"/>
            <w:shd w:val="clear" w:color="auto" w:fill="auto"/>
            <w:tcMar>
              <w:top w:w="0" w:type="dxa"/>
              <w:left w:w="108" w:type="dxa"/>
              <w:bottom w:w="0" w:type="dxa"/>
              <w:right w:w="108" w:type="dxa"/>
            </w:tcMar>
          </w:tcPr>
          <w:p w14:paraId="21A023D0" w14:textId="77777777" w:rsidR="00284822" w:rsidRDefault="00F77BF8">
            <w:pPr>
              <w:spacing w:before="120" w:after="120"/>
              <w:jc w:val="left"/>
              <w:rPr>
                <w:rFonts w:ascii="Rockwell" w:hAnsi="Rockwell"/>
                <w:color w:val="000000"/>
                <w:szCs w:val="26"/>
              </w:rPr>
            </w:pPr>
            <w:r>
              <w:rPr>
                <w:rFonts w:ascii="Rockwell" w:hAnsi="Rockwell"/>
                <w:color w:val="000000"/>
                <w:szCs w:val="26"/>
              </w:rPr>
              <w:t>4,17%</w:t>
            </w:r>
          </w:p>
        </w:tc>
      </w:tr>
    </w:tbl>
    <w:p w14:paraId="3BDE6178" w14:textId="77777777" w:rsidR="00284822" w:rsidRDefault="00F77BF8">
      <w:pPr>
        <w:tabs>
          <w:tab w:val="left" w:pos="895"/>
        </w:tabs>
        <w:spacing w:before="120" w:after="120"/>
        <w:ind w:left="-993"/>
        <w:rPr>
          <w:rFonts w:ascii="Rockwell" w:hAnsi="Rockwell"/>
          <w:i/>
          <w:sz w:val="20"/>
          <w:szCs w:val="20"/>
        </w:rPr>
      </w:pPr>
      <w:r>
        <w:rPr>
          <w:rFonts w:ascii="Rockwell" w:hAnsi="Rockwell"/>
          <w:i/>
          <w:sz w:val="20"/>
          <w:szCs w:val="20"/>
          <w:u w:val="single"/>
        </w:rPr>
        <w:t>Source</w:t>
      </w:r>
      <w:r>
        <w:rPr>
          <w:rFonts w:ascii="Rockwell" w:hAnsi="Rockwell"/>
          <w:i/>
          <w:sz w:val="20"/>
          <w:szCs w:val="20"/>
        </w:rPr>
        <w:t> : Monitoring CSC</w:t>
      </w:r>
    </w:p>
    <w:p w14:paraId="5D4DFF06" w14:textId="77777777" w:rsidR="00284822" w:rsidRDefault="00284822">
      <w:pPr>
        <w:tabs>
          <w:tab w:val="left" w:pos="895"/>
        </w:tabs>
        <w:spacing w:before="120" w:after="120"/>
        <w:ind w:left="-993"/>
        <w:rPr>
          <w:rFonts w:ascii="Rockwell" w:hAnsi="Rockwell"/>
          <w:i/>
          <w:sz w:val="20"/>
          <w:szCs w:val="20"/>
        </w:rPr>
      </w:pPr>
    </w:p>
    <w:p w14:paraId="28E28BCE" w14:textId="77777777" w:rsidR="00284822" w:rsidRDefault="00284822">
      <w:pPr>
        <w:spacing w:before="120" w:after="120"/>
        <w:rPr>
          <w:rFonts w:ascii="Rockwell" w:hAnsi="Rockwell"/>
          <w:szCs w:val="26"/>
        </w:rPr>
        <w:sectPr w:rsidR="00284822">
          <w:pgSz w:w="11906" w:h="16838"/>
          <w:pgMar w:top="1418" w:right="1418" w:bottom="1418" w:left="1418" w:header="720" w:footer="720" w:gutter="0"/>
          <w:cols w:space="720"/>
        </w:sectPr>
      </w:pPr>
    </w:p>
    <w:p w14:paraId="1650D759" w14:textId="77777777" w:rsidR="00284822" w:rsidRDefault="00F77BF8">
      <w:pPr>
        <w:spacing w:before="120" w:after="120"/>
        <w:jc w:val="center"/>
        <w:rPr>
          <w:rFonts w:ascii="Rockwell" w:hAnsi="Rockwell"/>
          <w:sz w:val="20"/>
          <w:szCs w:val="20"/>
          <w:u w:val="single"/>
        </w:rPr>
      </w:pPr>
      <w:r>
        <w:rPr>
          <w:rFonts w:ascii="Rockwell" w:hAnsi="Rockwell"/>
          <w:i/>
          <w:sz w:val="20"/>
          <w:szCs w:val="20"/>
          <w:u w:val="single"/>
        </w:rPr>
        <w:lastRenderedPageBreak/>
        <w:t xml:space="preserve">Représentation graphique des NA et NI obtenus par les dix premiers partis politiques dans </w:t>
      </w:r>
      <w:proofErr w:type="spellStart"/>
      <w:r>
        <w:rPr>
          <w:rFonts w:ascii="Rockwell" w:hAnsi="Rockwell"/>
          <w:bCs/>
          <w:i/>
          <w:color w:val="000000"/>
          <w:sz w:val="20"/>
          <w:szCs w:val="20"/>
          <w:u w:val="single"/>
        </w:rPr>
        <w:t>directinfoburkina</w:t>
      </w:r>
      <w:proofErr w:type="spellEnd"/>
    </w:p>
    <w:p w14:paraId="36622B41" w14:textId="77777777" w:rsidR="00284822" w:rsidRDefault="00F77BF8">
      <w:pPr>
        <w:spacing w:before="120" w:after="120"/>
        <w:rPr>
          <w:rFonts w:ascii="Rockwell" w:hAnsi="Rockwell"/>
          <w:szCs w:val="26"/>
        </w:rPr>
      </w:pPr>
      <w:r>
        <w:rPr>
          <w:rFonts w:ascii="Rockwell" w:hAnsi="Rockwell"/>
          <w:noProof/>
          <w:szCs w:val="26"/>
        </w:rPr>
        <w:drawing>
          <wp:inline distT="0" distB="0" distL="0" distR="0" wp14:anchorId="490F355D" wp14:editId="677F1CD4">
            <wp:extent cx="6130290" cy="2961640"/>
            <wp:effectExtent l="0" t="0" r="3810" b="10160"/>
            <wp:docPr id="36" name="Graphique 86"/>
            <wp:cNvGraphicFramePr/>
            <a:graphic xmlns:a="http://schemas.openxmlformats.org/drawingml/2006/main">
              <a:graphicData uri="http://schemas.openxmlformats.org/drawingml/2006/chart">
                <c:chart xmlns:c="http://schemas.openxmlformats.org/drawingml/2006/chart" xmlns:r="http://schemas.openxmlformats.org/officeDocument/2006/relationships" r:id="rId80"/>
              </a:graphicData>
            </a:graphic>
          </wp:inline>
        </w:drawing>
      </w:r>
    </w:p>
    <w:p w14:paraId="6F221FBF" w14:textId="77777777" w:rsidR="00284822" w:rsidRDefault="00284822">
      <w:pPr>
        <w:spacing w:before="120" w:after="120"/>
        <w:rPr>
          <w:rFonts w:ascii="Rockwell" w:hAnsi="Rockwell"/>
          <w:sz w:val="10"/>
          <w:szCs w:val="10"/>
        </w:rPr>
      </w:pPr>
    </w:p>
    <w:p w14:paraId="0B28D900" w14:textId="77777777" w:rsidR="00284822" w:rsidRDefault="00F77BF8">
      <w:pPr>
        <w:pStyle w:val="Titre5"/>
        <w:numPr>
          <w:ilvl w:val="1"/>
          <w:numId w:val="19"/>
        </w:numPr>
        <w:rPr>
          <w:rFonts w:ascii="Rockwell" w:hAnsi="Rockwell"/>
          <w:i/>
        </w:rPr>
      </w:pPr>
      <w:bookmarkStart w:id="164" w:name="_Toc175048682"/>
      <w:proofErr w:type="spellStart"/>
      <w:r>
        <w:rPr>
          <w:rFonts w:ascii="Rockwell" w:hAnsi="Rockwell"/>
          <w:i/>
        </w:rPr>
        <w:t>Libreinfo</w:t>
      </w:r>
      <w:bookmarkEnd w:id="164"/>
      <w:proofErr w:type="spellEnd"/>
    </w:p>
    <w:p w14:paraId="19FA6E19" w14:textId="77777777" w:rsidR="00284822" w:rsidRDefault="00F77BF8">
      <w:pPr>
        <w:spacing w:before="120" w:after="120"/>
        <w:rPr>
          <w:rFonts w:ascii="Rockwell" w:hAnsi="Rockwell"/>
          <w:szCs w:val="26"/>
        </w:rPr>
      </w:pPr>
      <w:proofErr w:type="spellStart"/>
      <w:r>
        <w:rPr>
          <w:rFonts w:ascii="Rockwell" w:hAnsi="Rockwell"/>
          <w:i/>
          <w:szCs w:val="26"/>
        </w:rPr>
        <w:t>Libreinfo</w:t>
      </w:r>
      <w:proofErr w:type="spellEnd"/>
      <w:r>
        <w:rPr>
          <w:rFonts w:ascii="Rockwell" w:hAnsi="Rockwell"/>
          <w:i/>
          <w:szCs w:val="26"/>
        </w:rPr>
        <w:t xml:space="preserve"> </w:t>
      </w:r>
      <w:r>
        <w:rPr>
          <w:rFonts w:ascii="Rockwell" w:hAnsi="Rockwell"/>
          <w:szCs w:val="26"/>
        </w:rPr>
        <w:t>s’est intéressé à l’actualité de 14 partis politiques avec un total de 46 articles et 48 illustrations. Les 10 premiers sont les suivants :</w:t>
      </w:r>
    </w:p>
    <w:p w14:paraId="5BCCD7B4" w14:textId="77777777" w:rsidR="00284822" w:rsidRDefault="00284822">
      <w:pPr>
        <w:spacing w:before="120" w:after="120"/>
        <w:jc w:val="center"/>
        <w:rPr>
          <w:rFonts w:ascii="Rockwell" w:hAnsi="Rockwell"/>
          <w:b/>
          <w:sz w:val="20"/>
          <w:szCs w:val="20"/>
          <w:u w:val="single"/>
        </w:rPr>
      </w:pPr>
    </w:p>
    <w:p w14:paraId="26AEDE4D" w14:textId="77777777" w:rsidR="00284822" w:rsidRDefault="00F77BF8">
      <w:pPr>
        <w:spacing w:before="120" w:after="120"/>
        <w:jc w:val="center"/>
        <w:rPr>
          <w:rFonts w:ascii="Rockwell" w:hAnsi="Rockwell"/>
          <w:sz w:val="20"/>
          <w:szCs w:val="20"/>
        </w:rPr>
      </w:pPr>
      <w:r>
        <w:rPr>
          <w:rFonts w:ascii="Rockwell" w:hAnsi="Rockwell"/>
          <w:b/>
          <w:sz w:val="20"/>
          <w:szCs w:val="20"/>
          <w:u w:val="single"/>
        </w:rPr>
        <w:t>Tableau 17</w:t>
      </w:r>
      <w:r>
        <w:rPr>
          <w:rFonts w:ascii="Rockwell" w:hAnsi="Rockwell"/>
          <w:b/>
          <w:i/>
          <w:sz w:val="20"/>
          <w:szCs w:val="20"/>
        </w:rPr>
        <w:t> :</w:t>
      </w:r>
      <w:r>
        <w:rPr>
          <w:rFonts w:ascii="Rockwell" w:hAnsi="Rockwell"/>
          <w:i/>
          <w:sz w:val="20"/>
          <w:szCs w:val="20"/>
        </w:rPr>
        <w:t xml:space="preserve"> Classement des dix premiers partis politiques selon les NA et NI publiés dans </w:t>
      </w:r>
      <w:proofErr w:type="spellStart"/>
      <w:r>
        <w:rPr>
          <w:rFonts w:ascii="Rockwell" w:hAnsi="Rockwell"/>
          <w:i/>
          <w:sz w:val="20"/>
          <w:szCs w:val="20"/>
        </w:rPr>
        <w:t>libreinfo</w:t>
      </w:r>
      <w:proofErr w:type="spellEnd"/>
      <w:r>
        <w:rPr>
          <w:rFonts w:ascii="Rockwell" w:hAnsi="Rockwell"/>
          <w:i/>
          <w:sz w:val="20"/>
          <w:szCs w:val="20"/>
        </w:rPr>
        <w:t xml:space="preserve"> </w:t>
      </w:r>
    </w:p>
    <w:tbl>
      <w:tblPr>
        <w:tblW w:w="58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71"/>
        <w:gridCol w:w="2552"/>
        <w:gridCol w:w="1417"/>
        <w:gridCol w:w="1843"/>
        <w:gridCol w:w="1701"/>
        <w:gridCol w:w="1843"/>
      </w:tblGrid>
      <w:tr w:rsidR="00284822" w14:paraId="2920ADF3" w14:textId="77777777">
        <w:trPr>
          <w:trHeight w:val="610"/>
          <w:jc w:val="center"/>
        </w:trPr>
        <w:tc>
          <w:tcPr>
            <w:tcW w:w="10627" w:type="dxa"/>
            <w:gridSpan w:val="6"/>
            <w:shd w:val="clear" w:color="auto" w:fill="BDD6EE" w:themeFill="accent1" w:themeFillTint="66"/>
            <w:tcMar>
              <w:top w:w="0" w:type="dxa"/>
              <w:left w:w="108" w:type="dxa"/>
              <w:bottom w:w="0" w:type="dxa"/>
              <w:right w:w="108" w:type="dxa"/>
            </w:tcMar>
          </w:tcPr>
          <w:p w14:paraId="1D92F07D" w14:textId="77777777" w:rsidR="00284822" w:rsidRDefault="00F77BF8">
            <w:pPr>
              <w:spacing w:before="120" w:after="120"/>
              <w:jc w:val="center"/>
              <w:rPr>
                <w:rFonts w:ascii="Rockwell" w:hAnsi="Rockwell"/>
                <w:b/>
                <w:bCs/>
                <w:sz w:val="28"/>
                <w:szCs w:val="28"/>
              </w:rPr>
            </w:pPr>
            <w:proofErr w:type="spellStart"/>
            <w:r>
              <w:rPr>
                <w:rFonts w:ascii="Rockwell" w:hAnsi="Rockwell"/>
                <w:b/>
                <w:bCs/>
                <w:sz w:val="28"/>
                <w:szCs w:val="28"/>
              </w:rPr>
              <w:t>Libreinfo</w:t>
            </w:r>
            <w:proofErr w:type="spellEnd"/>
          </w:p>
        </w:tc>
      </w:tr>
      <w:tr w:rsidR="00284822" w14:paraId="06740893" w14:textId="77777777">
        <w:trPr>
          <w:trHeight w:val="844"/>
          <w:jc w:val="center"/>
        </w:trPr>
        <w:tc>
          <w:tcPr>
            <w:tcW w:w="1271" w:type="dxa"/>
            <w:shd w:val="clear" w:color="auto" w:fill="BDD6EE" w:themeFill="accent1" w:themeFillTint="66"/>
            <w:tcMar>
              <w:top w:w="0" w:type="dxa"/>
              <w:left w:w="108" w:type="dxa"/>
              <w:bottom w:w="0" w:type="dxa"/>
              <w:right w:w="108" w:type="dxa"/>
            </w:tcMar>
          </w:tcPr>
          <w:p w14:paraId="65BE0224" w14:textId="77777777" w:rsidR="00284822" w:rsidRDefault="00F77BF8">
            <w:pPr>
              <w:spacing w:before="120" w:after="120"/>
              <w:jc w:val="center"/>
              <w:rPr>
                <w:rFonts w:ascii="Rockwell" w:hAnsi="Rockwell"/>
                <w:b/>
                <w:bCs/>
                <w:szCs w:val="26"/>
              </w:rPr>
            </w:pPr>
            <w:r>
              <w:rPr>
                <w:rFonts w:ascii="Rockwell" w:hAnsi="Rockwell" w:cs="Calibri"/>
                <w:b/>
                <w:bCs/>
                <w:color w:val="000000"/>
                <w:szCs w:val="26"/>
              </w:rPr>
              <w:t>Rang</w:t>
            </w:r>
          </w:p>
        </w:tc>
        <w:tc>
          <w:tcPr>
            <w:tcW w:w="2552" w:type="dxa"/>
            <w:shd w:val="clear" w:color="auto" w:fill="BDD6EE" w:themeFill="accent1" w:themeFillTint="66"/>
            <w:tcMar>
              <w:top w:w="0" w:type="dxa"/>
              <w:left w:w="108" w:type="dxa"/>
              <w:bottom w:w="0" w:type="dxa"/>
              <w:right w:w="108" w:type="dxa"/>
            </w:tcMar>
          </w:tcPr>
          <w:p w14:paraId="45650821" w14:textId="33A766A2" w:rsidR="00284822" w:rsidRDefault="0046752A">
            <w:pPr>
              <w:spacing w:before="120" w:after="120"/>
              <w:jc w:val="center"/>
              <w:rPr>
                <w:rFonts w:ascii="Rockwell" w:hAnsi="Rockwell"/>
                <w:szCs w:val="26"/>
              </w:rPr>
            </w:pPr>
            <w:r>
              <w:rPr>
                <w:rFonts w:ascii="Rockwell" w:hAnsi="Rockwell"/>
                <w:b/>
                <w:bCs/>
              </w:rPr>
              <w:t xml:space="preserve">PARTIS </w:t>
            </w:r>
            <w:r w:rsidR="00F77BF8">
              <w:rPr>
                <w:rFonts w:ascii="Rockwell" w:hAnsi="Rockwell"/>
                <w:b/>
                <w:bCs/>
                <w:szCs w:val="26"/>
              </w:rPr>
              <w:t>POLITIQUES</w:t>
            </w:r>
          </w:p>
        </w:tc>
        <w:tc>
          <w:tcPr>
            <w:tcW w:w="1417" w:type="dxa"/>
            <w:shd w:val="clear" w:color="auto" w:fill="BDD6EE" w:themeFill="accent1" w:themeFillTint="66"/>
            <w:tcMar>
              <w:top w:w="0" w:type="dxa"/>
              <w:left w:w="108" w:type="dxa"/>
              <w:bottom w:w="0" w:type="dxa"/>
              <w:right w:w="108" w:type="dxa"/>
            </w:tcMar>
            <w:vAlign w:val="center"/>
          </w:tcPr>
          <w:p w14:paraId="4FF5A6CA" w14:textId="77777777" w:rsidR="00284822" w:rsidRDefault="00F77BF8">
            <w:pPr>
              <w:spacing w:before="120" w:after="120"/>
              <w:jc w:val="center"/>
              <w:rPr>
                <w:rFonts w:ascii="Rockwell" w:hAnsi="Rockwell"/>
                <w:b/>
                <w:szCs w:val="26"/>
              </w:rPr>
            </w:pPr>
            <w:r>
              <w:rPr>
                <w:rFonts w:ascii="Rockwell" w:hAnsi="Rockwell"/>
                <w:b/>
                <w:szCs w:val="26"/>
              </w:rPr>
              <w:t>NA</w:t>
            </w:r>
          </w:p>
        </w:tc>
        <w:tc>
          <w:tcPr>
            <w:tcW w:w="1843" w:type="dxa"/>
            <w:shd w:val="clear" w:color="auto" w:fill="BDD6EE" w:themeFill="accent1" w:themeFillTint="66"/>
            <w:tcMar>
              <w:top w:w="0" w:type="dxa"/>
              <w:left w:w="108" w:type="dxa"/>
              <w:bottom w:w="0" w:type="dxa"/>
              <w:right w:w="108" w:type="dxa"/>
            </w:tcMar>
            <w:vAlign w:val="center"/>
          </w:tcPr>
          <w:p w14:paraId="1E0C7431" w14:textId="77777777" w:rsidR="00284822" w:rsidRDefault="00F77BF8">
            <w:pPr>
              <w:spacing w:before="120" w:after="120"/>
              <w:jc w:val="center"/>
              <w:rPr>
                <w:rFonts w:ascii="Rockwell" w:hAnsi="Rockwell"/>
                <w:b/>
                <w:szCs w:val="26"/>
              </w:rPr>
            </w:pPr>
            <w:r>
              <w:rPr>
                <w:rFonts w:ascii="Rockwell" w:hAnsi="Rockwell"/>
                <w:b/>
                <w:szCs w:val="26"/>
              </w:rPr>
              <w:t>% NA</w:t>
            </w:r>
          </w:p>
        </w:tc>
        <w:tc>
          <w:tcPr>
            <w:tcW w:w="1701" w:type="dxa"/>
            <w:shd w:val="clear" w:color="auto" w:fill="BDD6EE" w:themeFill="accent1" w:themeFillTint="66"/>
            <w:tcMar>
              <w:top w:w="0" w:type="dxa"/>
              <w:left w:w="108" w:type="dxa"/>
              <w:bottom w:w="0" w:type="dxa"/>
              <w:right w:w="108" w:type="dxa"/>
            </w:tcMar>
            <w:vAlign w:val="center"/>
          </w:tcPr>
          <w:p w14:paraId="5ED2495A" w14:textId="77777777" w:rsidR="00284822" w:rsidRDefault="00F77BF8">
            <w:pPr>
              <w:spacing w:before="120" w:after="120"/>
              <w:jc w:val="center"/>
              <w:rPr>
                <w:rFonts w:ascii="Rockwell" w:hAnsi="Rockwell"/>
                <w:b/>
                <w:szCs w:val="26"/>
              </w:rPr>
            </w:pPr>
            <w:r>
              <w:rPr>
                <w:rFonts w:ascii="Rockwell" w:hAnsi="Rockwell"/>
                <w:b/>
                <w:szCs w:val="26"/>
              </w:rPr>
              <w:t>NI</w:t>
            </w:r>
          </w:p>
        </w:tc>
        <w:tc>
          <w:tcPr>
            <w:tcW w:w="1843" w:type="dxa"/>
            <w:shd w:val="clear" w:color="auto" w:fill="BDD6EE" w:themeFill="accent1" w:themeFillTint="66"/>
            <w:tcMar>
              <w:top w:w="0" w:type="dxa"/>
              <w:left w:w="108" w:type="dxa"/>
              <w:bottom w:w="0" w:type="dxa"/>
              <w:right w:w="108" w:type="dxa"/>
            </w:tcMar>
            <w:vAlign w:val="center"/>
          </w:tcPr>
          <w:p w14:paraId="4454DB76" w14:textId="77777777" w:rsidR="00284822" w:rsidRDefault="00F77BF8">
            <w:pPr>
              <w:spacing w:before="120" w:after="120"/>
              <w:jc w:val="center"/>
              <w:rPr>
                <w:rFonts w:ascii="Rockwell" w:hAnsi="Rockwell"/>
                <w:b/>
                <w:szCs w:val="26"/>
              </w:rPr>
            </w:pPr>
            <w:r>
              <w:rPr>
                <w:rFonts w:ascii="Rockwell" w:hAnsi="Rockwell"/>
                <w:b/>
                <w:szCs w:val="26"/>
              </w:rPr>
              <w:t>% NI</w:t>
            </w:r>
          </w:p>
        </w:tc>
      </w:tr>
      <w:tr w:rsidR="00284822" w14:paraId="51E887C9" w14:textId="77777777">
        <w:trPr>
          <w:trHeight w:val="545"/>
          <w:jc w:val="center"/>
        </w:trPr>
        <w:tc>
          <w:tcPr>
            <w:tcW w:w="1271" w:type="dxa"/>
            <w:shd w:val="clear" w:color="auto" w:fill="FFFFFF"/>
            <w:tcMar>
              <w:top w:w="0" w:type="dxa"/>
              <w:left w:w="108" w:type="dxa"/>
              <w:bottom w:w="0" w:type="dxa"/>
              <w:right w:w="108" w:type="dxa"/>
            </w:tcMar>
          </w:tcPr>
          <w:p w14:paraId="2C79A68D" w14:textId="77777777" w:rsidR="00284822" w:rsidRDefault="00F77BF8">
            <w:pPr>
              <w:spacing w:before="120" w:after="120"/>
              <w:rPr>
                <w:rFonts w:ascii="Rockwell" w:hAnsi="Rockwell"/>
                <w:sz w:val="28"/>
                <w:szCs w:val="28"/>
              </w:rPr>
            </w:pPr>
            <w:r>
              <w:rPr>
                <w:rFonts w:ascii="Rockwell" w:hAnsi="Rockwell"/>
                <w:b/>
                <w:bCs/>
                <w:sz w:val="28"/>
                <w:szCs w:val="28"/>
              </w:rPr>
              <w:t>1</w:t>
            </w:r>
            <w:r>
              <w:rPr>
                <w:rFonts w:ascii="Rockwell" w:hAnsi="Rockwell"/>
                <w:b/>
                <w:bCs/>
                <w:sz w:val="28"/>
                <w:szCs w:val="28"/>
                <w:vertAlign w:val="superscript"/>
              </w:rPr>
              <w:t>er</w:t>
            </w:r>
            <w:r>
              <w:rPr>
                <w:rFonts w:ascii="Rockwell" w:hAnsi="Rockwell"/>
                <w:b/>
                <w:bCs/>
                <w:sz w:val="28"/>
                <w:szCs w:val="28"/>
              </w:rPr>
              <w:t xml:space="preserve"> </w:t>
            </w:r>
          </w:p>
        </w:tc>
        <w:tc>
          <w:tcPr>
            <w:tcW w:w="2552" w:type="dxa"/>
            <w:shd w:val="clear" w:color="auto" w:fill="auto"/>
            <w:tcMar>
              <w:top w:w="0" w:type="dxa"/>
              <w:left w:w="108" w:type="dxa"/>
              <w:bottom w:w="0" w:type="dxa"/>
              <w:right w:w="108" w:type="dxa"/>
            </w:tcMar>
            <w:vAlign w:val="bottom"/>
          </w:tcPr>
          <w:p w14:paraId="51F73D13" w14:textId="77777777" w:rsidR="00284822" w:rsidRDefault="00F77BF8">
            <w:pPr>
              <w:spacing w:before="120" w:after="120"/>
              <w:rPr>
                <w:rFonts w:ascii="Rockwell" w:hAnsi="Rockwell"/>
                <w:sz w:val="28"/>
                <w:szCs w:val="28"/>
              </w:rPr>
            </w:pPr>
            <w:r>
              <w:rPr>
                <w:rFonts w:ascii="Rockwell" w:hAnsi="Rockwell"/>
                <w:sz w:val="28"/>
                <w:szCs w:val="28"/>
              </w:rPr>
              <w:t>MPP</w:t>
            </w:r>
          </w:p>
        </w:tc>
        <w:tc>
          <w:tcPr>
            <w:tcW w:w="1417" w:type="dxa"/>
            <w:shd w:val="clear" w:color="auto" w:fill="auto"/>
            <w:tcMar>
              <w:top w:w="0" w:type="dxa"/>
              <w:left w:w="108" w:type="dxa"/>
              <w:bottom w:w="0" w:type="dxa"/>
              <w:right w:w="108" w:type="dxa"/>
            </w:tcMar>
            <w:vAlign w:val="center"/>
          </w:tcPr>
          <w:p w14:paraId="14EED12E" w14:textId="77777777" w:rsidR="00284822" w:rsidRDefault="00F77BF8">
            <w:pPr>
              <w:spacing w:before="120" w:after="120"/>
              <w:rPr>
                <w:rFonts w:ascii="Rockwell" w:hAnsi="Rockwell"/>
                <w:sz w:val="28"/>
                <w:szCs w:val="28"/>
              </w:rPr>
            </w:pPr>
            <w:r>
              <w:rPr>
                <w:rFonts w:ascii="Rockwell" w:hAnsi="Rockwell"/>
                <w:sz w:val="28"/>
                <w:szCs w:val="28"/>
              </w:rPr>
              <w:t>14</w:t>
            </w:r>
          </w:p>
        </w:tc>
        <w:tc>
          <w:tcPr>
            <w:tcW w:w="1843" w:type="dxa"/>
            <w:shd w:val="clear" w:color="auto" w:fill="auto"/>
            <w:tcMar>
              <w:top w:w="0" w:type="dxa"/>
              <w:left w:w="108" w:type="dxa"/>
              <w:bottom w:w="0" w:type="dxa"/>
              <w:right w:w="108" w:type="dxa"/>
            </w:tcMar>
            <w:vAlign w:val="center"/>
          </w:tcPr>
          <w:p w14:paraId="28DB8BEF" w14:textId="77777777" w:rsidR="00284822" w:rsidRDefault="00F77BF8">
            <w:pPr>
              <w:spacing w:before="120" w:after="120"/>
              <w:rPr>
                <w:rFonts w:ascii="Rockwell" w:hAnsi="Rockwell"/>
                <w:sz w:val="28"/>
                <w:szCs w:val="28"/>
              </w:rPr>
            </w:pPr>
            <w:r>
              <w:rPr>
                <w:rFonts w:ascii="Rockwell" w:hAnsi="Rockwell"/>
                <w:sz w:val="28"/>
                <w:szCs w:val="28"/>
              </w:rPr>
              <w:t>30,43%</w:t>
            </w:r>
          </w:p>
        </w:tc>
        <w:tc>
          <w:tcPr>
            <w:tcW w:w="1701" w:type="dxa"/>
            <w:shd w:val="clear" w:color="auto" w:fill="auto"/>
            <w:tcMar>
              <w:top w:w="0" w:type="dxa"/>
              <w:left w:w="108" w:type="dxa"/>
              <w:bottom w:w="0" w:type="dxa"/>
              <w:right w:w="108" w:type="dxa"/>
            </w:tcMar>
            <w:vAlign w:val="center"/>
          </w:tcPr>
          <w:p w14:paraId="09940879" w14:textId="77777777" w:rsidR="00284822" w:rsidRDefault="00F77BF8">
            <w:pPr>
              <w:spacing w:before="120" w:after="120"/>
              <w:rPr>
                <w:rFonts w:ascii="Rockwell" w:hAnsi="Rockwell"/>
                <w:sz w:val="28"/>
                <w:szCs w:val="28"/>
              </w:rPr>
            </w:pPr>
            <w:r>
              <w:rPr>
                <w:rFonts w:ascii="Rockwell" w:hAnsi="Rockwell"/>
                <w:sz w:val="28"/>
                <w:szCs w:val="28"/>
              </w:rPr>
              <w:t>15</w:t>
            </w:r>
          </w:p>
        </w:tc>
        <w:tc>
          <w:tcPr>
            <w:tcW w:w="1843" w:type="dxa"/>
            <w:shd w:val="clear" w:color="auto" w:fill="auto"/>
            <w:tcMar>
              <w:top w:w="0" w:type="dxa"/>
              <w:left w:w="108" w:type="dxa"/>
              <w:bottom w:w="0" w:type="dxa"/>
              <w:right w:w="108" w:type="dxa"/>
            </w:tcMar>
            <w:vAlign w:val="center"/>
          </w:tcPr>
          <w:p w14:paraId="0F15C9B9" w14:textId="77777777" w:rsidR="00284822" w:rsidRDefault="00F77BF8">
            <w:pPr>
              <w:spacing w:before="120" w:after="120"/>
              <w:rPr>
                <w:rFonts w:ascii="Rockwell" w:hAnsi="Rockwell"/>
                <w:sz w:val="28"/>
                <w:szCs w:val="28"/>
              </w:rPr>
            </w:pPr>
            <w:r>
              <w:rPr>
                <w:rFonts w:ascii="Rockwell" w:hAnsi="Rockwell"/>
                <w:sz w:val="28"/>
                <w:szCs w:val="28"/>
              </w:rPr>
              <w:t>31,25%</w:t>
            </w:r>
          </w:p>
        </w:tc>
      </w:tr>
      <w:tr w:rsidR="00284822" w14:paraId="2AA6C614" w14:textId="77777777">
        <w:trPr>
          <w:trHeight w:val="566"/>
          <w:jc w:val="center"/>
        </w:trPr>
        <w:tc>
          <w:tcPr>
            <w:tcW w:w="1271" w:type="dxa"/>
            <w:shd w:val="clear" w:color="auto" w:fill="FFFFFF"/>
            <w:tcMar>
              <w:top w:w="0" w:type="dxa"/>
              <w:left w:w="108" w:type="dxa"/>
              <w:bottom w:w="0" w:type="dxa"/>
              <w:right w:w="108" w:type="dxa"/>
            </w:tcMar>
          </w:tcPr>
          <w:p w14:paraId="60AE1218" w14:textId="77777777" w:rsidR="00284822" w:rsidRDefault="00F77BF8">
            <w:pPr>
              <w:spacing w:before="120" w:after="120"/>
              <w:rPr>
                <w:rFonts w:ascii="Rockwell" w:hAnsi="Rockwell"/>
                <w:sz w:val="28"/>
                <w:szCs w:val="28"/>
              </w:rPr>
            </w:pPr>
            <w:r>
              <w:rPr>
                <w:rFonts w:ascii="Rockwell" w:hAnsi="Rockwell"/>
                <w:b/>
                <w:bCs/>
                <w:sz w:val="28"/>
                <w:szCs w:val="28"/>
              </w:rPr>
              <w:t>2</w:t>
            </w:r>
            <w:r>
              <w:rPr>
                <w:rFonts w:ascii="Rockwell" w:hAnsi="Rockwell"/>
                <w:b/>
                <w:bCs/>
                <w:sz w:val="28"/>
                <w:szCs w:val="28"/>
                <w:vertAlign w:val="superscript"/>
              </w:rPr>
              <w:t>e</w:t>
            </w:r>
            <w:r>
              <w:rPr>
                <w:rFonts w:ascii="Rockwell" w:hAnsi="Rockwell"/>
                <w:b/>
                <w:bCs/>
                <w:sz w:val="28"/>
                <w:szCs w:val="28"/>
              </w:rPr>
              <w:t xml:space="preserve"> </w:t>
            </w:r>
          </w:p>
        </w:tc>
        <w:tc>
          <w:tcPr>
            <w:tcW w:w="2552" w:type="dxa"/>
            <w:shd w:val="clear" w:color="auto" w:fill="auto"/>
            <w:tcMar>
              <w:top w:w="0" w:type="dxa"/>
              <w:left w:w="108" w:type="dxa"/>
              <w:bottom w:w="0" w:type="dxa"/>
              <w:right w:w="108" w:type="dxa"/>
            </w:tcMar>
            <w:vAlign w:val="bottom"/>
          </w:tcPr>
          <w:p w14:paraId="10F90806" w14:textId="77777777" w:rsidR="00284822" w:rsidRDefault="00F77BF8">
            <w:pPr>
              <w:spacing w:before="120" w:after="120"/>
              <w:rPr>
                <w:rFonts w:ascii="Rockwell" w:hAnsi="Rockwell"/>
                <w:sz w:val="28"/>
                <w:szCs w:val="28"/>
              </w:rPr>
            </w:pPr>
            <w:r>
              <w:rPr>
                <w:rFonts w:ascii="Rockwell" w:hAnsi="Rockwell"/>
                <w:sz w:val="28"/>
                <w:szCs w:val="28"/>
              </w:rPr>
              <w:t>CDP</w:t>
            </w:r>
          </w:p>
        </w:tc>
        <w:tc>
          <w:tcPr>
            <w:tcW w:w="1417" w:type="dxa"/>
            <w:shd w:val="clear" w:color="auto" w:fill="auto"/>
            <w:tcMar>
              <w:top w:w="0" w:type="dxa"/>
              <w:left w:w="108" w:type="dxa"/>
              <w:bottom w:w="0" w:type="dxa"/>
              <w:right w:w="108" w:type="dxa"/>
            </w:tcMar>
            <w:vAlign w:val="center"/>
          </w:tcPr>
          <w:p w14:paraId="3CB597D6" w14:textId="77777777" w:rsidR="00284822" w:rsidRDefault="00F77BF8">
            <w:pPr>
              <w:spacing w:before="120" w:after="120"/>
              <w:rPr>
                <w:rFonts w:ascii="Rockwell" w:hAnsi="Rockwell"/>
                <w:sz w:val="28"/>
                <w:szCs w:val="28"/>
              </w:rPr>
            </w:pPr>
            <w:r>
              <w:rPr>
                <w:rFonts w:ascii="Rockwell" w:hAnsi="Rockwell"/>
                <w:sz w:val="28"/>
                <w:szCs w:val="28"/>
              </w:rPr>
              <w:t>8</w:t>
            </w:r>
          </w:p>
        </w:tc>
        <w:tc>
          <w:tcPr>
            <w:tcW w:w="1843" w:type="dxa"/>
            <w:shd w:val="clear" w:color="auto" w:fill="auto"/>
            <w:tcMar>
              <w:top w:w="0" w:type="dxa"/>
              <w:left w:w="108" w:type="dxa"/>
              <w:bottom w:w="0" w:type="dxa"/>
              <w:right w:w="108" w:type="dxa"/>
            </w:tcMar>
            <w:vAlign w:val="center"/>
          </w:tcPr>
          <w:p w14:paraId="1D8EB56D" w14:textId="77777777" w:rsidR="00284822" w:rsidRDefault="00F77BF8">
            <w:pPr>
              <w:spacing w:before="120" w:after="120"/>
              <w:rPr>
                <w:rFonts w:ascii="Rockwell" w:hAnsi="Rockwell"/>
                <w:sz w:val="28"/>
                <w:szCs w:val="28"/>
              </w:rPr>
            </w:pPr>
            <w:r>
              <w:rPr>
                <w:rFonts w:ascii="Rockwell" w:hAnsi="Rockwell"/>
                <w:sz w:val="28"/>
                <w:szCs w:val="28"/>
              </w:rPr>
              <w:t>17,39%</w:t>
            </w:r>
          </w:p>
        </w:tc>
        <w:tc>
          <w:tcPr>
            <w:tcW w:w="1701" w:type="dxa"/>
            <w:shd w:val="clear" w:color="auto" w:fill="auto"/>
            <w:tcMar>
              <w:top w:w="0" w:type="dxa"/>
              <w:left w:w="108" w:type="dxa"/>
              <w:bottom w:w="0" w:type="dxa"/>
              <w:right w:w="108" w:type="dxa"/>
            </w:tcMar>
            <w:vAlign w:val="center"/>
          </w:tcPr>
          <w:p w14:paraId="06D2D16C" w14:textId="77777777" w:rsidR="00284822" w:rsidRDefault="00F77BF8">
            <w:pPr>
              <w:spacing w:before="120" w:after="120"/>
              <w:rPr>
                <w:rFonts w:ascii="Rockwell" w:hAnsi="Rockwell"/>
                <w:sz w:val="28"/>
                <w:szCs w:val="28"/>
              </w:rPr>
            </w:pPr>
            <w:r>
              <w:rPr>
                <w:rFonts w:ascii="Rockwell" w:hAnsi="Rockwell"/>
                <w:sz w:val="28"/>
                <w:szCs w:val="28"/>
              </w:rPr>
              <w:t>8</w:t>
            </w:r>
          </w:p>
        </w:tc>
        <w:tc>
          <w:tcPr>
            <w:tcW w:w="1843" w:type="dxa"/>
            <w:shd w:val="clear" w:color="auto" w:fill="auto"/>
            <w:tcMar>
              <w:top w:w="0" w:type="dxa"/>
              <w:left w:w="108" w:type="dxa"/>
              <w:bottom w:w="0" w:type="dxa"/>
              <w:right w:w="108" w:type="dxa"/>
            </w:tcMar>
            <w:vAlign w:val="center"/>
          </w:tcPr>
          <w:p w14:paraId="60B8BFE6" w14:textId="77777777" w:rsidR="00284822" w:rsidRDefault="00F77BF8">
            <w:pPr>
              <w:spacing w:before="120" w:after="120"/>
              <w:rPr>
                <w:rFonts w:ascii="Rockwell" w:hAnsi="Rockwell"/>
                <w:sz w:val="28"/>
                <w:szCs w:val="28"/>
              </w:rPr>
            </w:pPr>
            <w:r>
              <w:rPr>
                <w:rFonts w:ascii="Rockwell" w:hAnsi="Rockwell"/>
                <w:sz w:val="28"/>
                <w:szCs w:val="28"/>
              </w:rPr>
              <w:t>16,67%</w:t>
            </w:r>
          </w:p>
        </w:tc>
      </w:tr>
      <w:tr w:rsidR="00284822" w14:paraId="5D3B8E8B" w14:textId="77777777">
        <w:trPr>
          <w:trHeight w:val="547"/>
          <w:jc w:val="center"/>
        </w:trPr>
        <w:tc>
          <w:tcPr>
            <w:tcW w:w="1271" w:type="dxa"/>
            <w:shd w:val="clear" w:color="auto" w:fill="FFFFFF"/>
            <w:tcMar>
              <w:top w:w="0" w:type="dxa"/>
              <w:left w:w="108" w:type="dxa"/>
              <w:bottom w:w="0" w:type="dxa"/>
              <w:right w:w="108" w:type="dxa"/>
            </w:tcMar>
          </w:tcPr>
          <w:p w14:paraId="5B09B9D7" w14:textId="77777777" w:rsidR="00284822" w:rsidRDefault="00F77BF8">
            <w:pPr>
              <w:spacing w:before="120" w:after="120"/>
              <w:rPr>
                <w:rFonts w:ascii="Rockwell" w:hAnsi="Rockwell"/>
                <w:sz w:val="28"/>
                <w:szCs w:val="28"/>
              </w:rPr>
            </w:pPr>
            <w:r>
              <w:rPr>
                <w:rFonts w:ascii="Rockwell" w:hAnsi="Rockwell"/>
                <w:b/>
                <w:bCs/>
                <w:sz w:val="28"/>
                <w:szCs w:val="28"/>
              </w:rPr>
              <w:t>3</w:t>
            </w:r>
            <w:r>
              <w:rPr>
                <w:rFonts w:ascii="Rockwell" w:hAnsi="Rockwell"/>
                <w:b/>
                <w:bCs/>
                <w:sz w:val="28"/>
                <w:szCs w:val="28"/>
                <w:vertAlign w:val="superscript"/>
              </w:rPr>
              <w:t>e</w:t>
            </w:r>
            <w:r>
              <w:rPr>
                <w:rFonts w:ascii="Rockwell" w:hAnsi="Rockwell"/>
                <w:b/>
                <w:bCs/>
                <w:sz w:val="28"/>
                <w:szCs w:val="28"/>
              </w:rPr>
              <w:t xml:space="preserve"> </w:t>
            </w:r>
          </w:p>
        </w:tc>
        <w:tc>
          <w:tcPr>
            <w:tcW w:w="2552" w:type="dxa"/>
            <w:shd w:val="clear" w:color="auto" w:fill="auto"/>
            <w:tcMar>
              <w:top w:w="0" w:type="dxa"/>
              <w:left w:w="108" w:type="dxa"/>
              <w:bottom w:w="0" w:type="dxa"/>
              <w:right w:w="108" w:type="dxa"/>
            </w:tcMar>
            <w:vAlign w:val="bottom"/>
          </w:tcPr>
          <w:p w14:paraId="1F2B5F60" w14:textId="77777777" w:rsidR="00284822" w:rsidRDefault="00F77BF8">
            <w:pPr>
              <w:spacing w:before="120" w:after="120"/>
              <w:rPr>
                <w:rFonts w:ascii="Rockwell" w:hAnsi="Rockwell"/>
                <w:sz w:val="28"/>
                <w:szCs w:val="28"/>
              </w:rPr>
            </w:pPr>
            <w:r>
              <w:rPr>
                <w:rFonts w:ascii="Rockwell" w:hAnsi="Rockwell"/>
                <w:sz w:val="28"/>
                <w:szCs w:val="28"/>
              </w:rPr>
              <w:t>SENS</w:t>
            </w:r>
          </w:p>
        </w:tc>
        <w:tc>
          <w:tcPr>
            <w:tcW w:w="1417" w:type="dxa"/>
            <w:shd w:val="clear" w:color="auto" w:fill="auto"/>
            <w:tcMar>
              <w:top w:w="0" w:type="dxa"/>
              <w:left w:w="108" w:type="dxa"/>
              <w:bottom w:w="0" w:type="dxa"/>
              <w:right w:w="108" w:type="dxa"/>
            </w:tcMar>
            <w:vAlign w:val="center"/>
          </w:tcPr>
          <w:p w14:paraId="5DF6996D" w14:textId="77777777" w:rsidR="00284822" w:rsidRDefault="00F77BF8">
            <w:pPr>
              <w:spacing w:before="120" w:after="120"/>
              <w:rPr>
                <w:rFonts w:ascii="Rockwell" w:hAnsi="Rockwell"/>
                <w:sz w:val="28"/>
                <w:szCs w:val="28"/>
              </w:rPr>
            </w:pPr>
            <w:r>
              <w:rPr>
                <w:rFonts w:ascii="Rockwell" w:hAnsi="Rockwell"/>
                <w:sz w:val="28"/>
                <w:szCs w:val="28"/>
              </w:rPr>
              <w:t>7</w:t>
            </w:r>
          </w:p>
        </w:tc>
        <w:tc>
          <w:tcPr>
            <w:tcW w:w="1843" w:type="dxa"/>
            <w:shd w:val="clear" w:color="auto" w:fill="auto"/>
            <w:tcMar>
              <w:top w:w="0" w:type="dxa"/>
              <w:left w:w="108" w:type="dxa"/>
              <w:bottom w:w="0" w:type="dxa"/>
              <w:right w:w="108" w:type="dxa"/>
            </w:tcMar>
            <w:vAlign w:val="center"/>
          </w:tcPr>
          <w:p w14:paraId="5868C33D" w14:textId="77777777" w:rsidR="00284822" w:rsidRDefault="00F77BF8">
            <w:pPr>
              <w:spacing w:before="120" w:after="120"/>
              <w:rPr>
                <w:rFonts w:ascii="Rockwell" w:hAnsi="Rockwell"/>
                <w:sz w:val="28"/>
                <w:szCs w:val="28"/>
              </w:rPr>
            </w:pPr>
            <w:r>
              <w:rPr>
                <w:rFonts w:ascii="Rockwell" w:hAnsi="Rockwell"/>
                <w:sz w:val="28"/>
                <w:szCs w:val="28"/>
              </w:rPr>
              <w:t>15,22%</w:t>
            </w:r>
          </w:p>
        </w:tc>
        <w:tc>
          <w:tcPr>
            <w:tcW w:w="1701" w:type="dxa"/>
            <w:shd w:val="clear" w:color="auto" w:fill="auto"/>
            <w:tcMar>
              <w:top w:w="0" w:type="dxa"/>
              <w:left w:w="108" w:type="dxa"/>
              <w:bottom w:w="0" w:type="dxa"/>
              <w:right w:w="108" w:type="dxa"/>
            </w:tcMar>
            <w:vAlign w:val="center"/>
          </w:tcPr>
          <w:p w14:paraId="4616D06E" w14:textId="77777777" w:rsidR="00284822" w:rsidRDefault="00F77BF8">
            <w:pPr>
              <w:spacing w:before="120" w:after="120"/>
              <w:rPr>
                <w:rFonts w:ascii="Rockwell" w:hAnsi="Rockwell"/>
                <w:sz w:val="28"/>
                <w:szCs w:val="28"/>
              </w:rPr>
            </w:pPr>
            <w:r>
              <w:rPr>
                <w:rFonts w:ascii="Rockwell" w:hAnsi="Rockwell"/>
                <w:sz w:val="28"/>
                <w:szCs w:val="28"/>
              </w:rPr>
              <w:t>7</w:t>
            </w:r>
          </w:p>
        </w:tc>
        <w:tc>
          <w:tcPr>
            <w:tcW w:w="1843" w:type="dxa"/>
            <w:shd w:val="clear" w:color="auto" w:fill="auto"/>
            <w:tcMar>
              <w:top w:w="0" w:type="dxa"/>
              <w:left w:w="108" w:type="dxa"/>
              <w:bottom w:w="0" w:type="dxa"/>
              <w:right w:w="108" w:type="dxa"/>
            </w:tcMar>
            <w:vAlign w:val="center"/>
          </w:tcPr>
          <w:p w14:paraId="7446DA8F" w14:textId="77777777" w:rsidR="00284822" w:rsidRDefault="00F77BF8">
            <w:pPr>
              <w:spacing w:before="120" w:after="120"/>
              <w:rPr>
                <w:rFonts w:ascii="Rockwell" w:hAnsi="Rockwell"/>
                <w:sz w:val="28"/>
                <w:szCs w:val="28"/>
              </w:rPr>
            </w:pPr>
            <w:r>
              <w:rPr>
                <w:rFonts w:ascii="Rockwell" w:hAnsi="Rockwell"/>
                <w:sz w:val="28"/>
                <w:szCs w:val="28"/>
              </w:rPr>
              <w:t>14,58%</w:t>
            </w:r>
          </w:p>
        </w:tc>
      </w:tr>
      <w:tr w:rsidR="00284822" w14:paraId="515C9CAD" w14:textId="77777777">
        <w:trPr>
          <w:trHeight w:val="554"/>
          <w:jc w:val="center"/>
        </w:trPr>
        <w:tc>
          <w:tcPr>
            <w:tcW w:w="1271" w:type="dxa"/>
            <w:shd w:val="clear" w:color="auto" w:fill="FFFFFF"/>
            <w:tcMar>
              <w:top w:w="0" w:type="dxa"/>
              <w:left w:w="108" w:type="dxa"/>
              <w:bottom w:w="0" w:type="dxa"/>
              <w:right w:w="108" w:type="dxa"/>
            </w:tcMar>
          </w:tcPr>
          <w:p w14:paraId="50D8483B" w14:textId="77777777" w:rsidR="00284822" w:rsidRDefault="00F77BF8">
            <w:pPr>
              <w:spacing w:before="120" w:after="120"/>
              <w:rPr>
                <w:rFonts w:ascii="Rockwell" w:hAnsi="Rockwell"/>
                <w:sz w:val="28"/>
                <w:szCs w:val="28"/>
              </w:rPr>
            </w:pPr>
            <w:r>
              <w:rPr>
                <w:rFonts w:ascii="Rockwell" w:hAnsi="Rockwell"/>
                <w:b/>
                <w:bCs/>
                <w:sz w:val="28"/>
                <w:szCs w:val="28"/>
              </w:rPr>
              <w:t>4</w:t>
            </w:r>
            <w:r>
              <w:rPr>
                <w:rFonts w:ascii="Rockwell" w:hAnsi="Rockwell"/>
                <w:b/>
                <w:bCs/>
                <w:sz w:val="28"/>
                <w:szCs w:val="28"/>
                <w:vertAlign w:val="superscript"/>
              </w:rPr>
              <w:t>e</w:t>
            </w:r>
            <w:r>
              <w:rPr>
                <w:rFonts w:ascii="Rockwell" w:hAnsi="Rockwell"/>
                <w:b/>
                <w:bCs/>
                <w:sz w:val="28"/>
                <w:szCs w:val="28"/>
              </w:rPr>
              <w:t xml:space="preserve"> </w:t>
            </w:r>
          </w:p>
        </w:tc>
        <w:tc>
          <w:tcPr>
            <w:tcW w:w="2552" w:type="dxa"/>
            <w:shd w:val="clear" w:color="auto" w:fill="auto"/>
            <w:tcMar>
              <w:top w:w="0" w:type="dxa"/>
              <w:left w:w="108" w:type="dxa"/>
              <w:bottom w:w="0" w:type="dxa"/>
              <w:right w:w="108" w:type="dxa"/>
            </w:tcMar>
            <w:vAlign w:val="bottom"/>
          </w:tcPr>
          <w:p w14:paraId="1457E231" w14:textId="77777777" w:rsidR="00284822" w:rsidRDefault="00F77BF8">
            <w:pPr>
              <w:spacing w:before="120" w:after="120"/>
              <w:rPr>
                <w:rFonts w:ascii="Rockwell" w:hAnsi="Rockwell"/>
                <w:sz w:val="28"/>
                <w:szCs w:val="28"/>
              </w:rPr>
            </w:pPr>
            <w:r>
              <w:rPr>
                <w:rFonts w:ascii="Rockwell" w:hAnsi="Rockwell"/>
                <w:sz w:val="28"/>
                <w:szCs w:val="28"/>
              </w:rPr>
              <w:t>UNIR/MPS</w:t>
            </w:r>
          </w:p>
        </w:tc>
        <w:tc>
          <w:tcPr>
            <w:tcW w:w="1417" w:type="dxa"/>
            <w:shd w:val="clear" w:color="auto" w:fill="auto"/>
            <w:tcMar>
              <w:top w:w="0" w:type="dxa"/>
              <w:left w:w="108" w:type="dxa"/>
              <w:bottom w:w="0" w:type="dxa"/>
              <w:right w:w="108" w:type="dxa"/>
            </w:tcMar>
            <w:vAlign w:val="center"/>
          </w:tcPr>
          <w:p w14:paraId="0A8D34B7" w14:textId="77777777" w:rsidR="00284822" w:rsidRDefault="00F77BF8">
            <w:pPr>
              <w:spacing w:before="120" w:after="120"/>
              <w:rPr>
                <w:rFonts w:ascii="Rockwell" w:hAnsi="Rockwell"/>
                <w:sz w:val="28"/>
                <w:szCs w:val="28"/>
              </w:rPr>
            </w:pPr>
            <w:r>
              <w:rPr>
                <w:rFonts w:ascii="Rockwell" w:hAnsi="Rockwell"/>
                <w:sz w:val="28"/>
                <w:szCs w:val="28"/>
              </w:rPr>
              <w:t>3</w:t>
            </w:r>
          </w:p>
        </w:tc>
        <w:tc>
          <w:tcPr>
            <w:tcW w:w="1843" w:type="dxa"/>
            <w:shd w:val="clear" w:color="auto" w:fill="auto"/>
            <w:tcMar>
              <w:top w:w="0" w:type="dxa"/>
              <w:left w:w="108" w:type="dxa"/>
              <w:bottom w:w="0" w:type="dxa"/>
              <w:right w:w="108" w:type="dxa"/>
            </w:tcMar>
            <w:vAlign w:val="center"/>
          </w:tcPr>
          <w:p w14:paraId="662C0BD2" w14:textId="77777777" w:rsidR="00284822" w:rsidRDefault="00F77BF8">
            <w:pPr>
              <w:spacing w:before="120" w:after="120"/>
              <w:rPr>
                <w:rFonts w:ascii="Rockwell" w:hAnsi="Rockwell"/>
                <w:sz w:val="28"/>
                <w:szCs w:val="28"/>
              </w:rPr>
            </w:pPr>
            <w:r>
              <w:rPr>
                <w:rFonts w:ascii="Rockwell" w:hAnsi="Rockwell"/>
                <w:sz w:val="28"/>
                <w:szCs w:val="28"/>
              </w:rPr>
              <w:t>6,52%</w:t>
            </w:r>
          </w:p>
        </w:tc>
        <w:tc>
          <w:tcPr>
            <w:tcW w:w="1701" w:type="dxa"/>
            <w:shd w:val="clear" w:color="auto" w:fill="auto"/>
            <w:tcMar>
              <w:top w:w="0" w:type="dxa"/>
              <w:left w:w="108" w:type="dxa"/>
              <w:bottom w:w="0" w:type="dxa"/>
              <w:right w:w="108" w:type="dxa"/>
            </w:tcMar>
            <w:vAlign w:val="center"/>
          </w:tcPr>
          <w:p w14:paraId="42CE7219" w14:textId="77777777" w:rsidR="00284822" w:rsidRDefault="00F77BF8">
            <w:pPr>
              <w:spacing w:before="120" w:after="120"/>
              <w:rPr>
                <w:rFonts w:ascii="Rockwell" w:hAnsi="Rockwell"/>
                <w:sz w:val="28"/>
                <w:szCs w:val="28"/>
              </w:rPr>
            </w:pPr>
            <w:r>
              <w:rPr>
                <w:rFonts w:ascii="Rockwell" w:hAnsi="Rockwell"/>
                <w:sz w:val="28"/>
                <w:szCs w:val="28"/>
              </w:rPr>
              <w:t>3</w:t>
            </w:r>
          </w:p>
        </w:tc>
        <w:tc>
          <w:tcPr>
            <w:tcW w:w="1843" w:type="dxa"/>
            <w:shd w:val="clear" w:color="auto" w:fill="auto"/>
            <w:tcMar>
              <w:top w:w="0" w:type="dxa"/>
              <w:left w:w="108" w:type="dxa"/>
              <w:bottom w:w="0" w:type="dxa"/>
              <w:right w:w="108" w:type="dxa"/>
            </w:tcMar>
            <w:vAlign w:val="center"/>
          </w:tcPr>
          <w:p w14:paraId="04FBF7C3" w14:textId="77777777" w:rsidR="00284822" w:rsidRDefault="00F77BF8">
            <w:pPr>
              <w:spacing w:before="120" w:after="120"/>
              <w:rPr>
                <w:rFonts w:ascii="Rockwell" w:hAnsi="Rockwell"/>
                <w:sz w:val="28"/>
                <w:szCs w:val="28"/>
              </w:rPr>
            </w:pPr>
            <w:r>
              <w:rPr>
                <w:rFonts w:ascii="Rockwell" w:hAnsi="Rockwell"/>
                <w:sz w:val="28"/>
                <w:szCs w:val="28"/>
              </w:rPr>
              <w:t>6,25%</w:t>
            </w:r>
          </w:p>
        </w:tc>
      </w:tr>
      <w:tr w:rsidR="00284822" w14:paraId="1CF9FAF9" w14:textId="77777777">
        <w:trPr>
          <w:trHeight w:val="576"/>
          <w:jc w:val="center"/>
        </w:trPr>
        <w:tc>
          <w:tcPr>
            <w:tcW w:w="1271" w:type="dxa"/>
            <w:shd w:val="clear" w:color="auto" w:fill="FFFFFF"/>
            <w:tcMar>
              <w:top w:w="0" w:type="dxa"/>
              <w:left w:w="108" w:type="dxa"/>
              <w:bottom w:w="0" w:type="dxa"/>
              <w:right w:w="108" w:type="dxa"/>
            </w:tcMar>
          </w:tcPr>
          <w:p w14:paraId="68F37276" w14:textId="77777777" w:rsidR="00284822" w:rsidRDefault="00F77BF8">
            <w:pPr>
              <w:spacing w:before="120" w:after="120"/>
              <w:rPr>
                <w:rFonts w:ascii="Rockwell" w:hAnsi="Rockwell"/>
                <w:sz w:val="28"/>
                <w:szCs w:val="28"/>
              </w:rPr>
            </w:pPr>
            <w:r>
              <w:rPr>
                <w:rFonts w:ascii="Rockwell" w:hAnsi="Rockwell"/>
                <w:b/>
                <w:bCs/>
                <w:sz w:val="28"/>
                <w:szCs w:val="28"/>
              </w:rPr>
              <w:lastRenderedPageBreak/>
              <w:t>5</w:t>
            </w:r>
            <w:r>
              <w:rPr>
                <w:rFonts w:ascii="Rockwell" w:hAnsi="Rockwell"/>
                <w:b/>
                <w:bCs/>
                <w:sz w:val="28"/>
                <w:szCs w:val="28"/>
                <w:vertAlign w:val="superscript"/>
              </w:rPr>
              <w:t>e</w:t>
            </w:r>
          </w:p>
        </w:tc>
        <w:tc>
          <w:tcPr>
            <w:tcW w:w="2552" w:type="dxa"/>
            <w:shd w:val="clear" w:color="auto" w:fill="auto"/>
            <w:tcMar>
              <w:top w:w="0" w:type="dxa"/>
              <w:left w:w="108" w:type="dxa"/>
              <w:bottom w:w="0" w:type="dxa"/>
              <w:right w:w="108" w:type="dxa"/>
            </w:tcMar>
            <w:vAlign w:val="bottom"/>
          </w:tcPr>
          <w:p w14:paraId="5E7AFBFF" w14:textId="77777777" w:rsidR="00284822" w:rsidRDefault="00F77BF8">
            <w:pPr>
              <w:spacing w:before="120" w:after="120"/>
              <w:rPr>
                <w:rFonts w:ascii="Rockwell" w:hAnsi="Rockwell"/>
                <w:sz w:val="28"/>
                <w:szCs w:val="28"/>
              </w:rPr>
            </w:pPr>
            <w:r>
              <w:rPr>
                <w:rFonts w:ascii="Rockwell" w:hAnsi="Rockwell"/>
                <w:sz w:val="28"/>
                <w:szCs w:val="28"/>
              </w:rPr>
              <w:t>ADF/RDA</w:t>
            </w:r>
          </w:p>
        </w:tc>
        <w:tc>
          <w:tcPr>
            <w:tcW w:w="1417" w:type="dxa"/>
            <w:shd w:val="clear" w:color="auto" w:fill="auto"/>
            <w:tcMar>
              <w:top w:w="0" w:type="dxa"/>
              <w:left w:w="108" w:type="dxa"/>
              <w:bottom w:w="0" w:type="dxa"/>
              <w:right w:w="108" w:type="dxa"/>
            </w:tcMar>
            <w:vAlign w:val="center"/>
          </w:tcPr>
          <w:p w14:paraId="2F224B64" w14:textId="77777777" w:rsidR="00284822" w:rsidRDefault="00F77BF8">
            <w:pPr>
              <w:spacing w:before="120" w:after="120"/>
              <w:rPr>
                <w:rFonts w:ascii="Rockwell" w:hAnsi="Rockwell"/>
                <w:sz w:val="28"/>
                <w:szCs w:val="28"/>
              </w:rPr>
            </w:pPr>
            <w:r>
              <w:rPr>
                <w:rFonts w:ascii="Rockwell" w:hAnsi="Rockwell"/>
                <w:sz w:val="28"/>
                <w:szCs w:val="28"/>
              </w:rPr>
              <w:t>2</w:t>
            </w:r>
          </w:p>
        </w:tc>
        <w:tc>
          <w:tcPr>
            <w:tcW w:w="1843" w:type="dxa"/>
            <w:shd w:val="clear" w:color="auto" w:fill="auto"/>
            <w:tcMar>
              <w:top w:w="0" w:type="dxa"/>
              <w:left w:w="108" w:type="dxa"/>
              <w:bottom w:w="0" w:type="dxa"/>
              <w:right w:w="108" w:type="dxa"/>
            </w:tcMar>
            <w:vAlign w:val="center"/>
          </w:tcPr>
          <w:p w14:paraId="51B3086E" w14:textId="77777777" w:rsidR="00284822" w:rsidRDefault="00F77BF8">
            <w:pPr>
              <w:spacing w:before="120" w:after="120"/>
              <w:rPr>
                <w:rFonts w:ascii="Rockwell" w:hAnsi="Rockwell"/>
                <w:sz w:val="28"/>
                <w:szCs w:val="28"/>
              </w:rPr>
            </w:pPr>
            <w:r>
              <w:rPr>
                <w:rFonts w:ascii="Rockwell" w:hAnsi="Rockwell"/>
                <w:sz w:val="28"/>
                <w:szCs w:val="28"/>
              </w:rPr>
              <w:t>4,35%</w:t>
            </w:r>
          </w:p>
        </w:tc>
        <w:tc>
          <w:tcPr>
            <w:tcW w:w="1701" w:type="dxa"/>
            <w:shd w:val="clear" w:color="auto" w:fill="auto"/>
            <w:tcMar>
              <w:top w:w="0" w:type="dxa"/>
              <w:left w:w="108" w:type="dxa"/>
              <w:bottom w:w="0" w:type="dxa"/>
              <w:right w:w="108" w:type="dxa"/>
            </w:tcMar>
            <w:vAlign w:val="center"/>
          </w:tcPr>
          <w:p w14:paraId="5C573A47" w14:textId="77777777" w:rsidR="00284822" w:rsidRDefault="00F77BF8">
            <w:pPr>
              <w:spacing w:before="120" w:after="120"/>
              <w:rPr>
                <w:rFonts w:ascii="Rockwell" w:hAnsi="Rockwell"/>
                <w:sz w:val="28"/>
                <w:szCs w:val="28"/>
              </w:rPr>
            </w:pPr>
            <w:r>
              <w:rPr>
                <w:rFonts w:ascii="Rockwell" w:hAnsi="Rockwell"/>
                <w:sz w:val="28"/>
                <w:szCs w:val="28"/>
              </w:rPr>
              <w:t>2</w:t>
            </w:r>
          </w:p>
        </w:tc>
        <w:tc>
          <w:tcPr>
            <w:tcW w:w="1843" w:type="dxa"/>
            <w:shd w:val="clear" w:color="auto" w:fill="auto"/>
            <w:tcMar>
              <w:top w:w="0" w:type="dxa"/>
              <w:left w:w="108" w:type="dxa"/>
              <w:bottom w:w="0" w:type="dxa"/>
              <w:right w:w="108" w:type="dxa"/>
            </w:tcMar>
            <w:vAlign w:val="center"/>
          </w:tcPr>
          <w:p w14:paraId="1963993A" w14:textId="77777777" w:rsidR="00284822" w:rsidRDefault="00F77BF8">
            <w:pPr>
              <w:spacing w:before="120" w:after="120"/>
              <w:rPr>
                <w:rFonts w:ascii="Rockwell" w:hAnsi="Rockwell"/>
                <w:sz w:val="28"/>
                <w:szCs w:val="28"/>
              </w:rPr>
            </w:pPr>
            <w:r>
              <w:rPr>
                <w:rFonts w:ascii="Rockwell" w:hAnsi="Rockwell"/>
                <w:sz w:val="28"/>
                <w:szCs w:val="28"/>
              </w:rPr>
              <w:t>4,17%</w:t>
            </w:r>
          </w:p>
        </w:tc>
      </w:tr>
      <w:tr w:rsidR="00284822" w14:paraId="22A08F4D" w14:textId="77777777">
        <w:trPr>
          <w:trHeight w:val="699"/>
          <w:jc w:val="center"/>
        </w:trPr>
        <w:tc>
          <w:tcPr>
            <w:tcW w:w="1271" w:type="dxa"/>
            <w:shd w:val="clear" w:color="auto" w:fill="FFFFFF"/>
            <w:tcMar>
              <w:top w:w="0" w:type="dxa"/>
              <w:left w:w="108" w:type="dxa"/>
              <w:bottom w:w="0" w:type="dxa"/>
              <w:right w:w="108" w:type="dxa"/>
            </w:tcMar>
          </w:tcPr>
          <w:p w14:paraId="3D1DDF13" w14:textId="77777777" w:rsidR="00284822" w:rsidRDefault="00F77BF8">
            <w:pPr>
              <w:spacing w:before="120" w:after="120"/>
              <w:rPr>
                <w:rFonts w:ascii="Rockwell" w:hAnsi="Rockwell"/>
                <w:sz w:val="28"/>
                <w:szCs w:val="28"/>
              </w:rPr>
            </w:pPr>
            <w:r>
              <w:rPr>
                <w:rFonts w:ascii="Rockwell" w:hAnsi="Rockwell"/>
                <w:b/>
                <w:bCs/>
                <w:sz w:val="28"/>
                <w:szCs w:val="28"/>
              </w:rPr>
              <w:t>5</w:t>
            </w:r>
            <w:r>
              <w:rPr>
                <w:rFonts w:ascii="Rockwell" w:hAnsi="Rockwell"/>
                <w:b/>
                <w:bCs/>
                <w:sz w:val="28"/>
                <w:szCs w:val="28"/>
                <w:vertAlign w:val="superscript"/>
              </w:rPr>
              <w:t>e</w:t>
            </w:r>
            <w:r>
              <w:rPr>
                <w:rFonts w:ascii="Rockwell" w:hAnsi="Rockwell"/>
                <w:b/>
                <w:bCs/>
                <w:sz w:val="28"/>
                <w:szCs w:val="28"/>
              </w:rPr>
              <w:t xml:space="preserve"> ex</w:t>
            </w:r>
          </w:p>
        </w:tc>
        <w:tc>
          <w:tcPr>
            <w:tcW w:w="2552" w:type="dxa"/>
            <w:shd w:val="clear" w:color="auto" w:fill="auto"/>
            <w:tcMar>
              <w:top w:w="0" w:type="dxa"/>
              <w:left w:w="108" w:type="dxa"/>
              <w:bottom w:w="0" w:type="dxa"/>
              <w:right w:w="108" w:type="dxa"/>
            </w:tcMar>
            <w:vAlign w:val="bottom"/>
          </w:tcPr>
          <w:p w14:paraId="3E03B3B8" w14:textId="77777777" w:rsidR="00284822" w:rsidRDefault="00F77BF8">
            <w:pPr>
              <w:spacing w:before="120" w:after="120"/>
              <w:rPr>
                <w:rFonts w:ascii="Rockwell" w:hAnsi="Rockwell"/>
                <w:sz w:val="28"/>
                <w:szCs w:val="28"/>
              </w:rPr>
            </w:pPr>
            <w:r>
              <w:rPr>
                <w:rFonts w:ascii="Rockwell" w:hAnsi="Rockwell"/>
                <w:sz w:val="28"/>
                <w:szCs w:val="28"/>
              </w:rPr>
              <w:t>LE FASO AUTREMENT</w:t>
            </w:r>
          </w:p>
        </w:tc>
        <w:tc>
          <w:tcPr>
            <w:tcW w:w="1417" w:type="dxa"/>
            <w:shd w:val="clear" w:color="auto" w:fill="auto"/>
            <w:tcMar>
              <w:top w:w="0" w:type="dxa"/>
              <w:left w:w="108" w:type="dxa"/>
              <w:bottom w:w="0" w:type="dxa"/>
              <w:right w:w="108" w:type="dxa"/>
            </w:tcMar>
            <w:vAlign w:val="center"/>
          </w:tcPr>
          <w:p w14:paraId="2F126F30" w14:textId="77777777" w:rsidR="00284822" w:rsidRDefault="00F77BF8">
            <w:pPr>
              <w:spacing w:before="120" w:after="120"/>
              <w:rPr>
                <w:rFonts w:ascii="Rockwell" w:hAnsi="Rockwell"/>
                <w:sz w:val="28"/>
                <w:szCs w:val="28"/>
              </w:rPr>
            </w:pPr>
            <w:r>
              <w:rPr>
                <w:rFonts w:ascii="Rockwell" w:hAnsi="Rockwell"/>
                <w:sz w:val="28"/>
                <w:szCs w:val="28"/>
              </w:rPr>
              <w:t>2</w:t>
            </w:r>
          </w:p>
        </w:tc>
        <w:tc>
          <w:tcPr>
            <w:tcW w:w="1843" w:type="dxa"/>
            <w:shd w:val="clear" w:color="auto" w:fill="auto"/>
            <w:tcMar>
              <w:top w:w="0" w:type="dxa"/>
              <w:left w:w="108" w:type="dxa"/>
              <w:bottom w:w="0" w:type="dxa"/>
              <w:right w:w="108" w:type="dxa"/>
            </w:tcMar>
            <w:vAlign w:val="center"/>
          </w:tcPr>
          <w:p w14:paraId="71405A01" w14:textId="77777777" w:rsidR="00284822" w:rsidRDefault="00F77BF8">
            <w:pPr>
              <w:spacing w:before="120" w:after="120"/>
              <w:rPr>
                <w:rFonts w:ascii="Rockwell" w:hAnsi="Rockwell"/>
                <w:sz w:val="28"/>
                <w:szCs w:val="28"/>
              </w:rPr>
            </w:pPr>
            <w:r>
              <w:rPr>
                <w:rFonts w:ascii="Rockwell" w:hAnsi="Rockwell"/>
                <w:sz w:val="28"/>
                <w:szCs w:val="28"/>
              </w:rPr>
              <w:t>4,35%</w:t>
            </w:r>
          </w:p>
        </w:tc>
        <w:tc>
          <w:tcPr>
            <w:tcW w:w="1701" w:type="dxa"/>
            <w:shd w:val="clear" w:color="auto" w:fill="auto"/>
            <w:tcMar>
              <w:top w:w="0" w:type="dxa"/>
              <w:left w:w="108" w:type="dxa"/>
              <w:bottom w:w="0" w:type="dxa"/>
              <w:right w:w="108" w:type="dxa"/>
            </w:tcMar>
            <w:vAlign w:val="center"/>
          </w:tcPr>
          <w:p w14:paraId="4CC9C2D6" w14:textId="77777777" w:rsidR="00284822" w:rsidRDefault="00F77BF8">
            <w:pPr>
              <w:spacing w:before="120" w:after="120"/>
              <w:rPr>
                <w:rFonts w:ascii="Rockwell" w:hAnsi="Rockwell"/>
                <w:sz w:val="28"/>
                <w:szCs w:val="28"/>
              </w:rPr>
            </w:pPr>
            <w:r>
              <w:rPr>
                <w:rFonts w:ascii="Rockwell" w:hAnsi="Rockwell"/>
                <w:sz w:val="28"/>
                <w:szCs w:val="28"/>
              </w:rPr>
              <w:t>2</w:t>
            </w:r>
          </w:p>
        </w:tc>
        <w:tc>
          <w:tcPr>
            <w:tcW w:w="1843" w:type="dxa"/>
            <w:shd w:val="clear" w:color="auto" w:fill="auto"/>
            <w:tcMar>
              <w:top w:w="0" w:type="dxa"/>
              <w:left w:w="108" w:type="dxa"/>
              <w:bottom w:w="0" w:type="dxa"/>
              <w:right w:w="108" w:type="dxa"/>
            </w:tcMar>
            <w:vAlign w:val="center"/>
          </w:tcPr>
          <w:p w14:paraId="734469ED" w14:textId="77777777" w:rsidR="00284822" w:rsidRDefault="00F77BF8">
            <w:pPr>
              <w:spacing w:before="120" w:after="120"/>
              <w:rPr>
                <w:rFonts w:ascii="Rockwell" w:hAnsi="Rockwell"/>
                <w:sz w:val="28"/>
                <w:szCs w:val="28"/>
              </w:rPr>
            </w:pPr>
            <w:r>
              <w:rPr>
                <w:rFonts w:ascii="Rockwell" w:hAnsi="Rockwell"/>
                <w:sz w:val="28"/>
                <w:szCs w:val="28"/>
              </w:rPr>
              <w:t>4,17%</w:t>
            </w:r>
          </w:p>
        </w:tc>
      </w:tr>
      <w:tr w:rsidR="00284822" w14:paraId="05E9BF9D" w14:textId="77777777">
        <w:trPr>
          <w:trHeight w:val="681"/>
          <w:jc w:val="center"/>
        </w:trPr>
        <w:tc>
          <w:tcPr>
            <w:tcW w:w="1271" w:type="dxa"/>
            <w:shd w:val="clear" w:color="auto" w:fill="FFFFFF"/>
            <w:tcMar>
              <w:top w:w="0" w:type="dxa"/>
              <w:left w:w="108" w:type="dxa"/>
              <w:bottom w:w="0" w:type="dxa"/>
              <w:right w:w="108" w:type="dxa"/>
            </w:tcMar>
          </w:tcPr>
          <w:p w14:paraId="04A64D86" w14:textId="77777777" w:rsidR="00284822" w:rsidRDefault="00F77BF8">
            <w:pPr>
              <w:spacing w:before="120" w:after="120"/>
              <w:rPr>
                <w:rFonts w:ascii="Rockwell" w:hAnsi="Rockwell"/>
                <w:sz w:val="28"/>
                <w:szCs w:val="28"/>
              </w:rPr>
            </w:pPr>
            <w:r>
              <w:rPr>
                <w:rFonts w:ascii="Rockwell" w:hAnsi="Rockwell"/>
                <w:b/>
                <w:bCs/>
                <w:sz w:val="28"/>
                <w:szCs w:val="28"/>
              </w:rPr>
              <w:t>5</w:t>
            </w:r>
            <w:r>
              <w:rPr>
                <w:rFonts w:ascii="Rockwell" w:hAnsi="Rockwell"/>
                <w:b/>
                <w:bCs/>
                <w:sz w:val="28"/>
                <w:szCs w:val="28"/>
                <w:vertAlign w:val="superscript"/>
              </w:rPr>
              <w:t>e</w:t>
            </w:r>
            <w:r>
              <w:rPr>
                <w:rFonts w:ascii="Rockwell" w:hAnsi="Rockwell"/>
                <w:b/>
                <w:bCs/>
                <w:sz w:val="28"/>
                <w:szCs w:val="28"/>
              </w:rPr>
              <w:t xml:space="preserve"> ex</w:t>
            </w:r>
          </w:p>
        </w:tc>
        <w:tc>
          <w:tcPr>
            <w:tcW w:w="2552" w:type="dxa"/>
            <w:shd w:val="clear" w:color="auto" w:fill="auto"/>
            <w:tcMar>
              <w:top w:w="0" w:type="dxa"/>
              <w:left w:w="108" w:type="dxa"/>
              <w:bottom w:w="0" w:type="dxa"/>
              <w:right w:w="108" w:type="dxa"/>
            </w:tcMar>
            <w:vAlign w:val="bottom"/>
          </w:tcPr>
          <w:p w14:paraId="7AF8CB44" w14:textId="77777777" w:rsidR="00284822" w:rsidRDefault="00F77BF8">
            <w:pPr>
              <w:spacing w:before="120" w:after="120"/>
              <w:rPr>
                <w:rFonts w:ascii="Rockwell" w:hAnsi="Rockwell"/>
                <w:sz w:val="28"/>
                <w:szCs w:val="28"/>
              </w:rPr>
            </w:pPr>
            <w:r>
              <w:rPr>
                <w:rFonts w:ascii="Rockwell" w:hAnsi="Rockwell"/>
                <w:sz w:val="28"/>
                <w:szCs w:val="28"/>
              </w:rPr>
              <w:t>MRB</w:t>
            </w:r>
          </w:p>
        </w:tc>
        <w:tc>
          <w:tcPr>
            <w:tcW w:w="1417" w:type="dxa"/>
            <w:shd w:val="clear" w:color="auto" w:fill="auto"/>
            <w:tcMar>
              <w:top w:w="0" w:type="dxa"/>
              <w:left w:w="108" w:type="dxa"/>
              <w:bottom w:w="0" w:type="dxa"/>
              <w:right w:w="108" w:type="dxa"/>
            </w:tcMar>
            <w:vAlign w:val="center"/>
          </w:tcPr>
          <w:p w14:paraId="359AFBBF" w14:textId="77777777" w:rsidR="00284822" w:rsidRDefault="00F77BF8">
            <w:pPr>
              <w:spacing w:before="120" w:after="120"/>
              <w:rPr>
                <w:rFonts w:ascii="Rockwell" w:hAnsi="Rockwell"/>
                <w:sz w:val="28"/>
                <w:szCs w:val="28"/>
              </w:rPr>
            </w:pPr>
            <w:r>
              <w:rPr>
                <w:rFonts w:ascii="Rockwell" w:hAnsi="Rockwell"/>
                <w:sz w:val="28"/>
                <w:szCs w:val="28"/>
              </w:rPr>
              <w:t>2</w:t>
            </w:r>
          </w:p>
        </w:tc>
        <w:tc>
          <w:tcPr>
            <w:tcW w:w="1843" w:type="dxa"/>
            <w:shd w:val="clear" w:color="auto" w:fill="auto"/>
            <w:tcMar>
              <w:top w:w="0" w:type="dxa"/>
              <w:left w:w="108" w:type="dxa"/>
              <w:bottom w:w="0" w:type="dxa"/>
              <w:right w:w="108" w:type="dxa"/>
            </w:tcMar>
            <w:vAlign w:val="center"/>
          </w:tcPr>
          <w:p w14:paraId="15B89499" w14:textId="77777777" w:rsidR="00284822" w:rsidRDefault="00F77BF8">
            <w:pPr>
              <w:spacing w:before="120" w:after="120"/>
              <w:rPr>
                <w:rFonts w:ascii="Rockwell" w:hAnsi="Rockwell"/>
                <w:sz w:val="28"/>
                <w:szCs w:val="28"/>
              </w:rPr>
            </w:pPr>
            <w:r>
              <w:rPr>
                <w:rFonts w:ascii="Rockwell" w:hAnsi="Rockwell"/>
                <w:sz w:val="28"/>
                <w:szCs w:val="28"/>
              </w:rPr>
              <w:t>4,35%</w:t>
            </w:r>
          </w:p>
        </w:tc>
        <w:tc>
          <w:tcPr>
            <w:tcW w:w="1701" w:type="dxa"/>
            <w:shd w:val="clear" w:color="auto" w:fill="auto"/>
            <w:tcMar>
              <w:top w:w="0" w:type="dxa"/>
              <w:left w:w="108" w:type="dxa"/>
              <w:bottom w:w="0" w:type="dxa"/>
              <w:right w:w="108" w:type="dxa"/>
            </w:tcMar>
            <w:vAlign w:val="center"/>
          </w:tcPr>
          <w:p w14:paraId="65296CA0" w14:textId="77777777" w:rsidR="00284822" w:rsidRDefault="00F77BF8">
            <w:pPr>
              <w:spacing w:before="120" w:after="120"/>
              <w:rPr>
                <w:rFonts w:ascii="Rockwell" w:hAnsi="Rockwell"/>
                <w:sz w:val="28"/>
                <w:szCs w:val="28"/>
              </w:rPr>
            </w:pPr>
            <w:r>
              <w:rPr>
                <w:rFonts w:ascii="Rockwell" w:hAnsi="Rockwell"/>
                <w:sz w:val="28"/>
                <w:szCs w:val="28"/>
              </w:rPr>
              <w:t>2</w:t>
            </w:r>
          </w:p>
        </w:tc>
        <w:tc>
          <w:tcPr>
            <w:tcW w:w="1843" w:type="dxa"/>
            <w:shd w:val="clear" w:color="auto" w:fill="auto"/>
            <w:tcMar>
              <w:top w:w="0" w:type="dxa"/>
              <w:left w:w="108" w:type="dxa"/>
              <w:bottom w:w="0" w:type="dxa"/>
              <w:right w:w="108" w:type="dxa"/>
            </w:tcMar>
            <w:vAlign w:val="center"/>
          </w:tcPr>
          <w:p w14:paraId="01391510" w14:textId="77777777" w:rsidR="00284822" w:rsidRDefault="00F77BF8">
            <w:pPr>
              <w:spacing w:before="120" w:after="120"/>
              <w:rPr>
                <w:rFonts w:ascii="Rockwell" w:hAnsi="Rockwell"/>
                <w:sz w:val="28"/>
                <w:szCs w:val="28"/>
              </w:rPr>
            </w:pPr>
            <w:r>
              <w:rPr>
                <w:rFonts w:ascii="Rockwell" w:hAnsi="Rockwell"/>
                <w:sz w:val="28"/>
                <w:szCs w:val="28"/>
              </w:rPr>
              <w:t>4,17%</w:t>
            </w:r>
          </w:p>
        </w:tc>
      </w:tr>
      <w:tr w:rsidR="00284822" w14:paraId="4DCF3E6D" w14:textId="77777777">
        <w:trPr>
          <w:trHeight w:val="562"/>
          <w:jc w:val="center"/>
        </w:trPr>
        <w:tc>
          <w:tcPr>
            <w:tcW w:w="1271" w:type="dxa"/>
            <w:shd w:val="clear" w:color="auto" w:fill="FFFFFF"/>
            <w:tcMar>
              <w:top w:w="0" w:type="dxa"/>
              <w:left w:w="108" w:type="dxa"/>
              <w:bottom w:w="0" w:type="dxa"/>
              <w:right w:w="108" w:type="dxa"/>
            </w:tcMar>
          </w:tcPr>
          <w:p w14:paraId="7368915F" w14:textId="77777777" w:rsidR="00284822" w:rsidRDefault="00F77BF8">
            <w:pPr>
              <w:spacing w:before="120" w:after="120"/>
              <w:rPr>
                <w:rFonts w:ascii="Rockwell" w:hAnsi="Rockwell"/>
                <w:sz w:val="28"/>
                <w:szCs w:val="28"/>
              </w:rPr>
            </w:pPr>
            <w:r>
              <w:rPr>
                <w:rFonts w:ascii="Rockwell" w:hAnsi="Rockwell"/>
                <w:b/>
                <w:bCs/>
                <w:sz w:val="28"/>
                <w:szCs w:val="28"/>
              </w:rPr>
              <w:t>5</w:t>
            </w:r>
            <w:r>
              <w:rPr>
                <w:rFonts w:ascii="Rockwell" w:hAnsi="Rockwell"/>
                <w:b/>
                <w:bCs/>
                <w:sz w:val="28"/>
                <w:szCs w:val="28"/>
                <w:vertAlign w:val="superscript"/>
              </w:rPr>
              <w:t xml:space="preserve">e </w:t>
            </w:r>
            <w:r>
              <w:rPr>
                <w:rFonts w:ascii="Rockwell" w:hAnsi="Rockwell"/>
                <w:b/>
                <w:bCs/>
                <w:sz w:val="28"/>
                <w:szCs w:val="28"/>
              </w:rPr>
              <w:t>ex</w:t>
            </w:r>
          </w:p>
        </w:tc>
        <w:tc>
          <w:tcPr>
            <w:tcW w:w="2552" w:type="dxa"/>
            <w:shd w:val="clear" w:color="auto" w:fill="auto"/>
            <w:tcMar>
              <w:top w:w="0" w:type="dxa"/>
              <w:left w:w="108" w:type="dxa"/>
              <w:bottom w:w="0" w:type="dxa"/>
              <w:right w:w="108" w:type="dxa"/>
            </w:tcMar>
            <w:vAlign w:val="bottom"/>
          </w:tcPr>
          <w:p w14:paraId="0D9DDCB6" w14:textId="77777777" w:rsidR="00284822" w:rsidRDefault="00F77BF8">
            <w:pPr>
              <w:spacing w:before="120" w:after="120"/>
              <w:rPr>
                <w:rFonts w:ascii="Rockwell" w:hAnsi="Rockwell"/>
                <w:sz w:val="28"/>
                <w:szCs w:val="28"/>
              </w:rPr>
            </w:pPr>
            <w:r>
              <w:rPr>
                <w:rFonts w:ascii="Rockwell" w:hAnsi="Rockwell"/>
                <w:sz w:val="28"/>
                <w:szCs w:val="28"/>
              </w:rPr>
              <w:t>UNDD</w:t>
            </w:r>
          </w:p>
        </w:tc>
        <w:tc>
          <w:tcPr>
            <w:tcW w:w="1417" w:type="dxa"/>
            <w:shd w:val="clear" w:color="auto" w:fill="auto"/>
            <w:tcMar>
              <w:top w:w="0" w:type="dxa"/>
              <w:left w:w="108" w:type="dxa"/>
              <w:bottom w:w="0" w:type="dxa"/>
              <w:right w:w="108" w:type="dxa"/>
            </w:tcMar>
            <w:vAlign w:val="center"/>
          </w:tcPr>
          <w:p w14:paraId="7C28FB9E" w14:textId="77777777" w:rsidR="00284822" w:rsidRDefault="00F77BF8">
            <w:pPr>
              <w:spacing w:before="120" w:after="120"/>
              <w:rPr>
                <w:rFonts w:ascii="Rockwell" w:hAnsi="Rockwell"/>
                <w:sz w:val="28"/>
                <w:szCs w:val="28"/>
              </w:rPr>
            </w:pPr>
            <w:r>
              <w:rPr>
                <w:rFonts w:ascii="Rockwell" w:hAnsi="Rockwell"/>
                <w:sz w:val="28"/>
                <w:szCs w:val="28"/>
              </w:rPr>
              <w:t>2</w:t>
            </w:r>
          </w:p>
        </w:tc>
        <w:tc>
          <w:tcPr>
            <w:tcW w:w="1843" w:type="dxa"/>
            <w:shd w:val="clear" w:color="auto" w:fill="auto"/>
            <w:tcMar>
              <w:top w:w="0" w:type="dxa"/>
              <w:left w:w="108" w:type="dxa"/>
              <w:bottom w:w="0" w:type="dxa"/>
              <w:right w:w="108" w:type="dxa"/>
            </w:tcMar>
            <w:vAlign w:val="center"/>
          </w:tcPr>
          <w:p w14:paraId="4B49E3DE" w14:textId="77777777" w:rsidR="00284822" w:rsidRDefault="00F77BF8">
            <w:pPr>
              <w:spacing w:before="120" w:after="120"/>
              <w:rPr>
                <w:rFonts w:ascii="Rockwell" w:hAnsi="Rockwell"/>
                <w:sz w:val="28"/>
                <w:szCs w:val="28"/>
              </w:rPr>
            </w:pPr>
            <w:r>
              <w:rPr>
                <w:rFonts w:ascii="Rockwell" w:hAnsi="Rockwell"/>
                <w:sz w:val="28"/>
                <w:szCs w:val="28"/>
              </w:rPr>
              <w:t>4,35%</w:t>
            </w:r>
          </w:p>
        </w:tc>
        <w:tc>
          <w:tcPr>
            <w:tcW w:w="1701" w:type="dxa"/>
            <w:shd w:val="clear" w:color="auto" w:fill="auto"/>
            <w:tcMar>
              <w:top w:w="0" w:type="dxa"/>
              <w:left w:w="108" w:type="dxa"/>
              <w:bottom w:w="0" w:type="dxa"/>
              <w:right w:w="108" w:type="dxa"/>
            </w:tcMar>
            <w:vAlign w:val="center"/>
          </w:tcPr>
          <w:p w14:paraId="6CB7A512" w14:textId="77777777" w:rsidR="00284822" w:rsidRDefault="00F77BF8">
            <w:pPr>
              <w:spacing w:before="120" w:after="120"/>
              <w:rPr>
                <w:rFonts w:ascii="Rockwell" w:hAnsi="Rockwell"/>
                <w:sz w:val="28"/>
                <w:szCs w:val="28"/>
              </w:rPr>
            </w:pPr>
            <w:r>
              <w:rPr>
                <w:rFonts w:ascii="Rockwell" w:hAnsi="Rockwell"/>
                <w:sz w:val="28"/>
                <w:szCs w:val="28"/>
              </w:rPr>
              <w:t>2</w:t>
            </w:r>
          </w:p>
        </w:tc>
        <w:tc>
          <w:tcPr>
            <w:tcW w:w="1843" w:type="dxa"/>
            <w:shd w:val="clear" w:color="auto" w:fill="auto"/>
            <w:tcMar>
              <w:top w:w="0" w:type="dxa"/>
              <w:left w:w="108" w:type="dxa"/>
              <w:bottom w:w="0" w:type="dxa"/>
              <w:right w:w="108" w:type="dxa"/>
            </w:tcMar>
            <w:vAlign w:val="center"/>
          </w:tcPr>
          <w:p w14:paraId="5C44932E" w14:textId="77777777" w:rsidR="00284822" w:rsidRDefault="00F77BF8">
            <w:pPr>
              <w:spacing w:before="120" w:after="120"/>
              <w:rPr>
                <w:rFonts w:ascii="Rockwell" w:hAnsi="Rockwell"/>
                <w:sz w:val="28"/>
                <w:szCs w:val="28"/>
              </w:rPr>
            </w:pPr>
            <w:r>
              <w:rPr>
                <w:rFonts w:ascii="Rockwell" w:hAnsi="Rockwell"/>
                <w:sz w:val="28"/>
                <w:szCs w:val="28"/>
              </w:rPr>
              <w:t>4,17%</w:t>
            </w:r>
          </w:p>
        </w:tc>
      </w:tr>
      <w:tr w:rsidR="00284822" w14:paraId="5C590771" w14:textId="77777777">
        <w:trPr>
          <w:trHeight w:val="698"/>
          <w:jc w:val="center"/>
        </w:trPr>
        <w:tc>
          <w:tcPr>
            <w:tcW w:w="1271" w:type="dxa"/>
            <w:shd w:val="clear" w:color="auto" w:fill="FFFFFF"/>
            <w:tcMar>
              <w:top w:w="0" w:type="dxa"/>
              <w:left w:w="108" w:type="dxa"/>
              <w:bottom w:w="0" w:type="dxa"/>
              <w:right w:w="108" w:type="dxa"/>
            </w:tcMar>
          </w:tcPr>
          <w:p w14:paraId="229AB8F6" w14:textId="77777777" w:rsidR="00284822" w:rsidRDefault="00F77BF8">
            <w:pPr>
              <w:spacing w:before="120" w:after="120"/>
              <w:rPr>
                <w:rFonts w:ascii="Rockwell" w:hAnsi="Rockwell"/>
                <w:sz w:val="28"/>
                <w:szCs w:val="28"/>
              </w:rPr>
            </w:pPr>
            <w:r>
              <w:rPr>
                <w:rFonts w:ascii="Rockwell" w:hAnsi="Rockwell"/>
                <w:b/>
                <w:bCs/>
                <w:sz w:val="28"/>
                <w:szCs w:val="28"/>
              </w:rPr>
              <w:t>9</w:t>
            </w:r>
            <w:r>
              <w:rPr>
                <w:rFonts w:ascii="Rockwell" w:hAnsi="Rockwell"/>
                <w:b/>
                <w:bCs/>
                <w:sz w:val="28"/>
                <w:szCs w:val="28"/>
                <w:vertAlign w:val="superscript"/>
              </w:rPr>
              <w:t>e</w:t>
            </w:r>
            <w:r>
              <w:rPr>
                <w:rFonts w:ascii="Rockwell" w:hAnsi="Rockwell"/>
                <w:b/>
                <w:bCs/>
                <w:sz w:val="28"/>
                <w:szCs w:val="28"/>
              </w:rPr>
              <w:t xml:space="preserve"> </w:t>
            </w:r>
          </w:p>
        </w:tc>
        <w:tc>
          <w:tcPr>
            <w:tcW w:w="2552" w:type="dxa"/>
            <w:shd w:val="clear" w:color="auto" w:fill="auto"/>
            <w:tcMar>
              <w:top w:w="0" w:type="dxa"/>
              <w:left w:w="108" w:type="dxa"/>
              <w:bottom w:w="0" w:type="dxa"/>
              <w:right w:w="108" w:type="dxa"/>
            </w:tcMar>
            <w:vAlign w:val="bottom"/>
          </w:tcPr>
          <w:p w14:paraId="24B67548" w14:textId="77777777" w:rsidR="00284822" w:rsidRDefault="00F77BF8">
            <w:pPr>
              <w:spacing w:before="120" w:after="120"/>
              <w:rPr>
                <w:rFonts w:ascii="Rockwell" w:hAnsi="Rockwell"/>
                <w:sz w:val="28"/>
                <w:szCs w:val="28"/>
              </w:rPr>
            </w:pPr>
            <w:r>
              <w:rPr>
                <w:rFonts w:ascii="Rockwell" w:hAnsi="Rockwell"/>
                <w:sz w:val="28"/>
                <w:szCs w:val="28"/>
              </w:rPr>
              <w:t>LES DEMOCRATES</w:t>
            </w:r>
          </w:p>
        </w:tc>
        <w:tc>
          <w:tcPr>
            <w:tcW w:w="1417" w:type="dxa"/>
            <w:shd w:val="clear" w:color="auto" w:fill="auto"/>
            <w:tcMar>
              <w:top w:w="0" w:type="dxa"/>
              <w:left w:w="108" w:type="dxa"/>
              <w:bottom w:w="0" w:type="dxa"/>
              <w:right w:w="108" w:type="dxa"/>
            </w:tcMar>
            <w:vAlign w:val="center"/>
          </w:tcPr>
          <w:p w14:paraId="06BE22AD" w14:textId="77777777" w:rsidR="00284822" w:rsidRDefault="00F77BF8">
            <w:pPr>
              <w:spacing w:before="120" w:after="120"/>
              <w:rPr>
                <w:rFonts w:ascii="Rockwell" w:hAnsi="Rockwell"/>
                <w:sz w:val="28"/>
                <w:szCs w:val="28"/>
              </w:rPr>
            </w:pPr>
            <w:r>
              <w:rPr>
                <w:rFonts w:ascii="Rockwell" w:hAnsi="Rockwell"/>
                <w:sz w:val="28"/>
                <w:szCs w:val="28"/>
              </w:rPr>
              <w:t>1</w:t>
            </w:r>
          </w:p>
        </w:tc>
        <w:tc>
          <w:tcPr>
            <w:tcW w:w="1843" w:type="dxa"/>
            <w:shd w:val="clear" w:color="auto" w:fill="auto"/>
            <w:tcMar>
              <w:top w:w="0" w:type="dxa"/>
              <w:left w:w="108" w:type="dxa"/>
              <w:bottom w:w="0" w:type="dxa"/>
              <w:right w:w="108" w:type="dxa"/>
            </w:tcMar>
            <w:vAlign w:val="center"/>
          </w:tcPr>
          <w:p w14:paraId="47450051" w14:textId="77777777" w:rsidR="00284822" w:rsidRDefault="00F77BF8">
            <w:pPr>
              <w:spacing w:before="120" w:after="120"/>
              <w:rPr>
                <w:rFonts w:ascii="Rockwell" w:hAnsi="Rockwell"/>
                <w:sz w:val="28"/>
                <w:szCs w:val="28"/>
              </w:rPr>
            </w:pPr>
            <w:r>
              <w:rPr>
                <w:rFonts w:ascii="Rockwell" w:hAnsi="Rockwell"/>
                <w:sz w:val="28"/>
                <w:szCs w:val="28"/>
              </w:rPr>
              <w:t>2,17%</w:t>
            </w:r>
          </w:p>
        </w:tc>
        <w:tc>
          <w:tcPr>
            <w:tcW w:w="1701" w:type="dxa"/>
            <w:shd w:val="clear" w:color="auto" w:fill="auto"/>
            <w:tcMar>
              <w:top w:w="0" w:type="dxa"/>
              <w:left w:w="108" w:type="dxa"/>
              <w:bottom w:w="0" w:type="dxa"/>
              <w:right w:w="108" w:type="dxa"/>
            </w:tcMar>
            <w:vAlign w:val="center"/>
          </w:tcPr>
          <w:p w14:paraId="3D2A097B" w14:textId="77777777" w:rsidR="00284822" w:rsidRDefault="00F77BF8">
            <w:pPr>
              <w:spacing w:before="120" w:after="120"/>
              <w:rPr>
                <w:rFonts w:ascii="Rockwell" w:hAnsi="Rockwell"/>
                <w:sz w:val="28"/>
                <w:szCs w:val="28"/>
              </w:rPr>
            </w:pPr>
            <w:r>
              <w:rPr>
                <w:rFonts w:ascii="Rockwell" w:hAnsi="Rockwell"/>
                <w:sz w:val="28"/>
                <w:szCs w:val="28"/>
              </w:rPr>
              <w:t>2</w:t>
            </w:r>
          </w:p>
        </w:tc>
        <w:tc>
          <w:tcPr>
            <w:tcW w:w="1843" w:type="dxa"/>
            <w:shd w:val="clear" w:color="auto" w:fill="auto"/>
            <w:tcMar>
              <w:top w:w="0" w:type="dxa"/>
              <w:left w:w="108" w:type="dxa"/>
              <w:bottom w:w="0" w:type="dxa"/>
              <w:right w:w="108" w:type="dxa"/>
            </w:tcMar>
            <w:vAlign w:val="center"/>
          </w:tcPr>
          <w:p w14:paraId="10BA764C" w14:textId="77777777" w:rsidR="00284822" w:rsidRDefault="00F77BF8">
            <w:pPr>
              <w:spacing w:before="120" w:after="120"/>
              <w:rPr>
                <w:rFonts w:ascii="Rockwell" w:hAnsi="Rockwell"/>
                <w:sz w:val="28"/>
                <w:szCs w:val="28"/>
              </w:rPr>
            </w:pPr>
            <w:r>
              <w:rPr>
                <w:rFonts w:ascii="Rockwell" w:hAnsi="Rockwell"/>
                <w:sz w:val="28"/>
                <w:szCs w:val="28"/>
              </w:rPr>
              <w:t>4,17%</w:t>
            </w:r>
          </w:p>
        </w:tc>
      </w:tr>
      <w:tr w:rsidR="00284822" w14:paraId="47DE905F" w14:textId="77777777">
        <w:trPr>
          <w:trHeight w:val="566"/>
          <w:jc w:val="center"/>
        </w:trPr>
        <w:tc>
          <w:tcPr>
            <w:tcW w:w="1271" w:type="dxa"/>
            <w:shd w:val="clear" w:color="auto" w:fill="FFFFFF"/>
            <w:tcMar>
              <w:top w:w="0" w:type="dxa"/>
              <w:left w:w="108" w:type="dxa"/>
              <w:bottom w:w="0" w:type="dxa"/>
              <w:right w:w="108" w:type="dxa"/>
            </w:tcMar>
          </w:tcPr>
          <w:p w14:paraId="5E7F5EFA" w14:textId="77777777" w:rsidR="00284822" w:rsidRDefault="00F77BF8">
            <w:pPr>
              <w:spacing w:before="120" w:after="120"/>
              <w:rPr>
                <w:rFonts w:ascii="Rockwell" w:hAnsi="Rockwell"/>
                <w:sz w:val="28"/>
                <w:szCs w:val="28"/>
              </w:rPr>
            </w:pPr>
            <w:r>
              <w:rPr>
                <w:rFonts w:ascii="Rockwell" w:hAnsi="Rockwell"/>
                <w:b/>
                <w:bCs/>
                <w:sz w:val="28"/>
                <w:szCs w:val="28"/>
              </w:rPr>
              <w:t>9</w:t>
            </w:r>
            <w:r>
              <w:rPr>
                <w:rFonts w:ascii="Rockwell" w:hAnsi="Rockwell"/>
                <w:b/>
                <w:bCs/>
                <w:sz w:val="28"/>
                <w:szCs w:val="28"/>
                <w:vertAlign w:val="superscript"/>
              </w:rPr>
              <w:t>e</w:t>
            </w:r>
            <w:r>
              <w:rPr>
                <w:rFonts w:ascii="Rockwell" w:hAnsi="Rockwell"/>
                <w:b/>
                <w:bCs/>
                <w:sz w:val="28"/>
                <w:szCs w:val="28"/>
              </w:rPr>
              <w:t xml:space="preserve"> ex</w:t>
            </w:r>
          </w:p>
        </w:tc>
        <w:tc>
          <w:tcPr>
            <w:tcW w:w="2552" w:type="dxa"/>
            <w:shd w:val="clear" w:color="auto" w:fill="auto"/>
            <w:tcMar>
              <w:top w:w="0" w:type="dxa"/>
              <w:left w:w="108" w:type="dxa"/>
              <w:bottom w:w="0" w:type="dxa"/>
              <w:right w:w="108" w:type="dxa"/>
            </w:tcMar>
            <w:vAlign w:val="bottom"/>
          </w:tcPr>
          <w:p w14:paraId="576B905C" w14:textId="77777777" w:rsidR="00284822" w:rsidRDefault="00F77BF8">
            <w:pPr>
              <w:spacing w:before="120" w:after="120"/>
              <w:rPr>
                <w:rFonts w:ascii="Rockwell" w:hAnsi="Rockwell"/>
                <w:sz w:val="28"/>
                <w:szCs w:val="28"/>
              </w:rPr>
            </w:pPr>
            <w:r>
              <w:rPr>
                <w:rFonts w:ascii="Rockwell" w:hAnsi="Rockwell"/>
                <w:sz w:val="28"/>
                <w:szCs w:val="28"/>
              </w:rPr>
              <w:t>NTD</w:t>
            </w:r>
          </w:p>
        </w:tc>
        <w:tc>
          <w:tcPr>
            <w:tcW w:w="1417" w:type="dxa"/>
            <w:shd w:val="clear" w:color="auto" w:fill="auto"/>
            <w:tcMar>
              <w:top w:w="0" w:type="dxa"/>
              <w:left w:w="108" w:type="dxa"/>
              <w:bottom w:w="0" w:type="dxa"/>
              <w:right w:w="108" w:type="dxa"/>
            </w:tcMar>
            <w:vAlign w:val="center"/>
          </w:tcPr>
          <w:p w14:paraId="548DF6B5" w14:textId="77777777" w:rsidR="00284822" w:rsidRDefault="00F77BF8">
            <w:pPr>
              <w:spacing w:before="120" w:after="120"/>
              <w:rPr>
                <w:rFonts w:ascii="Rockwell" w:hAnsi="Rockwell"/>
                <w:sz w:val="28"/>
                <w:szCs w:val="28"/>
              </w:rPr>
            </w:pPr>
            <w:r>
              <w:rPr>
                <w:rFonts w:ascii="Rockwell" w:hAnsi="Rockwell"/>
                <w:sz w:val="28"/>
                <w:szCs w:val="28"/>
              </w:rPr>
              <w:t>1</w:t>
            </w:r>
          </w:p>
        </w:tc>
        <w:tc>
          <w:tcPr>
            <w:tcW w:w="1843" w:type="dxa"/>
            <w:shd w:val="clear" w:color="auto" w:fill="auto"/>
            <w:tcMar>
              <w:top w:w="0" w:type="dxa"/>
              <w:left w:w="108" w:type="dxa"/>
              <w:bottom w:w="0" w:type="dxa"/>
              <w:right w:w="108" w:type="dxa"/>
            </w:tcMar>
            <w:vAlign w:val="center"/>
          </w:tcPr>
          <w:p w14:paraId="653E5D10" w14:textId="77777777" w:rsidR="00284822" w:rsidRDefault="00F77BF8">
            <w:pPr>
              <w:spacing w:before="120" w:after="120"/>
              <w:rPr>
                <w:rFonts w:ascii="Rockwell" w:hAnsi="Rockwell"/>
                <w:sz w:val="28"/>
                <w:szCs w:val="28"/>
              </w:rPr>
            </w:pPr>
            <w:r>
              <w:rPr>
                <w:rFonts w:ascii="Rockwell" w:hAnsi="Rockwell"/>
                <w:sz w:val="28"/>
                <w:szCs w:val="28"/>
              </w:rPr>
              <w:t>2,17%</w:t>
            </w:r>
          </w:p>
        </w:tc>
        <w:tc>
          <w:tcPr>
            <w:tcW w:w="1701" w:type="dxa"/>
            <w:shd w:val="clear" w:color="auto" w:fill="auto"/>
            <w:tcMar>
              <w:top w:w="0" w:type="dxa"/>
              <w:left w:w="108" w:type="dxa"/>
              <w:bottom w:w="0" w:type="dxa"/>
              <w:right w:w="108" w:type="dxa"/>
            </w:tcMar>
            <w:vAlign w:val="center"/>
          </w:tcPr>
          <w:p w14:paraId="24850A74" w14:textId="77777777" w:rsidR="00284822" w:rsidRDefault="00F77BF8">
            <w:pPr>
              <w:spacing w:before="120" w:after="120"/>
              <w:rPr>
                <w:rFonts w:ascii="Rockwell" w:hAnsi="Rockwell"/>
                <w:sz w:val="28"/>
                <w:szCs w:val="28"/>
              </w:rPr>
            </w:pPr>
            <w:r>
              <w:rPr>
                <w:rFonts w:ascii="Rockwell" w:hAnsi="Rockwell"/>
                <w:sz w:val="28"/>
                <w:szCs w:val="28"/>
              </w:rPr>
              <w:t>1</w:t>
            </w:r>
          </w:p>
        </w:tc>
        <w:tc>
          <w:tcPr>
            <w:tcW w:w="1843" w:type="dxa"/>
            <w:shd w:val="clear" w:color="auto" w:fill="auto"/>
            <w:tcMar>
              <w:top w:w="0" w:type="dxa"/>
              <w:left w:w="108" w:type="dxa"/>
              <w:bottom w:w="0" w:type="dxa"/>
              <w:right w:w="108" w:type="dxa"/>
            </w:tcMar>
            <w:vAlign w:val="center"/>
          </w:tcPr>
          <w:p w14:paraId="1EEEBD3D" w14:textId="77777777" w:rsidR="00284822" w:rsidRDefault="00F77BF8">
            <w:pPr>
              <w:spacing w:before="120" w:after="120"/>
              <w:rPr>
                <w:rFonts w:ascii="Rockwell" w:hAnsi="Rockwell"/>
                <w:sz w:val="28"/>
                <w:szCs w:val="28"/>
              </w:rPr>
            </w:pPr>
            <w:r>
              <w:rPr>
                <w:rFonts w:ascii="Rockwell" w:hAnsi="Rockwell"/>
                <w:sz w:val="28"/>
                <w:szCs w:val="28"/>
              </w:rPr>
              <w:t>2,08%</w:t>
            </w:r>
          </w:p>
        </w:tc>
      </w:tr>
    </w:tbl>
    <w:p w14:paraId="405563BB" w14:textId="77777777" w:rsidR="00284822" w:rsidRDefault="00F77BF8">
      <w:pPr>
        <w:tabs>
          <w:tab w:val="left" w:pos="895"/>
        </w:tabs>
        <w:spacing w:before="120" w:after="120"/>
        <w:ind w:left="-709"/>
        <w:rPr>
          <w:rFonts w:ascii="Rockwell" w:hAnsi="Rockwell"/>
          <w:i/>
          <w:sz w:val="20"/>
          <w:szCs w:val="20"/>
        </w:rPr>
      </w:pPr>
      <w:r>
        <w:rPr>
          <w:rFonts w:ascii="Rockwell" w:hAnsi="Rockwell"/>
          <w:i/>
          <w:sz w:val="20"/>
          <w:szCs w:val="20"/>
          <w:u w:val="single"/>
        </w:rPr>
        <w:t>Source</w:t>
      </w:r>
      <w:r>
        <w:rPr>
          <w:rFonts w:ascii="Rockwell" w:hAnsi="Rockwell"/>
          <w:i/>
          <w:sz w:val="20"/>
          <w:szCs w:val="20"/>
        </w:rPr>
        <w:t> : Monitoring CSC</w:t>
      </w:r>
    </w:p>
    <w:p w14:paraId="26DFC0E5" w14:textId="77777777" w:rsidR="00284822" w:rsidRDefault="00284822">
      <w:pPr>
        <w:spacing w:before="120" w:after="120"/>
        <w:ind w:firstLine="708"/>
        <w:rPr>
          <w:rFonts w:ascii="Rockwell" w:hAnsi="Rockwell"/>
          <w:color w:val="FF0000"/>
          <w:szCs w:val="26"/>
        </w:rPr>
      </w:pPr>
    </w:p>
    <w:p w14:paraId="708D9442" w14:textId="77777777" w:rsidR="00284822" w:rsidRDefault="00F77BF8">
      <w:pPr>
        <w:spacing w:before="120" w:after="120"/>
        <w:jc w:val="center"/>
        <w:rPr>
          <w:rFonts w:ascii="Rockwell" w:hAnsi="Rockwell"/>
          <w:i/>
          <w:sz w:val="20"/>
          <w:szCs w:val="20"/>
        </w:rPr>
      </w:pPr>
      <w:r>
        <w:rPr>
          <w:rFonts w:ascii="Rockwell" w:hAnsi="Rockwell"/>
          <w:i/>
          <w:sz w:val="20"/>
          <w:szCs w:val="20"/>
          <w:u w:val="single"/>
        </w:rPr>
        <w:t>Représentation graphique des NA et des NI obtenus par les dix premiers</w:t>
      </w:r>
      <w:r>
        <w:rPr>
          <w:rFonts w:ascii="Rockwell" w:hAnsi="Rockwell"/>
          <w:i/>
          <w:sz w:val="20"/>
          <w:szCs w:val="20"/>
        </w:rPr>
        <w:t xml:space="preserve"> </w:t>
      </w:r>
      <w:r>
        <w:rPr>
          <w:rFonts w:ascii="Rockwell" w:hAnsi="Rockwell"/>
          <w:i/>
          <w:sz w:val="20"/>
          <w:szCs w:val="20"/>
          <w:u w:val="single"/>
        </w:rPr>
        <w:t>partis politiques dans libreinfo.net</w:t>
      </w:r>
    </w:p>
    <w:p w14:paraId="027DA257" w14:textId="77777777" w:rsidR="00284822" w:rsidRDefault="00F77BF8">
      <w:pPr>
        <w:spacing w:before="120" w:after="120"/>
        <w:rPr>
          <w:rFonts w:ascii="Rockwell" w:hAnsi="Rockwell"/>
          <w:color w:val="000000" w:themeColor="text1"/>
          <w:szCs w:val="26"/>
        </w:rPr>
      </w:pPr>
      <w:r>
        <w:rPr>
          <w:rFonts w:ascii="Rockwell" w:hAnsi="Rockwell"/>
          <w:noProof/>
          <w:szCs w:val="26"/>
        </w:rPr>
        <w:drawing>
          <wp:inline distT="0" distB="0" distL="0" distR="0" wp14:anchorId="1281EE60" wp14:editId="1DA287EF">
            <wp:extent cx="6076315" cy="3261360"/>
            <wp:effectExtent l="0" t="0" r="635" b="15240"/>
            <wp:docPr id="57" name="Graphique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81"/>
              </a:graphicData>
            </a:graphic>
          </wp:inline>
        </w:drawing>
      </w:r>
    </w:p>
    <w:p w14:paraId="28C9888C" w14:textId="77777777" w:rsidR="00284822" w:rsidRDefault="00284822">
      <w:pPr>
        <w:spacing w:before="120" w:after="120"/>
        <w:rPr>
          <w:rFonts w:ascii="Rockwell" w:hAnsi="Rockwell"/>
          <w:color w:val="000000" w:themeColor="text1"/>
          <w:sz w:val="10"/>
          <w:szCs w:val="10"/>
        </w:rPr>
      </w:pPr>
    </w:p>
    <w:p w14:paraId="56882B64" w14:textId="77777777" w:rsidR="00284822" w:rsidRDefault="00F77BF8">
      <w:pPr>
        <w:pStyle w:val="Titre5"/>
        <w:numPr>
          <w:ilvl w:val="1"/>
          <w:numId w:val="19"/>
        </w:numPr>
        <w:ind w:right="706"/>
        <w:rPr>
          <w:rFonts w:ascii="Rockwell" w:hAnsi="Rockwell"/>
          <w:i/>
        </w:rPr>
      </w:pPr>
      <w:bookmarkStart w:id="165" w:name="_Toc175048683"/>
      <w:r>
        <w:rPr>
          <w:rFonts w:ascii="Rockwell" w:hAnsi="Rockwell"/>
          <w:i/>
        </w:rPr>
        <w:lastRenderedPageBreak/>
        <w:t>Ouest info</w:t>
      </w:r>
      <w:bookmarkEnd w:id="165"/>
    </w:p>
    <w:p w14:paraId="644FF19D" w14:textId="77777777" w:rsidR="00284822" w:rsidRDefault="00F77BF8">
      <w:pPr>
        <w:spacing w:before="120" w:after="120"/>
        <w:rPr>
          <w:rFonts w:ascii="Rockwell" w:hAnsi="Rockwell"/>
          <w:szCs w:val="26"/>
        </w:rPr>
      </w:pPr>
      <w:r>
        <w:rPr>
          <w:rFonts w:ascii="Rockwell" w:hAnsi="Rockwell"/>
          <w:i/>
          <w:szCs w:val="26"/>
        </w:rPr>
        <w:t>Ouest info</w:t>
      </w:r>
      <w:r>
        <w:rPr>
          <w:rFonts w:ascii="Rockwell" w:hAnsi="Rockwell"/>
          <w:szCs w:val="26"/>
        </w:rPr>
        <w:t xml:space="preserve"> a accordé 05 articles et 08 illustrations à 05 partis politiques classés comme suit :</w:t>
      </w:r>
    </w:p>
    <w:p w14:paraId="57D8A64E" w14:textId="77777777" w:rsidR="00284822" w:rsidRDefault="00284822">
      <w:pPr>
        <w:spacing w:before="120" w:after="120"/>
        <w:jc w:val="center"/>
        <w:rPr>
          <w:rFonts w:ascii="Rockwell" w:hAnsi="Rockwell"/>
          <w:b/>
          <w:sz w:val="20"/>
          <w:szCs w:val="20"/>
          <w:u w:val="single"/>
        </w:rPr>
      </w:pPr>
    </w:p>
    <w:p w14:paraId="6BADF83A" w14:textId="77777777" w:rsidR="00284822" w:rsidRDefault="00F77BF8">
      <w:pPr>
        <w:spacing w:before="120" w:after="120"/>
        <w:jc w:val="center"/>
        <w:rPr>
          <w:rFonts w:ascii="Rockwell" w:hAnsi="Rockwell"/>
          <w:i/>
          <w:sz w:val="20"/>
          <w:szCs w:val="20"/>
        </w:rPr>
      </w:pPr>
      <w:r>
        <w:rPr>
          <w:rFonts w:ascii="Rockwell" w:hAnsi="Rockwell"/>
          <w:b/>
          <w:sz w:val="20"/>
          <w:szCs w:val="20"/>
          <w:u w:val="single"/>
        </w:rPr>
        <w:t>Tableau 18</w:t>
      </w:r>
      <w:r>
        <w:rPr>
          <w:rFonts w:ascii="Rockwell" w:hAnsi="Rockwell"/>
          <w:b/>
          <w:i/>
          <w:sz w:val="20"/>
          <w:szCs w:val="20"/>
        </w:rPr>
        <w:t xml:space="preserve"> : </w:t>
      </w:r>
      <w:r>
        <w:rPr>
          <w:rFonts w:ascii="Rockwell" w:hAnsi="Rockwell"/>
          <w:i/>
          <w:sz w:val="20"/>
          <w:szCs w:val="20"/>
        </w:rPr>
        <w:t xml:space="preserve">Classement des cinq premiers partis politiques selon les NA et NI publiés dans </w:t>
      </w:r>
    </w:p>
    <w:p w14:paraId="261247F9" w14:textId="77777777" w:rsidR="00284822" w:rsidRDefault="00F77BF8">
      <w:pPr>
        <w:spacing w:before="120" w:after="120"/>
        <w:jc w:val="center"/>
        <w:rPr>
          <w:rFonts w:ascii="Rockwell" w:hAnsi="Rockwell"/>
          <w:sz w:val="20"/>
          <w:szCs w:val="20"/>
        </w:rPr>
      </w:pPr>
      <w:r>
        <w:rPr>
          <w:rFonts w:ascii="Rockwell" w:hAnsi="Rockwell"/>
          <w:i/>
          <w:sz w:val="20"/>
          <w:szCs w:val="20"/>
        </w:rPr>
        <w:t>Ouest info</w:t>
      </w:r>
    </w:p>
    <w:tbl>
      <w:tblPr>
        <w:tblW w:w="10060" w:type="dxa"/>
        <w:jc w:val="center"/>
        <w:tblCellMar>
          <w:left w:w="70" w:type="dxa"/>
          <w:right w:w="70" w:type="dxa"/>
        </w:tblCellMar>
        <w:tblLook w:val="04A0" w:firstRow="1" w:lastRow="0" w:firstColumn="1" w:lastColumn="0" w:noHBand="0" w:noVBand="1"/>
      </w:tblPr>
      <w:tblGrid>
        <w:gridCol w:w="1129"/>
        <w:gridCol w:w="2552"/>
        <w:gridCol w:w="1276"/>
        <w:gridCol w:w="1134"/>
        <w:gridCol w:w="1134"/>
        <w:gridCol w:w="2835"/>
      </w:tblGrid>
      <w:tr w:rsidR="00284822" w14:paraId="473BB9D9" w14:textId="77777777">
        <w:trPr>
          <w:trHeight w:val="300"/>
          <w:jc w:val="center"/>
        </w:trPr>
        <w:tc>
          <w:tcPr>
            <w:tcW w:w="10060" w:type="dxa"/>
            <w:gridSpan w:val="6"/>
            <w:tcBorders>
              <w:top w:val="single" w:sz="4" w:space="0" w:color="auto"/>
              <w:left w:val="single" w:sz="4" w:space="0" w:color="auto"/>
              <w:bottom w:val="single" w:sz="4" w:space="0" w:color="auto"/>
              <w:right w:val="single" w:sz="4" w:space="0" w:color="000000"/>
            </w:tcBorders>
            <w:shd w:val="clear" w:color="auto" w:fill="BDD6EE" w:themeFill="accent1" w:themeFillTint="66"/>
            <w:noWrap/>
            <w:vAlign w:val="bottom"/>
          </w:tcPr>
          <w:p w14:paraId="265FE0B1" w14:textId="77777777" w:rsidR="00284822" w:rsidRDefault="00F77BF8">
            <w:pPr>
              <w:suppressAutoHyphens w:val="0"/>
              <w:autoSpaceDN/>
              <w:spacing w:before="120" w:after="120"/>
              <w:jc w:val="center"/>
              <w:textAlignment w:val="auto"/>
              <w:rPr>
                <w:rFonts w:ascii="Rockwell" w:hAnsi="Rockwell" w:cs="Calibri"/>
                <w:b/>
                <w:bCs/>
                <w:i/>
                <w:color w:val="000000"/>
                <w:szCs w:val="26"/>
              </w:rPr>
            </w:pPr>
            <w:r>
              <w:rPr>
                <w:rFonts w:ascii="Rockwell" w:hAnsi="Rockwell" w:cs="Calibri"/>
                <w:b/>
                <w:bCs/>
                <w:i/>
                <w:color w:val="000000"/>
                <w:szCs w:val="26"/>
              </w:rPr>
              <w:t>Ouest Info</w:t>
            </w:r>
          </w:p>
        </w:tc>
      </w:tr>
      <w:tr w:rsidR="00284822" w14:paraId="56FD4ED1" w14:textId="77777777">
        <w:trPr>
          <w:trHeight w:val="300"/>
          <w:jc w:val="center"/>
        </w:trPr>
        <w:tc>
          <w:tcPr>
            <w:tcW w:w="1129" w:type="dxa"/>
            <w:tcBorders>
              <w:top w:val="nil"/>
              <w:left w:val="single" w:sz="4" w:space="0" w:color="auto"/>
              <w:bottom w:val="single" w:sz="4" w:space="0" w:color="auto"/>
              <w:right w:val="single" w:sz="4" w:space="0" w:color="auto"/>
            </w:tcBorders>
            <w:shd w:val="clear" w:color="auto" w:fill="BDD6EE" w:themeFill="accent1" w:themeFillTint="66"/>
            <w:noWrap/>
            <w:vAlign w:val="bottom"/>
          </w:tcPr>
          <w:p w14:paraId="5955819D" w14:textId="77777777" w:rsidR="00284822" w:rsidRDefault="00F77BF8">
            <w:pPr>
              <w:suppressAutoHyphens w:val="0"/>
              <w:autoSpaceDN/>
              <w:spacing w:before="120" w:after="120"/>
              <w:textAlignment w:val="auto"/>
              <w:rPr>
                <w:rFonts w:ascii="Rockwell" w:hAnsi="Rockwell" w:cs="Calibri"/>
                <w:b/>
                <w:bCs/>
                <w:color w:val="000000"/>
                <w:szCs w:val="26"/>
              </w:rPr>
            </w:pPr>
            <w:r>
              <w:rPr>
                <w:rFonts w:ascii="Rockwell" w:hAnsi="Rockwell" w:cs="Calibri"/>
                <w:b/>
                <w:bCs/>
                <w:color w:val="000000"/>
                <w:szCs w:val="26"/>
              </w:rPr>
              <w:t xml:space="preserve">Rang </w:t>
            </w:r>
          </w:p>
        </w:tc>
        <w:tc>
          <w:tcPr>
            <w:tcW w:w="2552" w:type="dxa"/>
            <w:tcBorders>
              <w:top w:val="nil"/>
              <w:left w:val="nil"/>
              <w:bottom w:val="single" w:sz="4" w:space="0" w:color="auto"/>
              <w:right w:val="single" w:sz="4" w:space="0" w:color="auto"/>
            </w:tcBorders>
            <w:shd w:val="clear" w:color="auto" w:fill="BDD6EE" w:themeFill="accent1" w:themeFillTint="66"/>
            <w:noWrap/>
          </w:tcPr>
          <w:p w14:paraId="405A3E53" w14:textId="1F2529E3" w:rsidR="00284822" w:rsidRDefault="0046752A">
            <w:pPr>
              <w:suppressAutoHyphens w:val="0"/>
              <w:autoSpaceDN/>
              <w:spacing w:before="120" w:after="120"/>
              <w:jc w:val="center"/>
              <w:textAlignment w:val="auto"/>
              <w:rPr>
                <w:rFonts w:ascii="Rockwell" w:hAnsi="Rockwell" w:cs="Calibri"/>
                <w:b/>
                <w:bCs/>
                <w:color w:val="000000"/>
                <w:szCs w:val="26"/>
              </w:rPr>
            </w:pPr>
            <w:r>
              <w:rPr>
                <w:rFonts w:ascii="Rockwell" w:hAnsi="Rockwell" w:cs="Calibri"/>
                <w:b/>
                <w:bCs/>
                <w:color w:val="000000"/>
                <w:szCs w:val="26"/>
              </w:rPr>
              <w:t>PARTIS POLITIQUES</w:t>
            </w:r>
          </w:p>
        </w:tc>
        <w:tc>
          <w:tcPr>
            <w:tcW w:w="1276" w:type="dxa"/>
            <w:tcBorders>
              <w:top w:val="nil"/>
              <w:left w:val="nil"/>
              <w:bottom w:val="single" w:sz="4" w:space="0" w:color="auto"/>
              <w:right w:val="single" w:sz="4" w:space="0" w:color="auto"/>
            </w:tcBorders>
            <w:shd w:val="clear" w:color="auto" w:fill="BDD6EE" w:themeFill="accent1" w:themeFillTint="66"/>
            <w:noWrap/>
          </w:tcPr>
          <w:p w14:paraId="6115CB45" w14:textId="77777777" w:rsidR="00284822" w:rsidRDefault="00F77BF8">
            <w:pPr>
              <w:suppressAutoHyphens w:val="0"/>
              <w:autoSpaceDN/>
              <w:spacing w:before="120" w:after="120"/>
              <w:jc w:val="center"/>
              <w:textAlignment w:val="auto"/>
              <w:rPr>
                <w:rFonts w:ascii="Rockwell" w:hAnsi="Rockwell" w:cs="Calibri"/>
                <w:b/>
                <w:bCs/>
                <w:color w:val="000000"/>
                <w:szCs w:val="26"/>
              </w:rPr>
            </w:pPr>
            <w:r>
              <w:rPr>
                <w:rFonts w:ascii="Rockwell" w:hAnsi="Rockwell" w:cs="Calibri"/>
                <w:b/>
                <w:bCs/>
                <w:color w:val="000000"/>
                <w:szCs w:val="26"/>
              </w:rPr>
              <w:t>NA</w:t>
            </w:r>
          </w:p>
        </w:tc>
        <w:tc>
          <w:tcPr>
            <w:tcW w:w="1134" w:type="dxa"/>
            <w:tcBorders>
              <w:top w:val="nil"/>
              <w:left w:val="nil"/>
              <w:bottom w:val="single" w:sz="4" w:space="0" w:color="auto"/>
              <w:right w:val="single" w:sz="4" w:space="0" w:color="auto"/>
            </w:tcBorders>
            <w:shd w:val="clear" w:color="auto" w:fill="BDD6EE" w:themeFill="accent1" w:themeFillTint="66"/>
            <w:noWrap/>
          </w:tcPr>
          <w:p w14:paraId="1C23FD18" w14:textId="77777777" w:rsidR="00284822" w:rsidRDefault="00F77BF8">
            <w:pPr>
              <w:suppressAutoHyphens w:val="0"/>
              <w:autoSpaceDN/>
              <w:spacing w:before="120" w:after="120"/>
              <w:jc w:val="center"/>
              <w:textAlignment w:val="auto"/>
              <w:rPr>
                <w:rFonts w:ascii="Rockwell" w:hAnsi="Rockwell" w:cs="Calibri"/>
                <w:b/>
                <w:bCs/>
                <w:color w:val="000000"/>
                <w:szCs w:val="26"/>
              </w:rPr>
            </w:pPr>
            <w:r>
              <w:rPr>
                <w:rFonts w:ascii="Rockwell" w:hAnsi="Rockwell" w:cs="Calibri"/>
                <w:b/>
                <w:bCs/>
                <w:color w:val="000000"/>
                <w:szCs w:val="26"/>
              </w:rPr>
              <w:t>%NA</w:t>
            </w:r>
          </w:p>
        </w:tc>
        <w:tc>
          <w:tcPr>
            <w:tcW w:w="1134" w:type="dxa"/>
            <w:tcBorders>
              <w:top w:val="nil"/>
              <w:left w:val="nil"/>
              <w:bottom w:val="single" w:sz="4" w:space="0" w:color="auto"/>
              <w:right w:val="single" w:sz="4" w:space="0" w:color="auto"/>
            </w:tcBorders>
            <w:shd w:val="clear" w:color="auto" w:fill="BDD6EE" w:themeFill="accent1" w:themeFillTint="66"/>
            <w:noWrap/>
          </w:tcPr>
          <w:p w14:paraId="2BB15231" w14:textId="77777777" w:rsidR="00284822" w:rsidRDefault="00F77BF8">
            <w:pPr>
              <w:suppressAutoHyphens w:val="0"/>
              <w:autoSpaceDN/>
              <w:spacing w:before="120" w:after="120"/>
              <w:jc w:val="center"/>
              <w:textAlignment w:val="auto"/>
              <w:rPr>
                <w:rFonts w:ascii="Rockwell" w:hAnsi="Rockwell" w:cs="Calibri"/>
                <w:b/>
                <w:bCs/>
                <w:color w:val="000000"/>
                <w:szCs w:val="26"/>
              </w:rPr>
            </w:pPr>
            <w:r>
              <w:rPr>
                <w:rFonts w:ascii="Rockwell" w:hAnsi="Rockwell" w:cs="Calibri"/>
                <w:b/>
                <w:bCs/>
                <w:color w:val="000000"/>
                <w:szCs w:val="26"/>
              </w:rPr>
              <w:t>NI</w:t>
            </w:r>
          </w:p>
        </w:tc>
        <w:tc>
          <w:tcPr>
            <w:tcW w:w="2835" w:type="dxa"/>
            <w:tcBorders>
              <w:top w:val="nil"/>
              <w:left w:val="nil"/>
              <w:bottom w:val="single" w:sz="4" w:space="0" w:color="auto"/>
              <w:right w:val="single" w:sz="4" w:space="0" w:color="auto"/>
            </w:tcBorders>
            <w:shd w:val="clear" w:color="auto" w:fill="BDD6EE" w:themeFill="accent1" w:themeFillTint="66"/>
            <w:noWrap/>
          </w:tcPr>
          <w:p w14:paraId="4CAAFEC9" w14:textId="77777777" w:rsidR="00284822" w:rsidRDefault="00F77BF8">
            <w:pPr>
              <w:suppressAutoHyphens w:val="0"/>
              <w:autoSpaceDN/>
              <w:spacing w:before="120" w:after="120"/>
              <w:jc w:val="center"/>
              <w:textAlignment w:val="auto"/>
              <w:rPr>
                <w:rFonts w:ascii="Rockwell" w:hAnsi="Rockwell" w:cs="Calibri"/>
                <w:b/>
                <w:bCs/>
                <w:color w:val="000000"/>
                <w:szCs w:val="26"/>
              </w:rPr>
            </w:pPr>
            <w:r>
              <w:rPr>
                <w:rFonts w:ascii="Rockwell" w:hAnsi="Rockwell" w:cs="Calibri"/>
                <w:b/>
                <w:bCs/>
                <w:color w:val="000000"/>
                <w:szCs w:val="26"/>
              </w:rPr>
              <w:t>%NI</w:t>
            </w:r>
          </w:p>
        </w:tc>
      </w:tr>
      <w:tr w:rsidR="00284822" w14:paraId="4129F9F2" w14:textId="77777777">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bottom"/>
          </w:tcPr>
          <w:p w14:paraId="4EC5940C" w14:textId="77777777" w:rsidR="00284822" w:rsidRDefault="00F77BF8">
            <w:pPr>
              <w:suppressAutoHyphens w:val="0"/>
              <w:autoSpaceDN/>
              <w:spacing w:before="120" w:after="120"/>
              <w:textAlignment w:val="auto"/>
              <w:rPr>
                <w:rFonts w:ascii="Rockwell" w:hAnsi="Rockwell" w:cs="Calibri"/>
                <w:color w:val="000000"/>
                <w:szCs w:val="26"/>
              </w:rPr>
            </w:pPr>
            <w:r>
              <w:rPr>
                <w:rFonts w:ascii="Rockwell" w:hAnsi="Rockwell" w:cs="Calibri"/>
                <w:color w:val="000000"/>
                <w:szCs w:val="26"/>
              </w:rPr>
              <w:t> 1</w:t>
            </w:r>
            <w:r>
              <w:rPr>
                <w:rFonts w:ascii="Rockwell" w:hAnsi="Rockwell" w:cs="Calibri"/>
                <w:color w:val="000000"/>
                <w:szCs w:val="26"/>
                <w:vertAlign w:val="superscript"/>
              </w:rPr>
              <w:t>er</w:t>
            </w:r>
            <w:r>
              <w:rPr>
                <w:rFonts w:ascii="Rockwell" w:hAnsi="Rockwell" w:cs="Calibri"/>
                <w:color w:val="000000"/>
                <w:szCs w:val="26"/>
              </w:rPr>
              <w:t xml:space="preserve"> </w:t>
            </w:r>
          </w:p>
        </w:tc>
        <w:tc>
          <w:tcPr>
            <w:tcW w:w="2552" w:type="dxa"/>
            <w:tcBorders>
              <w:top w:val="nil"/>
              <w:left w:val="nil"/>
              <w:bottom w:val="single" w:sz="4" w:space="0" w:color="auto"/>
              <w:right w:val="single" w:sz="4" w:space="0" w:color="auto"/>
            </w:tcBorders>
            <w:shd w:val="clear" w:color="auto" w:fill="auto"/>
            <w:noWrap/>
          </w:tcPr>
          <w:p w14:paraId="0CCD6E53" w14:textId="77777777" w:rsidR="00284822" w:rsidRDefault="00F77BF8">
            <w:pPr>
              <w:suppressAutoHyphens w:val="0"/>
              <w:autoSpaceDN/>
              <w:spacing w:before="120" w:after="120"/>
              <w:jc w:val="center"/>
              <w:textAlignment w:val="auto"/>
              <w:rPr>
                <w:rFonts w:ascii="Rockwell" w:hAnsi="Rockwell" w:cs="Calibri"/>
                <w:color w:val="000000"/>
                <w:szCs w:val="26"/>
              </w:rPr>
            </w:pPr>
            <w:r>
              <w:rPr>
                <w:rFonts w:ascii="Rockwell" w:hAnsi="Rockwell" w:cs="Calibri"/>
                <w:color w:val="000000"/>
                <w:szCs w:val="26"/>
              </w:rPr>
              <w:t>ATD</w:t>
            </w:r>
          </w:p>
        </w:tc>
        <w:tc>
          <w:tcPr>
            <w:tcW w:w="1276" w:type="dxa"/>
            <w:tcBorders>
              <w:top w:val="nil"/>
              <w:left w:val="nil"/>
              <w:bottom w:val="single" w:sz="4" w:space="0" w:color="auto"/>
              <w:right w:val="single" w:sz="4" w:space="0" w:color="auto"/>
            </w:tcBorders>
            <w:shd w:val="clear" w:color="auto" w:fill="auto"/>
            <w:noWrap/>
          </w:tcPr>
          <w:p w14:paraId="400E1116" w14:textId="77777777" w:rsidR="00284822" w:rsidRDefault="00F77BF8">
            <w:pPr>
              <w:suppressAutoHyphens w:val="0"/>
              <w:autoSpaceDN/>
              <w:spacing w:before="120" w:after="120"/>
              <w:jc w:val="center"/>
              <w:textAlignment w:val="auto"/>
              <w:rPr>
                <w:rFonts w:ascii="Rockwell" w:hAnsi="Rockwell" w:cs="Calibri"/>
                <w:color w:val="000000"/>
                <w:szCs w:val="26"/>
              </w:rPr>
            </w:pPr>
            <w:r>
              <w:rPr>
                <w:rFonts w:ascii="Rockwell" w:hAnsi="Rockwell" w:cs="Calibri"/>
                <w:color w:val="000000"/>
                <w:szCs w:val="26"/>
              </w:rPr>
              <w:t>1</w:t>
            </w:r>
          </w:p>
        </w:tc>
        <w:tc>
          <w:tcPr>
            <w:tcW w:w="1134" w:type="dxa"/>
            <w:tcBorders>
              <w:top w:val="nil"/>
              <w:left w:val="nil"/>
              <w:bottom w:val="single" w:sz="4" w:space="0" w:color="auto"/>
              <w:right w:val="single" w:sz="4" w:space="0" w:color="auto"/>
            </w:tcBorders>
            <w:shd w:val="clear" w:color="auto" w:fill="auto"/>
            <w:noWrap/>
          </w:tcPr>
          <w:p w14:paraId="76B255E6" w14:textId="77777777" w:rsidR="00284822" w:rsidRDefault="00F77BF8">
            <w:pPr>
              <w:suppressAutoHyphens w:val="0"/>
              <w:autoSpaceDN/>
              <w:spacing w:before="120" w:after="120"/>
              <w:jc w:val="center"/>
              <w:textAlignment w:val="auto"/>
              <w:rPr>
                <w:rFonts w:ascii="Rockwell" w:hAnsi="Rockwell" w:cs="Calibri"/>
                <w:color w:val="000000"/>
                <w:szCs w:val="26"/>
              </w:rPr>
            </w:pPr>
            <w:r>
              <w:rPr>
                <w:rFonts w:ascii="Rockwell" w:hAnsi="Rockwell" w:cs="Calibri"/>
                <w:color w:val="000000"/>
                <w:szCs w:val="26"/>
              </w:rPr>
              <w:t>20,00%</w:t>
            </w:r>
          </w:p>
        </w:tc>
        <w:tc>
          <w:tcPr>
            <w:tcW w:w="1134" w:type="dxa"/>
            <w:tcBorders>
              <w:top w:val="nil"/>
              <w:left w:val="nil"/>
              <w:bottom w:val="single" w:sz="4" w:space="0" w:color="auto"/>
              <w:right w:val="single" w:sz="4" w:space="0" w:color="auto"/>
            </w:tcBorders>
            <w:shd w:val="clear" w:color="auto" w:fill="auto"/>
            <w:noWrap/>
          </w:tcPr>
          <w:p w14:paraId="329661C0" w14:textId="77777777" w:rsidR="00284822" w:rsidRDefault="00F77BF8">
            <w:pPr>
              <w:suppressAutoHyphens w:val="0"/>
              <w:autoSpaceDN/>
              <w:spacing w:before="120" w:after="120"/>
              <w:jc w:val="center"/>
              <w:textAlignment w:val="auto"/>
              <w:rPr>
                <w:rFonts w:ascii="Rockwell" w:hAnsi="Rockwell" w:cs="Calibri"/>
                <w:color w:val="000000"/>
                <w:szCs w:val="26"/>
              </w:rPr>
            </w:pPr>
            <w:r>
              <w:rPr>
                <w:rFonts w:ascii="Rockwell" w:hAnsi="Rockwell" w:cs="Calibri"/>
                <w:color w:val="000000"/>
                <w:szCs w:val="26"/>
              </w:rPr>
              <w:t>1</w:t>
            </w:r>
          </w:p>
        </w:tc>
        <w:tc>
          <w:tcPr>
            <w:tcW w:w="2835" w:type="dxa"/>
            <w:tcBorders>
              <w:top w:val="nil"/>
              <w:left w:val="nil"/>
              <w:bottom w:val="single" w:sz="4" w:space="0" w:color="auto"/>
              <w:right w:val="single" w:sz="4" w:space="0" w:color="auto"/>
            </w:tcBorders>
            <w:shd w:val="clear" w:color="auto" w:fill="auto"/>
            <w:noWrap/>
          </w:tcPr>
          <w:p w14:paraId="4E30CCB4" w14:textId="77777777" w:rsidR="00284822" w:rsidRDefault="00F77BF8">
            <w:pPr>
              <w:suppressAutoHyphens w:val="0"/>
              <w:autoSpaceDN/>
              <w:spacing w:before="120" w:after="120"/>
              <w:jc w:val="center"/>
              <w:textAlignment w:val="auto"/>
              <w:rPr>
                <w:rFonts w:ascii="Rockwell" w:hAnsi="Rockwell" w:cs="Calibri"/>
                <w:color w:val="000000"/>
                <w:szCs w:val="26"/>
              </w:rPr>
            </w:pPr>
            <w:r>
              <w:rPr>
                <w:rFonts w:ascii="Rockwell" w:hAnsi="Rockwell" w:cs="Calibri"/>
                <w:color w:val="000000"/>
                <w:szCs w:val="26"/>
              </w:rPr>
              <w:t>28,57%</w:t>
            </w:r>
          </w:p>
        </w:tc>
      </w:tr>
      <w:tr w:rsidR="00284822" w14:paraId="15F9C880" w14:textId="77777777">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bottom"/>
          </w:tcPr>
          <w:p w14:paraId="0266899E" w14:textId="77777777" w:rsidR="00284822" w:rsidRDefault="00F77BF8">
            <w:pPr>
              <w:suppressAutoHyphens w:val="0"/>
              <w:autoSpaceDN/>
              <w:spacing w:before="120" w:after="120"/>
              <w:textAlignment w:val="auto"/>
              <w:rPr>
                <w:rFonts w:ascii="Rockwell" w:hAnsi="Rockwell" w:cs="Calibri"/>
                <w:color w:val="000000"/>
                <w:szCs w:val="26"/>
              </w:rPr>
            </w:pPr>
            <w:r>
              <w:rPr>
                <w:rFonts w:ascii="Rockwell" w:hAnsi="Rockwell" w:cs="Calibri"/>
                <w:color w:val="000000"/>
                <w:szCs w:val="26"/>
              </w:rPr>
              <w:t> 1</w:t>
            </w:r>
            <w:r>
              <w:rPr>
                <w:rFonts w:ascii="Rockwell" w:hAnsi="Rockwell" w:cs="Calibri"/>
                <w:color w:val="000000"/>
                <w:szCs w:val="26"/>
                <w:vertAlign w:val="superscript"/>
              </w:rPr>
              <w:t>er</w:t>
            </w:r>
            <w:r>
              <w:rPr>
                <w:rFonts w:ascii="Rockwell" w:hAnsi="Rockwell" w:cs="Calibri"/>
                <w:color w:val="000000"/>
                <w:szCs w:val="26"/>
              </w:rPr>
              <w:t xml:space="preserve"> ex</w:t>
            </w:r>
          </w:p>
        </w:tc>
        <w:tc>
          <w:tcPr>
            <w:tcW w:w="2552" w:type="dxa"/>
            <w:tcBorders>
              <w:top w:val="nil"/>
              <w:left w:val="nil"/>
              <w:bottom w:val="single" w:sz="4" w:space="0" w:color="auto"/>
              <w:right w:val="single" w:sz="4" w:space="0" w:color="auto"/>
            </w:tcBorders>
            <w:shd w:val="clear" w:color="auto" w:fill="auto"/>
            <w:noWrap/>
          </w:tcPr>
          <w:p w14:paraId="32BA1790" w14:textId="77777777" w:rsidR="00284822" w:rsidRDefault="00F77BF8">
            <w:pPr>
              <w:suppressAutoHyphens w:val="0"/>
              <w:autoSpaceDN/>
              <w:spacing w:before="120" w:after="120"/>
              <w:jc w:val="center"/>
              <w:textAlignment w:val="auto"/>
              <w:rPr>
                <w:rFonts w:ascii="Rockwell" w:hAnsi="Rockwell" w:cs="Calibri"/>
                <w:color w:val="000000"/>
                <w:szCs w:val="26"/>
              </w:rPr>
            </w:pPr>
            <w:r>
              <w:rPr>
                <w:rFonts w:ascii="Rockwell" w:hAnsi="Rockwell" w:cs="Calibri"/>
                <w:color w:val="000000"/>
                <w:szCs w:val="26"/>
              </w:rPr>
              <w:t>CDP</w:t>
            </w:r>
          </w:p>
        </w:tc>
        <w:tc>
          <w:tcPr>
            <w:tcW w:w="1276" w:type="dxa"/>
            <w:tcBorders>
              <w:top w:val="nil"/>
              <w:left w:val="nil"/>
              <w:bottom w:val="single" w:sz="4" w:space="0" w:color="auto"/>
              <w:right w:val="single" w:sz="4" w:space="0" w:color="auto"/>
            </w:tcBorders>
            <w:shd w:val="clear" w:color="auto" w:fill="auto"/>
            <w:noWrap/>
          </w:tcPr>
          <w:p w14:paraId="2826CCC1" w14:textId="77777777" w:rsidR="00284822" w:rsidRDefault="00F77BF8">
            <w:pPr>
              <w:suppressAutoHyphens w:val="0"/>
              <w:autoSpaceDN/>
              <w:spacing w:before="120" w:after="120"/>
              <w:jc w:val="center"/>
              <w:textAlignment w:val="auto"/>
              <w:rPr>
                <w:rFonts w:ascii="Rockwell" w:hAnsi="Rockwell" w:cs="Calibri"/>
                <w:color w:val="000000"/>
                <w:szCs w:val="26"/>
              </w:rPr>
            </w:pPr>
            <w:r>
              <w:rPr>
                <w:rFonts w:ascii="Rockwell" w:hAnsi="Rockwell" w:cs="Calibri"/>
                <w:color w:val="000000"/>
                <w:szCs w:val="26"/>
              </w:rPr>
              <w:t>1</w:t>
            </w:r>
          </w:p>
        </w:tc>
        <w:tc>
          <w:tcPr>
            <w:tcW w:w="1134" w:type="dxa"/>
            <w:tcBorders>
              <w:top w:val="nil"/>
              <w:left w:val="nil"/>
              <w:bottom w:val="single" w:sz="4" w:space="0" w:color="auto"/>
              <w:right w:val="single" w:sz="4" w:space="0" w:color="auto"/>
            </w:tcBorders>
            <w:shd w:val="clear" w:color="auto" w:fill="auto"/>
            <w:noWrap/>
          </w:tcPr>
          <w:p w14:paraId="7389BFA2" w14:textId="77777777" w:rsidR="00284822" w:rsidRDefault="00F77BF8">
            <w:pPr>
              <w:suppressAutoHyphens w:val="0"/>
              <w:autoSpaceDN/>
              <w:spacing w:before="120" w:after="120"/>
              <w:jc w:val="center"/>
              <w:textAlignment w:val="auto"/>
              <w:rPr>
                <w:rFonts w:ascii="Rockwell" w:hAnsi="Rockwell" w:cs="Calibri"/>
                <w:color w:val="000000"/>
                <w:szCs w:val="26"/>
              </w:rPr>
            </w:pPr>
            <w:r>
              <w:rPr>
                <w:rFonts w:ascii="Rockwell" w:hAnsi="Rockwell" w:cs="Calibri"/>
                <w:color w:val="000000"/>
                <w:szCs w:val="26"/>
              </w:rPr>
              <w:t>20,00%</w:t>
            </w:r>
          </w:p>
        </w:tc>
        <w:tc>
          <w:tcPr>
            <w:tcW w:w="1134" w:type="dxa"/>
            <w:tcBorders>
              <w:top w:val="nil"/>
              <w:left w:val="nil"/>
              <w:bottom w:val="single" w:sz="4" w:space="0" w:color="auto"/>
              <w:right w:val="single" w:sz="4" w:space="0" w:color="auto"/>
            </w:tcBorders>
            <w:shd w:val="clear" w:color="auto" w:fill="auto"/>
            <w:noWrap/>
          </w:tcPr>
          <w:p w14:paraId="06899A8C" w14:textId="77777777" w:rsidR="00284822" w:rsidRDefault="00F77BF8">
            <w:pPr>
              <w:suppressAutoHyphens w:val="0"/>
              <w:autoSpaceDN/>
              <w:spacing w:before="120" w:after="120"/>
              <w:jc w:val="center"/>
              <w:textAlignment w:val="auto"/>
              <w:rPr>
                <w:rFonts w:ascii="Rockwell" w:hAnsi="Rockwell" w:cs="Calibri"/>
                <w:color w:val="000000"/>
                <w:szCs w:val="26"/>
              </w:rPr>
            </w:pPr>
            <w:r>
              <w:rPr>
                <w:rFonts w:ascii="Rockwell" w:hAnsi="Rockwell" w:cs="Calibri"/>
                <w:color w:val="000000"/>
                <w:szCs w:val="26"/>
              </w:rPr>
              <w:t>2</w:t>
            </w:r>
          </w:p>
        </w:tc>
        <w:tc>
          <w:tcPr>
            <w:tcW w:w="2835" w:type="dxa"/>
            <w:tcBorders>
              <w:top w:val="nil"/>
              <w:left w:val="nil"/>
              <w:bottom w:val="single" w:sz="4" w:space="0" w:color="auto"/>
              <w:right w:val="single" w:sz="4" w:space="0" w:color="auto"/>
            </w:tcBorders>
            <w:shd w:val="clear" w:color="auto" w:fill="auto"/>
            <w:noWrap/>
          </w:tcPr>
          <w:p w14:paraId="67FAA787" w14:textId="77777777" w:rsidR="00284822" w:rsidRDefault="00F77BF8">
            <w:pPr>
              <w:suppressAutoHyphens w:val="0"/>
              <w:autoSpaceDN/>
              <w:spacing w:before="120" w:after="120"/>
              <w:jc w:val="center"/>
              <w:textAlignment w:val="auto"/>
              <w:rPr>
                <w:rFonts w:ascii="Rockwell" w:hAnsi="Rockwell" w:cs="Calibri"/>
                <w:color w:val="000000"/>
                <w:szCs w:val="26"/>
              </w:rPr>
            </w:pPr>
            <w:r>
              <w:rPr>
                <w:rFonts w:ascii="Rockwell" w:hAnsi="Rockwell" w:cs="Calibri"/>
                <w:color w:val="000000"/>
                <w:szCs w:val="26"/>
              </w:rPr>
              <w:t>28,57%</w:t>
            </w:r>
          </w:p>
        </w:tc>
      </w:tr>
      <w:tr w:rsidR="00284822" w14:paraId="14AE571B" w14:textId="77777777">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bottom"/>
          </w:tcPr>
          <w:p w14:paraId="2A8DA3E7" w14:textId="77777777" w:rsidR="00284822" w:rsidRDefault="00F77BF8">
            <w:pPr>
              <w:suppressAutoHyphens w:val="0"/>
              <w:autoSpaceDN/>
              <w:spacing w:before="120" w:after="120"/>
              <w:textAlignment w:val="auto"/>
              <w:rPr>
                <w:rFonts w:ascii="Rockwell" w:hAnsi="Rockwell" w:cs="Calibri"/>
                <w:color w:val="000000"/>
                <w:szCs w:val="26"/>
              </w:rPr>
            </w:pPr>
            <w:r>
              <w:rPr>
                <w:rFonts w:ascii="Rockwell" w:hAnsi="Rockwell" w:cs="Calibri"/>
                <w:color w:val="000000"/>
                <w:szCs w:val="26"/>
              </w:rPr>
              <w:t> 3</w:t>
            </w:r>
            <w:r>
              <w:rPr>
                <w:rFonts w:ascii="Rockwell" w:hAnsi="Rockwell" w:cs="Calibri"/>
                <w:color w:val="000000"/>
                <w:szCs w:val="26"/>
                <w:vertAlign w:val="superscript"/>
              </w:rPr>
              <w:t>e</w:t>
            </w:r>
            <w:r>
              <w:rPr>
                <w:rFonts w:ascii="Rockwell" w:hAnsi="Rockwell" w:cs="Calibri"/>
                <w:color w:val="000000"/>
                <w:szCs w:val="26"/>
              </w:rPr>
              <w:t xml:space="preserve"> </w:t>
            </w:r>
          </w:p>
        </w:tc>
        <w:tc>
          <w:tcPr>
            <w:tcW w:w="2552" w:type="dxa"/>
            <w:tcBorders>
              <w:top w:val="nil"/>
              <w:left w:val="nil"/>
              <w:bottom w:val="single" w:sz="4" w:space="0" w:color="auto"/>
              <w:right w:val="single" w:sz="4" w:space="0" w:color="auto"/>
            </w:tcBorders>
            <w:shd w:val="clear" w:color="auto" w:fill="auto"/>
            <w:noWrap/>
          </w:tcPr>
          <w:p w14:paraId="16D5A0C0" w14:textId="77777777" w:rsidR="00284822" w:rsidRDefault="00F77BF8">
            <w:pPr>
              <w:suppressAutoHyphens w:val="0"/>
              <w:autoSpaceDN/>
              <w:spacing w:before="120" w:after="120"/>
              <w:jc w:val="center"/>
              <w:textAlignment w:val="auto"/>
              <w:rPr>
                <w:rFonts w:ascii="Rockwell" w:hAnsi="Rockwell" w:cs="Calibri"/>
                <w:color w:val="000000"/>
                <w:szCs w:val="26"/>
              </w:rPr>
            </w:pPr>
            <w:r>
              <w:rPr>
                <w:rFonts w:ascii="Rockwell" w:hAnsi="Rockwell" w:cs="Calibri"/>
                <w:color w:val="000000"/>
                <w:szCs w:val="26"/>
              </w:rPr>
              <w:t>PNPS</w:t>
            </w:r>
          </w:p>
        </w:tc>
        <w:tc>
          <w:tcPr>
            <w:tcW w:w="1276" w:type="dxa"/>
            <w:tcBorders>
              <w:top w:val="nil"/>
              <w:left w:val="nil"/>
              <w:bottom w:val="single" w:sz="4" w:space="0" w:color="auto"/>
              <w:right w:val="single" w:sz="4" w:space="0" w:color="auto"/>
            </w:tcBorders>
            <w:shd w:val="clear" w:color="auto" w:fill="auto"/>
            <w:noWrap/>
          </w:tcPr>
          <w:p w14:paraId="1C849256" w14:textId="77777777" w:rsidR="00284822" w:rsidRDefault="00F77BF8">
            <w:pPr>
              <w:suppressAutoHyphens w:val="0"/>
              <w:autoSpaceDN/>
              <w:spacing w:before="120" w:after="120"/>
              <w:jc w:val="center"/>
              <w:textAlignment w:val="auto"/>
              <w:rPr>
                <w:rFonts w:ascii="Rockwell" w:hAnsi="Rockwell" w:cs="Calibri"/>
                <w:color w:val="000000"/>
                <w:szCs w:val="26"/>
              </w:rPr>
            </w:pPr>
            <w:r>
              <w:rPr>
                <w:rFonts w:ascii="Rockwell" w:hAnsi="Rockwell" w:cs="Calibri"/>
                <w:color w:val="000000"/>
                <w:szCs w:val="26"/>
              </w:rPr>
              <w:t>1</w:t>
            </w:r>
          </w:p>
        </w:tc>
        <w:tc>
          <w:tcPr>
            <w:tcW w:w="1134" w:type="dxa"/>
            <w:tcBorders>
              <w:top w:val="nil"/>
              <w:left w:val="nil"/>
              <w:bottom w:val="single" w:sz="4" w:space="0" w:color="auto"/>
              <w:right w:val="single" w:sz="4" w:space="0" w:color="auto"/>
            </w:tcBorders>
            <w:shd w:val="clear" w:color="auto" w:fill="auto"/>
            <w:noWrap/>
          </w:tcPr>
          <w:p w14:paraId="24EEA3A4" w14:textId="77777777" w:rsidR="00284822" w:rsidRDefault="00F77BF8">
            <w:pPr>
              <w:suppressAutoHyphens w:val="0"/>
              <w:autoSpaceDN/>
              <w:spacing w:before="120" w:after="120"/>
              <w:jc w:val="center"/>
              <w:textAlignment w:val="auto"/>
              <w:rPr>
                <w:rFonts w:ascii="Rockwell" w:hAnsi="Rockwell" w:cs="Calibri"/>
                <w:color w:val="000000"/>
                <w:szCs w:val="26"/>
              </w:rPr>
            </w:pPr>
            <w:r>
              <w:rPr>
                <w:rFonts w:ascii="Rockwell" w:hAnsi="Rockwell" w:cs="Calibri"/>
                <w:color w:val="000000"/>
                <w:szCs w:val="26"/>
              </w:rPr>
              <w:t>20,00%</w:t>
            </w:r>
          </w:p>
        </w:tc>
        <w:tc>
          <w:tcPr>
            <w:tcW w:w="1134" w:type="dxa"/>
            <w:tcBorders>
              <w:top w:val="nil"/>
              <w:left w:val="nil"/>
              <w:bottom w:val="single" w:sz="4" w:space="0" w:color="auto"/>
              <w:right w:val="single" w:sz="4" w:space="0" w:color="auto"/>
            </w:tcBorders>
            <w:shd w:val="clear" w:color="auto" w:fill="auto"/>
            <w:noWrap/>
          </w:tcPr>
          <w:p w14:paraId="72089F78" w14:textId="77777777" w:rsidR="00284822" w:rsidRDefault="00F77BF8">
            <w:pPr>
              <w:suppressAutoHyphens w:val="0"/>
              <w:autoSpaceDN/>
              <w:spacing w:before="120" w:after="120"/>
              <w:jc w:val="center"/>
              <w:textAlignment w:val="auto"/>
              <w:rPr>
                <w:rFonts w:ascii="Rockwell" w:hAnsi="Rockwell" w:cs="Calibri"/>
                <w:color w:val="000000"/>
                <w:szCs w:val="26"/>
              </w:rPr>
            </w:pPr>
            <w:r>
              <w:rPr>
                <w:rFonts w:ascii="Rockwell" w:hAnsi="Rockwell" w:cs="Calibri"/>
                <w:color w:val="000000"/>
                <w:szCs w:val="26"/>
              </w:rPr>
              <w:t>2</w:t>
            </w:r>
          </w:p>
        </w:tc>
        <w:tc>
          <w:tcPr>
            <w:tcW w:w="2835" w:type="dxa"/>
            <w:tcBorders>
              <w:top w:val="nil"/>
              <w:left w:val="nil"/>
              <w:bottom w:val="single" w:sz="4" w:space="0" w:color="auto"/>
              <w:right w:val="single" w:sz="4" w:space="0" w:color="auto"/>
            </w:tcBorders>
            <w:shd w:val="clear" w:color="auto" w:fill="auto"/>
            <w:noWrap/>
          </w:tcPr>
          <w:p w14:paraId="4FDAB714" w14:textId="77777777" w:rsidR="00284822" w:rsidRDefault="00F77BF8">
            <w:pPr>
              <w:suppressAutoHyphens w:val="0"/>
              <w:autoSpaceDN/>
              <w:spacing w:before="120" w:after="120"/>
              <w:jc w:val="center"/>
              <w:textAlignment w:val="auto"/>
              <w:rPr>
                <w:rFonts w:ascii="Rockwell" w:hAnsi="Rockwell" w:cs="Calibri"/>
                <w:color w:val="000000"/>
                <w:szCs w:val="26"/>
              </w:rPr>
            </w:pPr>
            <w:r>
              <w:rPr>
                <w:rFonts w:ascii="Rockwell" w:hAnsi="Rockwell" w:cs="Calibri"/>
                <w:color w:val="000000"/>
                <w:szCs w:val="26"/>
              </w:rPr>
              <w:t>14,28%</w:t>
            </w:r>
          </w:p>
        </w:tc>
      </w:tr>
      <w:tr w:rsidR="00284822" w14:paraId="79C544E9" w14:textId="77777777">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bottom"/>
          </w:tcPr>
          <w:p w14:paraId="7F505C4E" w14:textId="77777777" w:rsidR="00284822" w:rsidRDefault="00F77BF8">
            <w:pPr>
              <w:suppressAutoHyphens w:val="0"/>
              <w:autoSpaceDN/>
              <w:spacing w:before="120" w:after="120"/>
              <w:textAlignment w:val="auto"/>
              <w:rPr>
                <w:rFonts w:ascii="Rockwell" w:hAnsi="Rockwell" w:cs="Calibri"/>
                <w:color w:val="000000"/>
                <w:szCs w:val="26"/>
              </w:rPr>
            </w:pPr>
            <w:r>
              <w:rPr>
                <w:rFonts w:ascii="Rockwell" w:hAnsi="Rockwell" w:cs="Calibri"/>
                <w:color w:val="000000"/>
                <w:szCs w:val="26"/>
              </w:rPr>
              <w:t> 3</w:t>
            </w:r>
            <w:r>
              <w:rPr>
                <w:rFonts w:ascii="Rockwell" w:hAnsi="Rockwell" w:cs="Calibri"/>
                <w:color w:val="000000"/>
                <w:szCs w:val="26"/>
                <w:vertAlign w:val="superscript"/>
              </w:rPr>
              <w:t>e</w:t>
            </w:r>
            <w:r>
              <w:rPr>
                <w:rFonts w:ascii="Rockwell" w:hAnsi="Rockwell" w:cs="Calibri"/>
                <w:color w:val="000000"/>
                <w:szCs w:val="26"/>
              </w:rPr>
              <w:t xml:space="preserve"> ex</w:t>
            </w:r>
          </w:p>
        </w:tc>
        <w:tc>
          <w:tcPr>
            <w:tcW w:w="2552" w:type="dxa"/>
            <w:tcBorders>
              <w:top w:val="nil"/>
              <w:left w:val="nil"/>
              <w:bottom w:val="single" w:sz="4" w:space="0" w:color="auto"/>
              <w:right w:val="single" w:sz="4" w:space="0" w:color="auto"/>
            </w:tcBorders>
            <w:shd w:val="clear" w:color="auto" w:fill="auto"/>
            <w:noWrap/>
          </w:tcPr>
          <w:p w14:paraId="48F210B3" w14:textId="77777777" w:rsidR="00284822" w:rsidRDefault="00F77BF8">
            <w:pPr>
              <w:suppressAutoHyphens w:val="0"/>
              <w:autoSpaceDN/>
              <w:spacing w:before="120" w:after="120"/>
              <w:jc w:val="center"/>
              <w:textAlignment w:val="auto"/>
              <w:rPr>
                <w:rFonts w:ascii="Rockwell" w:hAnsi="Rockwell" w:cs="Calibri"/>
                <w:color w:val="000000"/>
                <w:szCs w:val="26"/>
              </w:rPr>
            </w:pPr>
            <w:r>
              <w:rPr>
                <w:rFonts w:ascii="Rockwell" w:hAnsi="Rockwell" w:cs="Calibri"/>
                <w:color w:val="000000"/>
                <w:szCs w:val="26"/>
              </w:rPr>
              <w:t>PTD</w:t>
            </w:r>
          </w:p>
        </w:tc>
        <w:tc>
          <w:tcPr>
            <w:tcW w:w="1276" w:type="dxa"/>
            <w:tcBorders>
              <w:top w:val="nil"/>
              <w:left w:val="nil"/>
              <w:bottom w:val="single" w:sz="4" w:space="0" w:color="auto"/>
              <w:right w:val="single" w:sz="4" w:space="0" w:color="auto"/>
            </w:tcBorders>
            <w:shd w:val="clear" w:color="auto" w:fill="auto"/>
            <w:noWrap/>
          </w:tcPr>
          <w:p w14:paraId="09778051" w14:textId="77777777" w:rsidR="00284822" w:rsidRDefault="00F77BF8">
            <w:pPr>
              <w:suppressAutoHyphens w:val="0"/>
              <w:autoSpaceDN/>
              <w:spacing w:before="120" w:after="120"/>
              <w:jc w:val="center"/>
              <w:textAlignment w:val="auto"/>
              <w:rPr>
                <w:rFonts w:ascii="Rockwell" w:hAnsi="Rockwell" w:cs="Calibri"/>
                <w:color w:val="000000"/>
                <w:szCs w:val="26"/>
              </w:rPr>
            </w:pPr>
            <w:r>
              <w:rPr>
                <w:rFonts w:ascii="Rockwell" w:hAnsi="Rockwell" w:cs="Calibri"/>
                <w:color w:val="000000"/>
                <w:szCs w:val="26"/>
              </w:rPr>
              <w:t>1</w:t>
            </w:r>
          </w:p>
        </w:tc>
        <w:tc>
          <w:tcPr>
            <w:tcW w:w="1134" w:type="dxa"/>
            <w:tcBorders>
              <w:top w:val="nil"/>
              <w:left w:val="nil"/>
              <w:bottom w:val="single" w:sz="4" w:space="0" w:color="auto"/>
              <w:right w:val="single" w:sz="4" w:space="0" w:color="auto"/>
            </w:tcBorders>
            <w:shd w:val="clear" w:color="auto" w:fill="auto"/>
            <w:noWrap/>
          </w:tcPr>
          <w:p w14:paraId="48825C5F" w14:textId="77777777" w:rsidR="00284822" w:rsidRDefault="00F77BF8">
            <w:pPr>
              <w:suppressAutoHyphens w:val="0"/>
              <w:autoSpaceDN/>
              <w:spacing w:before="120" w:after="120"/>
              <w:jc w:val="center"/>
              <w:textAlignment w:val="auto"/>
              <w:rPr>
                <w:rFonts w:ascii="Rockwell" w:hAnsi="Rockwell" w:cs="Calibri"/>
                <w:color w:val="000000"/>
                <w:szCs w:val="26"/>
              </w:rPr>
            </w:pPr>
            <w:r>
              <w:rPr>
                <w:rFonts w:ascii="Rockwell" w:hAnsi="Rockwell" w:cs="Calibri"/>
                <w:color w:val="000000"/>
                <w:szCs w:val="26"/>
              </w:rPr>
              <w:t>20,00%</w:t>
            </w:r>
          </w:p>
        </w:tc>
        <w:tc>
          <w:tcPr>
            <w:tcW w:w="1134" w:type="dxa"/>
            <w:tcBorders>
              <w:top w:val="nil"/>
              <w:left w:val="nil"/>
              <w:bottom w:val="single" w:sz="4" w:space="0" w:color="auto"/>
              <w:right w:val="single" w:sz="4" w:space="0" w:color="auto"/>
            </w:tcBorders>
            <w:shd w:val="clear" w:color="auto" w:fill="auto"/>
            <w:noWrap/>
          </w:tcPr>
          <w:p w14:paraId="4C1E8426" w14:textId="77777777" w:rsidR="00284822" w:rsidRDefault="00F77BF8">
            <w:pPr>
              <w:suppressAutoHyphens w:val="0"/>
              <w:autoSpaceDN/>
              <w:spacing w:before="120" w:after="120"/>
              <w:jc w:val="center"/>
              <w:textAlignment w:val="auto"/>
              <w:rPr>
                <w:rFonts w:ascii="Rockwell" w:hAnsi="Rockwell" w:cs="Calibri"/>
                <w:color w:val="000000"/>
                <w:szCs w:val="26"/>
              </w:rPr>
            </w:pPr>
            <w:r>
              <w:rPr>
                <w:rFonts w:ascii="Rockwell" w:hAnsi="Rockwell" w:cs="Calibri"/>
                <w:color w:val="000000"/>
                <w:szCs w:val="26"/>
              </w:rPr>
              <w:t>1</w:t>
            </w:r>
          </w:p>
        </w:tc>
        <w:tc>
          <w:tcPr>
            <w:tcW w:w="2835" w:type="dxa"/>
            <w:tcBorders>
              <w:top w:val="nil"/>
              <w:left w:val="nil"/>
              <w:bottom w:val="single" w:sz="4" w:space="0" w:color="auto"/>
              <w:right w:val="single" w:sz="4" w:space="0" w:color="auto"/>
            </w:tcBorders>
            <w:shd w:val="clear" w:color="auto" w:fill="auto"/>
            <w:noWrap/>
          </w:tcPr>
          <w:p w14:paraId="49C08543" w14:textId="77777777" w:rsidR="00284822" w:rsidRDefault="00F77BF8">
            <w:pPr>
              <w:suppressAutoHyphens w:val="0"/>
              <w:autoSpaceDN/>
              <w:spacing w:before="120" w:after="120"/>
              <w:jc w:val="center"/>
              <w:textAlignment w:val="auto"/>
              <w:rPr>
                <w:rFonts w:ascii="Rockwell" w:hAnsi="Rockwell" w:cs="Calibri"/>
                <w:color w:val="000000"/>
                <w:szCs w:val="26"/>
              </w:rPr>
            </w:pPr>
            <w:r>
              <w:rPr>
                <w:rFonts w:ascii="Rockwell" w:hAnsi="Rockwell" w:cs="Calibri"/>
                <w:color w:val="000000"/>
                <w:szCs w:val="26"/>
              </w:rPr>
              <w:t>14,28%</w:t>
            </w:r>
          </w:p>
        </w:tc>
      </w:tr>
      <w:tr w:rsidR="00284822" w14:paraId="28A8FFEC" w14:textId="77777777">
        <w:trPr>
          <w:trHeight w:val="300"/>
          <w:jc w:val="center"/>
        </w:trPr>
        <w:tc>
          <w:tcPr>
            <w:tcW w:w="1129" w:type="dxa"/>
            <w:tcBorders>
              <w:top w:val="nil"/>
              <w:left w:val="single" w:sz="4" w:space="0" w:color="auto"/>
              <w:bottom w:val="single" w:sz="4" w:space="0" w:color="auto"/>
              <w:right w:val="single" w:sz="4" w:space="0" w:color="auto"/>
            </w:tcBorders>
            <w:shd w:val="clear" w:color="auto" w:fill="auto"/>
            <w:noWrap/>
            <w:vAlign w:val="bottom"/>
          </w:tcPr>
          <w:p w14:paraId="1FF19C3A" w14:textId="77777777" w:rsidR="00284822" w:rsidRDefault="00F77BF8">
            <w:pPr>
              <w:suppressAutoHyphens w:val="0"/>
              <w:autoSpaceDN/>
              <w:spacing w:before="120" w:after="120"/>
              <w:textAlignment w:val="auto"/>
              <w:rPr>
                <w:rFonts w:ascii="Rockwell" w:hAnsi="Rockwell" w:cs="Calibri"/>
                <w:color w:val="000000"/>
                <w:szCs w:val="26"/>
              </w:rPr>
            </w:pPr>
            <w:r>
              <w:rPr>
                <w:rFonts w:ascii="Rockwell" w:hAnsi="Rockwell" w:cs="Calibri"/>
                <w:color w:val="000000"/>
                <w:szCs w:val="26"/>
              </w:rPr>
              <w:t> 3</w:t>
            </w:r>
            <w:r>
              <w:rPr>
                <w:rFonts w:ascii="Rockwell" w:hAnsi="Rockwell" w:cs="Calibri"/>
                <w:color w:val="000000"/>
                <w:szCs w:val="26"/>
                <w:vertAlign w:val="superscript"/>
              </w:rPr>
              <w:t>e</w:t>
            </w:r>
            <w:r>
              <w:rPr>
                <w:rFonts w:ascii="Rockwell" w:hAnsi="Rockwell" w:cs="Calibri"/>
                <w:color w:val="000000"/>
                <w:szCs w:val="26"/>
              </w:rPr>
              <w:t xml:space="preserve"> ex</w:t>
            </w:r>
          </w:p>
        </w:tc>
        <w:tc>
          <w:tcPr>
            <w:tcW w:w="2552" w:type="dxa"/>
            <w:tcBorders>
              <w:top w:val="nil"/>
              <w:left w:val="nil"/>
              <w:bottom w:val="single" w:sz="4" w:space="0" w:color="auto"/>
              <w:right w:val="single" w:sz="4" w:space="0" w:color="auto"/>
            </w:tcBorders>
            <w:shd w:val="clear" w:color="auto" w:fill="auto"/>
            <w:noWrap/>
          </w:tcPr>
          <w:p w14:paraId="13032109" w14:textId="77777777" w:rsidR="00284822" w:rsidRDefault="00F77BF8">
            <w:pPr>
              <w:suppressAutoHyphens w:val="0"/>
              <w:autoSpaceDN/>
              <w:spacing w:before="120" w:after="120"/>
              <w:jc w:val="center"/>
              <w:textAlignment w:val="auto"/>
              <w:rPr>
                <w:rFonts w:ascii="Rockwell" w:hAnsi="Rockwell" w:cs="Calibri"/>
                <w:color w:val="000000"/>
                <w:szCs w:val="26"/>
              </w:rPr>
            </w:pPr>
            <w:r>
              <w:rPr>
                <w:rFonts w:ascii="Rockwell" w:hAnsi="Rockwell" w:cs="Calibri"/>
                <w:color w:val="000000"/>
                <w:szCs w:val="26"/>
              </w:rPr>
              <w:t>UNIR/MPS</w:t>
            </w:r>
          </w:p>
        </w:tc>
        <w:tc>
          <w:tcPr>
            <w:tcW w:w="1276" w:type="dxa"/>
            <w:tcBorders>
              <w:top w:val="nil"/>
              <w:left w:val="nil"/>
              <w:bottom w:val="single" w:sz="4" w:space="0" w:color="auto"/>
              <w:right w:val="single" w:sz="4" w:space="0" w:color="auto"/>
            </w:tcBorders>
            <w:shd w:val="clear" w:color="auto" w:fill="auto"/>
            <w:noWrap/>
          </w:tcPr>
          <w:p w14:paraId="7A170014" w14:textId="77777777" w:rsidR="00284822" w:rsidRDefault="00F77BF8">
            <w:pPr>
              <w:suppressAutoHyphens w:val="0"/>
              <w:autoSpaceDN/>
              <w:spacing w:before="120" w:after="120"/>
              <w:jc w:val="center"/>
              <w:textAlignment w:val="auto"/>
              <w:rPr>
                <w:rFonts w:ascii="Rockwell" w:hAnsi="Rockwell" w:cs="Calibri"/>
                <w:color w:val="000000"/>
                <w:szCs w:val="26"/>
              </w:rPr>
            </w:pPr>
            <w:r>
              <w:rPr>
                <w:rFonts w:ascii="Rockwell" w:hAnsi="Rockwell" w:cs="Calibri"/>
                <w:color w:val="000000"/>
                <w:szCs w:val="26"/>
              </w:rPr>
              <w:t>1</w:t>
            </w:r>
          </w:p>
        </w:tc>
        <w:tc>
          <w:tcPr>
            <w:tcW w:w="1134" w:type="dxa"/>
            <w:tcBorders>
              <w:top w:val="nil"/>
              <w:left w:val="nil"/>
              <w:bottom w:val="single" w:sz="4" w:space="0" w:color="auto"/>
              <w:right w:val="single" w:sz="4" w:space="0" w:color="auto"/>
            </w:tcBorders>
            <w:shd w:val="clear" w:color="auto" w:fill="auto"/>
            <w:noWrap/>
          </w:tcPr>
          <w:p w14:paraId="5F6AE6BD" w14:textId="77777777" w:rsidR="00284822" w:rsidRDefault="00F77BF8">
            <w:pPr>
              <w:suppressAutoHyphens w:val="0"/>
              <w:autoSpaceDN/>
              <w:spacing w:before="120" w:after="120"/>
              <w:jc w:val="center"/>
              <w:textAlignment w:val="auto"/>
              <w:rPr>
                <w:rFonts w:ascii="Rockwell" w:hAnsi="Rockwell" w:cs="Calibri"/>
                <w:color w:val="000000"/>
                <w:szCs w:val="26"/>
              </w:rPr>
            </w:pPr>
            <w:r>
              <w:rPr>
                <w:rFonts w:ascii="Rockwell" w:hAnsi="Rockwell" w:cs="Calibri"/>
                <w:color w:val="000000"/>
                <w:szCs w:val="26"/>
              </w:rPr>
              <w:t>20,00%</w:t>
            </w:r>
          </w:p>
        </w:tc>
        <w:tc>
          <w:tcPr>
            <w:tcW w:w="1134" w:type="dxa"/>
            <w:tcBorders>
              <w:top w:val="nil"/>
              <w:left w:val="nil"/>
              <w:bottom w:val="single" w:sz="4" w:space="0" w:color="auto"/>
              <w:right w:val="single" w:sz="4" w:space="0" w:color="auto"/>
            </w:tcBorders>
            <w:shd w:val="clear" w:color="auto" w:fill="auto"/>
            <w:noWrap/>
          </w:tcPr>
          <w:p w14:paraId="2322DB05" w14:textId="77777777" w:rsidR="00284822" w:rsidRDefault="00F77BF8">
            <w:pPr>
              <w:suppressAutoHyphens w:val="0"/>
              <w:autoSpaceDN/>
              <w:spacing w:before="120" w:after="120"/>
              <w:jc w:val="center"/>
              <w:textAlignment w:val="auto"/>
              <w:rPr>
                <w:rFonts w:ascii="Rockwell" w:hAnsi="Rockwell" w:cs="Calibri"/>
                <w:color w:val="000000"/>
                <w:szCs w:val="26"/>
              </w:rPr>
            </w:pPr>
            <w:r>
              <w:rPr>
                <w:rFonts w:ascii="Rockwell" w:hAnsi="Rockwell" w:cs="Calibri"/>
                <w:color w:val="000000"/>
                <w:szCs w:val="26"/>
              </w:rPr>
              <w:t>1</w:t>
            </w:r>
          </w:p>
        </w:tc>
        <w:tc>
          <w:tcPr>
            <w:tcW w:w="2835" w:type="dxa"/>
            <w:tcBorders>
              <w:top w:val="nil"/>
              <w:left w:val="nil"/>
              <w:bottom w:val="single" w:sz="4" w:space="0" w:color="auto"/>
              <w:right w:val="single" w:sz="4" w:space="0" w:color="auto"/>
            </w:tcBorders>
            <w:shd w:val="clear" w:color="auto" w:fill="auto"/>
            <w:noWrap/>
          </w:tcPr>
          <w:p w14:paraId="0B391A0C" w14:textId="77777777" w:rsidR="00284822" w:rsidRDefault="00F77BF8">
            <w:pPr>
              <w:suppressAutoHyphens w:val="0"/>
              <w:autoSpaceDN/>
              <w:spacing w:before="120" w:after="120"/>
              <w:jc w:val="center"/>
              <w:textAlignment w:val="auto"/>
              <w:rPr>
                <w:rFonts w:ascii="Rockwell" w:hAnsi="Rockwell" w:cs="Calibri"/>
                <w:color w:val="000000"/>
                <w:szCs w:val="26"/>
              </w:rPr>
            </w:pPr>
            <w:r>
              <w:rPr>
                <w:rFonts w:ascii="Rockwell" w:hAnsi="Rockwell" w:cs="Calibri"/>
                <w:color w:val="000000"/>
                <w:szCs w:val="26"/>
              </w:rPr>
              <w:t>14,28%</w:t>
            </w:r>
          </w:p>
        </w:tc>
      </w:tr>
    </w:tbl>
    <w:p w14:paraId="766ED819" w14:textId="77777777" w:rsidR="00284822" w:rsidRDefault="00F77BF8">
      <w:pPr>
        <w:tabs>
          <w:tab w:val="left" w:pos="895"/>
        </w:tabs>
        <w:spacing w:before="120" w:after="120"/>
        <w:ind w:left="-426"/>
        <w:rPr>
          <w:rFonts w:ascii="Rockwell" w:hAnsi="Rockwell"/>
          <w:i/>
          <w:sz w:val="20"/>
          <w:szCs w:val="20"/>
        </w:rPr>
      </w:pPr>
      <w:r>
        <w:rPr>
          <w:rFonts w:ascii="Rockwell" w:hAnsi="Rockwell"/>
          <w:i/>
          <w:sz w:val="20"/>
          <w:szCs w:val="20"/>
          <w:u w:val="single"/>
        </w:rPr>
        <w:t>Source</w:t>
      </w:r>
      <w:r>
        <w:rPr>
          <w:rFonts w:ascii="Rockwell" w:hAnsi="Rockwell"/>
          <w:i/>
          <w:sz w:val="20"/>
          <w:szCs w:val="20"/>
        </w:rPr>
        <w:t> : Monitoring CSC</w:t>
      </w:r>
    </w:p>
    <w:p w14:paraId="10A653B9" w14:textId="77777777" w:rsidR="00284822" w:rsidRDefault="00284822">
      <w:pPr>
        <w:tabs>
          <w:tab w:val="left" w:pos="895"/>
        </w:tabs>
        <w:spacing w:before="120" w:after="120"/>
        <w:ind w:left="-426"/>
        <w:rPr>
          <w:rFonts w:ascii="Rockwell" w:hAnsi="Rockwell"/>
          <w:i/>
          <w:sz w:val="10"/>
          <w:szCs w:val="10"/>
        </w:rPr>
        <w:sectPr w:rsidR="00284822">
          <w:pgSz w:w="11906" w:h="16838"/>
          <w:pgMar w:top="1418" w:right="1418" w:bottom="1418" w:left="1418" w:header="720" w:footer="720" w:gutter="0"/>
          <w:cols w:space="720"/>
        </w:sectPr>
      </w:pPr>
    </w:p>
    <w:p w14:paraId="65D60AF9" w14:textId="77777777" w:rsidR="00284822" w:rsidRDefault="00F77BF8">
      <w:pPr>
        <w:spacing w:before="120" w:after="120"/>
        <w:jc w:val="center"/>
        <w:rPr>
          <w:rFonts w:ascii="Rockwell" w:hAnsi="Rockwell"/>
          <w:sz w:val="20"/>
          <w:szCs w:val="20"/>
        </w:rPr>
      </w:pPr>
      <w:r>
        <w:rPr>
          <w:rFonts w:ascii="Rockwell" w:hAnsi="Rockwell"/>
          <w:i/>
          <w:sz w:val="20"/>
          <w:szCs w:val="20"/>
          <w:u w:val="single"/>
        </w:rPr>
        <w:lastRenderedPageBreak/>
        <w:t xml:space="preserve">Représentation </w:t>
      </w:r>
      <w:r>
        <w:rPr>
          <w:rFonts w:ascii="Rockwell" w:hAnsi="Rockwell"/>
          <w:sz w:val="20"/>
          <w:szCs w:val="20"/>
          <w:u w:val="single"/>
        </w:rPr>
        <w:t xml:space="preserve">graphique </w:t>
      </w:r>
      <w:r>
        <w:rPr>
          <w:rFonts w:ascii="Rockwell" w:hAnsi="Rockwell"/>
          <w:i/>
          <w:sz w:val="20"/>
          <w:szCs w:val="20"/>
          <w:u w:val="single"/>
        </w:rPr>
        <w:t>des NA et NI obtenus par les cinq premiers</w:t>
      </w:r>
    </w:p>
    <w:p w14:paraId="5F6FE1A6" w14:textId="77777777" w:rsidR="00284822" w:rsidRDefault="00F77BF8">
      <w:pPr>
        <w:spacing w:before="120" w:after="120"/>
        <w:jc w:val="center"/>
        <w:rPr>
          <w:rFonts w:ascii="Rockwell" w:hAnsi="Rockwell"/>
          <w:i/>
          <w:sz w:val="20"/>
          <w:szCs w:val="20"/>
          <w:u w:val="single"/>
        </w:rPr>
      </w:pPr>
      <w:proofErr w:type="gramStart"/>
      <w:r>
        <w:rPr>
          <w:rFonts w:ascii="Rockwell" w:hAnsi="Rockwell"/>
          <w:i/>
          <w:sz w:val="20"/>
          <w:szCs w:val="20"/>
          <w:u w:val="single"/>
        </w:rPr>
        <w:t>partis</w:t>
      </w:r>
      <w:proofErr w:type="gramEnd"/>
      <w:r>
        <w:rPr>
          <w:rFonts w:ascii="Rockwell" w:hAnsi="Rockwell"/>
          <w:i/>
          <w:sz w:val="20"/>
          <w:szCs w:val="20"/>
          <w:u w:val="single"/>
        </w:rPr>
        <w:t xml:space="preserve"> politiques dans Ouest info</w:t>
      </w:r>
    </w:p>
    <w:p w14:paraId="62308C6C" w14:textId="77777777" w:rsidR="00284822" w:rsidRDefault="00F77BF8">
      <w:pPr>
        <w:suppressAutoHyphens w:val="0"/>
        <w:spacing w:before="120" w:after="120"/>
        <w:jc w:val="center"/>
        <w:rPr>
          <w:rFonts w:ascii="Rockwell" w:hAnsi="Rockwell"/>
          <w:color w:val="FF0000"/>
          <w:szCs w:val="26"/>
        </w:rPr>
      </w:pPr>
      <w:r>
        <w:rPr>
          <w:rFonts w:ascii="Rockwell" w:hAnsi="Rockwell"/>
          <w:noProof/>
          <w:szCs w:val="26"/>
        </w:rPr>
        <w:drawing>
          <wp:inline distT="0" distB="0" distL="0" distR="0" wp14:anchorId="7F4591FE" wp14:editId="2AFEC9FE">
            <wp:extent cx="5848350" cy="3305175"/>
            <wp:effectExtent l="0" t="0" r="0" b="9525"/>
            <wp:docPr id="2" name="Graphique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2"/>
              </a:graphicData>
            </a:graphic>
          </wp:inline>
        </w:drawing>
      </w:r>
    </w:p>
    <w:p w14:paraId="7B87F362" w14:textId="77777777" w:rsidR="00284822" w:rsidRDefault="00F77BF8">
      <w:pPr>
        <w:pStyle w:val="Titre5"/>
        <w:numPr>
          <w:ilvl w:val="1"/>
          <w:numId w:val="19"/>
        </w:numPr>
        <w:rPr>
          <w:rFonts w:ascii="Rockwell" w:hAnsi="Rockwell"/>
          <w:i/>
        </w:rPr>
      </w:pPr>
      <w:bookmarkStart w:id="166" w:name="_Toc175048684"/>
      <w:r>
        <w:rPr>
          <w:rFonts w:ascii="Rockwell" w:hAnsi="Rockwell"/>
          <w:i/>
        </w:rPr>
        <w:t>Ouest actu</w:t>
      </w:r>
      <w:bookmarkEnd w:id="166"/>
    </w:p>
    <w:p w14:paraId="2990E2E0" w14:textId="77777777" w:rsidR="00284822" w:rsidRDefault="00F77BF8">
      <w:pPr>
        <w:spacing w:before="120" w:after="120"/>
        <w:rPr>
          <w:rFonts w:ascii="Rockwell" w:hAnsi="Rockwell"/>
          <w:szCs w:val="26"/>
        </w:rPr>
      </w:pPr>
      <w:r>
        <w:rPr>
          <w:rFonts w:ascii="Rockwell" w:hAnsi="Rockwell"/>
          <w:i/>
          <w:szCs w:val="26"/>
        </w:rPr>
        <w:t>Ouest actu</w:t>
      </w:r>
      <w:r>
        <w:rPr>
          <w:rFonts w:ascii="Rockwell" w:hAnsi="Rockwell"/>
          <w:szCs w:val="26"/>
        </w:rPr>
        <w:t xml:space="preserve"> s’est intéressé à l’actualité de 04 partis politiques, avec un total de 05 articles et 05 illustrations, classés comme suit :</w:t>
      </w:r>
    </w:p>
    <w:p w14:paraId="365C70FC" w14:textId="77777777" w:rsidR="00284822" w:rsidRDefault="00284822">
      <w:pPr>
        <w:spacing w:before="120" w:after="120"/>
        <w:rPr>
          <w:rFonts w:ascii="Rockwell" w:hAnsi="Rockwell"/>
          <w:sz w:val="10"/>
          <w:szCs w:val="10"/>
        </w:rPr>
      </w:pPr>
    </w:p>
    <w:p w14:paraId="13674393" w14:textId="77777777" w:rsidR="00284822" w:rsidRDefault="00F77BF8">
      <w:pPr>
        <w:suppressAutoHyphens w:val="0"/>
        <w:spacing w:before="120" w:after="120"/>
        <w:ind w:left="720"/>
        <w:jc w:val="center"/>
        <w:rPr>
          <w:rFonts w:ascii="Rockwell" w:hAnsi="Rockwell"/>
          <w:sz w:val="20"/>
          <w:szCs w:val="20"/>
        </w:rPr>
      </w:pPr>
      <w:r>
        <w:rPr>
          <w:rFonts w:ascii="Rockwell" w:hAnsi="Rockwell"/>
          <w:b/>
          <w:i/>
          <w:sz w:val="20"/>
          <w:szCs w:val="20"/>
          <w:u w:val="single"/>
        </w:rPr>
        <w:t>Tableau 19</w:t>
      </w:r>
      <w:r>
        <w:rPr>
          <w:rFonts w:ascii="Rockwell" w:hAnsi="Rockwell"/>
          <w:b/>
          <w:i/>
          <w:sz w:val="20"/>
          <w:szCs w:val="20"/>
        </w:rPr>
        <w:t> :</w:t>
      </w:r>
      <w:r>
        <w:rPr>
          <w:rFonts w:ascii="Rockwell" w:hAnsi="Rockwell"/>
          <w:b/>
          <w:i/>
          <w:sz w:val="20"/>
          <w:szCs w:val="20"/>
          <w:u w:val="single"/>
        </w:rPr>
        <w:t xml:space="preserve"> </w:t>
      </w:r>
      <w:r>
        <w:rPr>
          <w:rFonts w:ascii="Rockwell" w:hAnsi="Rockwell"/>
          <w:i/>
          <w:sz w:val="20"/>
          <w:szCs w:val="20"/>
        </w:rPr>
        <w:t>Classement des quatre partis politiques selon les NA et NI publiés dans Ouest actu</w:t>
      </w:r>
    </w:p>
    <w:tbl>
      <w:tblPr>
        <w:tblW w:w="9548" w:type="dxa"/>
        <w:jc w:val="center"/>
        <w:tblCellMar>
          <w:left w:w="70" w:type="dxa"/>
          <w:right w:w="70" w:type="dxa"/>
        </w:tblCellMar>
        <w:tblLook w:val="04A0" w:firstRow="1" w:lastRow="0" w:firstColumn="1" w:lastColumn="0" w:noHBand="0" w:noVBand="1"/>
      </w:tblPr>
      <w:tblGrid>
        <w:gridCol w:w="1555"/>
        <w:gridCol w:w="2551"/>
        <w:gridCol w:w="1276"/>
        <w:gridCol w:w="1276"/>
        <w:gridCol w:w="1491"/>
        <w:gridCol w:w="1399"/>
      </w:tblGrid>
      <w:tr w:rsidR="00284822" w14:paraId="13E736EE" w14:textId="77777777">
        <w:trPr>
          <w:trHeight w:val="300"/>
          <w:jc w:val="center"/>
        </w:trPr>
        <w:tc>
          <w:tcPr>
            <w:tcW w:w="9548" w:type="dxa"/>
            <w:gridSpan w:val="6"/>
            <w:tcBorders>
              <w:top w:val="single" w:sz="4" w:space="0" w:color="auto"/>
              <w:left w:val="single" w:sz="4" w:space="0" w:color="auto"/>
              <w:bottom w:val="single" w:sz="4" w:space="0" w:color="auto"/>
              <w:right w:val="single" w:sz="4" w:space="0" w:color="000000"/>
            </w:tcBorders>
            <w:shd w:val="clear" w:color="auto" w:fill="BDD6EE" w:themeFill="accent1" w:themeFillTint="66"/>
            <w:noWrap/>
            <w:vAlign w:val="bottom"/>
          </w:tcPr>
          <w:p w14:paraId="7B981193" w14:textId="77777777" w:rsidR="00284822" w:rsidRDefault="00F77BF8">
            <w:pPr>
              <w:suppressAutoHyphens w:val="0"/>
              <w:autoSpaceDN/>
              <w:spacing w:before="120" w:after="120"/>
              <w:jc w:val="center"/>
              <w:textAlignment w:val="auto"/>
              <w:rPr>
                <w:rFonts w:ascii="Rockwell" w:hAnsi="Rockwell" w:cs="Calibri"/>
                <w:b/>
                <w:bCs/>
                <w:color w:val="000000"/>
                <w:szCs w:val="26"/>
              </w:rPr>
            </w:pPr>
            <w:r>
              <w:rPr>
                <w:rFonts w:ascii="Rockwell" w:hAnsi="Rockwell"/>
                <w:b/>
                <w:color w:val="000000"/>
                <w:szCs w:val="26"/>
              </w:rPr>
              <w:t>Ouestactu.net</w:t>
            </w:r>
          </w:p>
        </w:tc>
      </w:tr>
      <w:tr w:rsidR="00284822" w14:paraId="02B2C40D" w14:textId="77777777">
        <w:trPr>
          <w:trHeight w:val="300"/>
          <w:jc w:val="center"/>
        </w:trPr>
        <w:tc>
          <w:tcPr>
            <w:tcW w:w="1555" w:type="dxa"/>
            <w:tcBorders>
              <w:top w:val="nil"/>
              <w:left w:val="single" w:sz="4" w:space="0" w:color="auto"/>
              <w:bottom w:val="single" w:sz="4" w:space="0" w:color="auto"/>
              <w:right w:val="single" w:sz="4" w:space="0" w:color="auto"/>
            </w:tcBorders>
            <w:shd w:val="clear" w:color="auto" w:fill="BDD6EE" w:themeFill="accent1" w:themeFillTint="66"/>
            <w:noWrap/>
            <w:vAlign w:val="bottom"/>
          </w:tcPr>
          <w:p w14:paraId="28330C1F" w14:textId="77777777" w:rsidR="00284822" w:rsidRDefault="00F77BF8">
            <w:pPr>
              <w:suppressAutoHyphens w:val="0"/>
              <w:autoSpaceDN/>
              <w:spacing w:before="120" w:after="120"/>
              <w:textAlignment w:val="auto"/>
              <w:rPr>
                <w:rFonts w:ascii="Rockwell" w:hAnsi="Rockwell" w:cs="Calibri"/>
                <w:b/>
                <w:bCs/>
                <w:color w:val="000000"/>
                <w:szCs w:val="26"/>
              </w:rPr>
            </w:pPr>
            <w:r>
              <w:rPr>
                <w:rFonts w:ascii="Rockwell" w:hAnsi="Rockwell" w:cs="Calibri"/>
                <w:b/>
                <w:bCs/>
                <w:color w:val="000000"/>
                <w:szCs w:val="26"/>
              </w:rPr>
              <w:t>Rang</w:t>
            </w:r>
          </w:p>
        </w:tc>
        <w:tc>
          <w:tcPr>
            <w:tcW w:w="2551" w:type="dxa"/>
            <w:tcBorders>
              <w:top w:val="nil"/>
              <w:left w:val="nil"/>
              <w:bottom w:val="single" w:sz="4" w:space="0" w:color="auto"/>
              <w:right w:val="single" w:sz="4" w:space="0" w:color="auto"/>
            </w:tcBorders>
            <w:shd w:val="clear" w:color="auto" w:fill="BDD6EE" w:themeFill="accent1" w:themeFillTint="66"/>
            <w:noWrap/>
            <w:vAlign w:val="bottom"/>
          </w:tcPr>
          <w:p w14:paraId="4964DBED" w14:textId="34CA5172" w:rsidR="00284822" w:rsidRDefault="0046752A">
            <w:pPr>
              <w:suppressAutoHyphens w:val="0"/>
              <w:autoSpaceDN/>
              <w:spacing w:before="120" w:after="120"/>
              <w:textAlignment w:val="auto"/>
              <w:rPr>
                <w:rFonts w:ascii="Rockwell" w:hAnsi="Rockwell" w:cs="Calibri"/>
                <w:b/>
                <w:bCs/>
                <w:color w:val="000000"/>
                <w:szCs w:val="26"/>
              </w:rPr>
            </w:pPr>
            <w:r>
              <w:rPr>
                <w:rFonts w:ascii="Rockwell" w:hAnsi="Rockwell" w:cs="Calibri"/>
                <w:b/>
                <w:bCs/>
                <w:color w:val="000000"/>
                <w:szCs w:val="26"/>
              </w:rPr>
              <w:t>PARTIS POLITIQUES</w:t>
            </w:r>
          </w:p>
        </w:tc>
        <w:tc>
          <w:tcPr>
            <w:tcW w:w="1276" w:type="dxa"/>
            <w:tcBorders>
              <w:top w:val="nil"/>
              <w:left w:val="nil"/>
              <w:bottom w:val="single" w:sz="4" w:space="0" w:color="auto"/>
              <w:right w:val="single" w:sz="4" w:space="0" w:color="auto"/>
            </w:tcBorders>
            <w:shd w:val="clear" w:color="auto" w:fill="BDD6EE" w:themeFill="accent1" w:themeFillTint="66"/>
            <w:noWrap/>
            <w:vAlign w:val="bottom"/>
          </w:tcPr>
          <w:p w14:paraId="3D55E4B2" w14:textId="77777777" w:rsidR="00284822" w:rsidRDefault="00F77BF8">
            <w:pPr>
              <w:suppressAutoHyphens w:val="0"/>
              <w:autoSpaceDN/>
              <w:spacing w:before="120" w:after="120"/>
              <w:textAlignment w:val="auto"/>
              <w:rPr>
                <w:rFonts w:ascii="Rockwell" w:hAnsi="Rockwell" w:cs="Calibri"/>
                <w:b/>
                <w:bCs/>
                <w:color w:val="000000"/>
                <w:szCs w:val="26"/>
              </w:rPr>
            </w:pPr>
            <w:r>
              <w:rPr>
                <w:rFonts w:ascii="Rockwell" w:hAnsi="Rockwell" w:cs="Calibri"/>
                <w:b/>
                <w:bCs/>
                <w:color w:val="000000"/>
                <w:szCs w:val="26"/>
              </w:rPr>
              <w:t>NA</w:t>
            </w:r>
          </w:p>
        </w:tc>
        <w:tc>
          <w:tcPr>
            <w:tcW w:w="1276" w:type="dxa"/>
            <w:tcBorders>
              <w:top w:val="nil"/>
              <w:left w:val="nil"/>
              <w:bottom w:val="single" w:sz="4" w:space="0" w:color="auto"/>
              <w:right w:val="single" w:sz="4" w:space="0" w:color="auto"/>
            </w:tcBorders>
            <w:shd w:val="clear" w:color="auto" w:fill="BDD6EE" w:themeFill="accent1" w:themeFillTint="66"/>
            <w:noWrap/>
            <w:vAlign w:val="bottom"/>
          </w:tcPr>
          <w:p w14:paraId="23335316" w14:textId="77777777" w:rsidR="00284822" w:rsidRDefault="00F77BF8">
            <w:pPr>
              <w:suppressAutoHyphens w:val="0"/>
              <w:autoSpaceDN/>
              <w:spacing w:before="120" w:after="120"/>
              <w:textAlignment w:val="auto"/>
              <w:rPr>
                <w:rFonts w:ascii="Rockwell" w:hAnsi="Rockwell" w:cs="Calibri"/>
                <w:b/>
                <w:bCs/>
                <w:color w:val="000000"/>
                <w:szCs w:val="26"/>
              </w:rPr>
            </w:pPr>
            <w:r>
              <w:rPr>
                <w:rFonts w:ascii="Rockwell" w:hAnsi="Rockwell" w:cs="Calibri"/>
                <w:b/>
                <w:bCs/>
                <w:color w:val="000000"/>
                <w:szCs w:val="26"/>
              </w:rPr>
              <w:t>%NA</w:t>
            </w:r>
          </w:p>
        </w:tc>
        <w:tc>
          <w:tcPr>
            <w:tcW w:w="1491" w:type="dxa"/>
            <w:tcBorders>
              <w:top w:val="nil"/>
              <w:left w:val="nil"/>
              <w:bottom w:val="single" w:sz="4" w:space="0" w:color="auto"/>
              <w:right w:val="single" w:sz="4" w:space="0" w:color="auto"/>
            </w:tcBorders>
            <w:shd w:val="clear" w:color="auto" w:fill="BDD6EE" w:themeFill="accent1" w:themeFillTint="66"/>
            <w:noWrap/>
            <w:vAlign w:val="bottom"/>
          </w:tcPr>
          <w:p w14:paraId="03074558" w14:textId="77777777" w:rsidR="00284822" w:rsidRDefault="00F77BF8">
            <w:pPr>
              <w:suppressAutoHyphens w:val="0"/>
              <w:autoSpaceDN/>
              <w:spacing w:before="120" w:after="120"/>
              <w:textAlignment w:val="auto"/>
              <w:rPr>
                <w:rFonts w:ascii="Rockwell" w:hAnsi="Rockwell" w:cs="Calibri"/>
                <w:b/>
                <w:bCs/>
                <w:color w:val="000000"/>
                <w:szCs w:val="26"/>
              </w:rPr>
            </w:pPr>
            <w:r>
              <w:rPr>
                <w:rFonts w:ascii="Rockwell" w:hAnsi="Rockwell" w:cs="Calibri"/>
                <w:b/>
                <w:bCs/>
                <w:color w:val="000000"/>
                <w:szCs w:val="26"/>
              </w:rPr>
              <w:t>NI</w:t>
            </w:r>
          </w:p>
        </w:tc>
        <w:tc>
          <w:tcPr>
            <w:tcW w:w="1399" w:type="dxa"/>
            <w:tcBorders>
              <w:top w:val="nil"/>
              <w:left w:val="nil"/>
              <w:bottom w:val="single" w:sz="4" w:space="0" w:color="auto"/>
              <w:right w:val="single" w:sz="4" w:space="0" w:color="auto"/>
            </w:tcBorders>
            <w:shd w:val="clear" w:color="auto" w:fill="BDD6EE" w:themeFill="accent1" w:themeFillTint="66"/>
            <w:noWrap/>
            <w:vAlign w:val="bottom"/>
          </w:tcPr>
          <w:p w14:paraId="48FBE5FC" w14:textId="77777777" w:rsidR="00284822" w:rsidRDefault="00F77BF8">
            <w:pPr>
              <w:suppressAutoHyphens w:val="0"/>
              <w:autoSpaceDN/>
              <w:spacing w:before="120" w:after="120"/>
              <w:textAlignment w:val="auto"/>
              <w:rPr>
                <w:rFonts w:ascii="Rockwell" w:hAnsi="Rockwell" w:cs="Calibri"/>
                <w:b/>
                <w:bCs/>
                <w:color w:val="000000"/>
                <w:szCs w:val="26"/>
              </w:rPr>
            </w:pPr>
            <w:r>
              <w:rPr>
                <w:rFonts w:ascii="Rockwell" w:hAnsi="Rockwell" w:cs="Calibri"/>
                <w:b/>
                <w:bCs/>
                <w:color w:val="000000"/>
                <w:szCs w:val="26"/>
              </w:rPr>
              <w:t>%NI</w:t>
            </w:r>
          </w:p>
        </w:tc>
      </w:tr>
      <w:tr w:rsidR="00284822" w14:paraId="6322E694" w14:textId="77777777">
        <w:trPr>
          <w:trHeight w:val="300"/>
          <w:jc w:val="center"/>
        </w:trPr>
        <w:tc>
          <w:tcPr>
            <w:tcW w:w="1555" w:type="dxa"/>
            <w:tcBorders>
              <w:top w:val="nil"/>
              <w:left w:val="single" w:sz="4" w:space="0" w:color="auto"/>
              <w:bottom w:val="single" w:sz="4" w:space="0" w:color="auto"/>
              <w:right w:val="single" w:sz="4" w:space="0" w:color="auto"/>
            </w:tcBorders>
            <w:shd w:val="clear" w:color="auto" w:fill="auto"/>
            <w:noWrap/>
            <w:vAlign w:val="bottom"/>
          </w:tcPr>
          <w:p w14:paraId="1F17E67D" w14:textId="77777777" w:rsidR="00284822" w:rsidRDefault="00F77BF8">
            <w:pPr>
              <w:suppressAutoHyphens w:val="0"/>
              <w:autoSpaceDN/>
              <w:spacing w:before="120" w:after="120"/>
              <w:textAlignment w:val="auto"/>
              <w:rPr>
                <w:rFonts w:ascii="Rockwell" w:hAnsi="Rockwell" w:cs="Calibri"/>
                <w:color w:val="000000"/>
                <w:szCs w:val="26"/>
              </w:rPr>
            </w:pPr>
            <w:r>
              <w:rPr>
                <w:rFonts w:ascii="Rockwell" w:hAnsi="Rockwell" w:cs="Calibri"/>
                <w:color w:val="000000"/>
                <w:szCs w:val="26"/>
              </w:rPr>
              <w:t> 1</w:t>
            </w:r>
            <w:r>
              <w:rPr>
                <w:rFonts w:ascii="Rockwell" w:hAnsi="Rockwell" w:cs="Calibri"/>
                <w:color w:val="000000"/>
                <w:szCs w:val="26"/>
                <w:vertAlign w:val="superscript"/>
              </w:rPr>
              <w:t>er</w:t>
            </w:r>
            <w:r>
              <w:rPr>
                <w:rFonts w:ascii="Rockwell" w:hAnsi="Rockwell" w:cs="Calibri"/>
                <w:color w:val="000000"/>
                <w:szCs w:val="26"/>
              </w:rPr>
              <w:t xml:space="preserve"> </w:t>
            </w:r>
          </w:p>
        </w:tc>
        <w:tc>
          <w:tcPr>
            <w:tcW w:w="2551" w:type="dxa"/>
            <w:tcBorders>
              <w:top w:val="nil"/>
              <w:left w:val="nil"/>
              <w:bottom w:val="single" w:sz="4" w:space="0" w:color="auto"/>
              <w:right w:val="single" w:sz="4" w:space="0" w:color="auto"/>
            </w:tcBorders>
            <w:shd w:val="clear" w:color="auto" w:fill="auto"/>
            <w:noWrap/>
            <w:vAlign w:val="bottom"/>
          </w:tcPr>
          <w:p w14:paraId="72F212FD" w14:textId="77777777" w:rsidR="00284822" w:rsidRDefault="00F77BF8">
            <w:pPr>
              <w:suppressAutoHyphens w:val="0"/>
              <w:autoSpaceDN/>
              <w:spacing w:before="120" w:after="120"/>
              <w:textAlignment w:val="auto"/>
              <w:rPr>
                <w:rFonts w:ascii="Rockwell" w:hAnsi="Rockwell" w:cs="Calibri"/>
                <w:color w:val="000000"/>
                <w:szCs w:val="26"/>
              </w:rPr>
            </w:pPr>
            <w:r>
              <w:rPr>
                <w:rFonts w:ascii="Rockwell" w:hAnsi="Rockwell" w:cs="Calibri"/>
                <w:color w:val="000000"/>
                <w:szCs w:val="26"/>
              </w:rPr>
              <w:t>CDP</w:t>
            </w:r>
          </w:p>
        </w:tc>
        <w:tc>
          <w:tcPr>
            <w:tcW w:w="1276" w:type="dxa"/>
            <w:tcBorders>
              <w:top w:val="nil"/>
              <w:left w:val="nil"/>
              <w:bottom w:val="single" w:sz="4" w:space="0" w:color="auto"/>
              <w:right w:val="single" w:sz="4" w:space="0" w:color="auto"/>
            </w:tcBorders>
            <w:shd w:val="clear" w:color="auto" w:fill="auto"/>
            <w:noWrap/>
            <w:vAlign w:val="bottom"/>
          </w:tcPr>
          <w:p w14:paraId="4BCF72FD" w14:textId="77777777" w:rsidR="00284822" w:rsidRDefault="00F77BF8">
            <w:pPr>
              <w:suppressAutoHyphens w:val="0"/>
              <w:autoSpaceDN/>
              <w:spacing w:before="120" w:after="120"/>
              <w:textAlignment w:val="auto"/>
              <w:rPr>
                <w:rFonts w:ascii="Rockwell" w:hAnsi="Rockwell" w:cs="Calibri"/>
                <w:color w:val="000000"/>
                <w:szCs w:val="26"/>
              </w:rPr>
            </w:pPr>
            <w:r>
              <w:rPr>
                <w:rFonts w:ascii="Rockwell" w:hAnsi="Rockwell" w:cs="Calibri"/>
                <w:color w:val="000000"/>
                <w:szCs w:val="26"/>
              </w:rPr>
              <w:t>2</w:t>
            </w:r>
          </w:p>
        </w:tc>
        <w:tc>
          <w:tcPr>
            <w:tcW w:w="1276" w:type="dxa"/>
            <w:tcBorders>
              <w:top w:val="nil"/>
              <w:left w:val="nil"/>
              <w:bottom w:val="single" w:sz="4" w:space="0" w:color="auto"/>
              <w:right w:val="single" w:sz="4" w:space="0" w:color="auto"/>
            </w:tcBorders>
            <w:shd w:val="clear" w:color="auto" w:fill="auto"/>
            <w:noWrap/>
            <w:vAlign w:val="bottom"/>
          </w:tcPr>
          <w:p w14:paraId="707B3025" w14:textId="77777777" w:rsidR="00284822" w:rsidRDefault="00F77BF8">
            <w:pPr>
              <w:suppressAutoHyphens w:val="0"/>
              <w:autoSpaceDN/>
              <w:spacing w:before="120" w:after="120"/>
              <w:textAlignment w:val="auto"/>
              <w:rPr>
                <w:rFonts w:ascii="Rockwell" w:hAnsi="Rockwell" w:cs="Calibri"/>
                <w:color w:val="000000"/>
                <w:szCs w:val="26"/>
              </w:rPr>
            </w:pPr>
            <w:r>
              <w:rPr>
                <w:rFonts w:ascii="Rockwell" w:hAnsi="Rockwell" w:cs="Calibri"/>
                <w:color w:val="000000"/>
                <w:szCs w:val="26"/>
              </w:rPr>
              <w:t>40,00%</w:t>
            </w:r>
          </w:p>
        </w:tc>
        <w:tc>
          <w:tcPr>
            <w:tcW w:w="1491" w:type="dxa"/>
            <w:tcBorders>
              <w:top w:val="nil"/>
              <w:left w:val="nil"/>
              <w:bottom w:val="single" w:sz="4" w:space="0" w:color="auto"/>
              <w:right w:val="single" w:sz="4" w:space="0" w:color="auto"/>
            </w:tcBorders>
            <w:shd w:val="clear" w:color="auto" w:fill="auto"/>
            <w:noWrap/>
            <w:vAlign w:val="bottom"/>
          </w:tcPr>
          <w:p w14:paraId="40F2EC49" w14:textId="77777777" w:rsidR="00284822" w:rsidRDefault="00F77BF8">
            <w:pPr>
              <w:suppressAutoHyphens w:val="0"/>
              <w:autoSpaceDN/>
              <w:spacing w:before="120" w:after="120"/>
              <w:textAlignment w:val="auto"/>
              <w:rPr>
                <w:rFonts w:ascii="Rockwell" w:hAnsi="Rockwell" w:cs="Calibri"/>
                <w:color w:val="000000"/>
                <w:szCs w:val="26"/>
              </w:rPr>
            </w:pPr>
            <w:r>
              <w:rPr>
                <w:rFonts w:ascii="Rockwell" w:hAnsi="Rockwell" w:cs="Calibri"/>
                <w:color w:val="000000"/>
                <w:szCs w:val="26"/>
              </w:rPr>
              <w:t>2</w:t>
            </w:r>
          </w:p>
        </w:tc>
        <w:tc>
          <w:tcPr>
            <w:tcW w:w="1399" w:type="dxa"/>
            <w:tcBorders>
              <w:top w:val="nil"/>
              <w:left w:val="nil"/>
              <w:bottom w:val="single" w:sz="4" w:space="0" w:color="auto"/>
              <w:right w:val="single" w:sz="4" w:space="0" w:color="auto"/>
            </w:tcBorders>
            <w:shd w:val="clear" w:color="auto" w:fill="auto"/>
            <w:noWrap/>
            <w:vAlign w:val="bottom"/>
          </w:tcPr>
          <w:p w14:paraId="425F7546" w14:textId="77777777" w:rsidR="00284822" w:rsidRDefault="00F77BF8">
            <w:pPr>
              <w:suppressAutoHyphens w:val="0"/>
              <w:autoSpaceDN/>
              <w:spacing w:before="120" w:after="120"/>
              <w:textAlignment w:val="auto"/>
              <w:rPr>
                <w:rFonts w:ascii="Rockwell" w:hAnsi="Rockwell" w:cs="Calibri"/>
                <w:color w:val="000000"/>
                <w:szCs w:val="26"/>
              </w:rPr>
            </w:pPr>
            <w:r>
              <w:rPr>
                <w:rFonts w:ascii="Rockwell" w:hAnsi="Rockwell" w:cs="Calibri"/>
                <w:color w:val="000000"/>
                <w:szCs w:val="26"/>
              </w:rPr>
              <w:t>40,00%</w:t>
            </w:r>
          </w:p>
        </w:tc>
      </w:tr>
      <w:tr w:rsidR="00284822" w14:paraId="49480E29" w14:textId="77777777">
        <w:trPr>
          <w:trHeight w:val="300"/>
          <w:jc w:val="center"/>
        </w:trPr>
        <w:tc>
          <w:tcPr>
            <w:tcW w:w="1555" w:type="dxa"/>
            <w:tcBorders>
              <w:top w:val="nil"/>
              <w:left w:val="single" w:sz="4" w:space="0" w:color="auto"/>
              <w:bottom w:val="single" w:sz="4" w:space="0" w:color="auto"/>
              <w:right w:val="single" w:sz="4" w:space="0" w:color="auto"/>
            </w:tcBorders>
            <w:shd w:val="clear" w:color="auto" w:fill="auto"/>
            <w:noWrap/>
            <w:vAlign w:val="bottom"/>
          </w:tcPr>
          <w:p w14:paraId="4CF4A809" w14:textId="77777777" w:rsidR="00284822" w:rsidRDefault="00F77BF8">
            <w:pPr>
              <w:suppressAutoHyphens w:val="0"/>
              <w:autoSpaceDN/>
              <w:spacing w:before="120" w:after="120"/>
              <w:textAlignment w:val="auto"/>
              <w:rPr>
                <w:rFonts w:ascii="Rockwell" w:hAnsi="Rockwell" w:cs="Calibri"/>
                <w:color w:val="000000"/>
                <w:szCs w:val="26"/>
              </w:rPr>
            </w:pPr>
            <w:r>
              <w:rPr>
                <w:rFonts w:ascii="Rockwell" w:hAnsi="Rockwell" w:cs="Calibri"/>
                <w:color w:val="000000"/>
                <w:szCs w:val="26"/>
              </w:rPr>
              <w:t> 2</w:t>
            </w:r>
            <w:r>
              <w:rPr>
                <w:rFonts w:ascii="Rockwell" w:hAnsi="Rockwell" w:cs="Calibri"/>
                <w:color w:val="000000"/>
                <w:szCs w:val="26"/>
                <w:vertAlign w:val="superscript"/>
              </w:rPr>
              <w:t>e</w:t>
            </w:r>
            <w:r>
              <w:rPr>
                <w:rFonts w:ascii="Rockwell" w:hAnsi="Rockwell" w:cs="Calibri"/>
                <w:color w:val="000000"/>
                <w:szCs w:val="26"/>
              </w:rPr>
              <w:t xml:space="preserve"> </w:t>
            </w:r>
          </w:p>
        </w:tc>
        <w:tc>
          <w:tcPr>
            <w:tcW w:w="2551" w:type="dxa"/>
            <w:tcBorders>
              <w:top w:val="nil"/>
              <w:left w:val="nil"/>
              <w:bottom w:val="single" w:sz="4" w:space="0" w:color="auto"/>
              <w:right w:val="single" w:sz="4" w:space="0" w:color="auto"/>
            </w:tcBorders>
            <w:shd w:val="clear" w:color="auto" w:fill="auto"/>
            <w:noWrap/>
            <w:vAlign w:val="bottom"/>
          </w:tcPr>
          <w:p w14:paraId="60DF4D2A" w14:textId="77777777" w:rsidR="00284822" w:rsidRDefault="00F77BF8">
            <w:pPr>
              <w:suppressAutoHyphens w:val="0"/>
              <w:autoSpaceDN/>
              <w:spacing w:before="120" w:after="120"/>
              <w:textAlignment w:val="auto"/>
              <w:rPr>
                <w:rFonts w:ascii="Rockwell" w:hAnsi="Rockwell" w:cs="Calibri"/>
                <w:color w:val="000000"/>
                <w:szCs w:val="26"/>
              </w:rPr>
            </w:pPr>
            <w:r>
              <w:rPr>
                <w:rFonts w:ascii="Rockwell" w:hAnsi="Rockwell" w:cs="Calibri"/>
                <w:color w:val="000000"/>
                <w:szCs w:val="26"/>
              </w:rPr>
              <w:t>MPP</w:t>
            </w:r>
          </w:p>
        </w:tc>
        <w:tc>
          <w:tcPr>
            <w:tcW w:w="1276" w:type="dxa"/>
            <w:tcBorders>
              <w:top w:val="nil"/>
              <w:left w:val="nil"/>
              <w:bottom w:val="single" w:sz="4" w:space="0" w:color="auto"/>
              <w:right w:val="single" w:sz="4" w:space="0" w:color="auto"/>
            </w:tcBorders>
            <w:shd w:val="clear" w:color="auto" w:fill="auto"/>
            <w:noWrap/>
            <w:vAlign w:val="bottom"/>
          </w:tcPr>
          <w:p w14:paraId="71A033AC" w14:textId="77777777" w:rsidR="00284822" w:rsidRDefault="00F77BF8">
            <w:pPr>
              <w:suppressAutoHyphens w:val="0"/>
              <w:autoSpaceDN/>
              <w:spacing w:before="120" w:after="120"/>
              <w:textAlignment w:val="auto"/>
              <w:rPr>
                <w:rFonts w:ascii="Rockwell" w:hAnsi="Rockwell" w:cs="Calibri"/>
                <w:color w:val="000000"/>
                <w:szCs w:val="26"/>
              </w:rPr>
            </w:pPr>
            <w:r>
              <w:rPr>
                <w:rFonts w:ascii="Rockwell" w:hAnsi="Rockwell" w:cs="Calibri"/>
                <w:color w:val="000000"/>
                <w:szCs w:val="26"/>
              </w:rPr>
              <w:t>1</w:t>
            </w:r>
          </w:p>
        </w:tc>
        <w:tc>
          <w:tcPr>
            <w:tcW w:w="1276" w:type="dxa"/>
            <w:tcBorders>
              <w:top w:val="nil"/>
              <w:left w:val="nil"/>
              <w:bottom w:val="single" w:sz="4" w:space="0" w:color="auto"/>
              <w:right w:val="single" w:sz="4" w:space="0" w:color="auto"/>
            </w:tcBorders>
            <w:shd w:val="clear" w:color="auto" w:fill="auto"/>
            <w:noWrap/>
            <w:vAlign w:val="bottom"/>
          </w:tcPr>
          <w:p w14:paraId="29EB5182" w14:textId="77777777" w:rsidR="00284822" w:rsidRDefault="00F77BF8">
            <w:pPr>
              <w:suppressAutoHyphens w:val="0"/>
              <w:autoSpaceDN/>
              <w:spacing w:before="120" w:after="120"/>
              <w:textAlignment w:val="auto"/>
              <w:rPr>
                <w:rFonts w:ascii="Rockwell" w:hAnsi="Rockwell" w:cs="Calibri"/>
                <w:color w:val="000000"/>
                <w:szCs w:val="26"/>
              </w:rPr>
            </w:pPr>
            <w:r>
              <w:rPr>
                <w:rFonts w:ascii="Rockwell" w:hAnsi="Rockwell" w:cs="Calibri"/>
                <w:color w:val="000000"/>
                <w:szCs w:val="26"/>
              </w:rPr>
              <w:t>20,00%</w:t>
            </w:r>
          </w:p>
        </w:tc>
        <w:tc>
          <w:tcPr>
            <w:tcW w:w="1491" w:type="dxa"/>
            <w:tcBorders>
              <w:top w:val="nil"/>
              <w:left w:val="nil"/>
              <w:bottom w:val="single" w:sz="4" w:space="0" w:color="auto"/>
              <w:right w:val="single" w:sz="4" w:space="0" w:color="auto"/>
            </w:tcBorders>
            <w:shd w:val="clear" w:color="auto" w:fill="auto"/>
            <w:noWrap/>
            <w:vAlign w:val="bottom"/>
          </w:tcPr>
          <w:p w14:paraId="43A2C42A" w14:textId="77777777" w:rsidR="00284822" w:rsidRDefault="00F77BF8">
            <w:pPr>
              <w:suppressAutoHyphens w:val="0"/>
              <w:autoSpaceDN/>
              <w:spacing w:before="120" w:after="120"/>
              <w:textAlignment w:val="auto"/>
              <w:rPr>
                <w:rFonts w:ascii="Rockwell" w:hAnsi="Rockwell" w:cs="Calibri"/>
                <w:color w:val="000000"/>
                <w:szCs w:val="26"/>
              </w:rPr>
            </w:pPr>
            <w:r>
              <w:rPr>
                <w:rFonts w:ascii="Rockwell" w:hAnsi="Rockwell" w:cs="Calibri"/>
                <w:color w:val="000000"/>
                <w:szCs w:val="26"/>
              </w:rPr>
              <w:t>1</w:t>
            </w:r>
          </w:p>
        </w:tc>
        <w:tc>
          <w:tcPr>
            <w:tcW w:w="1399" w:type="dxa"/>
            <w:tcBorders>
              <w:top w:val="nil"/>
              <w:left w:val="nil"/>
              <w:bottom w:val="single" w:sz="4" w:space="0" w:color="auto"/>
              <w:right w:val="single" w:sz="4" w:space="0" w:color="auto"/>
            </w:tcBorders>
            <w:shd w:val="clear" w:color="auto" w:fill="auto"/>
            <w:noWrap/>
            <w:vAlign w:val="bottom"/>
          </w:tcPr>
          <w:p w14:paraId="564C543A" w14:textId="77777777" w:rsidR="00284822" w:rsidRDefault="00F77BF8">
            <w:pPr>
              <w:suppressAutoHyphens w:val="0"/>
              <w:autoSpaceDN/>
              <w:spacing w:before="120" w:after="120"/>
              <w:textAlignment w:val="auto"/>
              <w:rPr>
                <w:rFonts w:ascii="Rockwell" w:hAnsi="Rockwell" w:cs="Calibri"/>
                <w:color w:val="000000"/>
                <w:szCs w:val="26"/>
              </w:rPr>
            </w:pPr>
            <w:r>
              <w:rPr>
                <w:rFonts w:ascii="Rockwell" w:hAnsi="Rockwell" w:cs="Calibri"/>
                <w:color w:val="000000"/>
                <w:szCs w:val="26"/>
              </w:rPr>
              <w:t>20,00%</w:t>
            </w:r>
          </w:p>
        </w:tc>
      </w:tr>
      <w:tr w:rsidR="00284822" w14:paraId="7A43B3DB" w14:textId="77777777">
        <w:trPr>
          <w:trHeight w:val="300"/>
          <w:jc w:val="center"/>
        </w:trPr>
        <w:tc>
          <w:tcPr>
            <w:tcW w:w="1555" w:type="dxa"/>
            <w:tcBorders>
              <w:top w:val="nil"/>
              <w:left w:val="single" w:sz="4" w:space="0" w:color="auto"/>
              <w:bottom w:val="single" w:sz="4" w:space="0" w:color="auto"/>
              <w:right w:val="single" w:sz="4" w:space="0" w:color="auto"/>
            </w:tcBorders>
            <w:shd w:val="clear" w:color="auto" w:fill="auto"/>
            <w:noWrap/>
            <w:vAlign w:val="bottom"/>
          </w:tcPr>
          <w:p w14:paraId="6C54139B" w14:textId="77777777" w:rsidR="00284822" w:rsidRDefault="00F77BF8">
            <w:pPr>
              <w:suppressAutoHyphens w:val="0"/>
              <w:autoSpaceDN/>
              <w:spacing w:before="120" w:after="120"/>
              <w:textAlignment w:val="auto"/>
              <w:rPr>
                <w:rFonts w:ascii="Rockwell" w:hAnsi="Rockwell" w:cs="Calibri"/>
                <w:color w:val="000000"/>
                <w:szCs w:val="26"/>
              </w:rPr>
            </w:pPr>
            <w:r>
              <w:rPr>
                <w:rFonts w:ascii="Rockwell" w:hAnsi="Rockwell" w:cs="Calibri"/>
                <w:color w:val="000000"/>
                <w:szCs w:val="26"/>
              </w:rPr>
              <w:t> 2</w:t>
            </w:r>
            <w:r>
              <w:rPr>
                <w:rFonts w:ascii="Rockwell" w:hAnsi="Rockwell" w:cs="Calibri"/>
                <w:color w:val="000000"/>
                <w:szCs w:val="26"/>
                <w:vertAlign w:val="superscript"/>
              </w:rPr>
              <w:t>e</w:t>
            </w:r>
            <w:r>
              <w:rPr>
                <w:rFonts w:ascii="Rockwell" w:hAnsi="Rockwell" w:cs="Calibri"/>
                <w:color w:val="000000"/>
                <w:szCs w:val="26"/>
              </w:rPr>
              <w:t xml:space="preserve"> ex</w:t>
            </w:r>
          </w:p>
        </w:tc>
        <w:tc>
          <w:tcPr>
            <w:tcW w:w="2551" w:type="dxa"/>
            <w:tcBorders>
              <w:top w:val="nil"/>
              <w:left w:val="nil"/>
              <w:bottom w:val="single" w:sz="4" w:space="0" w:color="auto"/>
              <w:right w:val="single" w:sz="4" w:space="0" w:color="auto"/>
            </w:tcBorders>
            <w:shd w:val="clear" w:color="auto" w:fill="auto"/>
            <w:noWrap/>
            <w:vAlign w:val="bottom"/>
          </w:tcPr>
          <w:p w14:paraId="708123E8" w14:textId="77777777" w:rsidR="00284822" w:rsidRDefault="00F77BF8">
            <w:pPr>
              <w:suppressAutoHyphens w:val="0"/>
              <w:autoSpaceDN/>
              <w:spacing w:before="120" w:after="120"/>
              <w:textAlignment w:val="auto"/>
              <w:rPr>
                <w:rFonts w:ascii="Rockwell" w:hAnsi="Rockwell" w:cs="Calibri"/>
                <w:color w:val="000000"/>
                <w:szCs w:val="26"/>
              </w:rPr>
            </w:pPr>
            <w:r>
              <w:rPr>
                <w:rFonts w:ascii="Rockwell" w:hAnsi="Rockwell" w:cs="Calibri"/>
                <w:color w:val="000000"/>
                <w:szCs w:val="26"/>
              </w:rPr>
              <w:t>SOCL</w:t>
            </w:r>
          </w:p>
        </w:tc>
        <w:tc>
          <w:tcPr>
            <w:tcW w:w="1276" w:type="dxa"/>
            <w:tcBorders>
              <w:top w:val="nil"/>
              <w:left w:val="nil"/>
              <w:bottom w:val="single" w:sz="4" w:space="0" w:color="auto"/>
              <w:right w:val="single" w:sz="4" w:space="0" w:color="auto"/>
            </w:tcBorders>
            <w:shd w:val="clear" w:color="auto" w:fill="auto"/>
            <w:noWrap/>
            <w:vAlign w:val="bottom"/>
          </w:tcPr>
          <w:p w14:paraId="254B6C33" w14:textId="77777777" w:rsidR="00284822" w:rsidRDefault="00F77BF8">
            <w:pPr>
              <w:suppressAutoHyphens w:val="0"/>
              <w:autoSpaceDN/>
              <w:spacing w:before="120" w:after="120"/>
              <w:textAlignment w:val="auto"/>
              <w:rPr>
                <w:rFonts w:ascii="Rockwell" w:hAnsi="Rockwell" w:cs="Calibri"/>
                <w:color w:val="000000"/>
                <w:szCs w:val="26"/>
              </w:rPr>
            </w:pPr>
            <w:r>
              <w:rPr>
                <w:rFonts w:ascii="Rockwell" w:hAnsi="Rockwell" w:cs="Calibri"/>
                <w:color w:val="000000"/>
                <w:szCs w:val="26"/>
              </w:rPr>
              <w:t>1</w:t>
            </w:r>
          </w:p>
        </w:tc>
        <w:tc>
          <w:tcPr>
            <w:tcW w:w="1276" w:type="dxa"/>
            <w:tcBorders>
              <w:top w:val="nil"/>
              <w:left w:val="nil"/>
              <w:bottom w:val="single" w:sz="4" w:space="0" w:color="auto"/>
              <w:right w:val="single" w:sz="4" w:space="0" w:color="auto"/>
            </w:tcBorders>
            <w:shd w:val="clear" w:color="auto" w:fill="auto"/>
            <w:noWrap/>
            <w:vAlign w:val="bottom"/>
          </w:tcPr>
          <w:p w14:paraId="5982B02D" w14:textId="77777777" w:rsidR="00284822" w:rsidRDefault="00F77BF8">
            <w:pPr>
              <w:suppressAutoHyphens w:val="0"/>
              <w:autoSpaceDN/>
              <w:spacing w:before="120" w:after="120"/>
              <w:textAlignment w:val="auto"/>
              <w:rPr>
                <w:rFonts w:ascii="Rockwell" w:hAnsi="Rockwell" w:cs="Calibri"/>
                <w:color w:val="000000"/>
                <w:szCs w:val="26"/>
              </w:rPr>
            </w:pPr>
            <w:r>
              <w:rPr>
                <w:rFonts w:ascii="Rockwell" w:hAnsi="Rockwell" w:cs="Calibri"/>
                <w:color w:val="000000"/>
                <w:szCs w:val="26"/>
              </w:rPr>
              <w:t>20,00%</w:t>
            </w:r>
          </w:p>
        </w:tc>
        <w:tc>
          <w:tcPr>
            <w:tcW w:w="1491" w:type="dxa"/>
            <w:tcBorders>
              <w:top w:val="nil"/>
              <w:left w:val="nil"/>
              <w:bottom w:val="single" w:sz="4" w:space="0" w:color="auto"/>
              <w:right w:val="single" w:sz="4" w:space="0" w:color="auto"/>
            </w:tcBorders>
            <w:shd w:val="clear" w:color="auto" w:fill="auto"/>
            <w:noWrap/>
            <w:vAlign w:val="bottom"/>
          </w:tcPr>
          <w:p w14:paraId="05AD8B6A" w14:textId="77777777" w:rsidR="00284822" w:rsidRDefault="00F77BF8">
            <w:pPr>
              <w:suppressAutoHyphens w:val="0"/>
              <w:autoSpaceDN/>
              <w:spacing w:before="120" w:after="120"/>
              <w:textAlignment w:val="auto"/>
              <w:rPr>
                <w:rFonts w:ascii="Rockwell" w:hAnsi="Rockwell" w:cs="Calibri"/>
                <w:color w:val="000000"/>
                <w:szCs w:val="26"/>
              </w:rPr>
            </w:pPr>
            <w:r>
              <w:rPr>
                <w:rFonts w:ascii="Rockwell" w:hAnsi="Rockwell" w:cs="Calibri"/>
                <w:color w:val="000000"/>
                <w:szCs w:val="26"/>
              </w:rPr>
              <w:t>1</w:t>
            </w:r>
          </w:p>
        </w:tc>
        <w:tc>
          <w:tcPr>
            <w:tcW w:w="1399" w:type="dxa"/>
            <w:tcBorders>
              <w:top w:val="nil"/>
              <w:left w:val="nil"/>
              <w:bottom w:val="single" w:sz="4" w:space="0" w:color="auto"/>
              <w:right w:val="single" w:sz="4" w:space="0" w:color="auto"/>
            </w:tcBorders>
            <w:shd w:val="clear" w:color="auto" w:fill="auto"/>
            <w:noWrap/>
            <w:vAlign w:val="bottom"/>
          </w:tcPr>
          <w:p w14:paraId="6DCA058C" w14:textId="77777777" w:rsidR="00284822" w:rsidRDefault="00F77BF8">
            <w:pPr>
              <w:suppressAutoHyphens w:val="0"/>
              <w:autoSpaceDN/>
              <w:spacing w:before="120" w:after="120"/>
              <w:textAlignment w:val="auto"/>
              <w:rPr>
                <w:rFonts w:ascii="Rockwell" w:hAnsi="Rockwell" w:cs="Calibri"/>
                <w:color w:val="000000"/>
                <w:szCs w:val="26"/>
              </w:rPr>
            </w:pPr>
            <w:r>
              <w:rPr>
                <w:rFonts w:ascii="Rockwell" w:hAnsi="Rockwell" w:cs="Calibri"/>
                <w:color w:val="000000"/>
                <w:szCs w:val="26"/>
              </w:rPr>
              <w:t>20,00%</w:t>
            </w:r>
          </w:p>
        </w:tc>
      </w:tr>
      <w:tr w:rsidR="00284822" w14:paraId="675E595A" w14:textId="77777777">
        <w:trPr>
          <w:trHeight w:val="300"/>
          <w:jc w:val="center"/>
        </w:trPr>
        <w:tc>
          <w:tcPr>
            <w:tcW w:w="1555" w:type="dxa"/>
            <w:tcBorders>
              <w:top w:val="nil"/>
              <w:left w:val="single" w:sz="4" w:space="0" w:color="auto"/>
              <w:bottom w:val="single" w:sz="4" w:space="0" w:color="auto"/>
              <w:right w:val="single" w:sz="4" w:space="0" w:color="auto"/>
            </w:tcBorders>
            <w:shd w:val="clear" w:color="auto" w:fill="auto"/>
            <w:noWrap/>
            <w:vAlign w:val="bottom"/>
          </w:tcPr>
          <w:p w14:paraId="1257DD42" w14:textId="77777777" w:rsidR="00284822" w:rsidRDefault="00F77BF8">
            <w:pPr>
              <w:suppressAutoHyphens w:val="0"/>
              <w:autoSpaceDN/>
              <w:spacing w:before="120" w:after="120"/>
              <w:textAlignment w:val="auto"/>
              <w:rPr>
                <w:rFonts w:ascii="Rockwell" w:hAnsi="Rockwell" w:cs="Calibri"/>
                <w:color w:val="000000"/>
                <w:szCs w:val="26"/>
              </w:rPr>
            </w:pPr>
            <w:r>
              <w:rPr>
                <w:rFonts w:ascii="Rockwell" w:hAnsi="Rockwell" w:cs="Calibri"/>
                <w:color w:val="000000"/>
                <w:szCs w:val="26"/>
              </w:rPr>
              <w:lastRenderedPageBreak/>
              <w:t> 2</w:t>
            </w:r>
            <w:r>
              <w:rPr>
                <w:rFonts w:ascii="Rockwell" w:hAnsi="Rockwell" w:cs="Calibri"/>
                <w:color w:val="000000"/>
                <w:szCs w:val="26"/>
                <w:vertAlign w:val="superscript"/>
              </w:rPr>
              <w:t>e</w:t>
            </w:r>
            <w:r>
              <w:rPr>
                <w:rFonts w:ascii="Rockwell" w:hAnsi="Rockwell" w:cs="Calibri"/>
                <w:color w:val="000000"/>
                <w:szCs w:val="26"/>
              </w:rPr>
              <w:t xml:space="preserve"> ex</w:t>
            </w:r>
          </w:p>
        </w:tc>
        <w:tc>
          <w:tcPr>
            <w:tcW w:w="2551" w:type="dxa"/>
            <w:tcBorders>
              <w:top w:val="nil"/>
              <w:left w:val="nil"/>
              <w:bottom w:val="single" w:sz="4" w:space="0" w:color="auto"/>
              <w:right w:val="single" w:sz="4" w:space="0" w:color="auto"/>
            </w:tcBorders>
            <w:shd w:val="clear" w:color="auto" w:fill="auto"/>
            <w:noWrap/>
            <w:vAlign w:val="bottom"/>
          </w:tcPr>
          <w:p w14:paraId="4FCFFAD4" w14:textId="77777777" w:rsidR="00284822" w:rsidRDefault="00F77BF8">
            <w:pPr>
              <w:suppressAutoHyphens w:val="0"/>
              <w:autoSpaceDN/>
              <w:spacing w:before="120" w:after="120"/>
              <w:textAlignment w:val="auto"/>
              <w:rPr>
                <w:rFonts w:ascii="Rockwell" w:hAnsi="Rockwell" w:cs="Calibri"/>
                <w:color w:val="000000"/>
                <w:szCs w:val="26"/>
              </w:rPr>
            </w:pPr>
            <w:r>
              <w:rPr>
                <w:rFonts w:ascii="Rockwell" w:hAnsi="Rockwell" w:cs="Calibri"/>
                <w:color w:val="000000"/>
                <w:szCs w:val="26"/>
              </w:rPr>
              <w:t>UNIR/MPS</w:t>
            </w:r>
          </w:p>
        </w:tc>
        <w:tc>
          <w:tcPr>
            <w:tcW w:w="1276" w:type="dxa"/>
            <w:tcBorders>
              <w:top w:val="nil"/>
              <w:left w:val="nil"/>
              <w:bottom w:val="single" w:sz="4" w:space="0" w:color="auto"/>
              <w:right w:val="single" w:sz="4" w:space="0" w:color="auto"/>
            </w:tcBorders>
            <w:shd w:val="clear" w:color="auto" w:fill="auto"/>
            <w:noWrap/>
            <w:vAlign w:val="bottom"/>
          </w:tcPr>
          <w:p w14:paraId="78D66649" w14:textId="77777777" w:rsidR="00284822" w:rsidRDefault="00F77BF8">
            <w:pPr>
              <w:suppressAutoHyphens w:val="0"/>
              <w:autoSpaceDN/>
              <w:spacing w:before="120" w:after="120"/>
              <w:textAlignment w:val="auto"/>
              <w:rPr>
                <w:rFonts w:ascii="Rockwell" w:hAnsi="Rockwell" w:cs="Calibri"/>
                <w:color w:val="000000"/>
                <w:szCs w:val="26"/>
              </w:rPr>
            </w:pPr>
            <w:r>
              <w:rPr>
                <w:rFonts w:ascii="Rockwell" w:hAnsi="Rockwell" w:cs="Calibri"/>
                <w:color w:val="000000"/>
                <w:szCs w:val="26"/>
              </w:rPr>
              <w:t>1</w:t>
            </w:r>
          </w:p>
        </w:tc>
        <w:tc>
          <w:tcPr>
            <w:tcW w:w="1276" w:type="dxa"/>
            <w:tcBorders>
              <w:top w:val="nil"/>
              <w:left w:val="nil"/>
              <w:bottom w:val="single" w:sz="4" w:space="0" w:color="auto"/>
              <w:right w:val="single" w:sz="4" w:space="0" w:color="auto"/>
            </w:tcBorders>
            <w:shd w:val="clear" w:color="auto" w:fill="auto"/>
            <w:noWrap/>
            <w:vAlign w:val="bottom"/>
          </w:tcPr>
          <w:p w14:paraId="541F0577" w14:textId="77777777" w:rsidR="00284822" w:rsidRDefault="00F77BF8">
            <w:pPr>
              <w:suppressAutoHyphens w:val="0"/>
              <w:autoSpaceDN/>
              <w:spacing w:before="120" w:after="120"/>
              <w:textAlignment w:val="auto"/>
              <w:rPr>
                <w:rFonts w:ascii="Rockwell" w:hAnsi="Rockwell" w:cs="Calibri"/>
                <w:color w:val="000000"/>
                <w:szCs w:val="26"/>
              </w:rPr>
            </w:pPr>
            <w:r>
              <w:rPr>
                <w:rFonts w:ascii="Rockwell" w:hAnsi="Rockwell" w:cs="Calibri"/>
                <w:color w:val="000000"/>
                <w:szCs w:val="26"/>
              </w:rPr>
              <w:t>20,00%</w:t>
            </w:r>
          </w:p>
        </w:tc>
        <w:tc>
          <w:tcPr>
            <w:tcW w:w="1491" w:type="dxa"/>
            <w:tcBorders>
              <w:top w:val="nil"/>
              <w:left w:val="nil"/>
              <w:bottom w:val="single" w:sz="4" w:space="0" w:color="auto"/>
              <w:right w:val="single" w:sz="4" w:space="0" w:color="auto"/>
            </w:tcBorders>
            <w:shd w:val="clear" w:color="auto" w:fill="auto"/>
            <w:noWrap/>
            <w:vAlign w:val="bottom"/>
          </w:tcPr>
          <w:p w14:paraId="45218551" w14:textId="77777777" w:rsidR="00284822" w:rsidRDefault="00F77BF8">
            <w:pPr>
              <w:suppressAutoHyphens w:val="0"/>
              <w:autoSpaceDN/>
              <w:spacing w:before="120" w:after="120"/>
              <w:textAlignment w:val="auto"/>
              <w:rPr>
                <w:rFonts w:ascii="Rockwell" w:hAnsi="Rockwell" w:cs="Calibri"/>
                <w:color w:val="000000"/>
                <w:szCs w:val="26"/>
              </w:rPr>
            </w:pPr>
            <w:r>
              <w:rPr>
                <w:rFonts w:ascii="Rockwell" w:hAnsi="Rockwell" w:cs="Calibri"/>
                <w:color w:val="000000"/>
                <w:szCs w:val="26"/>
              </w:rPr>
              <w:t>1</w:t>
            </w:r>
          </w:p>
        </w:tc>
        <w:tc>
          <w:tcPr>
            <w:tcW w:w="1399" w:type="dxa"/>
            <w:tcBorders>
              <w:top w:val="nil"/>
              <w:left w:val="nil"/>
              <w:bottom w:val="single" w:sz="4" w:space="0" w:color="auto"/>
              <w:right w:val="single" w:sz="4" w:space="0" w:color="auto"/>
            </w:tcBorders>
            <w:shd w:val="clear" w:color="auto" w:fill="auto"/>
            <w:noWrap/>
            <w:vAlign w:val="bottom"/>
          </w:tcPr>
          <w:p w14:paraId="32043B29" w14:textId="77777777" w:rsidR="00284822" w:rsidRDefault="00F77BF8">
            <w:pPr>
              <w:suppressAutoHyphens w:val="0"/>
              <w:autoSpaceDN/>
              <w:spacing w:before="120" w:after="120"/>
              <w:textAlignment w:val="auto"/>
              <w:rPr>
                <w:rFonts w:ascii="Rockwell" w:hAnsi="Rockwell" w:cs="Calibri"/>
                <w:color w:val="000000"/>
                <w:szCs w:val="26"/>
              </w:rPr>
            </w:pPr>
            <w:r>
              <w:rPr>
                <w:rFonts w:ascii="Rockwell" w:hAnsi="Rockwell" w:cs="Calibri"/>
                <w:color w:val="000000"/>
                <w:szCs w:val="26"/>
              </w:rPr>
              <w:t>20,00%</w:t>
            </w:r>
          </w:p>
        </w:tc>
      </w:tr>
    </w:tbl>
    <w:p w14:paraId="2996BA26" w14:textId="77777777" w:rsidR="00284822" w:rsidRDefault="00F77BF8">
      <w:pPr>
        <w:tabs>
          <w:tab w:val="left" w:pos="895"/>
        </w:tabs>
        <w:spacing w:before="120" w:after="120"/>
        <w:ind w:left="-284"/>
        <w:rPr>
          <w:rFonts w:ascii="Rockwell" w:hAnsi="Rockwell"/>
          <w:i/>
          <w:sz w:val="20"/>
          <w:szCs w:val="20"/>
        </w:rPr>
      </w:pPr>
      <w:r>
        <w:rPr>
          <w:rFonts w:ascii="Rockwell" w:hAnsi="Rockwell"/>
          <w:i/>
          <w:sz w:val="20"/>
          <w:szCs w:val="20"/>
          <w:u w:val="single"/>
        </w:rPr>
        <w:t>Source</w:t>
      </w:r>
      <w:r>
        <w:rPr>
          <w:rFonts w:ascii="Rockwell" w:hAnsi="Rockwell"/>
          <w:i/>
          <w:sz w:val="20"/>
          <w:szCs w:val="20"/>
        </w:rPr>
        <w:t> : Monitoring CSC</w:t>
      </w:r>
    </w:p>
    <w:p w14:paraId="619F091E" w14:textId="77777777" w:rsidR="00284822" w:rsidRDefault="00F77BF8">
      <w:pPr>
        <w:spacing w:before="120" w:after="120"/>
        <w:jc w:val="center"/>
        <w:rPr>
          <w:rFonts w:ascii="Rockwell" w:hAnsi="Rockwell"/>
          <w:i/>
          <w:sz w:val="22"/>
          <w:szCs w:val="22"/>
          <w:u w:val="single"/>
        </w:rPr>
      </w:pPr>
      <w:r>
        <w:rPr>
          <w:rFonts w:ascii="Rockwell" w:hAnsi="Rockwell"/>
          <w:i/>
          <w:sz w:val="22"/>
          <w:szCs w:val="22"/>
          <w:u w:val="single"/>
        </w:rPr>
        <w:t xml:space="preserve">Représentation </w:t>
      </w:r>
      <w:r>
        <w:rPr>
          <w:rFonts w:ascii="Rockwell" w:hAnsi="Rockwell"/>
          <w:sz w:val="22"/>
          <w:szCs w:val="22"/>
          <w:u w:val="single"/>
        </w:rPr>
        <w:t xml:space="preserve">graphique </w:t>
      </w:r>
      <w:r>
        <w:rPr>
          <w:rFonts w:ascii="Rockwell" w:hAnsi="Rockwell"/>
          <w:i/>
          <w:sz w:val="22"/>
          <w:szCs w:val="22"/>
          <w:u w:val="single"/>
        </w:rPr>
        <w:t>des NA et NI obtenus par les quatre (04) partis politiques dans Ouest actu</w:t>
      </w:r>
    </w:p>
    <w:p w14:paraId="2D2DB4D1" w14:textId="77777777" w:rsidR="00284822" w:rsidRDefault="00F77BF8">
      <w:pPr>
        <w:suppressAutoHyphens w:val="0"/>
        <w:spacing w:before="120" w:after="120"/>
        <w:jc w:val="center"/>
        <w:rPr>
          <w:rFonts w:ascii="Rockwell" w:hAnsi="Rockwell"/>
          <w:color w:val="FF0000"/>
          <w:szCs w:val="26"/>
        </w:rPr>
      </w:pPr>
      <w:r>
        <w:rPr>
          <w:rFonts w:ascii="Rockwell" w:hAnsi="Rockwell"/>
          <w:noProof/>
          <w:szCs w:val="26"/>
        </w:rPr>
        <w:drawing>
          <wp:inline distT="0" distB="0" distL="0" distR="0" wp14:anchorId="0B97CD8C" wp14:editId="59B53725">
            <wp:extent cx="5243830" cy="2796540"/>
            <wp:effectExtent l="0" t="0" r="13970" b="3810"/>
            <wp:docPr id="58" name="Graphique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p w14:paraId="33195A17" w14:textId="77777777" w:rsidR="00284822" w:rsidRDefault="00284822">
      <w:pPr>
        <w:pStyle w:val="Titre4"/>
        <w:spacing w:before="120" w:after="120"/>
        <w:rPr>
          <w:rFonts w:ascii="Rockwell" w:hAnsi="Rockwell"/>
          <w:bCs/>
          <w:sz w:val="28"/>
          <w:szCs w:val="28"/>
        </w:rPr>
      </w:pPr>
      <w:bookmarkStart w:id="167" w:name="_Toc175048685"/>
    </w:p>
    <w:p w14:paraId="4D7E8580" w14:textId="77777777" w:rsidR="00284822" w:rsidRDefault="00F77BF8">
      <w:pPr>
        <w:pStyle w:val="Titre4"/>
        <w:spacing w:before="120" w:after="120"/>
        <w:rPr>
          <w:rFonts w:ascii="Rockwell" w:hAnsi="Rockwell"/>
          <w:sz w:val="28"/>
          <w:szCs w:val="28"/>
        </w:rPr>
      </w:pPr>
      <w:r>
        <w:rPr>
          <w:rFonts w:ascii="Rockwell" w:hAnsi="Rockwell"/>
          <w:bCs/>
          <w:sz w:val="28"/>
          <w:szCs w:val="28"/>
        </w:rPr>
        <w:t>Paragraphe 2 : A</w:t>
      </w:r>
      <w:r>
        <w:rPr>
          <w:rFonts w:ascii="Rockwell" w:hAnsi="Rockwell"/>
          <w:sz w:val="28"/>
          <w:szCs w:val="28"/>
        </w:rPr>
        <w:t>ppréciation du pluralisme et de l’équilibre de l’information dans les médias en ligne</w:t>
      </w:r>
      <w:bookmarkEnd w:id="167"/>
    </w:p>
    <w:p w14:paraId="09D45599" w14:textId="77777777" w:rsidR="00284822" w:rsidRDefault="00F77BF8">
      <w:pPr>
        <w:spacing w:before="120" w:after="120"/>
        <w:rPr>
          <w:rFonts w:ascii="Rockwell" w:hAnsi="Rockwell"/>
          <w:szCs w:val="26"/>
        </w:rPr>
      </w:pPr>
      <w:r>
        <w:rPr>
          <w:rFonts w:ascii="Rockwell" w:hAnsi="Rockwell"/>
          <w:szCs w:val="26"/>
        </w:rPr>
        <w:t xml:space="preserve">Au cours de l’année 2022, le monitoring de la presse en ligne s’est intéressé, dans le cadre de l’observation de l’équilibre et du pluralisme, à douze (12) médias qui ont couvert les activités de 47 partis politiques. Ceux-ci ont bénéficié d’un total de </w:t>
      </w:r>
      <w:r>
        <w:rPr>
          <w:rFonts w:ascii="Rockwell" w:hAnsi="Rockwell"/>
          <w:bCs/>
          <w:szCs w:val="26"/>
        </w:rPr>
        <w:t>755 articles et de 1210 illustrations.</w:t>
      </w:r>
    </w:p>
    <w:p w14:paraId="31E476BF" w14:textId="77777777" w:rsidR="00284822" w:rsidRDefault="00F77BF8">
      <w:pPr>
        <w:spacing w:before="120" w:after="120"/>
        <w:rPr>
          <w:rFonts w:ascii="Rockwell" w:hAnsi="Rockwell"/>
          <w:szCs w:val="26"/>
        </w:rPr>
      </w:pPr>
      <w:r>
        <w:rPr>
          <w:rFonts w:ascii="Rockwell" w:hAnsi="Rockwell"/>
          <w:szCs w:val="26"/>
        </w:rPr>
        <w:t>Les partis politiques qui ont bénéficié de plus de visibilité sont respectivement :</w:t>
      </w:r>
    </w:p>
    <w:p w14:paraId="24AC3EA7" w14:textId="77777777" w:rsidR="00284822" w:rsidRDefault="00F77BF8">
      <w:pPr>
        <w:pStyle w:val="Paragraphedeliste"/>
        <w:numPr>
          <w:ilvl w:val="0"/>
          <w:numId w:val="20"/>
        </w:numPr>
        <w:rPr>
          <w:rFonts w:ascii="Rockwell" w:hAnsi="Rockwell"/>
        </w:rPr>
      </w:pPr>
      <w:proofErr w:type="gramStart"/>
      <w:r>
        <w:rPr>
          <w:rFonts w:ascii="Rockwell" w:hAnsi="Rockwell"/>
        </w:rPr>
        <w:t>le</w:t>
      </w:r>
      <w:proofErr w:type="gramEnd"/>
      <w:r>
        <w:rPr>
          <w:rFonts w:ascii="Rockwell" w:hAnsi="Rockwell"/>
        </w:rPr>
        <w:t xml:space="preserve"> MPP avec </w:t>
      </w:r>
      <w:r>
        <w:rPr>
          <w:rFonts w:ascii="Rockwell" w:hAnsi="Rockwell"/>
          <w:bCs/>
        </w:rPr>
        <w:t>23,7%</w:t>
      </w:r>
      <w:r>
        <w:rPr>
          <w:rFonts w:ascii="Rockwell" w:hAnsi="Rockwell"/>
        </w:rPr>
        <w:t xml:space="preserve"> de NA et </w:t>
      </w:r>
      <w:r>
        <w:rPr>
          <w:rFonts w:ascii="Rockwell" w:hAnsi="Rockwell"/>
          <w:bCs/>
        </w:rPr>
        <w:t>27,10%</w:t>
      </w:r>
      <w:r>
        <w:rPr>
          <w:rFonts w:ascii="Rockwell" w:hAnsi="Rockwell"/>
        </w:rPr>
        <w:t xml:space="preserve"> de NI ;</w:t>
      </w:r>
    </w:p>
    <w:p w14:paraId="7EEC4828" w14:textId="77777777" w:rsidR="00284822" w:rsidRDefault="00F77BF8">
      <w:pPr>
        <w:pStyle w:val="Paragraphedeliste"/>
        <w:numPr>
          <w:ilvl w:val="0"/>
          <w:numId w:val="20"/>
        </w:numPr>
        <w:rPr>
          <w:rFonts w:ascii="Rockwell" w:hAnsi="Rockwell"/>
        </w:rPr>
      </w:pPr>
      <w:proofErr w:type="gramStart"/>
      <w:r>
        <w:rPr>
          <w:rFonts w:ascii="Rockwell" w:hAnsi="Rockwell"/>
        </w:rPr>
        <w:t>le</w:t>
      </w:r>
      <w:proofErr w:type="gramEnd"/>
      <w:r>
        <w:rPr>
          <w:rFonts w:ascii="Rockwell" w:hAnsi="Rockwell"/>
        </w:rPr>
        <w:t xml:space="preserve"> CDP avec 18</w:t>
      </w:r>
      <w:r>
        <w:rPr>
          <w:rFonts w:ascii="Rockwell" w:hAnsi="Rockwell"/>
          <w:bCs/>
        </w:rPr>
        <w:t>,672%</w:t>
      </w:r>
      <w:r>
        <w:rPr>
          <w:rFonts w:ascii="Rockwell" w:hAnsi="Rockwell"/>
        </w:rPr>
        <w:t xml:space="preserve"> de NA et </w:t>
      </w:r>
      <w:r>
        <w:rPr>
          <w:rFonts w:ascii="Rockwell" w:hAnsi="Rockwell"/>
          <w:bCs/>
        </w:rPr>
        <w:t>18,76%</w:t>
      </w:r>
      <w:r>
        <w:rPr>
          <w:rFonts w:ascii="Rockwell" w:hAnsi="Rockwell"/>
        </w:rPr>
        <w:t xml:space="preserve"> de NI ;</w:t>
      </w:r>
    </w:p>
    <w:p w14:paraId="49992F46" w14:textId="77777777" w:rsidR="00284822" w:rsidRDefault="00F77BF8">
      <w:pPr>
        <w:pStyle w:val="Paragraphedeliste"/>
        <w:numPr>
          <w:ilvl w:val="0"/>
          <w:numId w:val="20"/>
        </w:numPr>
        <w:rPr>
          <w:rFonts w:ascii="Rockwell" w:hAnsi="Rockwell"/>
        </w:rPr>
      </w:pPr>
      <w:proofErr w:type="gramStart"/>
      <w:r>
        <w:rPr>
          <w:rFonts w:ascii="Rockwell" w:hAnsi="Rockwell"/>
        </w:rPr>
        <w:t>l’UNIR</w:t>
      </w:r>
      <w:proofErr w:type="gramEnd"/>
      <w:r>
        <w:rPr>
          <w:rFonts w:ascii="Rockwell" w:hAnsi="Rockwell"/>
        </w:rPr>
        <w:t xml:space="preserve">/MPS avec </w:t>
      </w:r>
      <w:r>
        <w:rPr>
          <w:rFonts w:ascii="Rockwell" w:hAnsi="Rockwell"/>
          <w:bCs/>
        </w:rPr>
        <w:t>9,40%</w:t>
      </w:r>
      <w:r>
        <w:rPr>
          <w:rFonts w:ascii="Rockwell" w:hAnsi="Rockwell"/>
        </w:rPr>
        <w:t xml:space="preserve"> de NA et </w:t>
      </w:r>
      <w:r>
        <w:rPr>
          <w:rFonts w:ascii="Rockwell" w:hAnsi="Rockwell"/>
          <w:bCs/>
        </w:rPr>
        <w:t>7,27%</w:t>
      </w:r>
      <w:r>
        <w:rPr>
          <w:rFonts w:ascii="Rockwell" w:hAnsi="Rockwell"/>
        </w:rPr>
        <w:t xml:space="preserve"> de NI ;</w:t>
      </w:r>
    </w:p>
    <w:p w14:paraId="14B77D4E" w14:textId="77777777" w:rsidR="00284822" w:rsidRDefault="00F77BF8">
      <w:pPr>
        <w:pStyle w:val="Paragraphedeliste"/>
        <w:numPr>
          <w:ilvl w:val="0"/>
          <w:numId w:val="20"/>
        </w:numPr>
        <w:rPr>
          <w:rFonts w:ascii="Rockwell" w:hAnsi="Rockwell"/>
        </w:rPr>
      </w:pPr>
      <w:r>
        <w:rPr>
          <w:rFonts w:ascii="Rockwell" w:hAnsi="Rockwell"/>
        </w:rPr>
        <w:t xml:space="preserve"> </w:t>
      </w:r>
      <w:proofErr w:type="gramStart"/>
      <w:r>
        <w:rPr>
          <w:rFonts w:ascii="Rockwell" w:hAnsi="Rockwell"/>
        </w:rPr>
        <w:t>l’UPC</w:t>
      </w:r>
      <w:proofErr w:type="gramEnd"/>
      <w:r>
        <w:rPr>
          <w:rFonts w:ascii="Rockwell" w:hAnsi="Rockwell"/>
        </w:rPr>
        <w:t xml:space="preserve"> avec 8</w:t>
      </w:r>
      <w:r>
        <w:rPr>
          <w:rFonts w:ascii="Rockwell" w:hAnsi="Rockwell"/>
          <w:bCs/>
        </w:rPr>
        <w:t>,87%</w:t>
      </w:r>
      <w:r>
        <w:rPr>
          <w:rFonts w:ascii="Rockwell" w:hAnsi="Rockwell"/>
        </w:rPr>
        <w:t xml:space="preserve"> de NA et </w:t>
      </w:r>
      <w:r>
        <w:rPr>
          <w:rFonts w:ascii="Rockwell" w:hAnsi="Rockwell"/>
          <w:bCs/>
        </w:rPr>
        <w:t>10,24%</w:t>
      </w:r>
      <w:r>
        <w:rPr>
          <w:rFonts w:ascii="Rockwell" w:hAnsi="Rockwell"/>
        </w:rPr>
        <w:t xml:space="preserve"> de NI ;</w:t>
      </w:r>
    </w:p>
    <w:p w14:paraId="5E4EC9E3" w14:textId="77777777" w:rsidR="00284822" w:rsidRDefault="00F77BF8">
      <w:pPr>
        <w:pStyle w:val="Paragraphedeliste"/>
        <w:numPr>
          <w:ilvl w:val="0"/>
          <w:numId w:val="20"/>
        </w:numPr>
        <w:rPr>
          <w:rFonts w:ascii="Rockwell" w:hAnsi="Rockwell"/>
        </w:rPr>
      </w:pPr>
      <w:r>
        <w:rPr>
          <w:rFonts w:ascii="Rockwell" w:hAnsi="Rockwell"/>
        </w:rPr>
        <w:lastRenderedPageBreak/>
        <w:t xml:space="preserve"> </w:t>
      </w:r>
      <w:proofErr w:type="gramStart"/>
      <w:r>
        <w:rPr>
          <w:rFonts w:ascii="Rockwell" w:hAnsi="Rockwell"/>
        </w:rPr>
        <w:t>le</w:t>
      </w:r>
      <w:proofErr w:type="gramEnd"/>
      <w:r>
        <w:rPr>
          <w:rFonts w:ascii="Rockwell" w:hAnsi="Rockwell"/>
        </w:rPr>
        <w:t xml:space="preserve"> PPS avec </w:t>
      </w:r>
      <w:r>
        <w:rPr>
          <w:rFonts w:ascii="Rockwell" w:hAnsi="Rockwell"/>
          <w:bCs/>
        </w:rPr>
        <w:t>7,41%</w:t>
      </w:r>
      <w:r>
        <w:rPr>
          <w:rFonts w:ascii="Rockwell" w:hAnsi="Rockwell"/>
        </w:rPr>
        <w:t xml:space="preserve"> de NA et </w:t>
      </w:r>
      <w:r>
        <w:rPr>
          <w:rFonts w:ascii="Rockwell" w:hAnsi="Rockwell"/>
          <w:bCs/>
        </w:rPr>
        <w:t>9 %</w:t>
      </w:r>
      <w:r>
        <w:rPr>
          <w:rFonts w:ascii="Rockwell" w:hAnsi="Rockwell"/>
        </w:rPr>
        <w:t xml:space="preserve"> de NI. </w:t>
      </w:r>
    </w:p>
    <w:p w14:paraId="0FA3FE48" w14:textId="77777777" w:rsidR="00284822" w:rsidRDefault="00F77BF8">
      <w:pPr>
        <w:spacing w:before="120" w:after="120"/>
        <w:rPr>
          <w:rFonts w:ascii="Rockwell" w:hAnsi="Rockwell"/>
          <w:szCs w:val="26"/>
        </w:rPr>
      </w:pPr>
      <w:r>
        <w:rPr>
          <w:rFonts w:ascii="Rockwell" w:hAnsi="Rockwell"/>
          <w:szCs w:val="26"/>
        </w:rPr>
        <w:t>Sur les 47 partis politiques concernés, les cinq (05) premiers ont obtenu environ 70% de NA et de NI. L’information n’est donc pas équilibrée.</w:t>
      </w:r>
    </w:p>
    <w:p w14:paraId="215ECA74" w14:textId="77777777" w:rsidR="00284822" w:rsidRDefault="00F77BF8">
      <w:pPr>
        <w:spacing w:before="120" w:after="120"/>
        <w:rPr>
          <w:rFonts w:ascii="Rockwell" w:hAnsi="Rockwell"/>
          <w:szCs w:val="26"/>
        </w:rPr>
      </w:pPr>
      <w:r>
        <w:rPr>
          <w:rFonts w:ascii="Rockwell" w:hAnsi="Rockwell"/>
          <w:i/>
          <w:szCs w:val="26"/>
        </w:rPr>
        <w:t>Minute.bf</w:t>
      </w:r>
      <w:r>
        <w:rPr>
          <w:rFonts w:ascii="Rockwell" w:hAnsi="Rockwell"/>
          <w:szCs w:val="26"/>
        </w:rPr>
        <w:t xml:space="preserve">, </w:t>
      </w:r>
      <w:r>
        <w:rPr>
          <w:rFonts w:ascii="Rockwell" w:hAnsi="Rockwell"/>
          <w:i/>
          <w:szCs w:val="26"/>
        </w:rPr>
        <w:t>lefaso.net, actualites.bf, burkina24.com</w:t>
      </w:r>
      <w:r>
        <w:rPr>
          <w:rFonts w:ascii="Rockwell" w:hAnsi="Rockwell"/>
          <w:szCs w:val="26"/>
        </w:rPr>
        <w:t xml:space="preserve"> et </w:t>
      </w:r>
      <w:r>
        <w:rPr>
          <w:rFonts w:ascii="Rockwell" w:hAnsi="Rockwell"/>
          <w:i/>
          <w:szCs w:val="26"/>
        </w:rPr>
        <w:t>infowakat.net</w:t>
      </w:r>
      <w:r>
        <w:rPr>
          <w:rFonts w:ascii="Rockwell" w:hAnsi="Rockwell"/>
          <w:szCs w:val="26"/>
        </w:rPr>
        <w:t xml:space="preserve">, sont chronologiquement les cinq premiers espaces d’expression privilégiés par les partis politiques en 2022. </w:t>
      </w:r>
    </w:p>
    <w:p w14:paraId="4C8983C1" w14:textId="77777777" w:rsidR="00284822" w:rsidRDefault="00F77BF8">
      <w:pPr>
        <w:spacing w:before="120" w:after="120"/>
        <w:rPr>
          <w:rFonts w:ascii="Rockwell" w:hAnsi="Rockwell"/>
          <w:szCs w:val="26"/>
        </w:rPr>
      </w:pPr>
      <w:r>
        <w:rPr>
          <w:rFonts w:ascii="Rockwell" w:hAnsi="Rockwell"/>
          <w:szCs w:val="26"/>
        </w:rPr>
        <w:t xml:space="preserve">Moins du tiers des 152 partis politiques déclarés au Burkina ont vu leurs activités couvertes par les médias en ligne cette année. En référence au nombre total de partis politiques, l’on constate que le traitement de l’information n’a pas été pluriel en raison du contraste de dynamisme des partis. </w:t>
      </w:r>
    </w:p>
    <w:p w14:paraId="3D8BC1C5" w14:textId="77777777" w:rsidR="00284822" w:rsidRDefault="00284822">
      <w:pPr>
        <w:spacing w:before="120" w:after="120"/>
        <w:rPr>
          <w:rFonts w:ascii="Rockwell" w:hAnsi="Rockwell"/>
          <w:szCs w:val="26"/>
        </w:rPr>
      </w:pPr>
    </w:p>
    <w:p w14:paraId="5290651E" w14:textId="77777777" w:rsidR="00284822" w:rsidRDefault="00F77BF8">
      <w:pPr>
        <w:pStyle w:val="Titre3"/>
        <w:spacing w:before="120" w:after="120"/>
        <w:rPr>
          <w:rFonts w:ascii="Rockwell" w:hAnsi="Rockwell"/>
        </w:rPr>
      </w:pPr>
      <w:bookmarkStart w:id="168" w:name="_Toc170304755"/>
      <w:bookmarkStart w:id="169" w:name="_Toc175048686"/>
      <w:bookmarkEnd w:id="155"/>
      <w:r>
        <w:rPr>
          <w:rFonts w:ascii="Rockwell" w:hAnsi="Rockwell"/>
        </w:rPr>
        <w:t>SECTION 4 : MONITORING DES MEDIAS AUDIOVISUELS</w:t>
      </w:r>
      <w:bookmarkEnd w:id="168"/>
      <w:bookmarkEnd w:id="169"/>
    </w:p>
    <w:p w14:paraId="08842038" w14:textId="77777777" w:rsidR="00284822" w:rsidRDefault="00F77BF8">
      <w:pPr>
        <w:tabs>
          <w:tab w:val="left" w:pos="426"/>
          <w:tab w:val="left" w:pos="851"/>
        </w:tabs>
        <w:spacing w:before="120" w:after="120"/>
        <w:rPr>
          <w:rFonts w:ascii="Rockwell" w:hAnsi="Rockwell"/>
          <w:szCs w:val="26"/>
          <w:lang w:eastAsia="en-US"/>
        </w:rPr>
      </w:pPr>
      <w:r>
        <w:rPr>
          <w:rFonts w:ascii="Rockwell" w:hAnsi="Rockwell"/>
          <w:szCs w:val="26"/>
          <w:lang w:eastAsia="en-US"/>
        </w:rPr>
        <w:t>L’observation du pluralisme et de l’équilibre de l’information dans les médias audiovisuels a concerné seize (16) organes de presse à savoir :</w:t>
      </w:r>
    </w:p>
    <w:p w14:paraId="4FD4C289" w14:textId="77777777" w:rsidR="00284822" w:rsidRDefault="00F77BF8">
      <w:pPr>
        <w:pStyle w:val="Paragraphedeliste"/>
        <w:numPr>
          <w:ilvl w:val="0"/>
          <w:numId w:val="21"/>
        </w:numPr>
        <w:tabs>
          <w:tab w:val="left" w:pos="426"/>
          <w:tab w:val="left" w:pos="851"/>
        </w:tabs>
        <w:rPr>
          <w:rFonts w:ascii="Rockwell" w:hAnsi="Rockwell"/>
          <w:lang w:eastAsia="en-US"/>
        </w:rPr>
      </w:pPr>
      <w:proofErr w:type="gramStart"/>
      <w:r>
        <w:rPr>
          <w:rFonts w:ascii="Rockwell" w:hAnsi="Rockwell"/>
          <w:lang w:eastAsia="en-US"/>
        </w:rPr>
        <w:t>la</w:t>
      </w:r>
      <w:proofErr w:type="gramEnd"/>
      <w:r>
        <w:rPr>
          <w:rFonts w:ascii="Rockwell" w:hAnsi="Rockwell"/>
          <w:lang w:eastAsia="en-US"/>
        </w:rPr>
        <w:t xml:space="preserve"> </w:t>
      </w:r>
      <w:r>
        <w:rPr>
          <w:rFonts w:ascii="Rockwell" w:hAnsi="Rockwell"/>
          <w:i/>
          <w:lang w:eastAsia="en-US"/>
        </w:rPr>
        <w:t>RTB/ télé ;</w:t>
      </w:r>
    </w:p>
    <w:p w14:paraId="3037D278" w14:textId="77777777" w:rsidR="00284822" w:rsidRDefault="00F77BF8">
      <w:pPr>
        <w:pStyle w:val="Paragraphedeliste"/>
        <w:numPr>
          <w:ilvl w:val="0"/>
          <w:numId w:val="21"/>
        </w:numPr>
        <w:tabs>
          <w:tab w:val="left" w:pos="426"/>
          <w:tab w:val="left" w:pos="851"/>
        </w:tabs>
        <w:rPr>
          <w:rFonts w:ascii="Rockwell" w:hAnsi="Rockwell"/>
          <w:lang w:eastAsia="en-US"/>
        </w:rPr>
      </w:pPr>
      <w:r>
        <w:rPr>
          <w:rFonts w:ascii="Rockwell" w:hAnsi="Rockwell"/>
          <w:lang w:eastAsia="en-US"/>
        </w:rPr>
        <w:t xml:space="preserve"> </w:t>
      </w:r>
      <w:proofErr w:type="gramStart"/>
      <w:r>
        <w:rPr>
          <w:rFonts w:ascii="Rockwell" w:hAnsi="Rockwell"/>
          <w:lang w:eastAsia="en-US"/>
        </w:rPr>
        <w:t>la</w:t>
      </w:r>
      <w:proofErr w:type="gramEnd"/>
      <w:r>
        <w:rPr>
          <w:rFonts w:ascii="Rockwell" w:hAnsi="Rockwell"/>
          <w:lang w:eastAsia="en-US"/>
        </w:rPr>
        <w:t xml:space="preserve"> </w:t>
      </w:r>
      <w:r>
        <w:rPr>
          <w:rFonts w:ascii="Rockwell" w:hAnsi="Rockwell"/>
          <w:i/>
          <w:lang w:eastAsia="en-US"/>
        </w:rPr>
        <w:t>RTB /radio</w:t>
      </w:r>
      <w:r>
        <w:rPr>
          <w:rFonts w:ascii="Rockwell" w:hAnsi="Rockwell"/>
          <w:lang w:eastAsia="en-US"/>
        </w:rPr>
        <w:t xml:space="preserve"> de Ouagadougou ;</w:t>
      </w:r>
    </w:p>
    <w:p w14:paraId="6892111F" w14:textId="77777777" w:rsidR="00284822" w:rsidRDefault="00F77BF8">
      <w:pPr>
        <w:pStyle w:val="Paragraphedeliste"/>
        <w:numPr>
          <w:ilvl w:val="0"/>
          <w:numId w:val="21"/>
        </w:numPr>
        <w:tabs>
          <w:tab w:val="left" w:pos="426"/>
          <w:tab w:val="left" w:pos="851"/>
        </w:tabs>
        <w:rPr>
          <w:rFonts w:ascii="Rockwell" w:hAnsi="Rockwell"/>
          <w:lang w:eastAsia="en-US"/>
        </w:rPr>
      </w:pPr>
      <w:proofErr w:type="gramStart"/>
      <w:r>
        <w:rPr>
          <w:rFonts w:ascii="Rockwell" w:hAnsi="Rockwell"/>
          <w:lang w:eastAsia="en-US"/>
        </w:rPr>
        <w:t>la</w:t>
      </w:r>
      <w:proofErr w:type="gramEnd"/>
      <w:r>
        <w:rPr>
          <w:rFonts w:ascii="Rockwell" w:hAnsi="Rockwell"/>
          <w:lang w:eastAsia="en-US"/>
        </w:rPr>
        <w:t xml:space="preserve"> RTB2/radio de Bobo-Dioulasso ;</w:t>
      </w:r>
    </w:p>
    <w:p w14:paraId="46A7AFB2" w14:textId="77777777" w:rsidR="00284822" w:rsidRDefault="00F77BF8">
      <w:pPr>
        <w:pStyle w:val="Paragraphedeliste"/>
        <w:numPr>
          <w:ilvl w:val="0"/>
          <w:numId w:val="21"/>
        </w:numPr>
        <w:tabs>
          <w:tab w:val="left" w:pos="426"/>
          <w:tab w:val="left" w:pos="851"/>
        </w:tabs>
        <w:rPr>
          <w:rFonts w:ascii="Rockwell" w:hAnsi="Rockwell"/>
          <w:lang w:eastAsia="en-US"/>
        </w:rPr>
      </w:pPr>
      <w:proofErr w:type="gramStart"/>
      <w:r>
        <w:rPr>
          <w:rFonts w:ascii="Rockwell" w:hAnsi="Rockwell"/>
          <w:lang w:eastAsia="en-US"/>
        </w:rPr>
        <w:t>la</w:t>
      </w:r>
      <w:proofErr w:type="gramEnd"/>
      <w:r>
        <w:rPr>
          <w:rFonts w:ascii="Rockwell" w:hAnsi="Rockwell"/>
          <w:lang w:eastAsia="en-US"/>
        </w:rPr>
        <w:t xml:space="preserve"> RTB2/radio de Gaoua ;</w:t>
      </w:r>
    </w:p>
    <w:p w14:paraId="2A0C2CE9" w14:textId="77777777" w:rsidR="00284822" w:rsidRDefault="00F77BF8">
      <w:pPr>
        <w:pStyle w:val="Paragraphedeliste"/>
        <w:numPr>
          <w:ilvl w:val="0"/>
          <w:numId w:val="21"/>
        </w:numPr>
        <w:tabs>
          <w:tab w:val="left" w:pos="426"/>
          <w:tab w:val="left" w:pos="851"/>
        </w:tabs>
        <w:rPr>
          <w:rFonts w:ascii="Rockwell" w:hAnsi="Rockwell"/>
          <w:lang w:eastAsia="en-US"/>
        </w:rPr>
      </w:pPr>
      <w:proofErr w:type="gramStart"/>
      <w:r>
        <w:rPr>
          <w:rFonts w:ascii="Rockwell" w:hAnsi="Rockwell"/>
          <w:lang w:eastAsia="en-US"/>
        </w:rPr>
        <w:t>la</w:t>
      </w:r>
      <w:proofErr w:type="gramEnd"/>
      <w:r>
        <w:rPr>
          <w:rFonts w:ascii="Rockwell" w:hAnsi="Rockwell"/>
          <w:lang w:eastAsia="en-US"/>
        </w:rPr>
        <w:t xml:space="preserve"> RTB2/radio de Dédougou ;</w:t>
      </w:r>
    </w:p>
    <w:p w14:paraId="3023BA0A" w14:textId="77777777" w:rsidR="00284822" w:rsidRDefault="00F77BF8">
      <w:pPr>
        <w:pStyle w:val="Paragraphedeliste"/>
        <w:numPr>
          <w:ilvl w:val="0"/>
          <w:numId w:val="21"/>
        </w:numPr>
        <w:tabs>
          <w:tab w:val="left" w:pos="426"/>
          <w:tab w:val="left" w:pos="851"/>
        </w:tabs>
        <w:rPr>
          <w:rFonts w:ascii="Rockwell" w:hAnsi="Rockwell"/>
          <w:lang w:eastAsia="en-US"/>
        </w:rPr>
      </w:pPr>
      <w:proofErr w:type="gramStart"/>
      <w:r>
        <w:rPr>
          <w:rFonts w:ascii="Rockwell" w:hAnsi="Rockwell"/>
          <w:lang w:eastAsia="en-US"/>
        </w:rPr>
        <w:t>la</w:t>
      </w:r>
      <w:proofErr w:type="gramEnd"/>
      <w:r>
        <w:rPr>
          <w:rFonts w:ascii="Rockwell" w:hAnsi="Rockwell"/>
          <w:lang w:eastAsia="en-US"/>
        </w:rPr>
        <w:t xml:space="preserve"> radio Municipale de </w:t>
      </w:r>
      <w:proofErr w:type="spellStart"/>
      <w:r>
        <w:rPr>
          <w:rFonts w:ascii="Rockwell" w:hAnsi="Rockwell"/>
          <w:lang w:eastAsia="en-US"/>
        </w:rPr>
        <w:t>Sya</w:t>
      </w:r>
      <w:proofErr w:type="spellEnd"/>
      <w:r>
        <w:rPr>
          <w:rFonts w:ascii="Rockwell" w:hAnsi="Rockwell"/>
          <w:lang w:eastAsia="en-US"/>
        </w:rPr>
        <w:t> ;</w:t>
      </w:r>
    </w:p>
    <w:p w14:paraId="65A4F1D7" w14:textId="77777777" w:rsidR="00284822" w:rsidRDefault="00F77BF8">
      <w:pPr>
        <w:pStyle w:val="Paragraphedeliste"/>
        <w:numPr>
          <w:ilvl w:val="0"/>
          <w:numId w:val="21"/>
        </w:numPr>
        <w:tabs>
          <w:tab w:val="left" w:pos="426"/>
          <w:tab w:val="left" w:pos="851"/>
        </w:tabs>
        <w:rPr>
          <w:rFonts w:ascii="Rockwell" w:hAnsi="Rockwell"/>
          <w:lang w:eastAsia="en-US"/>
        </w:rPr>
      </w:pPr>
      <w:proofErr w:type="gramStart"/>
      <w:r>
        <w:rPr>
          <w:rFonts w:ascii="Rockwell" w:hAnsi="Rockwell"/>
          <w:lang w:eastAsia="en-US"/>
        </w:rPr>
        <w:t>la</w:t>
      </w:r>
      <w:proofErr w:type="gramEnd"/>
      <w:r>
        <w:rPr>
          <w:rFonts w:ascii="Rockwell" w:hAnsi="Rockwell"/>
          <w:lang w:eastAsia="en-US"/>
        </w:rPr>
        <w:t xml:space="preserve"> radio LPC ;</w:t>
      </w:r>
    </w:p>
    <w:p w14:paraId="03DEA7A4" w14:textId="77777777" w:rsidR="00284822" w:rsidRDefault="00F77BF8">
      <w:pPr>
        <w:pStyle w:val="Paragraphedeliste"/>
        <w:numPr>
          <w:ilvl w:val="0"/>
          <w:numId w:val="21"/>
        </w:numPr>
        <w:tabs>
          <w:tab w:val="left" w:pos="426"/>
          <w:tab w:val="left" w:pos="851"/>
        </w:tabs>
        <w:rPr>
          <w:rFonts w:ascii="Rockwell" w:hAnsi="Rockwell"/>
          <w:lang w:eastAsia="en-US"/>
        </w:rPr>
      </w:pPr>
      <w:proofErr w:type="gramStart"/>
      <w:r>
        <w:rPr>
          <w:rFonts w:ascii="Rockwell" w:hAnsi="Rockwell"/>
          <w:lang w:eastAsia="en-US"/>
        </w:rPr>
        <w:t>la</w:t>
      </w:r>
      <w:proofErr w:type="gramEnd"/>
      <w:r>
        <w:rPr>
          <w:rFonts w:ascii="Rockwell" w:hAnsi="Rockwell"/>
          <w:lang w:eastAsia="en-US"/>
        </w:rPr>
        <w:t xml:space="preserve"> radio </w:t>
      </w:r>
      <w:proofErr w:type="spellStart"/>
      <w:r>
        <w:rPr>
          <w:rFonts w:ascii="Rockwell" w:hAnsi="Rockwell"/>
          <w:lang w:eastAsia="en-US"/>
        </w:rPr>
        <w:t>Munyu</w:t>
      </w:r>
      <w:proofErr w:type="spellEnd"/>
      <w:r>
        <w:rPr>
          <w:rFonts w:ascii="Rockwell" w:hAnsi="Rockwell"/>
          <w:lang w:eastAsia="en-US"/>
        </w:rPr>
        <w:t> de Banfora ;</w:t>
      </w:r>
    </w:p>
    <w:p w14:paraId="0FD1EC96" w14:textId="77777777" w:rsidR="00284822" w:rsidRDefault="00F77BF8">
      <w:pPr>
        <w:pStyle w:val="Paragraphedeliste"/>
        <w:numPr>
          <w:ilvl w:val="0"/>
          <w:numId w:val="21"/>
        </w:numPr>
        <w:tabs>
          <w:tab w:val="left" w:pos="426"/>
          <w:tab w:val="left" w:pos="851"/>
        </w:tabs>
        <w:rPr>
          <w:rFonts w:ascii="Rockwell" w:hAnsi="Rockwell"/>
          <w:lang w:eastAsia="en-US"/>
        </w:rPr>
      </w:pPr>
      <w:proofErr w:type="gramStart"/>
      <w:r>
        <w:rPr>
          <w:rFonts w:ascii="Rockwell" w:hAnsi="Rockwell"/>
          <w:lang w:eastAsia="en-US"/>
        </w:rPr>
        <w:t>la</w:t>
      </w:r>
      <w:proofErr w:type="gramEnd"/>
      <w:r>
        <w:rPr>
          <w:rFonts w:ascii="Rockwell" w:hAnsi="Rockwell"/>
          <w:lang w:eastAsia="en-US"/>
        </w:rPr>
        <w:t xml:space="preserve"> radio Cascade de Banfora ;</w:t>
      </w:r>
    </w:p>
    <w:p w14:paraId="036DFE34" w14:textId="77777777" w:rsidR="00284822" w:rsidRDefault="00F77BF8">
      <w:pPr>
        <w:pStyle w:val="Paragraphedeliste"/>
        <w:numPr>
          <w:ilvl w:val="0"/>
          <w:numId w:val="21"/>
        </w:numPr>
        <w:tabs>
          <w:tab w:val="left" w:pos="426"/>
          <w:tab w:val="left" w:pos="851"/>
        </w:tabs>
        <w:rPr>
          <w:rFonts w:ascii="Rockwell" w:hAnsi="Rockwell"/>
          <w:lang w:eastAsia="en-US"/>
        </w:rPr>
      </w:pPr>
      <w:proofErr w:type="gramStart"/>
      <w:r>
        <w:rPr>
          <w:rFonts w:ascii="Rockwell" w:hAnsi="Rockwell"/>
          <w:lang w:eastAsia="en-US"/>
        </w:rPr>
        <w:t>la</w:t>
      </w:r>
      <w:proofErr w:type="gramEnd"/>
      <w:r>
        <w:rPr>
          <w:rFonts w:ascii="Rockwell" w:hAnsi="Rockwell"/>
          <w:lang w:eastAsia="en-US"/>
        </w:rPr>
        <w:t xml:space="preserve"> radio </w:t>
      </w:r>
      <w:proofErr w:type="spellStart"/>
      <w:r>
        <w:rPr>
          <w:rFonts w:ascii="Rockwell" w:hAnsi="Rockwell"/>
          <w:lang w:eastAsia="en-US"/>
        </w:rPr>
        <w:t>Salaki</w:t>
      </w:r>
      <w:proofErr w:type="spellEnd"/>
      <w:r>
        <w:rPr>
          <w:rFonts w:ascii="Rockwell" w:hAnsi="Rockwell"/>
          <w:lang w:eastAsia="en-US"/>
        </w:rPr>
        <w:t xml:space="preserve"> de Dédougou ;</w:t>
      </w:r>
    </w:p>
    <w:p w14:paraId="2DBDBDD9" w14:textId="77777777" w:rsidR="00284822" w:rsidRDefault="00F77BF8">
      <w:pPr>
        <w:pStyle w:val="Paragraphedeliste"/>
        <w:numPr>
          <w:ilvl w:val="0"/>
          <w:numId w:val="21"/>
        </w:numPr>
        <w:tabs>
          <w:tab w:val="left" w:pos="426"/>
          <w:tab w:val="left" w:pos="851"/>
        </w:tabs>
        <w:rPr>
          <w:rFonts w:ascii="Rockwell" w:hAnsi="Rockwell"/>
          <w:lang w:eastAsia="en-US"/>
        </w:rPr>
      </w:pPr>
      <w:proofErr w:type="gramStart"/>
      <w:r>
        <w:rPr>
          <w:rFonts w:ascii="Rockwell" w:hAnsi="Rockwell"/>
          <w:lang w:eastAsia="en-US"/>
        </w:rPr>
        <w:lastRenderedPageBreak/>
        <w:t>la</w:t>
      </w:r>
      <w:proofErr w:type="gramEnd"/>
      <w:r>
        <w:rPr>
          <w:rFonts w:ascii="Rockwell" w:hAnsi="Rockwell"/>
          <w:lang w:eastAsia="en-US"/>
        </w:rPr>
        <w:t xml:space="preserve"> radio Fréquence espoir de Dédougou ;</w:t>
      </w:r>
    </w:p>
    <w:p w14:paraId="63290712" w14:textId="77777777" w:rsidR="00284822" w:rsidRDefault="00F77BF8">
      <w:pPr>
        <w:pStyle w:val="Paragraphedeliste"/>
        <w:numPr>
          <w:ilvl w:val="0"/>
          <w:numId w:val="21"/>
        </w:numPr>
        <w:tabs>
          <w:tab w:val="left" w:pos="426"/>
          <w:tab w:val="left" w:pos="851"/>
        </w:tabs>
        <w:rPr>
          <w:rFonts w:ascii="Rockwell" w:hAnsi="Rockwell"/>
          <w:lang w:eastAsia="en-US"/>
        </w:rPr>
      </w:pPr>
      <w:r>
        <w:rPr>
          <w:rFonts w:ascii="Rockwell" w:hAnsi="Rockwell"/>
          <w:lang w:eastAsia="en-US"/>
        </w:rPr>
        <w:t xml:space="preserve"> </w:t>
      </w:r>
      <w:proofErr w:type="gramStart"/>
      <w:r>
        <w:rPr>
          <w:rFonts w:ascii="Rockwell" w:hAnsi="Rockwell"/>
          <w:lang w:eastAsia="en-US"/>
        </w:rPr>
        <w:t>la</w:t>
      </w:r>
      <w:proofErr w:type="gramEnd"/>
      <w:r>
        <w:rPr>
          <w:rFonts w:ascii="Rockwell" w:hAnsi="Rockwell"/>
          <w:lang w:eastAsia="en-US"/>
        </w:rPr>
        <w:t xml:space="preserve"> radio </w:t>
      </w:r>
      <w:r>
        <w:rPr>
          <w:rFonts w:ascii="Rockwell" w:hAnsi="Rockwell"/>
          <w:i/>
          <w:lang w:eastAsia="en-US"/>
        </w:rPr>
        <w:t>Savane FM</w:t>
      </w:r>
      <w:r>
        <w:rPr>
          <w:rFonts w:ascii="Rockwell" w:hAnsi="Rockwell"/>
          <w:lang w:eastAsia="en-US"/>
        </w:rPr>
        <w:t> </w:t>
      </w:r>
      <w:r>
        <w:rPr>
          <w:rFonts w:ascii="Rockwell" w:hAnsi="Rockwell"/>
          <w:i/>
          <w:lang w:eastAsia="en-US"/>
        </w:rPr>
        <w:t xml:space="preserve">de Ouagadougou </w:t>
      </w:r>
      <w:r>
        <w:rPr>
          <w:rFonts w:ascii="Rockwell" w:hAnsi="Rockwell"/>
          <w:lang w:eastAsia="en-US"/>
        </w:rPr>
        <w:t>;</w:t>
      </w:r>
    </w:p>
    <w:p w14:paraId="38012431" w14:textId="77777777" w:rsidR="00284822" w:rsidRDefault="00F77BF8">
      <w:pPr>
        <w:pStyle w:val="Paragraphedeliste"/>
        <w:numPr>
          <w:ilvl w:val="0"/>
          <w:numId w:val="21"/>
        </w:numPr>
        <w:tabs>
          <w:tab w:val="left" w:pos="426"/>
          <w:tab w:val="left" w:pos="851"/>
        </w:tabs>
        <w:rPr>
          <w:rFonts w:ascii="Rockwell" w:hAnsi="Rockwell"/>
          <w:lang w:eastAsia="en-US"/>
        </w:rPr>
      </w:pPr>
      <w:proofErr w:type="gramStart"/>
      <w:r>
        <w:rPr>
          <w:rFonts w:ascii="Rockwell" w:hAnsi="Rockwell"/>
          <w:lang w:eastAsia="en-US"/>
        </w:rPr>
        <w:t>la</w:t>
      </w:r>
      <w:proofErr w:type="gramEnd"/>
      <w:r>
        <w:rPr>
          <w:rFonts w:ascii="Rockwell" w:hAnsi="Rockwell"/>
          <w:lang w:eastAsia="en-US"/>
        </w:rPr>
        <w:t xml:space="preserve"> radio </w:t>
      </w:r>
      <w:r>
        <w:rPr>
          <w:rFonts w:ascii="Rockwell" w:hAnsi="Rockwell"/>
          <w:i/>
          <w:lang w:eastAsia="en-US"/>
        </w:rPr>
        <w:t>Oméga</w:t>
      </w:r>
      <w:r>
        <w:rPr>
          <w:rFonts w:ascii="Rockwell" w:hAnsi="Rockwell"/>
          <w:lang w:eastAsia="en-US"/>
        </w:rPr>
        <w:t xml:space="preserve"> </w:t>
      </w:r>
      <w:r>
        <w:rPr>
          <w:rFonts w:ascii="Rockwell" w:hAnsi="Rockwell"/>
          <w:i/>
          <w:lang w:eastAsia="en-US"/>
        </w:rPr>
        <w:t>FM de Ouagadougou ;</w:t>
      </w:r>
    </w:p>
    <w:p w14:paraId="1ED63FCC" w14:textId="77777777" w:rsidR="00284822" w:rsidRDefault="00F77BF8">
      <w:pPr>
        <w:pStyle w:val="Paragraphedeliste"/>
        <w:numPr>
          <w:ilvl w:val="0"/>
          <w:numId w:val="21"/>
        </w:numPr>
        <w:tabs>
          <w:tab w:val="left" w:pos="426"/>
          <w:tab w:val="left" w:pos="851"/>
        </w:tabs>
        <w:rPr>
          <w:rFonts w:ascii="Rockwell" w:hAnsi="Rockwell"/>
          <w:lang w:eastAsia="en-US"/>
        </w:rPr>
      </w:pPr>
      <w:proofErr w:type="gramStart"/>
      <w:r>
        <w:rPr>
          <w:rFonts w:ascii="Rockwell" w:hAnsi="Rockwell"/>
          <w:lang w:eastAsia="en-US"/>
        </w:rPr>
        <w:t>la</w:t>
      </w:r>
      <w:proofErr w:type="gramEnd"/>
      <w:r>
        <w:rPr>
          <w:rFonts w:ascii="Rockwell" w:hAnsi="Rockwell"/>
          <w:lang w:eastAsia="en-US"/>
        </w:rPr>
        <w:t xml:space="preserve"> télévision </w:t>
      </w:r>
      <w:r>
        <w:rPr>
          <w:rFonts w:ascii="Rockwell" w:hAnsi="Rockwell"/>
          <w:i/>
          <w:lang w:eastAsia="en-US"/>
        </w:rPr>
        <w:t>BF1 ;</w:t>
      </w:r>
    </w:p>
    <w:p w14:paraId="1C5A4057" w14:textId="77777777" w:rsidR="00284822" w:rsidRDefault="00F77BF8">
      <w:pPr>
        <w:pStyle w:val="Paragraphedeliste"/>
        <w:numPr>
          <w:ilvl w:val="0"/>
          <w:numId w:val="21"/>
        </w:numPr>
        <w:tabs>
          <w:tab w:val="left" w:pos="426"/>
          <w:tab w:val="left" w:pos="851"/>
        </w:tabs>
        <w:rPr>
          <w:rFonts w:ascii="Rockwell" w:hAnsi="Rockwell"/>
          <w:lang w:eastAsia="en-US"/>
        </w:rPr>
      </w:pPr>
      <w:r>
        <w:rPr>
          <w:rFonts w:ascii="Rockwell" w:hAnsi="Rockwell"/>
          <w:i/>
          <w:lang w:eastAsia="en-US"/>
        </w:rPr>
        <w:t xml:space="preserve"> </w:t>
      </w:r>
      <w:proofErr w:type="gramStart"/>
      <w:r>
        <w:rPr>
          <w:rFonts w:ascii="Rockwell" w:hAnsi="Rockwell"/>
          <w:lang w:eastAsia="en-US"/>
        </w:rPr>
        <w:t>la</w:t>
      </w:r>
      <w:proofErr w:type="gramEnd"/>
      <w:r>
        <w:rPr>
          <w:rFonts w:ascii="Rockwell" w:hAnsi="Rockwell"/>
          <w:lang w:eastAsia="en-US"/>
        </w:rPr>
        <w:t xml:space="preserve"> télévision </w:t>
      </w:r>
      <w:r>
        <w:rPr>
          <w:rFonts w:ascii="Rockwell" w:hAnsi="Rockwell"/>
          <w:i/>
          <w:lang w:eastAsia="en-US"/>
        </w:rPr>
        <w:t xml:space="preserve">3TV ; </w:t>
      </w:r>
    </w:p>
    <w:p w14:paraId="4D630B2B" w14:textId="77777777" w:rsidR="00284822" w:rsidRDefault="00F77BF8">
      <w:pPr>
        <w:pStyle w:val="Paragraphedeliste"/>
        <w:numPr>
          <w:ilvl w:val="0"/>
          <w:numId w:val="21"/>
        </w:numPr>
        <w:tabs>
          <w:tab w:val="left" w:pos="426"/>
          <w:tab w:val="left" w:pos="851"/>
        </w:tabs>
        <w:rPr>
          <w:rFonts w:ascii="Rockwell" w:hAnsi="Rockwell"/>
          <w:lang w:eastAsia="en-US"/>
        </w:rPr>
      </w:pPr>
      <w:proofErr w:type="gramStart"/>
      <w:r>
        <w:rPr>
          <w:rFonts w:ascii="Rockwell" w:hAnsi="Rockwell"/>
          <w:lang w:eastAsia="en-US"/>
        </w:rPr>
        <w:t>la</w:t>
      </w:r>
      <w:proofErr w:type="gramEnd"/>
      <w:r>
        <w:rPr>
          <w:rFonts w:ascii="Rockwell" w:hAnsi="Rockwell"/>
          <w:lang w:eastAsia="en-US"/>
        </w:rPr>
        <w:t xml:space="preserve"> télévision </w:t>
      </w:r>
      <w:r>
        <w:rPr>
          <w:rFonts w:ascii="Rockwell" w:hAnsi="Rockwell"/>
          <w:i/>
          <w:lang w:eastAsia="en-US"/>
        </w:rPr>
        <w:t>Canal3.</w:t>
      </w:r>
    </w:p>
    <w:p w14:paraId="6BB047FC" w14:textId="77777777" w:rsidR="00284822" w:rsidRDefault="00F77BF8">
      <w:pPr>
        <w:spacing w:before="120" w:after="120"/>
        <w:rPr>
          <w:rFonts w:ascii="Rockwell" w:hAnsi="Rockwell"/>
          <w:szCs w:val="26"/>
          <w:lang w:eastAsia="en-US"/>
        </w:rPr>
      </w:pPr>
      <w:r>
        <w:rPr>
          <w:rFonts w:ascii="Rockwell" w:hAnsi="Rockwell"/>
          <w:szCs w:val="26"/>
          <w:lang w:eastAsia="en-US"/>
        </w:rPr>
        <w:t>Les variables utilisées sont le temps d’antenne (TA) et le temps de parole (TP) exprimés en volumes horaires (VH), c’est-à-dire en heures, minutes et secondes.</w:t>
      </w:r>
    </w:p>
    <w:p w14:paraId="64C686CE" w14:textId="77777777" w:rsidR="00284822" w:rsidRDefault="00F77BF8">
      <w:pPr>
        <w:spacing w:before="120" w:after="120"/>
        <w:rPr>
          <w:rFonts w:ascii="Rockwell" w:hAnsi="Rockwell"/>
          <w:szCs w:val="26"/>
          <w:lang w:eastAsia="en-US"/>
        </w:rPr>
      </w:pPr>
      <w:r>
        <w:rPr>
          <w:rFonts w:ascii="Rockwell" w:hAnsi="Rockwell"/>
          <w:szCs w:val="26"/>
          <w:lang w:eastAsia="en-US"/>
        </w:rPr>
        <w:t xml:space="preserve">Les acteurs socio-politiques qui ont été pris en compte dans l’observation du pluralisme et de l’équilibre de l’information sont : la Présidence du Faso, le Gouvernement, l’Assemblée nationale, les autres institutions et les Organisations de la société civile. </w:t>
      </w:r>
    </w:p>
    <w:p w14:paraId="2F2E7B35" w14:textId="77777777" w:rsidR="00284822" w:rsidRDefault="00F77BF8">
      <w:pPr>
        <w:spacing w:before="120" w:after="120"/>
        <w:rPr>
          <w:rFonts w:ascii="Rockwell" w:hAnsi="Rockwell"/>
          <w:szCs w:val="26"/>
          <w:lang w:eastAsia="en-US"/>
        </w:rPr>
      </w:pPr>
      <w:r>
        <w:rPr>
          <w:rFonts w:ascii="Rockwell" w:hAnsi="Rockwell"/>
          <w:szCs w:val="26"/>
          <w:lang w:eastAsia="en-US"/>
        </w:rPr>
        <w:t>La catégorie « Autres institutions » regroupe le Conseil supérieur de la communication (CSC), la Commission électorale nationale indépendante (CENI), le Conseil Constitutionnel (CC), le Conseil Economique et Social (CES), la Commission de l’Informatique et des Libertés (CIL), l’Autorité Supérieure de Contrôle d’Etat et de Lutte contre la Corruption (ASCE-LC) et le Médiateur du Faso.</w:t>
      </w:r>
    </w:p>
    <w:p w14:paraId="25396916" w14:textId="77777777" w:rsidR="00284822" w:rsidRDefault="00F77BF8">
      <w:pPr>
        <w:spacing w:before="120" w:after="120"/>
        <w:rPr>
          <w:rFonts w:ascii="Rockwell" w:hAnsi="Rockwell"/>
          <w:szCs w:val="26"/>
          <w:lang w:eastAsia="en-US"/>
        </w:rPr>
      </w:pPr>
      <w:r>
        <w:rPr>
          <w:rFonts w:ascii="Rockwell" w:hAnsi="Rockwell"/>
          <w:szCs w:val="26"/>
          <w:lang w:eastAsia="en-US"/>
        </w:rPr>
        <w:t xml:space="preserve"> La société civile quant à elle est composée des associations, des syndicats, du patronat et des organisations non gouvernementales.</w:t>
      </w:r>
    </w:p>
    <w:p w14:paraId="268139C0" w14:textId="77777777" w:rsidR="00284822" w:rsidRDefault="00284822">
      <w:pPr>
        <w:spacing w:before="120" w:after="120"/>
        <w:rPr>
          <w:rFonts w:ascii="Rockwell" w:hAnsi="Rockwell"/>
          <w:szCs w:val="26"/>
          <w:lang w:eastAsia="en-US"/>
        </w:rPr>
      </w:pPr>
    </w:p>
    <w:p w14:paraId="46913C89" w14:textId="2270C551" w:rsidR="00284822" w:rsidRDefault="00F77BF8">
      <w:pPr>
        <w:pStyle w:val="Titre4"/>
        <w:spacing w:before="120" w:after="120"/>
        <w:rPr>
          <w:rFonts w:ascii="Rockwell" w:hAnsi="Rockwell"/>
          <w:sz w:val="28"/>
          <w:szCs w:val="28"/>
        </w:rPr>
      </w:pPr>
      <w:bookmarkStart w:id="170" w:name="_Toc175048687"/>
      <w:r>
        <w:rPr>
          <w:rFonts w:ascii="Rockwell" w:hAnsi="Rockwell"/>
          <w:sz w:val="28"/>
          <w:szCs w:val="28"/>
        </w:rPr>
        <w:t xml:space="preserve">Paragraphe 1 : </w:t>
      </w:r>
      <w:r w:rsidR="0046752A">
        <w:rPr>
          <w:rFonts w:ascii="Rockwell" w:hAnsi="Rockwell"/>
          <w:sz w:val="28"/>
          <w:szCs w:val="28"/>
        </w:rPr>
        <w:t xml:space="preserve">Observation </w:t>
      </w:r>
      <w:r>
        <w:rPr>
          <w:rFonts w:ascii="Rockwell" w:hAnsi="Rockwell"/>
          <w:sz w:val="28"/>
          <w:szCs w:val="28"/>
        </w:rPr>
        <w:t>du pluralisme et de l’équilibre de l’information dans les médias audiovisuels du Centre</w:t>
      </w:r>
      <w:bookmarkEnd w:id="170"/>
    </w:p>
    <w:p w14:paraId="4CCC400A" w14:textId="77777777" w:rsidR="00284822" w:rsidRDefault="00F77BF8">
      <w:pPr>
        <w:pStyle w:val="Titre6"/>
        <w:numPr>
          <w:ilvl w:val="1"/>
          <w:numId w:val="22"/>
        </w:numPr>
        <w:ind w:hanging="578"/>
        <w:jc w:val="both"/>
        <w:rPr>
          <w:rFonts w:ascii="Rockwell" w:hAnsi="Rockwell"/>
          <w:i w:val="0"/>
        </w:rPr>
      </w:pPr>
      <w:r>
        <w:rPr>
          <w:rFonts w:ascii="Rockwell" w:hAnsi="Rockwell"/>
          <w:i w:val="0"/>
        </w:rPr>
        <w:t>Données des médias audiovisuels publics</w:t>
      </w:r>
    </w:p>
    <w:p w14:paraId="17F5C5C6" w14:textId="77777777" w:rsidR="00284822" w:rsidRDefault="00F77BF8">
      <w:pPr>
        <w:spacing w:before="120" w:after="120"/>
        <w:rPr>
          <w:rFonts w:ascii="Rockwell" w:hAnsi="Rockwell"/>
          <w:szCs w:val="26"/>
        </w:rPr>
        <w:sectPr w:rsidR="00284822">
          <w:pgSz w:w="11906" w:h="16838"/>
          <w:pgMar w:top="1418" w:right="1418" w:bottom="1418" w:left="1418" w:header="720" w:footer="720" w:gutter="0"/>
          <w:cols w:space="720"/>
        </w:sectPr>
      </w:pPr>
      <w:r>
        <w:rPr>
          <w:rFonts w:ascii="Rockwell" w:hAnsi="Rockwell"/>
          <w:szCs w:val="26"/>
        </w:rPr>
        <w:t xml:space="preserve">Il s’agit des données de la RTB/Télé et Radio de Ouagadougou. </w:t>
      </w:r>
    </w:p>
    <w:p w14:paraId="6ADE4976" w14:textId="77777777" w:rsidR="00284822" w:rsidRDefault="00F77BF8">
      <w:pPr>
        <w:spacing w:before="120" w:after="120"/>
        <w:ind w:hanging="567"/>
        <w:jc w:val="center"/>
        <w:rPr>
          <w:rFonts w:ascii="Rockwell" w:hAnsi="Rockwell"/>
          <w:bCs/>
          <w:i/>
          <w:sz w:val="20"/>
          <w:szCs w:val="20"/>
        </w:rPr>
      </w:pPr>
      <w:r>
        <w:rPr>
          <w:rFonts w:ascii="Rockwell" w:hAnsi="Rockwell"/>
          <w:b/>
          <w:bCs/>
          <w:sz w:val="20"/>
          <w:szCs w:val="20"/>
          <w:u w:val="single"/>
        </w:rPr>
        <w:lastRenderedPageBreak/>
        <w:t>Tableau 20</w:t>
      </w:r>
      <w:r>
        <w:rPr>
          <w:rFonts w:ascii="Rockwell" w:hAnsi="Rockwell"/>
          <w:b/>
          <w:bCs/>
          <w:sz w:val="20"/>
          <w:szCs w:val="20"/>
        </w:rPr>
        <w:t xml:space="preserve"> : </w:t>
      </w:r>
      <w:r>
        <w:rPr>
          <w:rFonts w:ascii="Rockwell" w:hAnsi="Rockwell"/>
          <w:bCs/>
          <w:i/>
          <w:sz w:val="20"/>
          <w:szCs w:val="20"/>
        </w:rPr>
        <w:t xml:space="preserve">Statistiques des (TA) et (TP) </w:t>
      </w:r>
    </w:p>
    <w:tbl>
      <w:tblPr>
        <w:tblW w:w="5945" w:type="pct"/>
        <w:jc w:val="center"/>
        <w:tblCellMar>
          <w:left w:w="10" w:type="dxa"/>
          <w:right w:w="10" w:type="dxa"/>
        </w:tblCellMar>
        <w:tblLook w:val="04A0" w:firstRow="1" w:lastRow="0" w:firstColumn="1" w:lastColumn="0" w:noHBand="0" w:noVBand="1"/>
      </w:tblPr>
      <w:tblGrid>
        <w:gridCol w:w="3539"/>
        <w:gridCol w:w="1301"/>
        <w:gridCol w:w="1173"/>
        <w:gridCol w:w="1172"/>
        <w:gridCol w:w="1173"/>
        <w:gridCol w:w="1319"/>
        <w:gridCol w:w="1095"/>
      </w:tblGrid>
      <w:tr w:rsidR="00284822" w14:paraId="5F89642F" w14:textId="77777777">
        <w:trPr>
          <w:trHeight w:val="363"/>
          <w:jc w:val="center"/>
        </w:trPr>
        <w:tc>
          <w:tcPr>
            <w:tcW w:w="3539" w:type="dxa"/>
            <w:vMerge w:val="restart"/>
            <w:tcBorders>
              <w:top w:val="single" w:sz="4" w:space="0" w:color="000000"/>
              <w:left w:val="single" w:sz="4" w:space="0" w:color="000000"/>
              <w:bottom w:val="single" w:sz="4" w:space="0" w:color="000000"/>
              <w:right w:val="single" w:sz="4" w:space="0" w:color="000000"/>
            </w:tcBorders>
            <w:shd w:val="clear" w:color="auto" w:fill="BDD6EE"/>
            <w:tcMar>
              <w:top w:w="15" w:type="dxa"/>
              <w:left w:w="15" w:type="dxa"/>
              <w:bottom w:w="15" w:type="dxa"/>
              <w:right w:w="15" w:type="dxa"/>
            </w:tcMar>
            <w:vAlign w:val="center"/>
          </w:tcPr>
          <w:p w14:paraId="796E43FA" w14:textId="77777777" w:rsidR="00284822" w:rsidRDefault="00F77BF8">
            <w:pPr>
              <w:spacing w:before="120" w:after="120"/>
              <w:jc w:val="center"/>
              <w:rPr>
                <w:rFonts w:ascii="Rockwell" w:hAnsi="Rockwell"/>
                <w:b/>
                <w:szCs w:val="26"/>
              </w:rPr>
            </w:pPr>
            <w:r>
              <w:rPr>
                <w:rFonts w:ascii="Rockwell" w:hAnsi="Rockwell"/>
                <w:b/>
                <w:szCs w:val="26"/>
              </w:rPr>
              <w:t>ACTEURS</w:t>
            </w:r>
          </w:p>
          <w:p w14:paraId="1632C93B" w14:textId="77777777" w:rsidR="00284822" w:rsidRDefault="00F77BF8">
            <w:pPr>
              <w:spacing w:before="120" w:after="120"/>
              <w:jc w:val="center"/>
              <w:rPr>
                <w:rFonts w:ascii="Rockwell" w:hAnsi="Rockwell"/>
                <w:szCs w:val="26"/>
              </w:rPr>
            </w:pPr>
            <w:r>
              <w:rPr>
                <w:rFonts w:ascii="Rockwell" w:hAnsi="Rockwell"/>
                <w:b/>
                <w:szCs w:val="26"/>
              </w:rPr>
              <w:t>SOCIO-POLITIQUES</w:t>
            </w:r>
          </w:p>
        </w:tc>
        <w:tc>
          <w:tcPr>
            <w:tcW w:w="2474" w:type="dxa"/>
            <w:gridSpan w:val="2"/>
            <w:tcBorders>
              <w:top w:val="single" w:sz="4" w:space="0" w:color="000000"/>
              <w:left w:val="single" w:sz="4" w:space="0" w:color="000000"/>
              <w:bottom w:val="single" w:sz="4" w:space="0" w:color="000000"/>
              <w:right w:val="single" w:sz="4" w:space="0" w:color="000000"/>
            </w:tcBorders>
            <w:shd w:val="clear" w:color="auto" w:fill="BDD6EE"/>
            <w:tcMar>
              <w:top w:w="15" w:type="dxa"/>
              <w:left w:w="15" w:type="dxa"/>
              <w:bottom w:w="15" w:type="dxa"/>
              <w:right w:w="15" w:type="dxa"/>
            </w:tcMar>
          </w:tcPr>
          <w:p w14:paraId="355E9634" w14:textId="77777777" w:rsidR="00284822" w:rsidRDefault="00F77BF8">
            <w:pPr>
              <w:spacing w:before="120" w:after="120"/>
              <w:jc w:val="center"/>
              <w:rPr>
                <w:rFonts w:ascii="Rockwell" w:hAnsi="Rockwell"/>
                <w:szCs w:val="26"/>
              </w:rPr>
            </w:pPr>
            <w:r>
              <w:rPr>
                <w:rFonts w:ascii="Rockwell" w:hAnsi="Rockwell"/>
                <w:b/>
                <w:szCs w:val="26"/>
              </w:rPr>
              <w:t>TA</w:t>
            </w: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BDD6EE"/>
            <w:tcMar>
              <w:top w:w="15" w:type="dxa"/>
              <w:left w:w="15" w:type="dxa"/>
              <w:bottom w:w="15" w:type="dxa"/>
              <w:right w:w="15" w:type="dxa"/>
            </w:tcMar>
          </w:tcPr>
          <w:p w14:paraId="08B52475" w14:textId="77777777" w:rsidR="00284822" w:rsidRDefault="00F77BF8">
            <w:pPr>
              <w:spacing w:before="120" w:after="120"/>
              <w:jc w:val="center"/>
              <w:rPr>
                <w:rFonts w:ascii="Rockwell" w:hAnsi="Rockwell"/>
                <w:szCs w:val="26"/>
              </w:rPr>
            </w:pPr>
            <w:r>
              <w:rPr>
                <w:rFonts w:ascii="Rockwell" w:hAnsi="Rockwell"/>
                <w:b/>
                <w:szCs w:val="26"/>
              </w:rPr>
              <w:t>TP</w:t>
            </w:r>
          </w:p>
        </w:tc>
        <w:tc>
          <w:tcPr>
            <w:tcW w:w="2414" w:type="dxa"/>
            <w:gridSpan w:val="2"/>
            <w:tcBorders>
              <w:top w:val="single" w:sz="4" w:space="0" w:color="000000"/>
              <w:left w:val="single" w:sz="4" w:space="0" w:color="000000"/>
              <w:bottom w:val="single" w:sz="4" w:space="0" w:color="000000"/>
              <w:right w:val="single" w:sz="4" w:space="0" w:color="000000"/>
            </w:tcBorders>
            <w:shd w:val="clear" w:color="auto" w:fill="BDD6EE"/>
            <w:tcMar>
              <w:top w:w="15" w:type="dxa"/>
              <w:left w:w="15" w:type="dxa"/>
              <w:bottom w:w="15" w:type="dxa"/>
              <w:right w:w="15" w:type="dxa"/>
            </w:tcMar>
          </w:tcPr>
          <w:p w14:paraId="28444EA2" w14:textId="77777777" w:rsidR="00284822" w:rsidRDefault="00F77BF8">
            <w:pPr>
              <w:spacing w:before="120" w:after="120"/>
              <w:jc w:val="center"/>
              <w:rPr>
                <w:rFonts w:ascii="Rockwell" w:hAnsi="Rockwell"/>
                <w:szCs w:val="26"/>
              </w:rPr>
            </w:pPr>
            <w:r>
              <w:rPr>
                <w:rFonts w:ascii="Rockwell" w:hAnsi="Rockwell"/>
                <w:b/>
                <w:bCs/>
                <w:szCs w:val="26"/>
              </w:rPr>
              <w:t>TA+TP</w:t>
            </w:r>
          </w:p>
        </w:tc>
      </w:tr>
      <w:tr w:rsidR="00284822" w14:paraId="372BE10C" w14:textId="77777777">
        <w:trPr>
          <w:trHeight w:val="427"/>
          <w:jc w:val="center"/>
        </w:trPr>
        <w:tc>
          <w:tcPr>
            <w:tcW w:w="3539" w:type="dxa"/>
            <w:vMerge/>
            <w:tcBorders>
              <w:top w:val="single" w:sz="4" w:space="0" w:color="000000"/>
              <w:left w:val="single" w:sz="4" w:space="0" w:color="000000"/>
              <w:bottom w:val="single" w:sz="4" w:space="0" w:color="000000"/>
              <w:right w:val="single" w:sz="4" w:space="0" w:color="000000"/>
            </w:tcBorders>
            <w:shd w:val="clear" w:color="auto" w:fill="BDD6EE"/>
            <w:tcMar>
              <w:top w:w="15" w:type="dxa"/>
              <w:left w:w="15" w:type="dxa"/>
              <w:bottom w:w="15" w:type="dxa"/>
              <w:right w:w="15" w:type="dxa"/>
            </w:tcMar>
            <w:vAlign w:val="center"/>
          </w:tcPr>
          <w:p w14:paraId="34D535EB" w14:textId="77777777" w:rsidR="00284822" w:rsidRDefault="00284822">
            <w:pPr>
              <w:spacing w:before="120" w:after="120"/>
              <w:rPr>
                <w:rFonts w:ascii="Rockwell" w:hAnsi="Rockwell"/>
                <w:b/>
                <w:szCs w:val="26"/>
              </w:rPr>
            </w:pPr>
          </w:p>
        </w:tc>
        <w:tc>
          <w:tcPr>
            <w:tcW w:w="1301" w:type="dxa"/>
            <w:tcBorders>
              <w:top w:val="single" w:sz="4" w:space="0" w:color="000000"/>
              <w:left w:val="single" w:sz="4" w:space="0" w:color="000000"/>
              <w:bottom w:val="single" w:sz="4" w:space="0" w:color="000000"/>
              <w:right w:val="single" w:sz="4" w:space="0" w:color="000000"/>
            </w:tcBorders>
            <w:shd w:val="clear" w:color="auto" w:fill="BDD6EE"/>
            <w:tcMar>
              <w:top w:w="15" w:type="dxa"/>
              <w:left w:w="15" w:type="dxa"/>
              <w:bottom w:w="15" w:type="dxa"/>
              <w:right w:w="15" w:type="dxa"/>
            </w:tcMar>
          </w:tcPr>
          <w:p w14:paraId="72823FDA" w14:textId="77777777" w:rsidR="00284822" w:rsidRDefault="00F77BF8">
            <w:pPr>
              <w:spacing w:before="120" w:after="120"/>
              <w:jc w:val="center"/>
              <w:rPr>
                <w:rFonts w:ascii="Rockwell" w:hAnsi="Rockwell"/>
                <w:szCs w:val="26"/>
              </w:rPr>
            </w:pPr>
            <w:r>
              <w:rPr>
                <w:rFonts w:ascii="Rockwell" w:hAnsi="Rockwell"/>
                <w:b/>
                <w:szCs w:val="26"/>
              </w:rPr>
              <w:t>VH</w:t>
            </w:r>
          </w:p>
        </w:tc>
        <w:tc>
          <w:tcPr>
            <w:tcW w:w="1173" w:type="dxa"/>
            <w:tcBorders>
              <w:top w:val="single" w:sz="4" w:space="0" w:color="000000"/>
              <w:left w:val="single" w:sz="4" w:space="0" w:color="000000"/>
              <w:bottom w:val="single" w:sz="4" w:space="0" w:color="000000"/>
              <w:right w:val="single" w:sz="4" w:space="0" w:color="000000"/>
            </w:tcBorders>
            <w:shd w:val="clear" w:color="auto" w:fill="BDD6EE"/>
            <w:tcMar>
              <w:top w:w="15" w:type="dxa"/>
              <w:left w:w="15" w:type="dxa"/>
              <w:bottom w:w="15" w:type="dxa"/>
              <w:right w:w="15" w:type="dxa"/>
            </w:tcMar>
          </w:tcPr>
          <w:p w14:paraId="09D872FA" w14:textId="77777777" w:rsidR="00284822" w:rsidRDefault="00F77BF8">
            <w:pPr>
              <w:spacing w:before="120" w:after="120"/>
              <w:jc w:val="center"/>
              <w:rPr>
                <w:rFonts w:ascii="Rockwell" w:hAnsi="Rockwell"/>
                <w:szCs w:val="26"/>
              </w:rPr>
            </w:pPr>
            <w:r>
              <w:rPr>
                <w:rFonts w:ascii="Rockwell" w:hAnsi="Rockwell"/>
                <w:b/>
                <w:szCs w:val="26"/>
              </w:rPr>
              <w:t>%</w:t>
            </w:r>
          </w:p>
        </w:tc>
        <w:tc>
          <w:tcPr>
            <w:tcW w:w="1172" w:type="dxa"/>
            <w:tcBorders>
              <w:top w:val="single" w:sz="4" w:space="0" w:color="000000"/>
              <w:left w:val="single" w:sz="4" w:space="0" w:color="000000"/>
              <w:bottom w:val="single" w:sz="4" w:space="0" w:color="000000"/>
              <w:right w:val="single" w:sz="4" w:space="0" w:color="000000"/>
            </w:tcBorders>
            <w:shd w:val="clear" w:color="auto" w:fill="BDD6EE"/>
            <w:tcMar>
              <w:top w:w="15" w:type="dxa"/>
              <w:left w:w="15" w:type="dxa"/>
              <w:bottom w:w="15" w:type="dxa"/>
              <w:right w:w="15" w:type="dxa"/>
            </w:tcMar>
          </w:tcPr>
          <w:p w14:paraId="4FBFA022" w14:textId="77777777" w:rsidR="00284822" w:rsidRDefault="00F77BF8">
            <w:pPr>
              <w:spacing w:before="120" w:after="120"/>
              <w:jc w:val="center"/>
              <w:rPr>
                <w:rFonts w:ascii="Rockwell" w:hAnsi="Rockwell"/>
                <w:szCs w:val="26"/>
              </w:rPr>
            </w:pPr>
            <w:r>
              <w:rPr>
                <w:rFonts w:ascii="Rockwell" w:hAnsi="Rockwell"/>
                <w:b/>
                <w:szCs w:val="26"/>
              </w:rPr>
              <w:t>VH</w:t>
            </w:r>
          </w:p>
        </w:tc>
        <w:tc>
          <w:tcPr>
            <w:tcW w:w="1173" w:type="dxa"/>
            <w:tcBorders>
              <w:top w:val="single" w:sz="4" w:space="0" w:color="000000"/>
              <w:left w:val="single" w:sz="4" w:space="0" w:color="000000"/>
              <w:bottom w:val="single" w:sz="4" w:space="0" w:color="000000"/>
              <w:right w:val="single" w:sz="4" w:space="0" w:color="000000"/>
            </w:tcBorders>
            <w:shd w:val="clear" w:color="auto" w:fill="BDD6EE"/>
            <w:tcMar>
              <w:top w:w="15" w:type="dxa"/>
              <w:left w:w="15" w:type="dxa"/>
              <w:bottom w:w="15" w:type="dxa"/>
              <w:right w:w="15" w:type="dxa"/>
            </w:tcMar>
          </w:tcPr>
          <w:p w14:paraId="056F24DA" w14:textId="77777777" w:rsidR="00284822" w:rsidRDefault="00F77BF8">
            <w:pPr>
              <w:spacing w:before="120" w:after="120"/>
              <w:jc w:val="center"/>
              <w:rPr>
                <w:rFonts w:ascii="Rockwell" w:hAnsi="Rockwell"/>
                <w:szCs w:val="26"/>
              </w:rPr>
            </w:pPr>
            <w:r>
              <w:rPr>
                <w:rFonts w:ascii="Rockwell" w:hAnsi="Rockwell"/>
                <w:b/>
                <w:szCs w:val="26"/>
              </w:rPr>
              <w:t>%</w:t>
            </w:r>
          </w:p>
        </w:tc>
        <w:tc>
          <w:tcPr>
            <w:tcW w:w="1319" w:type="dxa"/>
            <w:tcBorders>
              <w:top w:val="single" w:sz="4" w:space="0" w:color="000000"/>
              <w:left w:val="single" w:sz="4" w:space="0" w:color="000000"/>
              <w:bottom w:val="single" w:sz="4" w:space="0" w:color="000000"/>
              <w:right w:val="single" w:sz="4" w:space="0" w:color="000000"/>
            </w:tcBorders>
            <w:shd w:val="clear" w:color="auto" w:fill="BDD6EE"/>
            <w:tcMar>
              <w:top w:w="15" w:type="dxa"/>
              <w:left w:w="15" w:type="dxa"/>
              <w:bottom w:w="15" w:type="dxa"/>
              <w:right w:w="15" w:type="dxa"/>
            </w:tcMar>
          </w:tcPr>
          <w:p w14:paraId="13E57346" w14:textId="77777777" w:rsidR="00284822" w:rsidRDefault="00F77BF8">
            <w:pPr>
              <w:spacing w:before="120" w:after="120"/>
              <w:jc w:val="center"/>
              <w:rPr>
                <w:rFonts w:ascii="Rockwell" w:hAnsi="Rockwell"/>
                <w:szCs w:val="26"/>
              </w:rPr>
            </w:pPr>
            <w:r>
              <w:rPr>
                <w:rFonts w:ascii="Rockwell" w:hAnsi="Rockwell"/>
                <w:b/>
                <w:bCs/>
                <w:szCs w:val="26"/>
              </w:rPr>
              <w:t>VH</w:t>
            </w:r>
          </w:p>
        </w:tc>
        <w:tc>
          <w:tcPr>
            <w:tcW w:w="1095" w:type="dxa"/>
            <w:tcBorders>
              <w:top w:val="single" w:sz="4" w:space="0" w:color="000000"/>
              <w:left w:val="single" w:sz="4" w:space="0" w:color="000000"/>
              <w:bottom w:val="single" w:sz="4" w:space="0" w:color="000000"/>
              <w:right w:val="single" w:sz="4" w:space="0" w:color="000000"/>
            </w:tcBorders>
            <w:shd w:val="clear" w:color="auto" w:fill="BDD6EE"/>
            <w:tcMar>
              <w:top w:w="15" w:type="dxa"/>
              <w:left w:w="15" w:type="dxa"/>
              <w:bottom w:w="15" w:type="dxa"/>
              <w:right w:w="15" w:type="dxa"/>
            </w:tcMar>
          </w:tcPr>
          <w:p w14:paraId="6484011F" w14:textId="77777777" w:rsidR="00284822" w:rsidRDefault="00F77BF8">
            <w:pPr>
              <w:spacing w:before="120" w:after="120"/>
              <w:jc w:val="center"/>
              <w:rPr>
                <w:rFonts w:ascii="Rockwell" w:hAnsi="Rockwell"/>
                <w:szCs w:val="26"/>
              </w:rPr>
            </w:pPr>
            <w:r>
              <w:rPr>
                <w:rFonts w:ascii="Rockwell" w:hAnsi="Rockwell"/>
                <w:b/>
                <w:bCs/>
                <w:szCs w:val="26"/>
              </w:rPr>
              <w:t>%</w:t>
            </w:r>
          </w:p>
        </w:tc>
      </w:tr>
      <w:tr w:rsidR="00284822" w14:paraId="3A86B491" w14:textId="77777777">
        <w:trPr>
          <w:trHeight w:val="629"/>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9655A95" w14:textId="77777777" w:rsidR="00284822" w:rsidRDefault="00F77BF8">
            <w:pPr>
              <w:spacing w:before="120" w:after="120"/>
              <w:rPr>
                <w:rFonts w:ascii="Rockwell" w:hAnsi="Rockwell"/>
                <w:szCs w:val="26"/>
              </w:rPr>
            </w:pPr>
            <w:r>
              <w:rPr>
                <w:rFonts w:ascii="Rockwell" w:hAnsi="Rockwell"/>
                <w:szCs w:val="26"/>
              </w:rPr>
              <w:t xml:space="preserve">ASSEMBLEE LEGISLATIVE </w:t>
            </w:r>
          </w:p>
          <w:p w14:paraId="3050DC13" w14:textId="6F21FEF8" w:rsidR="00284822" w:rsidRDefault="0046752A">
            <w:pPr>
              <w:spacing w:before="120" w:after="120"/>
              <w:rPr>
                <w:rFonts w:ascii="Rockwell" w:hAnsi="Rockwell"/>
                <w:szCs w:val="26"/>
              </w:rPr>
            </w:pPr>
            <w:r>
              <w:rPr>
                <w:rFonts w:ascii="Rockwell" w:hAnsi="Rockwell"/>
                <w:szCs w:val="26"/>
              </w:rPr>
              <w:t>DE TRANSITION</w:t>
            </w:r>
            <w:r w:rsidR="00F77BF8">
              <w:rPr>
                <w:rFonts w:ascii="Rockwell" w:hAnsi="Rockwell"/>
                <w:szCs w:val="26"/>
              </w:rPr>
              <w:t xml:space="preserve"> </w:t>
            </w: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2917857E" w14:textId="77777777" w:rsidR="00284822" w:rsidRDefault="00F77BF8">
            <w:pPr>
              <w:spacing w:before="120" w:after="120"/>
              <w:jc w:val="center"/>
              <w:rPr>
                <w:rFonts w:ascii="Rockwell" w:hAnsi="Rockwell"/>
                <w:szCs w:val="26"/>
              </w:rPr>
            </w:pPr>
            <w:proofErr w:type="gramStart"/>
            <w:r>
              <w:rPr>
                <w:rFonts w:ascii="Rockwell" w:hAnsi="Rockwell"/>
                <w:szCs w:val="26"/>
              </w:rPr>
              <w:t>02:</w:t>
            </w:r>
            <w:proofErr w:type="gramEnd"/>
            <w:r>
              <w:rPr>
                <w:rFonts w:ascii="Rockwell" w:hAnsi="Rockwell"/>
                <w:szCs w:val="26"/>
              </w:rPr>
              <w:t>52:07</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0668FC48" w14:textId="77777777" w:rsidR="00284822" w:rsidRDefault="00F77BF8">
            <w:pPr>
              <w:spacing w:before="120" w:after="120"/>
              <w:jc w:val="center"/>
              <w:rPr>
                <w:rFonts w:ascii="Rockwell" w:hAnsi="Rockwell"/>
                <w:szCs w:val="26"/>
              </w:rPr>
            </w:pPr>
            <w:r>
              <w:rPr>
                <w:rFonts w:ascii="Rockwell" w:hAnsi="Rockwell"/>
                <w:szCs w:val="26"/>
              </w:rPr>
              <w:t>76.94</w:t>
            </w: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04A310E7" w14:textId="77777777" w:rsidR="00284822" w:rsidRDefault="00F77BF8">
            <w:pPr>
              <w:spacing w:before="120" w:after="120"/>
              <w:jc w:val="center"/>
              <w:rPr>
                <w:rFonts w:ascii="Rockwell" w:hAnsi="Rockwell"/>
                <w:szCs w:val="26"/>
              </w:rPr>
            </w:pPr>
            <w:proofErr w:type="gramStart"/>
            <w:r>
              <w:rPr>
                <w:rFonts w:ascii="Rockwell" w:hAnsi="Rockwell"/>
                <w:szCs w:val="26"/>
              </w:rPr>
              <w:t>00:</w:t>
            </w:r>
            <w:proofErr w:type="gramEnd"/>
            <w:r>
              <w:rPr>
                <w:rFonts w:ascii="Rockwell" w:hAnsi="Rockwell"/>
                <w:szCs w:val="26"/>
              </w:rPr>
              <w:t>51:36</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7ECC30FA" w14:textId="77777777" w:rsidR="00284822" w:rsidRDefault="00F77BF8">
            <w:pPr>
              <w:spacing w:before="120" w:after="120"/>
              <w:jc w:val="center"/>
              <w:rPr>
                <w:rFonts w:ascii="Rockwell" w:hAnsi="Rockwell"/>
                <w:szCs w:val="26"/>
              </w:rPr>
            </w:pPr>
            <w:r>
              <w:rPr>
                <w:rFonts w:ascii="Rockwell" w:hAnsi="Rockwell"/>
                <w:szCs w:val="26"/>
              </w:rPr>
              <w:t>23.06</w:t>
            </w:r>
          </w:p>
        </w:tc>
        <w:tc>
          <w:tcPr>
            <w:tcW w:w="13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7A7FD676" w14:textId="77777777" w:rsidR="00284822" w:rsidRDefault="00F77BF8">
            <w:pPr>
              <w:spacing w:before="120" w:after="120"/>
              <w:jc w:val="center"/>
              <w:rPr>
                <w:rFonts w:ascii="Rockwell" w:hAnsi="Rockwell"/>
                <w:szCs w:val="26"/>
              </w:rPr>
            </w:pPr>
            <w:proofErr w:type="gramStart"/>
            <w:r>
              <w:rPr>
                <w:rFonts w:ascii="Rockwell" w:hAnsi="Rockwell"/>
                <w:b/>
                <w:bCs/>
                <w:szCs w:val="26"/>
              </w:rPr>
              <w:t>03:</w:t>
            </w:r>
            <w:proofErr w:type="gramEnd"/>
            <w:r>
              <w:rPr>
                <w:rFonts w:ascii="Rockwell" w:hAnsi="Rockwell"/>
                <w:b/>
                <w:bCs/>
                <w:szCs w:val="26"/>
              </w:rPr>
              <w:t>43:43</w:t>
            </w:r>
          </w:p>
        </w:tc>
        <w:tc>
          <w:tcPr>
            <w:tcW w:w="109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15535F96" w14:textId="77777777" w:rsidR="00284822" w:rsidRDefault="00F77BF8">
            <w:pPr>
              <w:spacing w:before="120" w:after="120"/>
              <w:jc w:val="center"/>
              <w:rPr>
                <w:rFonts w:ascii="Rockwell" w:hAnsi="Rockwell"/>
                <w:szCs w:val="26"/>
              </w:rPr>
            </w:pPr>
            <w:r>
              <w:rPr>
                <w:rFonts w:ascii="Rockwell" w:hAnsi="Rockwell"/>
                <w:b/>
                <w:bCs/>
                <w:szCs w:val="26"/>
              </w:rPr>
              <w:t>100.0</w:t>
            </w:r>
          </w:p>
        </w:tc>
      </w:tr>
      <w:tr w:rsidR="00284822" w14:paraId="01B466B1" w14:textId="77777777">
        <w:trPr>
          <w:trHeight w:val="577"/>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CC9E58E" w14:textId="77777777" w:rsidR="00284822" w:rsidRDefault="00F77BF8">
            <w:pPr>
              <w:spacing w:before="120" w:after="120"/>
              <w:rPr>
                <w:rFonts w:ascii="Rockwell" w:hAnsi="Rockwell"/>
                <w:szCs w:val="26"/>
              </w:rPr>
            </w:pPr>
            <w:r>
              <w:rPr>
                <w:rFonts w:ascii="Rockwell" w:hAnsi="Rockwell"/>
                <w:szCs w:val="26"/>
              </w:rPr>
              <w:t xml:space="preserve">ASSOCIATIONS </w:t>
            </w: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48787258" w14:textId="77777777" w:rsidR="00284822" w:rsidRDefault="00F77BF8">
            <w:pPr>
              <w:spacing w:before="120" w:after="120"/>
              <w:jc w:val="center"/>
              <w:rPr>
                <w:rFonts w:ascii="Rockwell" w:hAnsi="Rockwell"/>
                <w:szCs w:val="26"/>
              </w:rPr>
            </w:pPr>
            <w:proofErr w:type="gramStart"/>
            <w:r>
              <w:rPr>
                <w:rFonts w:ascii="Rockwell" w:hAnsi="Rockwell"/>
                <w:szCs w:val="26"/>
              </w:rPr>
              <w:t>11:</w:t>
            </w:r>
            <w:proofErr w:type="gramEnd"/>
            <w:r>
              <w:rPr>
                <w:rFonts w:ascii="Rockwell" w:hAnsi="Rockwell"/>
                <w:szCs w:val="26"/>
              </w:rPr>
              <w:t>26:30</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4FC77A2D" w14:textId="77777777" w:rsidR="00284822" w:rsidRDefault="00F77BF8">
            <w:pPr>
              <w:spacing w:before="120" w:after="120"/>
              <w:jc w:val="center"/>
              <w:rPr>
                <w:rFonts w:ascii="Rockwell" w:hAnsi="Rockwell"/>
                <w:szCs w:val="26"/>
              </w:rPr>
            </w:pPr>
            <w:r>
              <w:rPr>
                <w:rFonts w:ascii="Rockwell" w:hAnsi="Rockwell"/>
                <w:szCs w:val="26"/>
              </w:rPr>
              <w:t>75.05</w:t>
            </w: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32A6F2E1" w14:textId="77777777" w:rsidR="00284822" w:rsidRDefault="00F77BF8">
            <w:pPr>
              <w:spacing w:before="120" w:after="120"/>
              <w:jc w:val="center"/>
              <w:rPr>
                <w:rFonts w:ascii="Rockwell" w:hAnsi="Rockwell"/>
                <w:szCs w:val="26"/>
              </w:rPr>
            </w:pPr>
            <w:proofErr w:type="gramStart"/>
            <w:r>
              <w:rPr>
                <w:rFonts w:ascii="Rockwell" w:hAnsi="Rockwell"/>
                <w:szCs w:val="26"/>
              </w:rPr>
              <w:t>03:</w:t>
            </w:r>
            <w:proofErr w:type="gramEnd"/>
            <w:r>
              <w:rPr>
                <w:rFonts w:ascii="Rockwell" w:hAnsi="Rockwell"/>
                <w:szCs w:val="26"/>
              </w:rPr>
              <w:t>48:12</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49C0761B" w14:textId="77777777" w:rsidR="00284822" w:rsidRDefault="00F77BF8">
            <w:pPr>
              <w:spacing w:before="120" w:after="120"/>
              <w:jc w:val="center"/>
              <w:rPr>
                <w:rFonts w:ascii="Rockwell" w:hAnsi="Rockwell"/>
                <w:szCs w:val="26"/>
              </w:rPr>
            </w:pPr>
            <w:r>
              <w:rPr>
                <w:rFonts w:ascii="Rockwell" w:hAnsi="Rockwell"/>
                <w:szCs w:val="26"/>
              </w:rPr>
              <w:t>24.95</w:t>
            </w:r>
          </w:p>
        </w:tc>
        <w:tc>
          <w:tcPr>
            <w:tcW w:w="13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777FD7E0" w14:textId="77777777" w:rsidR="00284822" w:rsidRDefault="00F77BF8">
            <w:pPr>
              <w:spacing w:before="120" w:after="120"/>
              <w:jc w:val="center"/>
              <w:rPr>
                <w:rFonts w:ascii="Rockwell" w:hAnsi="Rockwell"/>
                <w:szCs w:val="26"/>
              </w:rPr>
            </w:pPr>
            <w:proofErr w:type="gramStart"/>
            <w:r>
              <w:rPr>
                <w:rFonts w:ascii="Rockwell" w:hAnsi="Rockwell"/>
                <w:b/>
                <w:bCs/>
                <w:szCs w:val="26"/>
              </w:rPr>
              <w:t>15:</w:t>
            </w:r>
            <w:proofErr w:type="gramEnd"/>
            <w:r>
              <w:rPr>
                <w:rFonts w:ascii="Rockwell" w:hAnsi="Rockwell"/>
                <w:b/>
                <w:bCs/>
                <w:szCs w:val="26"/>
              </w:rPr>
              <w:t>14:42</w:t>
            </w:r>
          </w:p>
        </w:tc>
        <w:tc>
          <w:tcPr>
            <w:tcW w:w="109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7E89A60E" w14:textId="77777777" w:rsidR="00284822" w:rsidRDefault="00F77BF8">
            <w:pPr>
              <w:spacing w:before="120" w:after="120"/>
              <w:jc w:val="center"/>
              <w:rPr>
                <w:rFonts w:ascii="Rockwell" w:hAnsi="Rockwell"/>
                <w:szCs w:val="26"/>
              </w:rPr>
            </w:pPr>
            <w:r>
              <w:rPr>
                <w:rFonts w:ascii="Rockwell" w:hAnsi="Rockwell"/>
                <w:b/>
                <w:bCs/>
                <w:szCs w:val="26"/>
              </w:rPr>
              <w:t>100.0</w:t>
            </w:r>
          </w:p>
        </w:tc>
      </w:tr>
      <w:tr w:rsidR="00284822" w14:paraId="1BE67848" w14:textId="77777777">
        <w:trPr>
          <w:trHeight w:val="599"/>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0D454AB" w14:textId="77777777" w:rsidR="00284822" w:rsidRDefault="00F77BF8">
            <w:pPr>
              <w:spacing w:before="120" w:after="120"/>
              <w:rPr>
                <w:rFonts w:ascii="Rockwell" w:hAnsi="Rockwell"/>
                <w:szCs w:val="26"/>
              </w:rPr>
            </w:pPr>
            <w:r>
              <w:rPr>
                <w:rFonts w:ascii="Rockwell" w:hAnsi="Rockwell"/>
                <w:szCs w:val="26"/>
              </w:rPr>
              <w:t xml:space="preserve">AUTRES INSTITUTIONS </w:t>
            </w: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6CC0D8B8" w14:textId="77777777" w:rsidR="00284822" w:rsidRDefault="00F77BF8">
            <w:pPr>
              <w:spacing w:before="120" w:after="120"/>
              <w:jc w:val="center"/>
              <w:rPr>
                <w:rFonts w:ascii="Rockwell" w:hAnsi="Rockwell"/>
                <w:szCs w:val="26"/>
              </w:rPr>
            </w:pPr>
            <w:proofErr w:type="gramStart"/>
            <w:r>
              <w:rPr>
                <w:rFonts w:ascii="Rockwell" w:hAnsi="Rockwell"/>
                <w:szCs w:val="26"/>
              </w:rPr>
              <w:t>00:</w:t>
            </w:r>
            <w:proofErr w:type="gramEnd"/>
            <w:r>
              <w:rPr>
                <w:rFonts w:ascii="Rockwell" w:hAnsi="Rockwell"/>
                <w:szCs w:val="26"/>
              </w:rPr>
              <w:t>35:58</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3D470F50" w14:textId="77777777" w:rsidR="00284822" w:rsidRDefault="00F77BF8">
            <w:pPr>
              <w:spacing w:before="120" w:after="120"/>
              <w:jc w:val="center"/>
              <w:rPr>
                <w:rFonts w:ascii="Rockwell" w:hAnsi="Rockwell"/>
                <w:szCs w:val="26"/>
              </w:rPr>
            </w:pPr>
            <w:r>
              <w:rPr>
                <w:rFonts w:ascii="Rockwell" w:hAnsi="Rockwell"/>
                <w:szCs w:val="26"/>
              </w:rPr>
              <w:t>73.95</w:t>
            </w: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6A233C43" w14:textId="77777777" w:rsidR="00284822" w:rsidRDefault="00F77BF8">
            <w:pPr>
              <w:spacing w:before="120" w:after="120"/>
              <w:jc w:val="center"/>
              <w:rPr>
                <w:rFonts w:ascii="Rockwell" w:hAnsi="Rockwell"/>
                <w:szCs w:val="26"/>
              </w:rPr>
            </w:pPr>
            <w:proofErr w:type="gramStart"/>
            <w:r>
              <w:rPr>
                <w:rFonts w:ascii="Rockwell" w:hAnsi="Rockwell"/>
                <w:szCs w:val="26"/>
              </w:rPr>
              <w:t>00:</w:t>
            </w:r>
            <w:proofErr w:type="gramEnd"/>
            <w:r>
              <w:rPr>
                <w:rFonts w:ascii="Rockwell" w:hAnsi="Rockwell"/>
                <w:szCs w:val="26"/>
              </w:rPr>
              <w:t>12:40</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64CBCC20" w14:textId="77777777" w:rsidR="00284822" w:rsidRDefault="00F77BF8">
            <w:pPr>
              <w:spacing w:before="120" w:after="120"/>
              <w:jc w:val="center"/>
              <w:rPr>
                <w:rFonts w:ascii="Rockwell" w:hAnsi="Rockwell"/>
                <w:szCs w:val="26"/>
              </w:rPr>
            </w:pPr>
            <w:r>
              <w:rPr>
                <w:rFonts w:ascii="Rockwell" w:hAnsi="Rockwell"/>
                <w:szCs w:val="26"/>
              </w:rPr>
              <w:t>26.05</w:t>
            </w:r>
          </w:p>
        </w:tc>
        <w:tc>
          <w:tcPr>
            <w:tcW w:w="13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7962D624" w14:textId="77777777" w:rsidR="00284822" w:rsidRDefault="00F77BF8">
            <w:pPr>
              <w:spacing w:before="120" w:after="120"/>
              <w:jc w:val="center"/>
              <w:rPr>
                <w:rFonts w:ascii="Rockwell" w:hAnsi="Rockwell"/>
                <w:szCs w:val="26"/>
              </w:rPr>
            </w:pPr>
            <w:proofErr w:type="gramStart"/>
            <w:r>
              <w:rPr>
                <w:rFonts w:ascii="Rockwell" w:hAnsi="Rockwell"/>
                <w:b/>
                <w:bCs/>
                <w:szCs w:val="26"/>
              </w:rPr>
              <w:t>00:</w:t>
            </w:r>
            <w:proofErr w:type="gramEnd"/>
            <w:r>
              <w:rPr>
                <w:rFonts w:ascii="Rockwell" w:hAnsi="Rockwell"/>
                <w:b/>
                <w:bCs/>
                <w:szCs w:val="26"/>
              </w:rPr>
              <w:t>48:38</w:t>
            </w:r>
          </w:p>
        </w:tc>
        <w:tc>
          <w:tcPr>
            <w:tcW w:w="109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5FBE2035" w14:textId="77777777" w:rsidR="00284822" w:rsidRDefault="00F77BF8">
            <w:pPr>
              <w:spacing w:before="120" w:after="120"/>
              <w:jc w:val="center"/>
              <w:rPr>
                <w:rFonts w:ascii="Rockwell" w:hAnsi="Rockwell"/>
                <w:szCs w:val="26"/>
              </w:rPr>
            </w:pPr>
            <w:r>
              <w:rPr>
                <w:rFonts w:ascii="Rockwell" w:hAnsi="Rockwell"/>
                <w:b/>
                <w:bCs/>
                <w:szCs w:val="26"/>
              </w:rPr>
              <w:t>100.0</w:t>
            </w:r>
          </w:p>
        </w:tc>
      </w:tr>
      <w:tr w:rsidR="00284822" w14:paraId="0FF25D97" w14:textId="77777777">
        <w:trPr>
          <w:trHeight w:val="599"/>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3A132A0" w14:textId="77777777" w:rsidR="00284822" w:rsidRDefault="00F77BF8">
            <w:pPr>
              <w:spacing w:before="120" w:after="120"/>
              <w:rPr>
                <w:rFonts w:ascii="Rockwell" w:hAnsi="Rockwell"/>
                <w:szCs w:val="26"/>
              </w:rPr>
            </w:pPr>
            <w:r>
              <w:rPr>
                <w:rFonts w:ascii="Rockwell" w:hAnsi="Rockwell"/>
                <w:szCs w:val="26"/>
              </w:rPr>
              <w:t xml:space="preserve"> PARTIS POLITIQUES </w:t>
            </w: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0A20277A" w14:textId="77777777" w:rsidR="00284822" w:rsidRDefault="00F77BF8">
            <w:pPr>
              <w:spacing w:before="120" w:after="120"/>
              <w:jc w:val="center"/>
              <w:rPr>
                <w:rFonts w:ascii="Rockwell" w:hAnsi="Rockwell"/>
                <w:szCs w:val="26"/>
              </w:rPr>
            </w:pPr>
            <w:proofErr w:type="gramStart"/>
            <w:r>
              <w:rPr>
                <w:rFonts w:ascii="Rockwell" w:hAnsi="Rockwell"/>
                <w:szCs w:val="26"/>
              </w:rPr>
              <w:t>01:</w:t>
            </w:r>
            <w:proofErr w:type="gramEnd"/>
            <w:r>
              <w:rPr>
                <w:rFonts w:ascii="Rockwell" w:hAnsi="Rockwell"/>
                <w:szCs w:val="26"/>
              </w:rPr>
              <w:t>23:17</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0E9736D6" w14:textId="77777777" w:rsidR="00284822" w:rsidRDefault="00F77BF8">
            <w:pPr>
              <w:spacing w:before="120" w:after="120"/>
              <w:jc w:val="center"/>
              <w:rPr>
                <w:rFonts w:ascii="Rockwell" w:hAnsi="Rockwell"/>
                <w:szCs w:val="26"/>
              </w:rPr>
            </w:pPr>
            <w:r>
              <w:rPr>
                <w:rFonts w:ascii="Rockwell" w:hAnsi="Rockwell"/>
                <w:szCs w:val="26"/>
              </w:rPr>
              <w:t>70.92</w:t>
            </w: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5A1F561B" w14:textId="77777777" w:rsidR="00284822" w:rsidRDefault="00F77BF8">
            <w:pPr>
              <w:spacing w:before="120" w:after="120"/>
              <w:jc w:val="center"/>
              <w:rPr>
                <w:rFonts w:ascii="Rockwell" w:hAnsi="Rockwell"/>
                <w:szCs w:val="26"/>
              </w:rPr>
            </w:pPr>
            <w:proofErr w:type="gramStart"/>
            <w:r>
              <w:rPr>
                <w:rFonts w:ascii="Rockwell" w:hAnsi="Rockwell"/>
                <w:szCs w:val="26"/>
              </w:rPr>
              <w:t>00:</w:t>
            </w:r>
            <w:proofErr w:type="gramEnd"/>
            <w:r>
              <w:rPr>
                <w:rFonts w:ascii="Rockwell" w:hAnsi="Rockwell"/>
                <w:szCs w:val="26"/>
              </w:rPr>
              <w:t>34:09</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7F3723A5" w14:textId="77777777" w:rsidR="00284822" w:rsidRDefault="00F77BF8">
            <w:pPr>
              <w:spacing w:before="120" w:after="120"/>
              <w:jc w:val="center"/>
              <w:rPr>
                <w:rFonts w:ascii="Rockwell" w:hAnsi="Rockwell"/>
                <w:szCs w:val="26"/>
              </w:rPr>
            </w:pPr>
            <w:r>
              <w:rPr>
                <w:rFonts w:ascii="Rockwell" w:hAnsi="Rockwell"/>
                <w:szCs w:val="26"/>
              </w:rPr>
              <w:t>29.08</w:t>
            </w:r>
          </w:p>
        </w:tc>
        <w:tc>
          <w:tcPr>
            <w:tcW w:w="13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015F68FB" w14:textId="77777777" w:rsidR="00284822" w:rsidRDefault="00F77BF8">
            <w:pPr>
              <w:spacing w:before="120" w:after="120"/>
              <w:jc w:val="center"/>
              <w:rPr>
                <w:rFonts w:ascii="Rockwell" w:hAnsi="Rockwell"/>
                <w:szCs w:val="26"/>
              </w:rPr>
            </w:pPr>
            <w:proofErr w:type="gramStart"/>
            <w:r>
              <w:rPr>
                <w:rFonts w:ascii="Rockwell" w:hAnsi="Rockwell"/>
                <w:b/>
                <w:bCs/>
                <w:szCs w:val="26"/>
              </w:rPr>
              <w:t>01:</w:t>
            </w:r>
            <w:proofErr w:type="gramEnd"/>
            <w:r>
              <w:rPr>
                <w:rFonts w:ascii="Rockwell" w:hAnsi="Rockwell"/>
                <w:b/>
                <w:bCs/>
                <w:szCs w:val="26"/>
              </w:rPr>
              <w:t>57:26</w:t>
            </w:r>
          </w:p>
        </w:tc>
        <w:tc>
          <w:tcPr>
            <w:tcW w:w="109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444B185C" w14:textId="77777777" w:rsidR="00284822" w:rsidRDefault="00F77BF8">
            <w:pPr>
              <w:spacing w:before="120" w:after="120"/>
              <w:jc w:val="center"/>
              <w:rPr>
                <w:rFonts w:ascii="Rockwell" w:hAnsi="Rockwell"/>
                <w:szCs w:val="26"/>
              </w:rPr>
            </w:pPr>
            <w:r>
              <w:rPr>
                <w:rFonts w:ascii="Rockwell" w:hAnsi="Rockwell"/>
                <w:b/>
                <w:bCs/>
                <w:szCs w:val="26"/>
              </w:rPr>
              <w:t>100.0</w:t>
            </w:r>
          </w:p>
        </w:tc>
      </w:tr>
      <w:tr w:rsidR="00284822" w14:paraId="195FDE88" w14:textId="77777777">
        <w:trPr>
          <w:trHeight w:val="599"/>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FFD1277" w14:textId="77777777" w:rsidR="00284822" w:rsidRDefault="00F77BF8">
            <w:pPr>
              <w:spacing w:before="120" w:after="120"/>
              <w:rPr>
                <w:rFonts w:ascii="Rockwell" w:hAnsi="Rockwell"/>
                <w:szCs w:val="26"/>
              </w:rPr>
            </w:pPr>
            <w:r>
              <w:rPr>
                <w:rFonts w:ascii="Rockwell" w:hAnsi="Rockwell"/>
                <w:szCs w:val="26"/>
              </w:rPr>
              <w:t xml:space="preserve">GOUVERNEMENT </w:t>
            </w: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0ABA4A4E" w14:textId="77777777" w:rsidR="00284822" w:rsidRDefault="00F77BF8">
            <w:pPr>
              <w:spacing w:before="120" w:after="120"/>
              <w:jc w:val="center"/>
              <w:rPr>
                <w:rFonts w:ascii="Rockwell" w:hAnsi="Rockwell"/>
                <w:szCs w:val="26"/>
              </w:rPr>
            </w:pPr>
            <w:proofErr w:type="gramStart"/>
            <w:r>
              <w:rPr>
                <w:rFonts w:ascii="Rockwell" w:hAnsi="Rockwell"/>
                <w:szCs w:val="26"/>
              </w:rPr>
              <w:t>44:</w:t>
            </w:r>
            <w:proofErr w:type="gramEnd"/>
            <w:r>
              <w:rPr>
                <w:rFonts w:ascii="Rockwell" w:hAnsi="Rockwell"/>
                <w:szCs w:val="26"/>
              </w:rPr>
              <w:t>27:54</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27C15B78" w14:textId="77777777" w:rsidR="00284822" w:rsidRDefault="00F77BF8">
            <w:pPr>
              <w:spacing w:before="120" w:after="120"/>
              <w:jc w:val="center"/>
              <w:rPr>
                <w:rFonts w:ascii="Rockwell" w:hAnsi="Rockwell"/>
                <w:szCs w:val="26"/>
              </w:rPr>
            </w:pPr>
            <w:r>
              <w:rPr>
                <w:rFonts w:ascii="Rockwell" w:hAnsi="Rockwell"/>
                <w:szCs w:val="26"/>
              </w:rPr>
              <w:t>72.76</w:t>
            </w: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3FDEC8DC" w14:textId="77777777" w:rsidR="00284822" w:rsidRDefault="00F77BF8">
            <w:pPr>
              <w:spacing w:before="120" w:after="120"/>
              <w:jc w:val="center"/>
              <w:rPr>
                <w:rFonts w:ascii="Rockwell" w:hAnsi="Rockwell"/>
                <w:szCs w:val="26"/>
              </w:rPr>
            </w:pPr>
            <w:proofErr w:type="gramStart"/>
            <w:r>
              <w:rPr>
                <w:rFonts w:ascii="Rockwell" w:hAnsi="Rockwell"/>
                <w:szCs w:val="26"/>
              </w:rPr>
              <w:t>16:</w:t>
            </w:r>
            <w:proofErr w:type="gramEnd"/>
            <w:r>
              <w:rPr>
                <w:rFonts w:ascii="Rockwell" w:hAnsi="Rockwell"/>
                <w:szCs w:val="26"/>
              </w:rPr>
              <w:t>38:57</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60CC7796" w14:textId="77777777" w:rsidR="00284822" w:rsidRDefault="00F77BF8">
            <w:pPr>
              <w:spacing w:before="120" w:after="120"/>
              <w:jc w:val="center"/>
              <w:rPr>
                <w:rFonts w:ascii="Rockwell" w:hAnsi="Rockwell"/>
                <w:szCs w:val="26"/>
              </w:rPr>
            </w:pPr>
            <w:r>
              <w:rPr>
                <w:rFonts w:ascii="Rockwell" w:hAnsi="Rockwell"/>
                <w:szCs w:val="26"/>
              </w:rPr>
              <w:t>27.24</w:t>
            </w:r>
          </w:p>
        </w:tc>
        <w:tc>
          <w:tcPr>
            <w:tcW w:w="13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1F14A344" w14:textId="77777777" w:rsidR="00284822" w:rsidRDefault="00F77BF8">
            <w:pPr>
              <w:spacing w:before="120" w:after="120"/>
              <w:jc w:val="center"/>
              <w:rPr>
                <w:rFonts w:ascii="Rockwell" w:hAnsi="Rockwell"/>
                <w:szCs w:val="26"/>
              </w:rPr>
            </w:pPr>
            <w:proofErr w:type="gramStart"/>
            <w:r>
              <w:rPr>
                <w:rFonts w:ascii="Rockwell" w:hAnsi="Rockwell"/>
                <w:b/>
                <w:bCs/>
                <w:szCs w:val="26"/>
              </w:rPr>
              <w:t>61:</w:t>
            </w:r>
            <w:proofErr w:type="gramEnd"/>
            <w:r>
              <w:rPr>
                <w:rFonts w:ascii="Rockwell" w:hAnsi="Rockwell"/>
                <w:b/>
                <w:bCs/>
                <w:szCs w:val="26"/>
              </w:rPr>
              <w:t>06:51</w:t>
            </w:r>
          </w:p>
        </w:tc>
        <w:tc>
          <w:tcPr>
            <w:tcW w:w="109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75C81F26" w14:textId="77777777" w:rsidR="00284822" w:rsidRDefault="00F77BF8">
            <w:pPr>
              <w:spacing w:before="120" w:after="120"/>
              <w:jc w:val="center"/>
              <w:rPr>
                <w:rFonts w:ascii="Rockwell" w:hAnsi="Rockwell"/>
                <w:szCs w:val="26"/>
              </w:rPr>
            </w:pPr>
            <w:r>
              <w:rPr>
                <w:rFonts w:ascii="Rockwell" w:hAnsi="Rockwell"/>
                <w:b/>
                <w:bCs/>
                <w:szCs w:val="26"/>
              </w:rPr>
              <w:t>100.0</w:t>
            </w:r>
          </w:p>
        </w:tc>
      </w:tr>
      <w:tr w:rsidR="00284822" w14:paraId="07740893" w14:textId="77777777">
        <w:trPr>
          <w:trHeight w:val="577"/>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DE8C646" w14:textId="77777777" w:rsidR="00284822" w:rsidRDefault="00F77BF8">
            <w:pPr>
              <w:spacing w:before="120" w:after="120"/>
              <w:rPr>
                <w:rFonts w:ascii="Rockwell" w:hAnsi="Rockwell"/>
                <w:szCs w:val="26"/>
              </w:rPr>
            </w:pPr>
            <w:r>
              <w:rPr>
                <w:rFonts w:ascii="Rockwell" w:hAnsi="Rockwell"/>
                <w:szCs w:val="26"/>
              </w:rPr>
              <w:t xml:space="preserve">PRESIDENCE DU FASO </w:t>
            </w: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360B2E1E" w14:textId="77777777" w:rsidR="00284822" w:rsidRDefault="00F77BF8">
            <w:pPr>
              <w:spacing w:before="120" w:after="120"/>
              <w:jc w:val="center"/>
              <w:rPr>
                <w:rFonts w:ascii="Rockwell" w:hAnsi="Rockwell"/>
                <w:szCs w:val="26"/>
              </w:rPr>
            </w:pPr>
            <w:proofErr w:type="gramStart"/>
            <w:r>
              <w:rPr>
                <w:rFonts w:ascii="Rockwell" w:hAnsi="Rockwell"/>
                <w:szCs w:val="26"/>
              </w:rPr>
              <w:t>02:</w:t>
            </w:r>
            <w:proofErr w:type="gramEnd"/>
            <w:r>
              <w:rPr>
                <w:rFonts w:ascii="Rockwell" w:hAnsi="Rockwell"/>
                <w:szCs w:val="26"/>
              </w:rPr>
              <w:t>38:10</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65F501B3" w14:textId="77777777" w:rsidR="00284822" w:rsidRDefault="00F77BF8">
            <w:pPr>
              <w:spacing w:before="120" w:after="120"/>
              <w:jc w:val="center"/>
              <w:rPr>
                <w:rFonts w:ascii="Rockwell" w:hAnsi="Rockwell"/>
                <w:szCs w:val="26"/>
              </w:rPr>
            </w:pPr>
            <w:r>
              <w:rPr>
                <w:rFonts w:ascii="Rockwell" w:hAnsi="Rockwell"/>
                <w:szCs w:val="26"/>
              </w:rPr>
              <w:t>67.2</w:t>
            </w: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034F10D7" w14:textId="77777777" w:rsidR="00284822" w:rsidRDefault="00F77BF8">
            <w:pPr>
              <w:spacing w:before="120" w:after="120"/>
              <w:jc w:val="center"/>
              <w:rPr>
                <w:rFonts w:ascii="Rockwell" w:hAnsi="Rockwell"/>
                <w:szCs w:val="26"/>
              </w:rPr>
            </w:pPr>
            <w:proofErr w:type="gramStart"/>
            <w:r>
              <w:rPr>
                <w:rFonts w:ascii="Rockwell" w:hAnsi="Rockwell"/>
                <w:szCs w:val="26"/>
              </w:rPr>
              <w:t>01:</w:t>
            </w:r>
            <w:proofErr w:type="gramEnd"/>
            <w:r>
              <w:rPr>
                <w:rFonts w:ascii="Rockwell" w:hAnsi="Rockwell"/>
                <w:szCs w:val="26"/>
              </w:rPr>
              <w:t>17:12</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0B45AF4C" w14:textId="77777777" w:rsidR="00284822" w:rsidRDefault="00F77BF8">
            <w:pPr>
              <w:spacing w:before="120" w:after="120"/>
              <w:jc w:val="center"/>
              <w:rPr>
                <w:rFonts w:ascii="Rockwell" w:hAnsi="Rockwell"/>
                <w:szCs w:val="26"/>
              </w:rPr>
            </w:pPr>
            <w:r>
              <w:rPr>
                <w:rFonts w:ascii="Rockwell" w:hAnsi="Rockwell"/>
                <w:szCs w:val="26"/>
              </w:rPr>
              <w:t>32.8</w:t>
            </w:r>
          </w:p>
        </w:tc>
        <w:tc>
          <w:tcPr>
            <w:tcW w:w="13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0B62AA04" w14:textId="77777777" w:rsidR="00284822" w:rsidRDefault="00F77BF8">
            <w:pPr>
              <w:spacing w:before="120" w:after="120"/>
              <w:jc w:val="center"/>
              <w:rPr>
                <w:rFonts w:ascii="Rockwell" w:hAnsi="Rockwell"/>
                <w:szCs w:val="26"/>
              </w:rPr>
            </w:pPr>
            <w:proofErr w:type="gramStart"/>
            <w:r>
              <w:rPr>
                <w:rFonts w:ascii="Rockwell" w:hAnsi="Rockwell"/>
                <w:b/>
                <w:bCs/>
                <w:szCs w:val="26"/>
              </w:rPr>
              <w:t>03:</w:t>
            </w:r>
            <w:proofErr w:type="gramEnd"/>
            <w:r>
              <w:rPr>
                <w:rFonts w:ascii="Rockwell" w:hAnsi="Rockwell"/>
                <w:b/>
                <w:bCs/>
                <w:szCs w:val="26"/>
              </w:rPr>
              <w:t>55:22</w:t>
            </w:r>
          </w:p>
        </w:tc>
        <w:tc>
          <w:tcPr>
            <w:tcW w:w="109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632116C9" w14:textId="77777777" w:rsidR="00284822" w:rsidRDefault="00F77BF8">
            <w:pPr>
              <w:spacing w:before="120" w:after="120"/>
              <w:jc w:val="center"/>
              <w:rPr>
                <w:rFonts w:ascii="Rockwell" w:hAnsi="Rockwell"/>
                <w:szCs w:val="26"/>
              </w:rPr>
            </w:pPr>
            <w:r>
              <w:rPr>
                <w:rFonts w:ascii="Rockwell" w:hAnsi="Rockwell"/>
                <w:b/>
                <w:bCs/>
                <w:szCs w:val="26"/>
              </w:rPr>
              <w:t>100.0</w:t>
            </w:r>
          </w:p>
        </w:tc>
      </w:tr>
      <w:tr w:rsidR="00284822" w14:paraId="44E748DC" w14:textId="77777777">
        <w:trPr>
          <w:trHeight w:val="599"/>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9799D0A" w14:textId="77777777" w:rsidR="00284822" w:rsidRDefault="00F77BF8">
            <w:pPr>
              <w:spacing w:before="120" w:after="120"/>
              <w:rPr>
                <w:rFonts w:ascii="Rockwell" w:hAnsi="Rockwell"/>
                <w:szCs w:val="26"/>
              </w:rPr>
            </w:pPr>
            <w:r>
              <w:rPr>
                <w:rFonts w:ascii="Rockwell" w:hAnsi="Rockwell"/>
                <w:szCs w:val="26"/>
              </w:rPr>
              <w:t xml:space="preserve">SYNDICATS </w:t>
            </w: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198A2D80" w14:textId="77777777" w:rsidR="00284822" w:rsidRDefault="00F77BF8">
            <w:pPr>
              <w:spacing w:before="120" w:after="120"/>
              <w:jc w:val="center"/>
              <w:rPr>
                <w:rFonts w:ascii="Rockwell" w:hAnsi="Rockwell"/>
                <w:szCs w:val="26"/>
              </w:rPr>
            </w:pPr>
            <w:proofErr w:type="gramStart"/>
            <w:r>
              <w:rPr>
                <w:rFonts w:ascii="Rockwell" w:hAnsi="Rockwell"/>
                <w:szCs w:val="26"/>
              </w:rPr>
              <w:t>01:</w:t>
            </w:r>
            <w:proofErr w:type="gramEnd"/>
            <w:r>
              <w:rPr>
                <w:rFonts w:ascii="Rockwell" w:hAnsi="Rockwell"/>
                <w:szCs w:val="26"/>
              </w:rPr>
              <w:t>19:53</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6500490F" w14:textId="77777777" w:rsidR="00284822" w:rsidRDefault="00F77BF8">
            <w:pPr>
              <w:spacing w:before="120" w:after="120"/>
              <w:jc w:val="center"/>
              <w:rPr>
                <w:rFonts w:ascii="Rockwell" w:hAnsi="Rockwell"/>
                <w:szCs w:val="26"/>
              </w:rPr>
            </w:pPr>
            <w:r>
              <w:rPr>
                <w:rFonts w:ascii="Rockwell" w:hAnsi="Rockwell"/>
                <w:szCs w:val="26"/>
              </w:rPr>
              <w:t>74.88</w:t>
            </w: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56FFC22E" w14:textId="77777777" w:rsidR="00284822" w:rsidRDefault="00F77BF8">
            <w:pPr>
              <w:spacing w:before="120" w:after="120"/>
              <w:jc w:val="center"/>
              <w:rPr>
                <w:rFonts w:ascii="Rockwell" w:hAnsi="Rockwell"/>
                <w:szCs w:val="26"/>
              </w:rPr>
            </w:pPr>
            <w:proofErr w:type="gramStart"/>
            <w:r>
              <w:rPr>
                <w:rFonts w:ascii="Rockwell" w:hAnsi="Rockwell"/>
                <w:szCs w:val="26"/>
              </w:rPr>
              <w:t>00:</w:t>
            </w:r>
            <w:proofErr w:type="gramEnd"/>
            <w:r>
              <w:rPr>
                <w:rFonts w:ascii="Rockwell" w:hAnsi="Rockwell"/>
                <w:szCs w:val="26"/>
              </w:rPr>
              <w:t>26:48</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2CC9309C" w14:textId="77777777" w:rsidR="00284822" w:rsidRDefault="00F77BF8">
            <w:pPr>
              <w:spacing w:before="120" w:after="120"/>
              <w:jc w:val="center"/>
              <w:rPr>
                <w:rFonts w:ascii="Rockwell" w:hAnsi="Rockwell"/>
                <w:szCs w:val="26"/>
              </w:rPr>
            </w:pPr>
            <w:r>
              <w:rPr>
                <w:rFonts w:ascii="Rockwell" w:hAnsi="Rockwell"/>
                <w:szCs w:val="26"/>
              </w:rPr>
              <w:t>25.12</w:t>
            </w:r>
          </w:p>
        </w:tc>
        <w:tc>
          <w:tcPr>
            <w:tcW w:w="13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3D5A989B" w14:textId="77777777" w:rsidR="00284822" w:rsidRDefault="00F77BF8">
            <w:pPr>
              <w:spacing w:before="120" w:after="120"/>
              <w:jc w:val="center"/>
              <w:rPr>
                <w:rFonts w:ascii="Rockwell" w:hAnsi="Rockwell"/>
                <w:szCs w:val="26"/>
              </w:rPr>
            </w:pPr>
            <w:proofErr w:type="gramStart"/>
            <w:r>
              <w:rPr>
                <w:rFonts w:ascii="Rockwell" w:hAnsi="Rockwell"/>
                <w:b/>
                <w:bCs/>
                <w:szCs w:val="26"/>
              </w:rPr>
              <w:t>01:</w:t>
            </w:r>
            <w:proofErr w:type="gramEnd"/>
            <w:r>
              <w:rPr>
                <w:rFonts w:ascii="Rockwell" w:hAnsi="Rockwell"/>
                <w:b/>
                <w:bCs/>
                <w:szCs w:val="26"/>
              </w:rPr>
              <w:t>46:41</w:t>
            </w:r>
          </w:p>
        </w:tc>
        <w:tc>
          <w:tcPr>
            <w:tcW w:w="109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579D342B" w14:textId="77777777" w:rsidR="00284822" w:rsidRDefault="00F77BF8">
            <w:pPr>
              <w:spacing w:before="120" w:after="120"/>
              <w:jc w:val="center"/>
              <w:rPr>
                <w:rFonts w:ascii="Rockwell" w:hAnsi="Rockwell"/>
                <w:szCs w:val="26"/>
              </w:rPr>
            </w:pPr>
            <w:r>
              <w:rPr>
                <w:rFonts w:ascii="Rockwell" w:hAnsi="Rockwell"/>
                <w:b/>
                <w:bCs/>
                <w:szCs w:val="26"/>
              </w:rPr>
              <w:t>100.0</w:t>
            </w:r>
          </w:p>
        </w:tc>
      </w:tr>
      <w:tr w:rsidR="00284822" w14:paraId="60857B19" w14:textId="77777777">
        <w:trPr>
          <w:trHeight w:val="442"/>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77E307B2" w14:textId="77777777" w:rsidR="00284822" w:rsidRDefault="00F77BF8">
            <w:pPr>
              <w:spacing w:before="120" w:after="120"/>
              <w:rPr>
                <w:rFonts w:ascii="Rockwell" w:hAnsi="Rockwell"/>
                <w:szCs w:val="26"/>
              </w:rPr>
            </w:pPr>
            <w:r>
              <w:rPr>
                <w:rFonts w:ascii="Rockwell" w:hAnsi="Rockwell"/>
                <w:b/>
                <w:bCs/>
                <w:szCs w:val="26"/>
              </w:rPr>
              <w:t>TOTAL</w:t>
            </w: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5BAB2775" w14:textId="77777777" w:rsidR="00284822" w:rsidRDefault="00F77BF8">
            <w:pPr>
              <w:spacing w:before="120" w:after="120"/>
              <w:jc w:val="center"/>
              <w:rPr>
                <w:rFonts w:ascii="Rockwell" w:hAnsi="Rockwell"/>
                <w:szCs w:val="26"/>
              </w:rPr>
            </w:pPr>
            <w:proofErr w:type="gramStart"/>
            <w:r>
              <w:rPr>
                <w:rFonts w:ascii="Rockwell" w:hAnsi="Rockwell"/>
                <w:b/>
                <w:bCs/>
                <w:szCs w:val="26"/>
              </w:rPr>
              <w:t>64:</w:t>
            </w:r>
            <w:proofErr w:type="gramEnd"/>
            <w:r>
              <w:rPr>
                <w:rFonts w:ascii="Rockwell" w:hAnsi="Rockwell"/>
                <w:b/>
                <w:bCs/>
                <w:szCs w:val="26"/>
              </w:rPr>
              <w:t>43:49</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50158DA4" w14:textId="77777777" w:rsidR="00284822" w:rsidRDefault="00F77BF8">
            <w:pPr>
              <w:spacing w:before="120" w:after="120"/>
              <w:jc w:val="center"/>
              <w:rPr>
                <w:rFonts w:ascii="Rockwell" w:hAnsi="Rockwell"/>
                <w:szCs w:val="26"/>
              </w:rPr>
            </w:pPr>
            <w:r>
              <w:rPr>
                <w:rFonts w:ascii="Rockwell" w:hAnsi="Rockwell"/>
                <w:b/>
                <w:bCs/>
                <w:szCs w:val="26"/>
              </w:rPr>
              <w:t>73.09</w:t>
            </w: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65E7BA1F" w14:textId="77777777" w:rsidR="00284822" w:rsidRDefault="00F77BF8">
            <w:pPr>
              <w:spacing w:before="120" w:after="120"/>
              <w:jc w:val="center"/>
              <w:rPr>
                <w:rFonts w:ascii="Rockwell" w:hAnsi="Rockwell"/>
                <w:szCs w:val="26"/>
              </w:rPr>
            </w:pPr>
            <w:proofErr w:type="gramStart"/>
            <w:r>
              <w:rPr>
                <w:rFonts w:ascii="Rockwell" w:hAnsi="Rockwell"/>
                <w:b/>
                <w:bCs/>
                <w:szCs w:val="26"/>
              </w:rPr>
              <w:t>23:</w:t>
            </w:r>
            <w:proofErr w:type="gramEnd"/>
            <w:r>
              <w:rPr>
                <w:rFonts w:ascii="Rockwell" w:hAnsi="Rockwell"/>
                <w:b/>
                <w:bCs/>
                <w:szCs w:val="26"/>
              </w:rPr>
              <w:t>49:34</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05DC2689" w14:textId="77777777" w:rsidR="00284822" w:rsidRDefault="00F77BF8">
            <w:pPr>
              <w:spacing w:before="120" w:after="120"/>
              <w:jc w:val="center"/>
              <w:rPr>
                <w:rFonts w:ascii="Rockwell" w:hAnsi="Rockwell"/>
                <w:szCs w:val="26"/>
              </w:rPr>
            </w:pPr>
            <w:r>
              <w:rPr>
                <w:rFonts w:ascii="Rockwell" w:hAnsi="Rockwell"/>
                <w:b/>
                <w:bCs/>
                <w:szCs w:val="26"/>
              </w:rPr>
              <w:t>26.91</w:t>
            </w:r>
          </w:p>
        </w:tc>
        <w:tc>
          <w:tcPr>
            <w:tcW w:w="13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69BEFF21" w14:textId="77777777" w:rsidR="00284822" w:rsidRDefault="00F77BF8">
            <w:pPr>
              <w:spacing w:before="120" w:after="120"/>
              <w:jc w:val="center"/>
              <w:rPr>
                <w:rFonts w:ascii="Rockwell" w:hAnsi="Rockwell"/>
                <w:szCs w:val="26"/>
              </w:rPr>
            </w:pPr>
            <w:proofErr w:type="gramStart"/>
            <w:r>
              <w:rPr>
                <w:rFonts w:ascii="Rockwell" w:hAnsi="Rockwell"/>
                <w:b/>
                <w:bCs/>
                <w:szCs w:val="26"/>
              </w:rPr>
              <w:t>88:</w:t>
            </w:r>
            <w:proofErr w:type="gramEnd"/>
            <w:r>
              <w:rPr>
                <w:rFonts w:ascii="Rockwell" w:hAnsi="Rockwell"/>
                <w:b/>
                <w:bCs/>
                <w:szCs w:val="26"/>
              </w:rPr>
              <w:t>33:23</w:t>
            </w:r>
          </w:p>
        </w:tc>
        <w:tc>
          <w:tcPr>
            <w:tcW w:w="109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5F4E7904" w14:textId="77777777" w:rsidR="00284822" w:rsidRDefault="00F77BF8">
            <w:pPr>
              <w:spacing w:before="120" w:after="120"/>
              <w:jc w:val="center"/>
              <w:rPr>
                <w:rFonts w:ascii="Rockwell" w:hAnsi="Rockwell"/>
                <w:szCs w:val="26"/>
              </w:rPr>
            </w:pPr>
            <w:r>
              <w:rPr>
                <w:rFonts w:ascii="Rockwell" w:hAnsi="Rockwell"/>
                <w:b/>
                <w:bCs/>
                <w:szCs w:val="26"/>
              </w:rPr>
              <w:t>100.0</w:t>
            </w:r>
          </w:p>
        </w:tc>
      </w:tr>
    </w:tbl>
    <w:p w14:paraId="7A06F856" w14:textId="77777777" w:rsidR="00284822" w:rsidRDefault="00F77BF8">
      <w:pPr>
        <w:spacing w:before="120" w:after="120"/>
        <w:ind w:hanging="709"/>
        <w:rPr>
          <w:rFonts w:ascii="Rockwell" w:hAnsi="Rockwell"/>
          <w:i/>
          <w:sz w:val="20"/>
          <w:szCs w:val="20"/>
          <w:lang w:eastAsia="en-US"/>
        </w:rPr>
      </w:pPr>
      <w:r>
        <w:rPr>
          <w:rFonts w:ascii="Rockwell" w:hAnsi="Rockwell"/>
          <w:i/>
          <w:sz w:val="20"/>
          <w:szCs w:val="20"/>
          <w:u w:val="single"/>
          <w:lang w:eastAsia="en-US"/>
        </w:rPr>
        <w:t>Source</w:t>
      </w:r>
      <w:r>
        <w:rPr>
          <w:rFonts w:ascii="Rockwell" w:hAnsi="Rockwell"/>
          <w:i/>
          <w:sz w:val="20"/>
          <w:szCs w:val="20"/>
          <w:lang w:eastAsia="en-US"/>
        </w:rPr>
        <w:t> : CSC</w:t>
      </w:r>
    </w:p>
    <w:p w14:paraId="06B5B8A1" w14:textId="77777777" w:rsidR="00284822" w:rsidRDefault="00284822">
      <w:pPr>
        <w:spacing w:before="120" w:after="120"/>
        <w:ind w:hanging="709"/>
        <w:rPr>
          <w:rFonts w:ascii="Rockwell" w:hAnsi="Rockwell"/>
          <w:i/>
          <w:sz w:val="20"/>
          <w:szCs w:val="20"/>
          <w:lang w:eastAsia="en-US"/>
        </w:rPr>
      </w:pPr>
    </w:p>
    <w:p w14:paraId="2A41BDEA" w14:textId="77777777" w:rsidR="00284822" w:rsidRDefault="00284822">
      <w:pPr>
        <w:spacing w:before="120" w:after="120"/>
        <w:ind w:hanging="709"/>
        <w:rPr>
          <w:rFonts w:ascii="Rockwell" w:hAnsi="Rockwell"/>
          <w:i/>
          <w:sz w:val="20"/>
          <w:szCs w:val="20"/>
          <w:lang w:eastAsia="en-US"/>
        </w:rPr>
        <w:sectPr w:rsidR="00284822">
          <w:pgSz w:w="11906" w:h="16838"/>
          <w:pgMar w:top="1418" w:right="1418" w:bottom="1418" w:left="1418" w:header="720" w:footer="720" w:gutter="0"/>
          <w:cols w:space="720"/>
        </w:sectPr>
      </w:pPr>
    </w:p>
    <w:p w14:paraId="0291A152" w14:textId="77777777" w:rsidR="00284822" w:rsidRDefault="00F77BF8">
      <w:pPr>
        <w:spacing w:before="120" w:after="120"/>
        <w:jc w:val="center"/>
        <w:rPr>
          <w:rFonts w:ascii="Rockwell" w:hAnsi="Rockwell"/>
          <w:i/>
          <w:sz w:val="20"/>
          <w:szCs w:val="20"/>
          <w:u w:val="single"/>
        </w:rPr>
      </w:pPr>
      <w:r>
        <w:rPr>
          <w:rFonts w:ascii="Rockwell" w:hAnsi="Rockwell"/>
          <w:i/>
          <w:sz w:val="20"/>
          <w:szCs w:val="20"/>
          <w:u w:val="single"/>
        </w:rPr>
        <w:lastRenderedPageBreak/>
        <w:t>Représentation graphique des TA et TP des médias audiovisuels publics</w:t>
      </w:r>
    </w:p>
    <w:p w14:paraId="27E67FF6" w14:textId="77777777" w:rsidR="00284822" w:rsidRDefault="00F77BF8">
      <w:pPr>
        <w:spacing w:before="120" w:after="120"/>
        <w:jc w:val="center"/>
        <w:rPr>
          <w:rFonts w:ascii="Rockwell" w:hAnsi="Rockwell"/>
          <w:szCs w:val="26"/>
        </w:rPr>
      </w:pPr>
      <w:r>
        <w:rPr>
          <w:rFonts w:ascii="Rockwell" w:hAnsi="Rockwell"/>
          <w:noProof/>
          <w:szCs w:val="26"/>
        </w:rPr>
        <w:drawing>
          <wp:inline distT="0" distB="0" distL="0" distR="0" wp14:anchorId="181164A1" wp14:editId="6E4E3453">
            <wp:extent cx="5334000" cy="3514090"/>
            <wp:effectExtent l="0" t="0" r="0" b="0"/>
            <wp:docPr id="45" name="Image 92" descr="http://srvhms/Pluralisme/getchart.jsp?img=chart1&amp;id=DBD819B30C97C9B12C46CFD8C085138E_6"/>
            <wp:cNvGraphicFramePr/>
            <a:graphic xmlns:a="http://schemas.openxmlformats.org/drawingml/2006/main">
              <a:graphicData uri="http://schemas.openxmlformats.org/drawingml/2006/picture">
                <pic:pic xmlns:pic="http://schemas.openxmlformats.org/drawingml/2006/picture">
                  <pic:nvPicPr>
                    <pic:cNvPr id="45" name="Image 92" descr="http://srvhms/Pluralisme/getchart.jsp?img=chart1&amp;id=DBD819B30C97C9B12C46CFD8C085138E_6"/>
                    <pic:cNvPicPr/>
                  </pic:nvPicPr>
                  <pic:blipFill>
                    <a:blip r:embed="rId84"/>
                    <a:srcRect/>
                    <a:stretch>
                      <a:fillRect/>
                    </a:stretch>
                  </pic:blipFill>
                  <pic:spPr>
                    <a:xfrm>
                      <a:off x="0" y="0"/>
                      <a:ext cx="5353383" cy="3526935"/>
                    </a:xfrm>
                    <a:prstGeom prst="rect">
                      <a:avLst/>
                    </a:prstGeom>
                    <a:noFill/>
                    <a:ln>
                      <a:noFill/>
                      <a:prstDash val="solid"/>
                    </a:ln>
                  </pic:spPr>
                </pic:pic>
              </a:graphicData>
            </a:graphic>
          </wp:inline>
        </w:drawing>
      </w:r>
    </w:p>
    <w:p w14:paraId="6B87D191" w14:textId="77777777" w:rsidR="00284822" w:rsidRDefault="00284822">
      <w:pPr>
        <w:spacing w:before="120" w:after="120"/>
        <w:jc w:val="center"/>
        <w:rPr>
          <w:rFonts w:ascii="Rockwell" w:hAnsi="Rockwell"/>
          <w:szCs w:val="26"/>
        </w:rPr>
      </w:pPr>
    </w:p>
    <w:p w14:paraId="50C7CA8C" w14:textId="77777777" w:rsidR="00284822" w:rsidRDefault="00F77BF8">
      <w:pPr>
        <w:pStyle w:val="Titre6"/>
        <w:numPr>
          <w:ilvl w:val="1"/>
          <w:numId w:val="22"/>
        </w:numPr>
        <w:jc w:val="both"/>
        <w:rPr>
          <w:rFonts w:ascii="Rockwell" w:hAnsi="Rockwell"/>
          <w:i w:val="0"/>
        </w:rPr>
      </w:pPr>
      <w:r>
        <w:rPr>
          <w:rFonts w:ascii="Rockwell" w:hAnsi="Rockwell"/>
          <w:i w:val="0"/>
        </w:rPr>
        <w:t>Données des médias audiovisuels privés</w:t>
      </w:r>
    </w:p>
    <w:p w14:paraId="1BB246F6" w14:textId="77777777" w:rsidR="00284822" w:rsidRDefault="00F77BF8">
      <w:pPr>
        <w:spacing w:before="120" w:after="120"/>
        <w:rPr>
          <w:rFonts w:ascii="Rockwell" w:hAnsi="Rockwell"/>
          <w:szCs w:val="26"/>
        </w:rPr>
      </w:pPr>
      <w:r>
        <w:rPr>
          <w:rFonts w:ascii="Rockwell" w:hAnsi="Rockwell"/>
          <w:szCs w:val="26"/>
        </w:rPr>
        <w:t>L’observation du pluralisme et de l’équilibre de l’information dans certains médias audiovisuels privés (Canal 3, BF1, 3TV, SAVANE FM, OMEGA FM), a permis d’obtenir les résultats suivants :</w:t>
      </w:r>
    </w:p>
    <w:p w14:paraId="215906A3" w14:textId="77777777" w:rsidR="00284822" w:rsidRDefault="00284822">
      <w:pPr>
        <w:spacing w:before="120" w:after="120"/>
        <w:rPr>
          <w:rFonts w:ascii="Rockwell" w:hAnsi="Rockwell"/>
          <w:szCs w:val="26"/>
        </w:rPr>
      </w:pPr>
    </w:p>
    <w:p w14:paraId="32306E70" w14:textId="77777777" w:rsidR="00284822" w:rsidRDefault="00284822">
      <w:pPr>
        <w:spacing w:before="120" w:after="120"/>
        <w:rPr>
          <w:rFonts w:ascii="Rockwell" w:hAnsi="Rockwell"/>
          <w:szCs w:val="26"/>
        </w:rPr>
        <w:sectPr w:rsidR="00284822">
          <w:pgSz w:w="11906" w:h="16838"/>
          <w:pgMar w:top="1418" w:right="1418" w:bottom="1418" w:left="1418" w:header="720" w:footer="720" w:gutter="0"/>
          <w:cols w:space="720"/>
        </w:sectPr>
      </w:pPr>
    </w:p>
    <w:p w14:paraId="609D2118" w14:textId="77777777" w:rsidR="00284822" w:rsidRDefault="00F77BF8">
      <w:pPr>
        <w:spacing w:before="120" w:after="120"/>
        <w:jc w:val="center"/>
        <w:rPr>
          <w:rFonts w:ascii="Rockwell" w:hAnsi="Rockwell"/>
          <w:sz w:val="20"/>
          <w:szCs w:val="20"/>
        </w:rPr>
      </w:pPr>
      <w:r>
        <w:rPr>
          <w:rFonts w:ascii="Rockwell" w:hAnsi="Rockwell"/>
          <w:b/>
          <w:bCs/>
          <w:sz w:val="20"/>
          <w:szCs w:val="20"/>
          <w:u w:val="single"/>
        </w:rPr>
        <w:lastRenderedPageBreak/>
        <w:t>Tableau 21</w:t>
      </w:r>
      <w:r>
        <w:rPr>
          <w:rFonts w:ascii="Rockwell" w:hAnsi="Rockwell"/>
          <w:bCs/>
          <w:sz w:val="20"/>
          <w:szCs w:val="20"/>
          <w:u w:val="single"/>
        </w:rPr>
        <w:t xml:space="preserve"> </w:t>
      </w:r>
      <w:r>
        <w:rPr>
          <w:rFonts w:ascii="Rockwell" w:hAnsi="Rockwell"/>
          <w:bCs/>
          <w:i/>
          <w:sz w:val="20"/>
          <w:szCs w:val="20"/>
          <w:u w:val="single"/>
        </w:rPr>
        <w:t xml:space="preserve">: </w:t>
      </w:r>
      <w:r>
        <w:rPr>
          <w:rFonts w:ascii="Rockwell" w:hAnsi="Rockwell"/>
          <w:bCs/>
          <w:i/>
          <w:sz w:val="20"/>
          <w:szCs w:val="20"/>
        </w:rPr>
        <w:t>Statistiques des (TA) et (TP) de médias audiovisuels privés </w:t>
      </w:r>
      <w:r>
        <w:rPr>
          <w:rFonts w:ascii="Rockwell" w:hAnsi="Rockwell"/>
          <w:i/>
          <w:sz w:val="20"/>
          <w:szCs w:val="20"/>
        </w:rPr>
        <w:t>: CANAL 3, BF1, 3 TV, Savane FM et Oméga FM.</w:t>
      </w:r>
    </w:p>
    <w:tbl>
      <w:tblPr>
        <w:tblW w:w="5671" w:type="pct"/>
        <w:jc w:val="center"/>
        <w:tblLayout w:type="fixed"/>
        <w:tblCellMar>
          <w:left w:w="10" w:type="dxa"/>
          <w:right w:w="10" w:type="dxa"/>
        </w:tblCellMar>
        <w:tblLook w:val="04A0" w:firstRow="1" w:lastRow="0" w:firstColumn="1" w:lastColumn="0" w:noHBand="0" w:noVBand="1"/>
      </w:tblPr>
      <w:tblGrid>
        <w:gridCol w:w="3822"/>
        <w:gridCol w:w="1701"/>
        <w:gridCol w:w="1842"/>
        <w:gridCol w:w="1843"/>
        <w:gridCol w:w="2126"/>
        <w:gridCol w:w="2410"/>
        <w:gridCol w:w="2126"/>
      </w:tblGrid>
      <w:tr w:rsidR="00284822" w14:paraId="6D4AA7E3" w14:textId="77777777">
        <w:trPr>
          <w:trHeight w:val="511"/>
          <w:jc w:val="center"/>
        </w:trPr>
        <w:tc>
          <w:tcPr>
            <w:tcW w:w="3822" w:type="dxa"/>
            <w:vMerge w:val="restart"/>
            <w:tcBorders>
              <w:top w:val="single" w:sz="4" w:space="0" w:color="000000"/>
              <w:left w:val="single" w:sz="4" w:space="0" w:color="000000"/>
              <w:bottom w:val="single" w:sz="4" w:space="0" w:color="000000"/>
              <w:right w:val="single" w:sz="4" w:space="0" w:color="000000"/>
            </w:tcBorders>
            <w:shd w:val="clear" w:color="auto" w:fill="BDD6EE"/>
            <w:tcMar>
              <w:top w:w="15" w:type="dxa"/>
              <w:left w:w="15" w:type="dxa"/>
              <w:bottom w:w="15" w:type="dxa"/>
              <w:right w:w="15" w:type="dxa"/>
            </w:tcMar>
            <w:vAlign w:val="bottom"/>
          </w:tcPr>
          <w:p w14:paraId="070B8AFC" w14:textId="77777777" w:rsidR="00284822" w:rsidRDefault="00F77BF8">
            <w:pPr>
              <w:rPr>
                <w:rFonts w:ascii="Rockwell" w:hAnsi="Rockwell"/>
                <w:b/>
                <w:szCs w:val="26"/>
              </w:rPr>
            </w:pPr>
            <w:r>
              <w:rPr>
                <w:rFonts w:ascii="Rockwell" w:hAnsi="Rockwell"/>
                <w:b/>
                <w:szCs w:val="26"/>
              </w:rPr>
              <w:t xml:space="preserve">ACTEURS </w:t>
            </w:r>
          </w:p>
          <w:p w14:paraId="60DFA349" w14:textId="77777777" w:rsidR="00284822" w:rsidRDefault="00F77BF8">
            <w:pPr>
              <w:rPr>
                <w:rFonts w:ascii="Rockwell" w:hAnsi="Rockwell"/>
                <w:b/>
                <w:szCs w:val="26"/>
              </w:rPr>
            </w:pPr>
            <w:r>
              <w:rPr>
                <w:rFonts w:ascii="Rockwell" w:hAnsi="Rockwell"/>
                <w:b/>
                <w:szCs w:val="26"/>
              </w:rPr>
              <w:t>SOCIO-POLITIQUES</w:t>
            </w:r>
          </w:p>
        </w:tc>
        <w:tc>
          <w:tcPr>
            <w:tcW w:w="3543" w:type="dxa"/>
            <w:gridSpan w:val="2"/>
            <w:tcBorders>
              <w:top w:val="single" w:sz="4" w:space="0" w:color="000000"/>
              <w:left w:val="single" w:sz="4" w:space="0" w:color="000000"/>
              <w:bottom w:val="single" w:sz="4" w:space="0" w:color="000000"/>
              <w:right w:val="single" w:sz="4" w:space="0" w:color="000000"/>
            </w:tcBorders>
            <w:shd w:val="clear" w:color="auto" w:fill="BDD6EE"/>
            <w:tcMar>
              <w:top w:w="15" w:type="dxa"/>
              <w:left w:w="15" w:type="dxa"/>
              <w:bottom w:w="15" w:type="dxa"/>
              <w:right w:w="15" w:type="dxa"/>
            </w:tcMar>
          </w:tcPr>
          <w:p w14:paraId="7E881B21" w14:textId="77777777" w:rsidR="00284822" w:rsidRDefault="00F77BF8">
            <w:pPr>
              <w:jc w:val="center"/>
              <w:rPr>
                <w:rFonts w:ascii="Rockwell" w:hAnsi="Rockwell"/>
                <w:b/>
                <w:szCs w:val="26"/>
              </w:rPr>
            </w:pPr>
            <w:r>
              <w:rPr>
                <w:rFonts w:ascii="Rockwell" w:hAnsi="Rockwell"/>
                <w:b/>
                <w:szCs w:val="26"/>
              </w:rPr>
              <w:t>TA</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BDD6EE"/>
            <w:tcMar>
              <w:top w:w="15" w:type="dxa"/>
              <w:left w:w="15" w:type="dxa"/>
              <w:bottom w:w="15" w:type="dxa"/>
              <w:right w:w="15" w:type="dxa"/>
            </w:tcMar>
          </w:tcPr>
          <w:p w14:paraId="4685CB9B" w14:textId="77777777" w:rsidR="00284822" w:rsidRDefault="00F77BF8">
            <w:pPr>
              <w:jc w:val="center"/>
              <w:rPr>
                <w:rFonts w:ascii="Rockwell" w:hAnsi="Rockwell"/>
                <w:b/>
                <w:szCs w:val="26"/>
              </w:rPr>
            </w:pPr>
            <w:r>
              <w:rPr>
                <w:rFonts w:ascii="Rockwell" w:hAnsi="Rockwell"/>
                <w:b/>
                <w:szCs w:val="26"/>
              </w:rPr>
              <w:t>TP</w:t>
            </w:r>
          </w:p>
        </w:tc>
        <w:tc>
          <w:tcPr>
            <w:tcW w:w="4536" w:type="dxa"/>
            <w:gridSpan w:val="2"/>
            <w:tcBorders>
              <w:top w:val="single" w:sz="4" w:space="0" w:color="000000"/>
              <w:left w:val="single" w:sz="4" w:space="0" w:color="000000"/>
              <w:bottom w:val="single" w:sz="4" w:space="0" w:color="000000"/>
              <w:right w:val="single" w:sz="4" w:space="0" w:color="000000"/>
            </w:tcBorders>
            <w:shd w:val="clear" w:color="auto" w:fill="BDD6EE"/>
            <w:tcMar>
              <w:top w:w="15" w:type="dxa"/>
              <w:left w:w="15" w:type="dxa"/>
              <w:bottom w:w="15" w:type="dxa"/>
              <w:right w:w="15" w:type="dxa"/>
            </w:tcMar>
          </w:tcPr>
          <w:p w14:paraId="15E0D4A6" w14:textId="77777777" w:rsidR="00284822" w:rsidRDefault="00F77BF8">
            <w:pPr>
              <w:jc w:val="center"/>
              <w:rPr>
                <w:rFonts w:ascii="Rockwell" w:hAnsi="Rockwell"/>
                <w:szCs w:val="26"/>
              </w:rPr>
            </w:pPr>
            <w:r>
              <w:rPr>
                <w:rFonts w:ascii="Rockwell" w:hAnsi="Rockwell"/>
                <w:b/>
                <w:bCs/>
                <w:szCs w:val="26"/>
              </w:rPr>
              <w:t>TA+TP</w:t>
            </w:r>
          </w:p>
        </w:tc>
      </w:tr>
      <w:tr w:rsidR="00284822" w14:paraId="793971FC" w14:textId="77777777">
        <w:trPr>
          <w:trHeight w:val="369"/>
          <w:jc w:val="center"/>
        </w:trPr>
        <w:tc>
          <w:tcPr>
            <w:tcW w:w="3822" w:type="dxa"/>
            <w:vMerge/>
            <w:tcBorders>
              <w:top w:val="single" w:sz="4" w:space="0" w:color="000000"/>
              <w:left w:val="single" w:sz="4" w:space="0" w:color="000000"/>
              <w:bottom w:val="single" w:sz="4" w:space="0" w:color="000000"/>
              <w:right w:val="single" w:sz="4" w:space="0" w:color="000000"/>
            </w:tcBorders>
            <w:shd w:val="clear" w:color="auto" w:fill="BDD6EE"/>
            <w:tcMar>
              <w:top w:w="15" w:type="dxa"/>
              <w:left w:w="15" w:type="dxa"/>
              <w:bottom w:w="15" w:type="dxa"/>
              <w:right w:w="15" w:type="dxa"/>
            </w:tcMar>
            <w:vAlign w:val="bottom"/>
          </w:tcPr>
          <w:p w14:paraId="6417A985" w14:textId="77777777" w:rsidR="00284822" w:rsidRDefault="00284822">
            <w:pPr>
              <w:rPr>
                <w:rFonts w:ascii="Rockwell" w:hAnsi="Rockwell"/>
                <w:b/>
                <w:szCs w:val="26"/>
              </w:rPr>
            </w:pPr>
          </w:p>
        </w:tc>
        <w:tc>
          <w:tcPr>
            <w:tcW w:w="1701" w:type="dxa"/>
            <w:tcBorders>
              <w:top w:val="single" w:sz="4" w:space="0" w:color="000000"/>
              <w:left w:val="single" w:sz="4" w:space="0" w:color="000000"/>
              <w:bottom w:val="single" w:sz="4" w:space="0" w:color="000000"/>
              <w:right w:val="single" w:sz="4" w:space="0" w:color="000000"/>
            </w:tcBorders>
            <w:shd w:val="clear" w:color="auto" w:fill="BDD6EE"/>
            <w:tcMar>
              <w:top w:w="15" w:type="dxa"/>
              <w:left w:w="15" w:type="dxa"/>
              <w:bottom w:w="15" w:type="dxa"/>
              <w:right w:w="15" w:type="dxa"/>
            </w:tcMar>
          </w:tcPr>
          <w:p w14:paraId="7ACF4F78" w14:textId="77777777" w:rsidR="00284822" w:rsidRDefault="00F77BF8">
            <w:pPr>
              <w:jc w:val="center"/>
              <w:rPr>
                <w:rFonts w:ascii="Rockwell" w:hAnsi="Rockwell"/>
                <w:b/>
                <w:szCs w:val="26"/>
              </w:rPr>
            </w:pPr>
            <w:r>
              <w:rPr>
                <w:rFonts w:ascii="Rockwell" w:hAnsi="Rockwell"/>
                <w:b/>
                <w:szCs w:val="26"/>
              </w:rPr>
              <w:t>VH</w:t>
            </w:r>
          </w:p>
        </w:tc>
        <w:tc>
          <w:tcPr>
            <w:tcW w:w="1842" w:type="dxa"/>
            <w:tcBorders>
              <w:top w:val="single" w:sz="4" w:space="0" w:color="000000"/>
              <w:left w:val="single" w:sz="4" w:space="0" w:color="000000"/>
              <w:bottom w:val="single" w:sz="4" w:space="0" w:color="000000"/>
              <w:right w:val="single" w:sz="4" w:space="0" w:color="000000"/>
            </w:tcBorders>
            <w:shd w:val="clear" w:color="auto" w:fill="BDD6EE"/>
            <w:tcMar>
              <w:top w:w="15" w:type="dxa"/>
              <w:left w:w="15" w:type="dxa"/>
              <w:bottom w:w="15" w:type="dxa"/>
              <w:right w:w="15" w:type="dxa"/>
            </w:tcMar>
          </w:tcPr>
          <w:p w14:paraId="7E28ADF8" w14:textId="77777777" w:rsidR="00284822" w:rsidRDefault="00F77BF8">
            <w:pPr>
              <w:jc w:val="center"/>
              <w:rPr>
                <w:rFonts w:ascii="Rockwell" w:hAnsi="Rockwell"/>
                <w:b/>
                <w:szCs w:val="26"/>
              </w:rPr>
            </w:pPr>
            <w:r>
              <w:rPr>
                <w:rFonts w:ascii="Rockwell" w:hAnsi="Rockwell"/>
                <w:b/>
                <w:szCs w:val="26"/>
              </w:rPr>
              <w:t>%</w:t>
            </w:r>
          </w:p>
        </w:tc>
        <w:tc>
          <w:tcPr>
            <w:tcW w:w="1843" w:type="dxa"/>
            <w:tcBorders>
              <w:top w:val="single" w:sz="4" w:space="0" w:color="000000"/>
              <w:left w:val="single" w:sz="4" w:space="0" w:color="000000"/>
              <w:bottom w:val="single" w:sz="4" w:space="0" w:color="000000"/>
              <w:right w:val="single" w:sz="4" w:space="0" w:color="000000"/>
            </w:tcBorders>
            <w:shd w:val="clear" w:color="auto" w:fill="BDD6EE"/>
            <w:tcMar>
              <w:top w:w="15" w:type="dxa"/>
              <w:left w:w="15" w:type="dxa"/>
              <w:bottom w:w="15" w:type="dxa"/>
              <w:right w:w="15" w:type="dxa"/>
            </w:tcMar>
          </w:tcPr>
          <w:p w14:paraId="79A6FB33" w14:textId="77777777" w:rsidR="00284822" w:rsidRDefault="00F77BF8">
            <w:pPr>
              <w:jc w:val="center"/>
              <w:rPr>
                <w:rFonts w:ascii="Rockwell" w:hAnsi="Rockwell"/>
                <w:b/>
                <w:szCs w:val="26"/>
              </w:rPr>
            </w:pPr>
            <w:r>
              <w:rPr>
                <w:rFonts w:ascii="Rockwell" w:hAnsi="Rockwell"/>
                <w:b/>
                <w:szCs w:val="26"/>
              </w:rPr>
              <w:t>VH</w:t>
            </w:r>
          </w:p>
        </w:tc>
        <w:tc>
          <w:tcPr>
            <w:tcW w:w="2126" w:type="dxa"/>
            <w:tcBorders>
              <w:top w:val="single" w:sz="4" w:space="0" w:color="000000"/>
              <w:left w:val="single" w:sz="4" w:space="0" w:color="000000"/>
              <w:bottom w:val="single" w:sz="4" w:space="0" w:color="000000"/>
              <w:right w:val="single" w:sz="4" w:space="0" w:color="000000"/>
            </w:tcBorders>
            <w:shd w:val="clear" w:color="auto" w:fill="BDD6EE"/>
            <w:tcMar>
              <w:top w:w="15" w:type="dxa"/>
              <w:left w:w="15" w:type="dxa"/>
              <w:bottom w:w="15" w:type="dxa"/>
              <w:right w:w="15" w:type="dxa"/>
            </w:tcMar>
          </w:tcPr>
          <w:p w14:paraId="15FFDA54" w14:textId="77777777" w:rsidR="00284822" w:rsidRDefault="00F77BF8">
            <w:pPr>
              <w:jc w:val="center"/>
              <w:rPr>
                <w:rFonts w:ascii="Rockwell" w:hAnsi="Rockwell"/>
                <w:b/>
                <w:szCs w:val="26"/>
              </w:rPr>
            </w:pPr>
            <w:r>
              <w:rPr>
                <w:rFonts w:ascii="Rockwell" w:hAnsi="Rockwell"/>
                <w:b/>
                <w:szCs w:val="26"/>
              </w:rPr>
              <w:t>%</w:t>
            </w:r>
          </w:p>
        </w:tc>
        <w:tc>
          <w:tcPr>
            <w:tcW w:w="2410" w:type="dxa"/>
            <w:tcBorders>
              <w:top w:val="single" w:sz="4" w:space="0" w:color="000000"/>
              <w:left w:val="single" w:sz="4" w:space="0" w:color="000000"/>
              <w:bottom w:val="single" w:sz="4" w:space="0" w:color="000000"/>
              <w:right w:val="single" w:sz="4" w:space="0" w:color="000000"/>
            </w:tcBorders>
            <w:shd w:val="clear" w:color="auto" w:fill="BDD6EE"/>
            <w:tcMar>
              <w:top w:w="15" w:type="dxa"/>
              <w:left w:w="15" w:type="dxa"/>
              <w:bottom w:w="15" w:type="dxa"/>
              <w:right w:w="15" w:type="dxa"/>
            </w:tcMar>
          </w:tcPr>
          <w:p w14:paraId="1367734D" w14:textId="77777777" w:rsidR="00284822" w:rsidRDefault="00F77BF8">
            <w:pPr>
              <w:jc w:val="center"/>
              <w:rPr>
                <w:rFonts w:ascii="Rockwell" w:hAnsi="Rockwell"/>
                <w:szCs w:val="26"/>
              </w:rPr>
            </w:pPr>
            <w:r>
              <w:rPr>
                <w:rFonts w:ascii="Rockwell" w:hAnsi="Rockwell"/>
                <w:b/>
                <w:bCs/>
                <w:szCs w:val="26"/>
              </w:rPr>
              <w:t>VH</w:t>
            </w:r>
          </w:p>
        </w:tc>
        <w:tc>
          <w:tcPr>
            <w:tcW w:w="2126" w:type="dxa"/>
            <w:tcBorders>
              <w:top w:val="single" w:sz="4" w:space="0" w:color="000000"/>
              <w:left w:val="single" w:sz="4" w:space="0" w:color="000000"/>
              <w:bottom w:val="single" w:sz="4" w:space="0" w:color="000000"/>
              <w:right w:val="single" w:sz="4" w:space="0" w:color="000000"/>
            </w:tcBorders>
            <w:shd w:val="clear" w:color="auto" w:fill="BDD6EE"/>
            <w:tcMar>
              <w:top w:w="15" w:type="dxa"/>
              <w:left w:w="15" w:type="dxa"/>
              <w:bottom w:w="15" w:type="dxa"/>
              <w:right w:w="15" w:type="dxa"/>
            </w:tcMar>
          </w:tcPr>
          <w:p w14:paraId="02BF1FF3" w14:textId="77777777" w:rsidR="00284822" w:rsidRDefault="00F77BF8">
            <w:pPr>
              <w:jc w:val="center"/>
              <w:rPr>
                <w:rFonts w:ascii="Rockwell" w:hAnsi="Rockwell"/>
                <w:szCs w:val="26"/>
              </w:rPr>
            </w:pPr>
            <w:r>
              <w:rPr>
                <w:rFonts w:ascii="Rockwell" w:hAnsi="Rockwell"/>
                <w:b/>
                <w:bCs/>
                <w:szCs w:val="26"/>
              </w:rPr>
              <w:t>%</w:t>
            </w:r>
          </w:p>
        </w:tc>
      </w:tr>
      <w:tr w:rsidR="00284822" w14:paraId="2C6864DF" w14:textId="77777777">
        <w:trPr>
          <w:trHeight w:val="584"/>
          <w:jc w:val="center"/>
        </w:trPr>
        <w:tc>
          <w:tcPr>
            <w:tcW w:w="38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BD6C00B" w14:textId="77777777" w:rsidR="00284822" w:rsidRDefault="00F77BF8">
            <w:pPr>
              <w:ind w:left="116" w:hanging="116"/>
              <w:rPr>
                <w:rFonts w:ascii="Rockwell" w:hAnsi="Rockwell"/>
                <w:szCs w:val="26"/>
              </w:rPr>
            </w:pPr>
            <w:r>
              <w:rPr>
                <w:rFonts w:ascii="Rockwell" w:hAnsi="Rockwell"/>
                <w:szCs w:val="26"/>
              </w:rPr>
              <w:t>ASSEMBLEE LEGISLATIVE</w:t>
            </w:r>
          </w:p>
          <w:p w14:paraId="68923B56" w14:textId="77777777" w:rsidR="00284822" w:rsidRDefault="00F77BF8">
            <w:pPr>
              <w:ind w:left="116" w:hanging="116"/>
              <w:rPr>
                <w:rFonts w:ascii="Rockwell" w:hAnsi="Rockwell"/>
                <w:szCs w:val="26"/>
              </w:rPr>
            </w:pPr>
            <w:r>
              <w:rPr>
                <w:rFonts w:ascii="Rockwell" w:hAnsi="Rockwell"/>
                <w:szCs w:val="26"/>
              </w:rPr>
              <w:t xml:space="preserve"> DE TRANSITION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4CFB4E2C" w14:textId="77777777" w:rsidR="00284822" w:rsidRDefault="00F77BF8">
            <w:pPr>
              <w:jc w:val="center"/>
              <w:rPr>
                <w:rFonts w:ascii="Rockwell" w:hAnsi="Rockwell"/>
                <w:szCs w:val="26"/>
              </w:rPr>
            </w:pPr>
            <w:proofErr w:type="gramStart"/>
            <w:r>
              <w:rPr>
                <w:rFonts w:ascii="Rockwell" w:hAnsi="Rockwell"/>
                <w:szCs w:val="26"/>
              </w:rPr>
              <w:t>05:</w:t>
            </w:r>
            <w:proofErr w:type="gramEnd"/>
            <w:r>
              <w:rPr>
                <w:rFonts w:ascii="Rockwell" w:hAnsi="Rockwell"/>
                <w:szCs w:val="26"/>
              </w:rPr>
              <w:t>00:32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5FF2D875" w14:textId="77777777" w:rsidR="00284822" w:rsidRDefault="00F77BF8">
            <w:pPr>
              <w:jc w:val="center"/>
              <w:rPr>
                <w:rFonts w:ascii="Rockwell" w:hAnsi="Rockwell"/>
                <w:szCs w:val="26"/>
              </w:rPr>
            </w:pPr>
            <w:r>
              <w:rPr>
                <w:rFonts w:ascii="Rockwell" w:hAnsi="Rockwell"/>
                <w:szCs w:val="26"/>
              </w:rPr>
              <w:t>77.03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0266DE9E" w14:textId="77777777" w:rsidR="00284822" w:rsidRDefault="00F77BF8">
            <w:pPr>
              <w:jc w:val="center"/>
              <w:rPr>
                <w:rFonts w:ascii="Rockwell" w:hAnsi="Rockwell"/>
                <w:szCs w:val="26"/>
              </w:rPr>
            </w:pPr>
            <w:proofErr w:type="gramStart"/>
            <w:r>
              <w:rPr>
                <w:rFonts w:ascii="Rockwell" w:hAnsi="Rockwell"/>
                <w:szCs w:val="26"/>
              </w:rPr>
              <w:t>01:</w:t>
            </w:r>
            <w:proofErr w:type="gramEnd"/>
            <w:r>
              <w:rPr>
                <w:rFonts w:ascii="Rockwell" w:hAnsi="Rockwell"/>
                <w:szCs w:val="26"/>
              </w:rPr>
              <w:t>29:38</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3F770C45" w14:textId="77777777" w:rsidR="00284822" w:rsidRDefault="00F77BF8">
            <w:pPr>
              <w:jc w:val="center"/>
              <w:rPr>
                <w:rFonts w:ascii="Rockwell" w:hAnsi="Rockwell"/>
                <w:szCs w:val="26"/>
              </w:rPr>
            </w:pPr>
            <w:r>
              <w:rPr>
                <w:rFonts w:ascii="Rockwell" w:hAnsi="Rockwell"/>
                <w:szCs w:val="26"/>
              </w:rPr>
              <w:t>22.97</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551E87BD" w14:textId="77777777" w:rsidR="00284822" w:rsidRDefault="00F77BF8">
            <w:pPr>
              <w:jc w:val="center"/>
              <w:rPr>
                <w:rFonts w:ascii="Rockwell" w:hAnsi="Rockwell"/>
                <w:szCs w:val="26"/>
              </w:rPr>
            </w:pPr>
            <w:proofErr w:type="gramStart"/>
            <w:r>
              <w:rPr>
                <w:rFonts w:ascii="Rockwell" w:hAnsi="Rockwell"/>
                <w:b/>
                <w:bCs/>
                <w:szCs w:val="26"/>
              </w:rPr>
              <w:t>06:</w:t>
            </w:r>
            <w:proofErr w:type="gramEnd"/>
            <w:r>
              <w:rPr>
                <w:rFonts w:ascii="Rockwell" w:hAnsi="Rockwell"/>
                <w:b/>
                <w:bCs/>
                <w:szCs w:val="26"/>
              </w:rPr>
              <w:t>30:10</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0F4A31E2" w14:textId="77777777" w:rsidR="00284822" w:rsidRDefault="00F77BF8">
            <w:pPr>
              <w:jc w:val="center"/>
              <w:rPr>
                <w:rFonts w:ascii="Rockwell" w:hAnsi="Rockwell"/>
                <w:szCs w:val="26"/>
              </w:rPr>
            </w:pPr>
            <w:r>
              <w:rPr>
                <w:rFonts w:ascii="Rockwell" w:hAnsi="Rockwell"/>
                <w:b/>
                <w:bCs/>
                <w:szCs w:val="26"/>
              </w:rPr>
              <w:t>100.0</w:t>
            </w:r>
          </w:p>
        </w:tc>
      </w:tr>
      <w:tr w:rsidR="00284822" w14:paraId="376A8685" w14:textId="77777777">
        <w:trPr>
          <w:trHeight w:val="20"/>
          <w:jc w:val="center"/>
        </w:trPr>
        <w:tc>
          <w:tcPr>
            <w:tcW w:w="38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3BF29A93" w14:textId="77777777" w:rsidR="00284822" w:rsidRDefault="00F77BF8">
            <w:pPr>
              <w:rPr>
                <w:rFonts w:ascii="Rockwell" w:hAnsi="Rockwell"/>
                <w:szCs w:val="26"/>
              </w:rPr>
            </w:pPr>
            <w:r>
              <w:rPr>
                <w:rFonts w:ascii="Rockwell" w:hAnsi="Rockwell"/>
                <w:szCs w:val="26"/>
              </w:rPr>
              <w:t xml:space="preserve">ASSOCIATIONS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6520D1E4" w14:textId="77777777" w:rsidR="00284822" w:rsidRDefault="00F77BF8">
            <w:pPr>
              <w:jc w:val="center"/>
              <w:rPr>
                <w:rFonts w:ascii="Rockwell" w:hAnsi="Rockwell"/>
                <w:szCs w:val="26"/>
              </w:rPr>
            </w:pPr>
            <w:proofErr w:type="gramStart"/>
            <w:r>
              <w:rPr>
                <w:rFonts w:ascii="Rockwell" w:hAnsi="Rockwell"/>
                <w:szCs w:val="26"/>
              </w:rPr>
              <w:t>48:</w:t>
            </w:r>
            <w:proofErr w:type="gramEnd"/>
            <w:r>
              <w:rPr>
                <w:rFonts w:ascii="Rockwell" w:hAnsi="Rockwell"/>
                <w:szCs w:val="26"/>
              </w:rPr>
              <w:t>20:28</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37210586" w14:textId="77777777" w:rsidR="00284822" w:rsidRDefault="00F77BF8">
            <w:pPr>
              <w:jc w:val="center"/>
              <w:rPr>
                <w:rFonts w:ascii="Rockwell" w:hAnsi="Rockwell"/>
                <w:szCs w:val="26"/>
              </w:rPr>
            </w:pPr>
            <w:r>
              <w:rPr>
                <w:rFonts w:ascii="Rockwell" w:hAnsi="Rockwell"/>
                <w:szCs w:val="26"/>
              </w:rPr>
              <w:t>71.78</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08DDBC86" w14:textId="77777777" w:rsidR="00284822" w:rsidRDefault="00F77BF8">
            <w:pPr>
              <w:jc w:val="center"/>
              <w:rPr>
                <w:rFonts w:ascii="Rockwell" w:hAnsi="Rockwell"/>
                <w:szCs w:val="26"/>
              </w:rPr>
            </w:pPr>
            <w:proofErr w:type="gramStart"/>
            <w:r>
              <w:rPr>
                <w:rFonts w:ascii="Rockwell" w:hAnsi="Rockwell"/>
                <w:szCs w:val="26"/>
              </w:rPr>
              <w:t>19:</w:t>
            </w:r>
            <w:proofErr w:type="gramEnd"/>
            <w:r>
              <w:rPr>
                <w:rFonts w:ascii="Rockwell" w:hAnsi="Rockwell"/>
                <w:szCs w:val="26"/>
              </w:rPr>
              <w:t>00:27</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3D962829" w14:textId="77777777" w:rsidR="00284822" w:rsidRDefault="00F77BF8">
            <w:pPr>
              <w:jc w:val="center"/>
              <w:rPr>
                <w:rFonts w:ascii="Rockwell" w:hAnsi="Rockwell"/>
                <w:szCs w:val="26"/>
              </w:rPr>
            </w:pPr>
            <w:r>
              <w:rPr>
                <w:rFonts w:ascii="Rockwell" w:hAnsi="Rockwell"/>
                <w:szCs w:val="26"/>
              </w:rPr>
              <w:t>28.22</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448F91AC" w14:textId="77777777" w:rsidR="00284822" w:rsidRDefault="00F77BF8">
            <w:pPr>
              <w:jc w:val="center"/>
              <w:rPr>
                <w:rFonts w:ascii="Rockwell" w:hAnsi="Rockwell"/>
                <w:szCs w:val="26"/>
              </w:rPr>
            </w:pPr>
            <w:proofErr w:type="gramStart"/>
            <w:r>
              <w:rPr>
                <w:rFonts w:ascii="Rockwell" w:hAnsi="Rockwell"/>
                <w:b/>
                <w:bCs/>
                <w:szCs w:val="26"/>
              </w:rPr>
              <w:t>67:</w:t>
            </w:r>
            <w:proofErr w:type="gramEnd"/>
            <w:r>
              <w:rPr>
                <w:rFonts w:ascii="Rockwell" w:hAnsi="Rockwell"/>
                <w:b/>
                <w:bCs/>
                <w:szCs w:val="26"/>
              </w:rPr>
              <w:t>20:55</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52D45916" w14:textId="77777777" w:rsidR="00284822" w:rsidRDefault="00F77BF8">
            <w:pPr>
              <w:jc w:val="center"/>
              <w:rPr>
                <w:rFonts w:ascii="Rockwell" w:hAnsi="Rockwell"/>
                <w:szCs w:val="26"/>
              </w:rPr>
            </w:pPr>
            <w:r>
              <w:rPr>
                <w:rFonts w:ascii="Rockwell" w:hAnsi="Rockwell"/>
                <w:b/>
                <w:bCs/>
                <w:szCs w:val="26"/>
              </w:rPr>
              <w:t>100.0</w:t>
            </w:r>
          </w:p>
        </w:tc>
      </w:tr>
      <w:tr w:rsidR="00284822" w14:paraId="53DB989F" w14:textId="77777777">
        <w:trPr>
          <w:trHeight w:val="20"/>
          <w:jc w:val="center"/>
        </w:trPr>
        <w:tc>
          <w:tcPr>
            <w:tcW w:w="38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CB77AE1" w14:textId="77777777" w:rsidR="00284822" w:rsidRDefault="00F77BF8">
            <w:pPr>
              <w:rPr>
                <w:rFonts w:ascii="Rockwell" w:hAnsi="Rockwell"/>
                <w:szCs w:val="26"/>
              </w:rPr>
            </w:pPr>
            <w:r>
              <w:rPr>
                <w:rFonts w:ascii="Rockwell" w:hAnsi="Rockwell"/>
                <w:szCs w:val="26"/>
              </w:rPr>
              <w:t xml:space="preserve">AUTRES INSTITUTIONS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75F1C60D" w14:textId="77777777" w:rsidR="00284822" w:rsidRDefault="00F77BF8">
            <w:pPr>
              <w:jc w:val="center"/>
              <w:rPr>
                <w:rFonts w:ascii="Rockwell" w:hAnsi="Rockwell"/>
                <w:szCs w:val="26"/>
              </w:rPr>
            </w:pPr>
            <w:proofErr w:type="gramStart"/>
            <w:r>
              <w:rPr>
                <w:rFonts w:ascii="Rockwell" w:hAnsi="Rockwell"/>
                <w:szCs w:val="26"/>
              </w:rPr>
              <w:t>03:</w:t>
            </w:r>
            <w:proofErr w:type="gramEnd"/>
            <w:r>
              <w:rPr>
                <w:rFonts w:ascii="Rockwell" w:hAnsi="Rockwell"/>
                <w:szCs w:val="26"/>
              </w:rPr>
              <w:t>18:04</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5747E964" w14:textId="77777777" w:rsidR="00284822" w:rsidRDefault="00F77BF8">
            <w:pPr>
              <w:jc w:val="center"/>
              <w:rPr>
                <w:rFonts w:ascii="Rockwell" w:hAnsi="Rockwell"/>
                <w:szCs w:val="26"/>
              </w:rPr>
            </w:pPr>
            <w:r>
              <w:rPr>
                <w:rFonts w:ascii="Rockwell" w:hAnsi="Rockwell"/>
                <w:szCs w:val="26"/>
              </w:rPr>
              <w:t>69.39</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7CD18727" w14:textId="77777777" w:rsidR="00284822" w:rsidRDefault="00F77BF8">
            <w:pPr>
              <w:jc w:val="center"/>
              <w:rPr>
                <w:rFonts w:ascii="Rockwell" w:hAnsi="Rockwell"/>
                <w:szCs w:val="26"/>
              </w:rPr>
            </w:pPr>
            <w:proofErr w:type="gramStart"/>
            <w:r>
              <w:rPr>
                <w:rFonts w:ascii="Rockwell" w:hAnsi="Rockwell"/>
                <w:szCs w:val="26"/>
              </w:rPr>
              <w:t>01:</w:t>
            </w:r>
            <w:proofErr w:type="gramEnd"/>
            <w:r>
              <w:rPr>
                <w:rFonts w:ascii="Rockwell" w:hAnsi="Rockwell"/>
                <w:szCs w:val="26"/>
              </w:rPr>
              <w:t>27:22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0D3ADD9B" w14:textId="77777777" w:rsidR="00284822" w:rsidRDefault="00F77BF8">
            <w:pPr>
              <w:jc w:val="center"/>
              <w:rPr>
                <w:rFonts w:ascii="Rockwell" w:hAnsi="Rockwell"/>
                <w:szCs w:val="26"/>
              </w:rPr>
            </w:pPr>
            <w:r>
              <w:rPr>
                <w:rFonts w:ascii="Rockwell" w:hAnsi="Rockwell"/>
                <w:szCs w:val="26"/>
              </w:rPr>
              <w:t>30.61</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26542F4B" w14:textId="77777777" w:rsidR="00284822" w:rsidRDefault="00F77BF8">
            <w:pPr>
              <w:jc w:val="center"/>
              <w:rPr>
                <w:rFonts w:ascii="Rockwell" w:hAnsi="Rockwell"/>
                <w:szCs w:val="26"/>
              </w:rPr>
            </w:pPr>
            <w:proofErr w:type="gramStart"/>
            <w:r>
              <w:rPr>
                <w:rFonts w:ascii="Rockwell" w:hAnsi="Rockwell"/>
                <w:b/>
                <w:bCs/>
                <w:szCs w:val="26"/>
              </w:rPr>
              <w:t>04:</w:t>
            </w:r>
            <w:proofErr w:type="gramEnd"/>
            <w:r>
              <w:rPr>
                <w:rFonts w:ascii="Rockwell" w:hAnsi="Rockwell"/>
                <w:b/>
                <w:bCs/>
                <w:szCs w:val="26"/>
              </w:rPr>
              <w:t>45:26</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06A71BA1" w14:textId="77777777" w:rsidR="00284822" w:rsidRDefault="00F77BF8">
            <w:pPr>
              <w:jc w:val="center"/>
              <w:rPr>
                <w:rFonts w:ascii="Rockwell" w:hAnsi="Rockwell"/>
                <w:szCs w:val="26"/>
              </w:rPr>
            </w:pPr>
            <w:r>
              <w:rPr>
                <w:rFonts w:ascii="Rockwell" w:hAnsi="Rockwell"/>
                <w:b/>
                <w:bCs/>
                <w:szCs w:val="26"/>
              </w:rPr>
              <w:t>100.0</w:t>
            </w:r>
          </w:p>
        </w:tc>
      </w:tr>
      <w:tr w:rsidR="00284822" w14:paraId="6B77C9D0" w14:textId="77777777">
        <w:trPr>
          <w:trHeight w:val="20"/>
          <w:jc w:val="center"/>
        </w:trPr>
        <w:tc>
          <w:tcPr>
            <w:tcW w:w="38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2A7B0140" w14:textId="77777777" w:rsidR="00284822" w:rsidRDefault="00F77BF8">
            <w:pPr>
              <w:rPr>
                <w:rFonts w:ascii="Rockwell" w:hAnsi="Rockwell"/>
                <w:szCs w:val="26"/>
              </w:rPr>
            </w:pPr>
            <w:r>
              <w:rPr>
                <w:rFonts w:ascii="Rockwell" w:hAnsi="Rockwell"/>
                <w:szCs w:val="26"/>
              </w:rPr>
              <w:t xml:space="preserve">PARTIS POLITIQUES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4BEBC6E5" w14:textId="77777777" w:rsidR="00284822" w:rsidRDefault="00F77BF8">
            <w:pPr>
              <w:jc w:val="center"/>
              <w:rPr>
                <w:rFonts w:ascii="Rockwell" w:hAnsi="Rockwell"/>
                <w:szCs w:val="26"/>
              </w:rPr>
            </w:pPr>
            <w:proofErr w:type="gramStart"/>
            <w:r>
              <w:rPr>
                <w:rFonts w:ascii="Rockwell" w:hAnsi="Rockwell"/>
                <w:szCs w:val="26"/>
              </w:rPr>
              <w:t>10:</w:t>
            </w:r>
            <w:proofErr w:type="gramEnd"/>
            <w:r>
              <w:rPr>
                <w:rFonts w:ascii="Rockwell" w:hAnsi="Rockwell"/>
                <w:szCs w:val="26"/>
              </w:rPr>
              <w:t>44:13</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2F3A2672" w14:textId="77777777" w:rsidR="00284822" w:rsidRDefault="00F77BF8">
            <w:pPr>
              <w:jc w:val="center"/>
              <w:rPr>
                <w:rFonts w:ascii="Rockwell" w:hAnsi="Rockwell"/>
                <w:szCs w:val="26"/>
              </w:rPr>
            </w:pPr>
            <w:r>
              <w:rPr>
                <w:rFonts w:ascii="Rockwell" w:hAnsi="Rockwell"/>
                <w:szCs w:val="26"/>
              </w:rPr>
              <w:t>68.46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64E1A26D" w14:textId="77777777" w:rsidR="00284822" w:rsidRDefault="00F77BF8">
            <w:pPr>
              <w:jc w:val="center"/>
              <w:rPr>
                <w:rFonts w:ascii="Rockwell" w:hAnsi="Rockwell"/>
                <w:szCs w:val="26"/>
              </w:rPr>
            </w:pPr>
            <w:proofErr w:type="gramStart"/>
            <w:r>
              <w:rPr>
                <w:rFonts w:ascii="Rockwell" w:hAnsi="Rockwell"/>
                <w:szCs w:val="26"/>
              </w:rPr>
              <w:t>04:</w:t>
            </w:r>
            <w:proofErr w:type="gramEnd"/>
            <w:r>
              <w:rPr>
                <w:rFonts w:ascii="Rockwell" w:hAnsi="Rockwell"/>
                <w:szCs w:val="26"/>
              </w:rPr>
              <w:t>56:49</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3F212696" w14:textId="77777777" w:rsidR="00284822" w:rsidRDefault="00F77BF8">
            <w:pPr>
              <w:jc w:val="center"/>
              <w:rPr>
                <w:rFonts w:ascii="Rockwell" w:hAnsi="Rockwell"/>
                <w:szCs w:val="26"/>
              </w:rPr>
            </w:pPr>
            <w:r>
              <w:rPr>
                <w:rFonts w:ascii="Rockwell" w:hAnsi="Rockwell"/>
                <w:szCs w:val="26"/>
              </w:rPr>
              <w:t>31.54</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75D20D0C" w14:textId="77777777" w:rsidR="00284822" w:rsidRDefault="00F77BF8">
            <w:pPr>
              <w:jc w:val="center"/>
              <w:rPr>
                <w:rFonts w:ascii="Rockwell" w:hAnsi="Rockwell"/>
                <w:szCs w:val="26"/>
              </w:rPr>
            </w:pPr>
            <w:proofErr w:type="gramStart"/>
            <w:r>
              <w:rPr>
                <w:rFonts w:ascii="Rockwell" w:hAnsi="Rockwell"/>
                <w:b/>
                <w:bCs/>
                <w:szCs w:val="26"/>
              </w:rPr>
              <w:t>15:</w:t>
            </w:r>
            <w:proofErr w:type="gramEnd"/>
            <w:r>
              <w:rPr>
                <w:rFonts w:ascii="Rockwell" w:hAnsi="Rockwell"/>
                <w:b/>
                <w:bCs/>
                <w:szCs w:val="26"/>
              </w:rPr>
              <w:t>41:02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164B8D48" w14:textId="77777777" w:rsidR="00284822" w:rsidRDefault="00F77BF8">
            <w:pPr>
              <w:jc w:val="center"/>
              <w:rPr>
                <w:rFonts w:ascii="Rockwell" w:hAnsi="Rockwell"/>
                <w:szCs w:val="26"/>
              </w:rPr>
            </w:pPr>
            <w:r>
              <w:rPr>
                <w:rFonts w:ascii="Rockwell" w:hAnsi="Rockwell"/>
                <w:b/>
                <w:bCs/>
                <w:szCs w:val="26"/>
              </w:rPr>
              <w:t>100.0</w:t>
            </w:r>
          </w:p>
        </w:tc>
      </w:tr>
      <w:tr w:rsidR="00284822" w14:paraId="3E34DFC4" w14:textId="77777777">
        <w:trPr>
          <w:trHeight w:val="20"/>
          <w:jc w:val="center"/>
        </w:trPr>
        <w:tc>
          <w:tcPr>
            <w:tcW w:w="38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D86156A" w14:textId="77777777" w:rsidR="00284822" w:rsidRDefault="00F77BF8">
            <w:pPr>
              <w:rPr>
                <w:rFonts w:ascii="Rockwell" w:hAnsi="Rockwell"/>
                <w:szCs w:val="26"/>
              </w:rPr>
            </w:pPr>
            <w:r>
              <w:rPr>
                <w:rFonts w:ascii="Rockwell" w:hAnsi="Rockwell"/>
                <w:szCs w:val="26"/>
              </w:rPr>
              <w:t xml:space="preserve">GOUVERNEMENT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4BF0703A" w14:textId="77777777" w:rsidR="00284822" w:rsidRDefault="00F77BF8">
            <w:pPr>
              <w:jc w:val="center"/>
              <w:rPr>
                <w:rFonts w:ascii="Rockwell" w:hAnsi="Rockwell"/>
                <w:szCs w:val="26"/>
              </w:rPr>
            </w:pPr>
            <w:proofErr w:type="gramStart"/>
            <w:r>
              <w:rPr>
                <w:rFonts w:ascii="Rockwell" w:hAnsi="Rockwell"/>
                <w:szCs w:val="26"/>
              </w:rPr>
              <w:t>100:</w:t>
            </w:r>
            <w:proofErr w:type="gramEnd"/>
            <w:r>
              <w:rPr>
                <w:rFonts w:ascii="Rockwell" w:hAnsi="Rockwell"/>
                <w:szCs w:val="26"/>
              </w:rPr>
              <w:t>04:45</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620E507D" w14:textId="77777777" w:rsidR="00284822" w:rsidRDefault="00F77BF8">
            <w:pPr>
              <w:jc w:val="center"/>
              <w:rPr>
                <w:rFonts w:ascii="Rockwell" w:hAnsi="Rockwell"/>
                <w:szCs w:val="26"/>
              </w:rPr>
            </w:pPr>
            <w:r>
              <w:rPr>
                <w:rFonts w:ascii="Rockwell" w:hAnsi="Rockwell"/>
                <w:szCs w:val="26"/>
              </w:rPr>
              <w:t>72.47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5A32A912" w14:textId="77777777" w:rsidR="00284822" w:rsidRDefault="00F77BF8">
            <w:pPr>
              <w:jc w:val="center"/>
              <w:rPr>
                <w:rFonts w:ascii="Rockwell" w:hAnsi="Rockwell"/>
                <w:szCs w:val="26"/>
              </w:rPr>
            </w:pPr>
            <w:proofErr w:type="gramStart"/>
            <w:r>
              <w:rPr>
                <w:rFonts w:ascii="Rockwell" w:hAnsi="Rockwell"/>
                <w:szCs w:val="26"/>
              </w:rPr>
              <w:t>38:</w:t>
            </w:r>
            <w:proofErr w:type="gramEnd"/>
            <w:r>
              <w:rPr>
                <w:rFonts w:ascii="Rockwell" w:hAnsi="Rockwell"/>
                <w:szCs w:val="26"/>
              </w:rPr>
              <w:t>01:11</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648CF353" w14:textId="77777777" w:rsidR="00284822" w:rsidRDefault="00F77BF8">
            <w:pPr>
              <w:jc w:val="center"/>
              <w:rPr>
                <w:rFonts w:ascii="Rockwell" w:hAnsi="Rockwell"/>
                <w:szCs w:val="26"/>
              </w:rPr>
            </w:pPr>
            <w:r>
              <w:rPr>
                <w:rFonts w:ascii="Rockwell" w:hAnsi="Rockwell"/>
                <w:szCs w:val="26"/>
              </w:rPr>
              <w:t>27.53</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0E5FA48D" w14:textId="77777777" w:rsidR="00284822" w:rsidRDefault="00F77BF8">
            <w:pPr>
              <w:jc w:val="center"/>
              <w:rPr>
                <w:rFonts w:ascii="Rockwell" w:hAnsi="Rockwell"/>
                <w:szCs w:val="26"/>
              </w:rPr>
            </w:pPr>
            <w:proofErr w:type="gramStart"/>
            <w:r>
              <w:rPr>
                <w:rFonts w:ascii="Rockwell" w:hAnsi="Rockwell"/>
                <w:b/>
                <w:bCs/>
                <w:szCs w:val="26"/>
              </w:rPr>
              <w:t>138:</w:t>
            </w:r>
            <w:proofErr w:type="gramEnd"/>
            <w:r>
              <w:rPr>
                <w:rFonts w:ascii="Rockwell" w:hAnsi="Rockwell"/>
                <w:b/>
                <w:bCs/>
                <w:szCs w:val="26"/>
              </w:rPr>
              <w:t>05:56</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06387032" w14:textId="77777777" w:rsidR="00284822" w:rsidRDefault="00F77BF8">
            <w:pPr>
              <w:jc w:val="center"/>
              <w:rPr>
                <w:rFonts w:ascii="Rockwell" w:hAnsi="Rockwell"/>
                <w:szCs w:val="26"/>
              </w:rPr>
            </w:pPr>
            <w:r>
              <w:rPr>
                <w:rFonts w:ascii="Rockwell" w:hAnsi="Rockwell"/>
                <w:b/>
                <w:bCs/>
                <w:szCs w:val="26"/>
              </w:rPr>
              <w:t>100.0</w:t>
            </w:r>
          </w:p>
        </w:tc>
      </w:tr>
      <w:tr w:rsidR="00284822" w14:paraId="22E28551" w14:textId="77777777">
        <w:trPr>
          <w:trHeight w:val="841"/>
          <w:jc w:val="center"/>
        </w:trPr>
        <w:tc>
          <w:tcPr>
            <w:tcW w:w="38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D79457D" w14:textId="77777777" w:rsidR="00284822" w:rsidRDefault="00F77BF8">
            <w:pPr>
              <w:rPr>
                <w:rFonts w:ascii="Rockwell" w:hAnsi="Rockwell"/>
                <w:szCs w:val="26"/>
              </w:rPr>
            </w:pPr>
            <w:r>
              <w:rPr>
                <w:rFonts w:ascii="Rockwell" w:hAnsi="Rockwell"/>
                <w:szCs w:val="26"/>
              </w:rPr>
              <w:t xml:space="preserve">ORGANISATIONS </w:t>
            </w:r>
          </w:p>
          <w:p w14:paraId="006B7361" w14:textId="77777777" w:rsidR="00284822" w:rsidRDefault="00F77BF8">
            <w:pPr>
              <w:rPr>
                <w:rFonts w:ascii="Rockwell" w:hAnsi="Rockwell"/>
                <w:szCs w:val="26"/>
              </w:rPr>
            </w:pPr>
            <w:r>
              <w:rPr>
                <w:rFonts w:ascii="Rockwell" w:hAnsi="Rockwell"/>
                <w:szCs w:val="26"/>
              </w:rPr>
              <w:t xml:space="preserve">NON GOUVERNEMENTALES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3535EEBC" w14:textId="77777777" w:rsidR="00284822" w:rsidRDefault="00F77BF8">
            <w:pPr>
              <w:jc w:val="center"/>
              <w:rPr>
                <w:rFonts w:ascii="Rockwell" w:hAnsi="Rockwell"/>
                <w:szCs w:val="26"/>
              </w:rPr>
            </w:pPr>
            <w:proofErr w:type="gramStart"/>
            <w:r>
              <w:rPr>
                <w:rFonts w:ascii="Rockwell" w:hAnsi="Rockwell"/>
                <w:szCs w:val="26"/>
              </w:rPr>
              <w:t>00:</w:t>
            </w:r>
            <w:proofErr w:type="gramEnd"/>
            <w:r>
              <w:rPr>
                <w:rFonts w:ascii="Rockwell" w:hAnsi="Rockwell"/>
                <w:szCs w:val="26"/>
              </w:rPr>
              <w:t>07:32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7114795D" w14:textId="77777777" w:rsidR="00284822" w:rsidRDefault="00F77BF8">
            <w:pPr>
              <w:jc w:val="center"/>
              <w:rPr>
                <w:rFonts w:ascii="Rockwell" w:hAnsi="Rockwell"/>
                <w:szCs w:val="26"/>
              </w:rPr>
            </w:pPr>
            <w:r>
              <w:rPr>
                <w:rFonts w:ascii="Rockwell" w:hAnsi="Rockwell"/>
                <w:szCs w:val="26"/>
              </w:rPr>
              <w:t>77.66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3980CCAD" w14:textId="77777777" w:rsidR="00284822" w:rsidRDefault="00F77BF8">
            <w:pPr>
              <w:jc w:val="center"/>
              <w:rPr>
                <w:rFonts w:ascii="Rockwell" w:hAnsi="Rockwell"/>
                <w:szCs w:val="26"/>
              </w:rPr>
            </w:pPr>
            <w:proofErr w:type="gramStart"/>
            <w:r>
              <w:rPr>
                <w:rFonts w:ascii="Rockwell" w:hAnsi="Rockwell"/>
                <w:szCs w:val="26"/>
              </w:rPr>
              <w:t>00:</w:t>
            </w:r>
            <w:proofErr w:type="gramEnd"/>
            <w:r>
              <w:rPr>
                <w:rFonts w:ascii="Rockwell" w:hAnsi="Rockwell"/>
                <w:szCs w:val="26"/>
              </w:rPr>
              <w:t>02:10</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1D38C9AA" w14:textId="77777777" w:rsidR="00284822" w:rsidRDefault="00F77BF8">
            <w:pPr>
              <w:jc w:val="center"/>
              <w:rPr>
                <w:rFonts w:ascii="Rockwell" w:hAnsi="Rockwell"/>
                <w:szCs w:val="26"/>
              </w:rPr>
            </w:pPr>
            <w:r>
              <w:rPr>
                <w:rFonts w:ascii="Rockwell" w:hAnsi="Rockwell"/>
                <w:szCs w:val="26"/>
              </w:rPr>
              <w:t>22.34</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269D36CE" w14:textId="77777777" w:rsidR="00284822" w:rsidRDefault="00F77BF8">
            <w:pPr>
              <w:jc w:val="center"/>
              <w:rPr>
                <w:rFonts w:ascii="Rockwell" w:hAnsi="Rockwell"/>
                <w:szCs w:val="26"/>
              </w:rPr>
            </w:pPr>
            <w:proofErr w:type="gramStart"/>
            <w:r>
              <w:rPr>
                <w:rFonts w:ascii="Rockwell" w:hAnsi="Rockwell"/>
                <w:b/>
                <w:bCs/>
                <w:szCs w:val="26"/>
              </w:rPr>
              <w:t>00:</w:t>
            </w:r>
            <w:proofErr w:type="gramEnd"/>
            <w:r>
              <w:rPr>
                <w:rFonts w:ascii="Rockwell" w:hAnsi="Rockwell"/>
                <w:b/>
                <w:bCs/>
                <w:szCs w:val="26"/>
              </w:rPr>
              <w:t>09:42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784C5194" w14:textId="77777777" w:rsidR="00284822" w:rsidRDefault="00F77BF8">
            <w:pPr>
              <w:jc w:val="center"/>
              <w:rPr>
                <w:rFonts w:ascii="Rockwell" w:hAnsi="Rockwell"/>
                <w:szCs w:val="26"/>
              </w:rPr>
            </w:pPr>
            <w:r>
              <w:rPr>
                <w:rFonts w:ascii="Rockwell" w:hAnsi="Rockwell"/>
                <w:b/>
                <w:bCs/>
                <w:szCs w:val="26"/>
              </w:rPr>
              <w:t>100.0</w:t>
            </w:r>
          </w:p>
        </w:tc>
      </w:tr>
      <w:tr w:rsidR="00284822" w14:paraId="1568400A" w14:textId="77777777">
        <w:trPr>
          <w:trHeight w:val="20"/>
          <w:jc w:val="center"/>
        </w:trPr>
        <w:tc>
          <w:tcPr>
            <w:tcW w:w="38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6721334A" w14:textId="77777777" w:rsidR="00284822" w:rsidRDefault="00F77BF8">
            <w:pPr>
              <w:rPr>
                <w:rFonts w:ascii="Rockwell" w:hAnsi="Rockwell"/>
                <w:szCs w:val="26"/>
              </w:rPr>
            </w:pPr>
            <w:r>
              <w:rPr>
                <w:rFonts w:ascii="Rockwell" w:hAnsi="Rockwell"/>
                <w:szCs w:val="26"/>
              </w:rPr>
              <w:t xml:space="preserve">PRESIDENCE DU FASO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7FB986EE" w14:textId="77777777" w:rsidR="00284822" w:rsidRDefault="00F77BF8">
            <w:pPr>
              <w:jc w:val="center"/>
              <w:rPr>
                <w:rFonts w:ascii="Rockwell" w:hAnsi="Rockwell"/>
                <w:szCs w:val="26"/>
              </w:rPr>
            </w:pPr>
            <w:proofErr w:type="gramStart"/>
            <w:r>
              <w:rPr>
                <w:rFonts w:ascii="Rockwell" w:hAnsi="Rockwell"/>
                <w:szCs w:val="26"/>
              </w:rPr>
              <w:t>08:</w:t>
            </w:r>
            <w:proofErr w:type="gramEnd"/>
            <w:r>
              <w:rPr>
                <w:rFonts w:ascii="Rockwell" w:hAnsi="Rockwell"/>
                <w:szCs w:val="26"/>
              </w:rPr>
              <w:t>46:57</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0B7A4BA1" w14:textId="77777777" w:rsidR="00284822" w:rsidRDefault="00F77BF8">
            <w:pPr>
              <w:jc w:val="center"/>
              <w:rPr>
                <w:rFonts w:ascii="Rockwell" w:hAnsi="Rockwell"/>
                <w:szCs w:val="26"/>
              </w:rPr>
            </w:pPr>
            <w:r>
              <w:rPr>
                <w:rFonts w:ascii="Rockwell" w:hAnsi="Rockwell"/>
                <w:szCs w:val="26"/>
              </w:rPr>
              <w:t>66.68</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6DB41A01" w14:textId="77777777" w:rsidR="00284822" w:rsidRDefault="00F77BF8">
            <w:pPr>
              <w:jc w:val="center"/>
              <w:rPr>
                <w:rFonts w:ascii="Rockwell" w:hAnsi="Rockwell"/>
                <w:szCs w:val="26"/>
              </w:rPr>
            </w:pPr>
            <w:proofErr w:type="gramStart"/>
            <w:r>
              <w:rPr>
                <w:rFonts w:ascii="Rockwell" w:hAnsi="Rockwell"/>
                <w:szCs w:val="26"/>
              </w:rPr>
              <w:t>04:</w:t>
            </w:r>
            <w:proofErr w:type="gramEnd"/>
            <w:r>
              <w:rPr>
                <w:rFonts w:ascii="Rockwell" w:hAnsi="Rockwell"/>
                <w:szCs w:val="26"/>
              </w:rPr>
              <w:t>23:17</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3156933F" w14:textId="77777777" w:rsidR="00284822" w:rsidRDefault="00F77BF8">
            <w:pPr>
              <w:jc w:val="center"/>
              <w:rPr>
                <w:rFonts w:ascii="Rockwell" w:hAnsi="Rockwell"/>
                <w:szCs w:val="26"/>
              </w:rPr>
            </w:pPr>
            <w:r>
              <w:rPr>
                <w:rFonts w:ascii="Rockwell" w:hAnsi="Rockwell"/>
                <w:szCs w:val="26"/>
              </w:rPr>
              <w:t>33.32</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615BAD87" w14:textId="77777777" w:rsidR="00284822" w:rsidRDefault="00F77BF8">
            <w:pPr>
              <w:jc w:val="center"/>
              <w:rPr>
                <w:rFonts w:ascii="Rockwell" w:hAnsi="Rockwell"/>
                <w:szCs w:val="26"/>
              </w:rPr>
            </w:pPr>
            <w:proofErr w:type="gramStart"/>
            <w:r>
              <w:rPr>
                <w:rFonts w:ascii="Rockwell" w:hAnsi="Rockwell"/>
                <w:b/>
                <w:bCs/>
                <w:szCs w:val="26"/>
              </w:rPr>
              <w:t>13:</w:t>
            </w:r>
            <w:proofErr w:type="gramEnd"/>
            <w:r>
              <w:rPr>
                <w:rFonts w:ascii="Rockwell" w:hAnsi="Rockwell"/>
                <w:b/>
                <w:bCs/>
                <w:szCs w:val="26"/>
              </w:rPr>
              <w:t>10:14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151D057D" w14:textId="77777777" w:rsidR="00284822" w:rsidRDefault="00F77BF8">
            <w:pPr>
              <w:jc w:val="center"/>
              <w:rPr>
                <w:rFonts w:ascii="Rockwell" w:hAnsi="Rockwell"/>
                <w:szCs w:val="26"/>
              </w:rPr>
            </w:pPr>
            <w:r>
              <w:rPr>
                <w:rFonts w:ascii="Rockwell" w:hAnsi="Rockwell"/>
                <w:b/>
                <w:bCs/>
                <w:szCs w:val="26"/>
              </w:rPr>
              <w:t>100.0</w:t>
            </w:r>
          </w:p>
        </w:tc>
      </w:tr>
      <w:tr w:rsidR="00284822" w14:paraId="3E2745C9" w14:textId="77777777">
        <w:trPr>
          <w:trHeight w:val="20"/>
          <w:jc w:val="center"/>
        </w:trPr>
        <w:tc>
          <w:tcPr>
            <w:tcW w:w="38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5B6D78E0" w14:textId="77777777" w:rsidR="00284822" w:rsidRDefault="00F77BF8">
            <w:pPr>
              <w:rPr>
                <w:rFonts w:ascii="Rockwell" w:hAnsi="Rockwell"/>
                <w:szCs w:val="26"/>
              </w:rPr>
            </w:pPr>
            <w:r>
              <w:rPr>
                <w:rFonts w:ascii="Rockwell" w:hAnsi="Rockwell"/>
                <w:szCs w:val="26"/>
              </w:rPr>
              <w:t xml:space="preserve">SYNDICATS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11C320E4" w14:textId="77777777" w:rsidR="00284822" w:rsidRDefault="00F77BF8">
            <w:pPr>
              <w:jc w:val="center"/>
              <w:rPr>
                <w:rFonts w:ascii="Rockwell" w:hAnsi="Rockwell"/>
                <w:szCs w:val="26"/>
              </w:rPr>
            </w:pPr>
            <w:proofErr w:type="gramStart"/>
            <w:r>
              <w:rPr>
                <w:rFonts w:ascii="Rockwell" w:hAnsi="Rockwell"/>
                <w:szCs w:val="26"/>
              </w:rPr>
              <w:t>09:</w:t>
            </w:r>
            <w:proofErr w:type="gramEnd"/>
            <w:r>
              <w:rPr>
                <w:rFonts w:ascii="Rockwell" w:hAnsi="Rockwell"/>
                <w:szCs w:val="26"/>
              </w:rPr>
              <w:t>42:49</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05D17371" w14:textId="77777777" w:rsidR="00284822" w:rsidRDefault="00F77BF8">
            <w:pPr>
              <w:jc w:val="center"/>
              <w:rPr>
                <w:rFonts w:ascii="Rockwell" w:hAnsi="Rockwell"/>
                <w:szCs w:val="26"/>
              </w:rPr>
            </w:pPr>
            <w:r>
              <w:rPr>
                <w:rFonts w:ascii="Rockwell" w:hAnsi="Rockwell"/>
                <w:szCs w:val="26"/>
              </w:rPr>
              <w:t>72.89</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4F467AC2" w14:textId="77777777" w:rsidR="00284822" w:rsidRDefault="00F77BF8">
            <w:pPr>
              <w:jc w:val="center"/>
              <w:rPr>
                <w:rFonts w:ascii="Rockwell" w:hAnsi="Rockwell"/>
                <w:szCs w:val="26"/>
              </w:rPr>
            </w:pPr>
            <w:proofErr w:type="gramStart"/>
            <w:r>
              <w:rPr>
                <w:rFonts w:ascii="Rockwell" w:hAnsi="Rockwell"/>
                <w:szCs w:val="26"/>
              </w:rPr>
              <w:t>03:</w:t>
            </w:r>
            <w:proofErr w:type="gramEnd"/>
            <w:r>
              <w:rPr>
                <w:rFonts w:ascii="Rockwell" w:hAnsi="Rockwell"/>
                <w:szCs w:val="26"/>
              </w:rPr>
              <w:t>36:49</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5DE053F8" w14:textId="77777777" w:rsidR="00284822" w:rsidRDefault="00F77BF8">
            <w:pPr>
              <w:jc w:val="center"/>
              <w:rPr>
                <w:rFonts w:ascii="Rockwell" w:hAnsi="Rockwell"/>
                <w:szCs w:val="26"/>
              </w:rPr>
            </w:pPr>
            <w:r>
              <w:rPr>
                <w:rFonts w:ascii="Rockwell" w:hAnsi="Rockwell"/>
                <w:szCs w:val="26"/>
              </w:rPr>
              <w:t>27.11</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020235BA" w14:textId="77777777" w:rsidR="00284822" w:rsidRDefault="00F77BF8">
            <w:pPr>
              <w:jc w:val="center"/>
              <w:rPr>
                <w:rFonts w:ascii="Rockwell" w:hAnsi="Rockwell"/>
                <w:szCs w:val="26"/>
              </w:rPr>
            </w:pPr>
            <w:proofErr w:type="gramStart"/>
            <w:r>
              <w:rPr>
                <w:rFonts w:ascii="Rockwell" w:hAnsi="Rockwell"/>
                <w:b/>
                <w:bCs/>
                <w:szCs w:val="26"/>
              </w:rPr>
              <w:t>13:</w:t>
            </w:r>
            <w:proofErr w:type="gramEnd"/>
            <w:r>
              <w:rPr>
                <w:rFonts w:ascii="Rockwell" w:hAnsi="Rockwell"/>
                <w:b/>
                <w:bCs/>
                <w:szCs w:val="26"/>
              </w:rPr>
              <w:t>19:38</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29D3D1E0" w14:textId="77777777" w:rsidR="00284822" w:rsidRDefault="00F77BF8">
            <w:pPr>
              <w:jc w:val="center"/>
              <w:rPr>
                <w:rFonts w:ascii="Rockwell" w:hAnsi="Rockwell"/>
                <w:szCs w:val="26"/>
              </w:rPr>
            </w:pPr>
            <w:r>
              <w:rPr>
                <w:rFonts w:ascii="Rockwell" w:hAnsi="Rockwell"/>
                <w:b/>
                <w:bCs/>
                <w:szCs w:val="26"/>
              </w:rPr>
              <w:t>100.0</w:t>
            </w:r>
          </w:p>
        </w:tc>
      </w:tr>
      <w:tr w:rsidR="00284822" w14:paraId="25DE3425" w14:textId="77777777">
        <w:trPr>
          <w:trHeight w:val="20"/>
          <w:jc w:val="center"/>
        </w:trPr>
        <w:tc>
          <w:tcPr>
            <w:tcW w:w="38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14:paraId="03ACFE79" w14:textId="77777777" w:rsidR="00284822" w:rsidRDefault="00F77BF8">
            <w:pPr>
              <w:rPr>
                <w:rFonts w:ascii="Rockwell" w:hAnsi="Rockwell"/>
                <w:szCs w:val="26"/>
              </w:rPr>
            </w:pPr>
            <w:r>
              <w:rPr>
                <w:rFonts w:ascii="Rockwell" w:hAnsi="Rockwell"/>
                <w:b/>
                <w:bCs/>
                <w:szCs w:val="26"/>
              </w:rPr>
              <w:t>TOTAL</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1EAB2241" w14:textId="77777777" w:rsidR="00284822" w:rsidRDefault="00F77BF8">
            <w:pPr>
              <w:jc w:val="center"/>
              <w:rPr>
                <w:rFonts w:ascii="Rockwell" w:hAnsi="Rockwell"/>
                <w:szCs w:val="26"/>
              </w:rPr>
            </w:pPr>
            <w:proofErr w:type="gramStart"/>
            <w:r>
              <w:rPr>
                <w:rFonts w:ascii="Rockwell" w:hAnsi="Rockwell"/>
                <w:bCs/>
                <w:szCs w:val="26"/>
              </w:rPr>
              <w:t>186:</w:t>
            </w:r>
            <w:proofErr w:type="gramEnd"/>
            <w:r>
              <w:rPr>
                <w:rFonts w:ascii="Rockwell" w:hAnsi="Rockwell"/>
                <w:bCs/>
                <w:szCs w:val="26"/>
              </w:rPr>
              <w:t>05:20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264DD73B" w14:textId="77777777" w:rsidR="00284822" w:rsidRDefault="00F77BF8">
            <w:pPr>
              <w:jc w:val="center"/>
              <w:rPr>
                <w:rFonts w:ascii="Rockwell" w:hAnsi="Rockwell"/>
                <w:szCs w:val="26"/>
              </w:rPr>
            </w:pPr>
            <w:r>
              <w:rPr>
                <w:rFonts w:ascii="Rockwell" w:hAnsi="Rockwell"/>
                <w:b/>
                <w:bCs/>
                <w:szCs w:val="26"/>
              </w:rPr>
              <w:t>71.83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1346AE14" w14:textId="77777777" w:rsidR="00284822" w:rsidRDefault="00F77BF8">
            <w:pPr>
              <w:jc w:val="center"/>
              <w:rPr>
                <w:rFonts w:ascii="Rockwell" w:hAnsi="Rockwell"/>
                <w:szCs w:val="26"/>
              </w:rPr>
            </w:pPr>
            <w:proofErr w:type="gramStart"/>
            <w:r>
              <w:rPr>
                <w:rFonts w:ascii="Rockwell" w:hAnsi="Rockwell"/>
                <w:b/>
                <w:bCs/>
                <w:szCs w:val="26"/>
              </w:rPr>
              <w:t>72:</w:t>
            </w:r>
            <w:proofErr w:type="gramEnd"/>
            <w:r>
              <w:rPr>
                <w:rFonts w:ascii="Rockwell" w:hAnsi="Rockwell"/>
                <w:b/>
                <w:bCs/>
                <w:szCs w:val="26"/>
              </w:rPr>
              <w:t>57:43</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1990FF39" w14:textId="77777777" w:rsidR="00284822" w:rsidRDefault="00F77BF8">
            <w:pPr>
              <w:jc w:val="center"/>
              <w:rPr>
                <w:rFonts w:ascii="Rockwell" w:hAnsi="Rockwell"/>
                <w:szCs w:val="26"/>
              </w:rPr>
            </w:pPr>
            <w:r>
              <w:rPr>
                <w:rFonts w:ascii="Rockwell" w:hAnsi="Rockwell"/>
                <w:b/>
                <w:bCs/>
                <w:szCs w:val="26"/>
              </w:rPr>
              <w:t>28.17</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6A9BEBE5" w14:textId="77777777" w:rsidR="00284822" w:rsidRDefault="00F77BF8">
            <w:pPr>
              <w:jc w:val="center"/>
              <w:rPr>
                <w:rFonts w:ascii="Rockwell" w:hAnsi="Rockwell"/>
                <w:szCs w:val="26"/>
              </w:rPr>
            </w:pPr>
            <w:proofErr w:type="gramStart"/>
            <w:r>
              <w:rPr>
                <w:rFonts w:ascii="Rockwell" w:hAnsi="Rockwell"/>
                <w:b/>
                <w:bCs/>
                <w:szCs w:val="26"/>
              </w:rPr>
              <w:t>259:</w:t>
            </w:r>
            <w:proofErr w:type="gramEnd"/>
            <w:r>
              <w:rPr>
                <w:rFonts w:ascii="Rockwell" w:hAnsi="Rockwell"/>
                <w:b/>
                <w:bCs/>
                <w:szCs w:val="26"/>
              </w:rPr>
              <w:t>03:03</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tcPr>
          <w:p w14:paraId="7AB5A740" w14:textId="77777777" w:rsidR="00284822" w:rsidRDefault="00F77BF8">
            <w:pPr>
              <w:jc w:val="center"/>
              <w:rPr>
                <w:rFonts w:ascii="Rockwell" w:hAnsi="Rockwell"/>
                <w:szCs w:val="26"/>
              </w:rPr>
            </w:pPr>
            <w:r>
              <w:rPr>
                <w:rFonts w:ascii="Rockwell" w:hAnsi="Rockwell"/>
                <w:b/>
                <w:bCs/>
                <w:szCs w:val="26"/>
              </w:rPr>
              <w:t>100.0</w:t>
            </w:r>
          </w:p>
        </w:tc>
      </w:tr>
    </w:tbl>
    <w:p w14:paraId="58832683" w14:textId="77777777" w:rsidR="00284822" w:rsidRDefault="00F77BF8">
      <w:pPr>
        <w:spacing w:before="120" w:after="120"/>
        <w:ind w:hanging="709"/>
        <w:rPr>
          <w:rFonts w:ascii="Rockwell" w:hAnsi="Rockwell"/>
          <w:i/>
          <w:sz w:val="22"/>
          <w:szCs w:val="22"/>
        </w:rPr>
      </w:pPr>
      <w:r>
        <w:rPr>
          <w:rFonts w:ascii="Rockwell" w:hAnsi="Rockwell"/>
          <w:i/>
          <w:sz w:val="22"/>
          <w:szCs w:val="22"/>
          <w:u w:val="single"/>
          <w:lang w:eastAsia="en-US"/>
        </w:rPr>
        <w:t>Source</w:t>
      </w:r>
      <w:r>
        <w:rPr>
          <w:rFonts w:ascii="Rockwell" w:hAnsi="Rockwell"/>
          <w:i/>
          <w:sz w:val="22"/>
          <w:szCs w:val="22"/>
          <w:lang w:eastAsia="en-US"/>
        </w:rPr>
        <w:t> : CSC</w:t>
      </w:r>
    </w:p>
    <w:p w14:paraId="3A695CD6" w14:textId="77777777" w:rsidR="00284822" w:rsidRDefault="00284822">
      <w:pPr>
        <w:spacing w:before="120" w:after="120"/>
        <w:rPr>
          <w:rFonts w:ascii="Rockwell" w:hAnsi="Rockwell"/>
          <w:szCs w:val="26"/>
        </w:rPr>
      </w:pPr>
    </w:p>
    <w:p w14:paraId="6A2588EA" w14:textId="77777777" w:rsidR="00284822" w:rsidRDefault="00284822">
      <w:pPr>
        <w:spacing w:before="120" w:after="120"/>
        <w:rPr>
          <w:rFonts w:ascii="Rockwell" w:hAnsi="Rockwell"/>
          <w:szCs w:val="26"/>
        </w:rPr>
        <w:sectPr w:rsidR="00284822">
          <w:pgSz w:w="16838" w:h="11906" w:orient="landscape"/>
          <w:pgMar w:top="1418" w:right="1418" w:bottom="1418" w:left="1418" w:header="720" w:footer="720" w:gutter="0"/>
          <w:cols w:space="720"/>
        </w:sectPr>
      </w:pPr>
    </w:p>
    <w:p w14:paraId="6E048BEC" w14:textId="77777777" w:rsidR="00284822" w:rsidRDefault="00F77BF8">
      <w:pPr>
        <w:spacing w:before="120" w:after="120"/>
        <w:jc w:val="center"/>
        <w:rPr>
          <w:rFonts w:ascii="Rockwell" w:hAnsi="Rockwell"/>
          <w:sz w:val="20"/>
          <w:szCs w:val="20"/>
        </w:rPr>
      </w:pPr>
      <w:r>
        <w:rPr>
          <w:rFonts w:ascii="Rockwell" w:hAnsi="Rockwell"/>
          <w:i/>
          <w:sz w:val="20"/>
          <w:szCs w:val="20"/>
        </w:rPr>
        <w:lastRenderedPageBreak/>
        <w:t>Représentation graphique</w:t>
      </w:r>
      <w:r>
        <w:rPr>
          <w:rFonts w:ascii="Rockwell" w:hAnsi="Rockwell"/>
          <w:b/>
          <w:i/>
          <w:sz w:val="20"/>
          <w:szCs w:val="20"/>
        </w:rPr>
        <w:t xml:space="preserve"> </w:t>
      </w:r>
      <w:r>
        <w:rPr>
          <w:rFonts w:ascii="Rockwell" w:hAnsi="Rockwell"/>
          <w:i/>
          <w:sz w:val="20"/>
          <w:szCs w:val="20"/>
        </w:rPr>
        <w:t>des TA et TP des médias audiovisuels privés</w:t>
      </w:r>
    </w:p>
    <w:p w14:paraId="3F78BF44" w14:textId="77777777" w:rsidR="00284822" w:rsidRDefault="00F77BF8">
      <w:pPr>
        <w:spacing w:before="120" w:after="120"/>
        <w:rPr>
          <w:rFonts w:ascii="Rockwell" w:hAnsi="Rockwell"/>
          <w:szCs w:val="26"/>
        </w:rPr>
      </w:pPr>
      <w:r>
        <w:rPr>
          <w:rFonts w:ascii="Rockwell" w:hAnsi="Rockwell"/>
          <w:noProof/>
          <w:szCs w:val="26"/>
        </w:rPr>
        <w:drawing>
          <wp:inline distT="0" distB="0" distL="0" distR="0" wp14:anchorId="493A4B10" wp14:editId="5C5E88D7">
            <wp:extent cx="5943600" cy="3381375"/>
            <wp:effectExtent l="0" t="0" r="0" b="9221"/>
            <wp:docPr id="46" name="Image 93" descr="http://srvhms/Pluralisme/getchart.jsp?img=chart1&amp;id=6EBA5CD6A8EEAEA4833A40B9017C6660_8"/>
            <wp:cNvGraphicFramePr/>
            <a:graphic xmlns:a="http://schemas.openxmlformats.org/drawingml/2006/main">
              <a:graphicData uri="http://schemas.openxmlformats.org/drawingml/2006/picture">
                <pic:pic xmlns:pic="http://schemas.openxmlformats.org/drawingml/2006/picture">
                  <pic:nvPicPr>
                    <pic:cNvPr id="46" name="Image 93" descr="http://srvhms/Pluralisme/getchart.jsp?img=chart1&amp;id=6EBA5CD6A8EEAEA4833A40B9017C6660_8"/>
                    <pic:cNvPicPr/>
                  </pic:nvPicPr>
                  <pic:blipFill>
                    <a:blip r:embed="rId85"/>
                    <a:srcRect/>
                    <a:stretch>
                      <a:fillRect/>
                    </a:stretch>
                  </pic:blipFill>
                  <pic:spPr>
                    <a:xfrm>
                      <a:off x="0" y="0"/>
                      <a:ext cx="5944130" cy="3381679"/>
                    </a:xfrm>
                    <a:prstGeom prst="rect">
                      <a:avLst/>
                    </a:prstGeom>
                    <a:noFill/>
                    <a:ln>
                      <a:noFill/>
                      <a:prstDash val="solid"/>
                    </a:ln>
                  </pic:spPr>
                </pic:pic>
              </a:graphicData>
            </a:graphic>
          </wp:inline>
        </w:drawing>
      </w:r>
    </w:p>
    <w:p w14:paraId="164E6826" w14:textId="77777777" w:rsidR="00284822" w:rsidRDefault="00284822">
      <w:pPr>
        <w:spacing w:before="120" w:after="120"/>
        <w:rPr>
          <w:rFonts w:ascii="Rockwell" w:hAnsi="Rockwell"/>
          <w:szCs w:val="26"/>
        </w:rPr>
      </w:pPr>
    </w:p>
    <w:p w14:paraId="58FE487A" w14:textId="77777777" w:rsidR="00284822" w:rsidRDefault="00284822">
      <w:pPr>
        <w:spacing w:before="120" w:after="120"/>
        <w:rPr>
          <w:rFonts w:ascii="Rockwell" w:hAnsi="Rockwell"/>
          <w:sz w:val="10"/>
          <w:szCs w:val="10"/>
        </w:rPr>
      </w:pPr>
    </w:p>
    <w:p w14:paraId="2E2F65E2" w14:textId="77777777" w:rsidR="00284822" w:rsidRDefault="00F77BF8">
      <w:pPr>
        <w:pStyle w:val="Titre6"/>
        <w:numPr>
          <w:ilvl w:val="1"/>
          <w:numId w:val="22"/>
        </w:numPr>
        <w:jc w:val="both"/>
        <w:rPr>
          <w:rFonts w:ascii="Rockwell" w:hAnsi="Rockwell"/>
          <w:i w:val="0"/>
        </w:rPr>
      </w:pPr>
      <w:r>
        <w:rPr>
          <w:rFonts w:ascii="Rockwell" w:hAnsi="Rockwell"/>
          <w:i w:val="0"/>
        </w:rPr>
        <w:t>Appréciation du pluralisme et de l’équilibre de l’information</w:t>
      </w:r>
    </w:p>
    <w:p w14:paraId="6B6468B7" w14:textId="77777777" w:rsidR="00284822" w:rsidRDefault="00F77BF8">
      <w:pPr>
        <w:pStyle w:val="Titre6"/>
        <w:numPr>
          <w:ilvl w:val="0"/>
          <w:numId w:val="0"/>
        </w:numPr>
        <w:ind w:left="505"/>
        <w:rPr>
          <w:rFonts w:ascii="Rockwell" w:hAnsi="Rockwell"/>
          <w:i w:val="0"/>
        </w:rPr>
      </w:pPr>
      <w:proofErr w:type="gramStart"/>
      <w:r>
        <w:rPr>
          <w:rFonts w:ascii="Rockwell" w:hAnsi="Rockwell"/>
          <w:i w:val="0"/>
        </w:rPr>
        <w:t>dans</w:t>
      </w:r>
      <w:proofErr w:type="gramEnd"/>
      <w:r>
        <w:rPr>
          <w:rFonts w:ascii="Rockwell" w:hAnsi="Rockwell"/>
          <w:i w:val="0"/>
        </w:rPr>
        <w:t xml:space="preserve"> les médias audiovisuels</w:t>
      </w:r>
    </w:p>
    <w:p w14:paraId="0612179D" w14:textId="77777777" w:rsidR="00284822" w:rsidRDefault="00F77BF8">
      <w:pPr>
        <w:spacing w:before="120" w:after="120"/>
        <w:rPr>
          <w:rFonts w:ascii="Rockwell" w:hAnsi="Rockwell"/>
          <w:bCs/>
          <w:szCs w:val="26"/>
        </w:rPr>
      </w:pPr>
      <w:r>
        <w:rPr>
          <w:rFonts w:ascii="Rockwell" w:hAnsi="Rockwell"/>
          <w:szCs w:val="26"/>
        </w:rPr>
        <w:t xml:space="preserve">Les médias audiovisuels publics ont consacré, dans l’ensemble, un temps d’antenne global de </w:t>
      </w:r>
      <w:r>
        <w:rPr>
          <w:rFonts w:ascii="Rockwell" w:hAnsi="Rockwell"/>
          <w:bCs/>
          <w:szCs w:val="26"/>
        </w:rPr>
        <w:t>64</w:t>
      </w:r>
      <w:r>
        <w:rPr>
          <w:rFonts w:ascii="Rockwell" w:hAnsi="Rockwell"/>
          <w:szCs w:val="26"/>
        </w:rPr>
        <w:t xml:space="preserve"> heures</w:t>
      </w:r>
      <w:r>
        <w:rPr>
          <w:rFonts w:ascii="Rockwell" w:hAnsi="Rockwell"/>
          <w:bCs/>
          <w:szCs w:val="26"/>
        </w:rPr>
        <w:t xml:space="preserve"> 43</w:t>
      </w:r>
      <w:r>
        <w:rPr>
          <w:rFonts w:ascii="Rockwell" w:hAnsi="Rockwell"/>
          <w:szCs w:val="26"/>
        </w:rPr>
        <w:t xml:space="preserve"> minutes</w:t>
      </w:r>
      <w:r>
        <w:rPr>
          <w:rFonts w:ascii="Rockwell" w:hAnsi="Rockwell"/>
          <w:bCs/>
          <w:szCs w:val="26"/>
        </w:rPr>
        <w:t xml:space="preserve"> 49 secondes aux acteurs socio-politiques.</w:t>
      </w:r>
    </w:p>
    <w:p w14:paraId="7F20A17F" w14:textId="77777777" w:rsidR="00284822" w:rsidRDefault="00F77BF8">
      <w:pPr>
        <w:spacing w:before="120" w:after="120"/>
        <w:rPr>
          <w:rFonts w:ascii="Rockwell" w:hAnsi="Rockwell"/>
          <w:szCs w:val="26"/>
        </w:rPr>
      </w:pPr>
      <w:r>
        <w:rPr>
          <w:rFonts w:ascii="Rockwell" w:hAnsi="Rockwell"/>
          <w:szCs w:val="26"/>
        </w:rPr>
        <w:t xml:space="preserve">Le gouvernement occupe la première place avec 44 heures 27 </w:t>
      </w:r>
      <w:bookmarkStart w:id="171" w:name="_Hlk161998931"/>
      <w:r>
        <w:rPr>
          <w:rFonts w:ascii="Rockwell" w:hAnsi="Rockwell"/>
          <w:szCs w:val="26"/>
        </w:rPr>
        <w:t>minutes</w:t>
      </w:r>
      <w:bookmarkEnd w:id="171"/>
      <w:r>
        <w:rPr>
          <w:rFonts w:ascii="Rockwell" w:hAnsi="Rockwell"/>
          <w:szCs w:val="26"/>
        </w:rPr>
        <w:t xml:space="preserve"> et 54 secondes de TA. Il est suivi des associations avec 11 heures, 26 minutes et 30 secondes. L’Assemblée législative de transition occupe la troisième place avec 02 heures, 52 minutes et 07 secondes et la présidence du Faso arrive en quatrième position avec 02 heures, 38 minutes et 10 secondes. Les partis politiques sont </w:t>
      </w:r>
      <w:proofErr w:type="gramStart"/>
      <w:r>
        <w:rPr>
          <w:rFonts w:ascii="Rockwell" w:hAnsi="Rockwell"/>
          <w:szCs w:val="26"/>
        </w:rPr>
        <w:t>cinquième</w:t>
      </w:r>
      <w:proofErr w:type="gramEnd"/>
      <w:r>
        <w:rPr>
          <w:rFonts w:ascii="Rockwell" w:hAnsi="Rockwell"/>
          <w:szCs w:val="26"/>
        </w:rPr>
        <w:t xml:space="preserve"> avec 1 heure, 23 minutes, 17 secondes suivis des syndicats avec 1 heure, 19 minutes et 53 secondes.</w:t>
      </w:r>
    </w:p>
    <w:p w14:paraId="21E07F92" w14:textId="77777777" w:rsidR="00284822" w:rsidRDefault="00F77BF8">
      <w:pPr>
        <w:spacing w:before="120" w:after="120"/>
        <w:rPr>
          <w:rFonts w:ascii="Rockwell" w:hAnsi="Rockwell"/>
          <w:szCs w:val="26"/>
        </w:rPr>
      </w:pPr>
      <w:r>
        <w:rPr>
          <w:rFonts w:ascii="Rockwell" w:hAnsi="Rockwell"/>
          <w:szCs w:val="26"/>
        </w:rPr>
        <w:t xml:space="preserve">Les autres institutions sont </w:t>
      </w:r>
      <w:proofErr w:type="gramStart"/>
      <w:r>
        <w:rPr>
          <w:rFonts w:ascii="Rockwell" w:hAnsi="Rockwell"/>
          <w:szCs w:val="26"/>
        </w:rPr>
        <w:t>septième</w:t>
      </w:r>
      <w:proofErr w:type="gramEnd"/>
      <w:r>
        <w:rPr>
          <w:rFonts w:ascii="Rockwell" w:hAnsi="Rockwell"/>
          <w:szCs w:val="26"/>
        </w:rPr>
        <w:t xml:space="preserve"> avec 35 minutes et 58 secondes.</w:t>
      </w:r>
    </w:p>
    <w:p w14:paraId="3C8AD663" w14:textId="77777777" w:rsidR="00284822" w:rsidRDefault="00F77BF8">
      <w:pPr>
        <w:spacing w:before="120" w:after="120"/>
        <w:rPr>
          <w:rFonts w:ascii="Rockwell" w:hAnsi="Rockwell"/>
          <w:szCs w:val="26"/>
        </w:rPr>
      </w:pPr>
      <w:r>
        <w:rPr>
          <w:rFonts w:ascii="Rockwell" w:hAnsi="Rockwell"/>
          <w:szCs w:val="26"/>
        </w:rPr>
        <w:lastRenderedPageBreak/>
        <w:t>La répartition globale des interventions en temps d’antenne dans les médias audiovisuels privés observés est de 186 heures 05 minutes 20 secondes.</w:t>
      </w:r>
    </w:p>
    <w:p w14:paraId="354F5F58" w14:textId="77777777" w:rsidR="00284822" w:rsidRDefault="00F77BF8">
      <w:pPr>
        <w:spacing w:before="120" w:after="120"/>
        <w:rPr>
          <w:rFonts w:ascii="Rockwell" w:hAnsi="Rockwell"/>
          <w:szCs w:val="26"/>
        </w:rPr>
      </w:pPr>
      <w:r>
        <w:rPr>
          <w:rFonts w:ascii="Rockwell" w:hAnsi="Rockwell"/>
          <w:szCs w:val="26"/>
        </w:rPr>
        <w:t xml:space="preserve">Le classement par type d’intervenants donne le gouvernement en tête avec 100 heures 04 minutes et 45 secondes de TA. En deuxième position, on retrouve les associations avec 48 heures, 20 minutes et 28 secondes de TA, suivies des partis politiques avec 10 heures 44 minutes et 13 secondes de TA. </w:t>
      </w:r>
    </w:p>
    <w:p w14:paraId="41098278" w14:textId="77777777" w:rsidR="00284822" w:rsidRDefault="00F77BF8">
      <w:pPr>
        <w:spacing w:before="120" w:after="120"/>
        <w:rPr>
          <w:rFonts w:ascii="Rockwell" w:hAnsi="Rockwell"/>
          <w:szCs w:val="26"/>
        </w:rPr>
      </w:pPr>
      <w:r>
        <w:rPr>
          <w:rFonts w:ascii="Rockwell" w:hAnsi="Rockwell"/>
          <w:szCs w:val="26"/>
        </w:rPr>
        <w:t xml:space="preserve">Les syndicats sont </w:t>
      </w:r>
      <w:proofErr w:type="gramStart"/>
      <w:r>
        <w:rPr>
          <w:rFonts w:ascii="Rockwell" w:hAnsi="Rockwell"/>
          <w:szCs w:val="26"/>
        </w:rPr>
        <w:t>quatrième</w:t>
      </w:r>
      <w:proofErr w:type="gramEnd"/>
      <w:r>
        <w:rPr>
          <w:rFonts w:ascii="Rockwell" w:hAnsi="Rockwell"/>
          <w:szCs w:val="26"/>
        </w:rPr>
        <w:t xml:space="preserve"> avec 09 heures, 42 minutes et 49 secondes tandis que la Présidence du Faso est cinquième avec 08 heures 46 minutes 57 secondes de TA. </w:t>
      </w:r>
    </w:p>
    <w:p w14:paraId="24DF04B8" w14:textId="77777777" w:rsidR="00284822" w:rsidRDefault="00F77BF8">
      <w:pPr>
        <w:spacing w:before="120" w:after="120"/>
        <w:rPr>
          <w:rFonts w:ascii="Rockwell" w:hAnsi="Rockwell"/>
          <w:szCs w:val="26"/>
        </w:rPr>
      </w:pPr>
      <w:r>
        <w:rPr>
          <w:rFonts w:ascii="Rockwell" w:hAnsi="Rockwell"/>
          <w:szCs w:val="26"/>
        </w:rPr>
        <w:t xml:space="preserve">L’Assemblée Législative de Transition est sixième avec 05 heures et 32 secondes de TA et les autres institutions se positionnent septième avec 03 heures 18 minutes et 04 secondes de TA. Les organisations non gouvernementales sont à la dernière place avec 07 minutes, 32 secondes de TA. </w:t>
      </w:r>
    </w:p>
    <w:p w14:paraId="1AC4D97E" w14:textId="77777777" w:rsidR="00284822" w:rsidRDefault="00F77BF8">
      <w:pPr>
        <w:spacing w:before="120" w:after="120"/>
        <w:rPr>
          <w:rFonts w:ascii="Rockwell" w:hAnsi="Rockwell"/>
          <w:szCs w:val="26"/>
        </w:rPr>
      </w:pPr>
      <w:r>
        <w:rPr>
          <w:rFonts w:ascii="Rockwell" w:hAnsi="Rockwell"/>
          <w:szCs w:val="26"/>
        </w:rPr>
        <w:t>L’observation du pluralisme et de l’équilibre de l’information dans les médias audiovisuels publics et privés montre que la pluralité des opinions a été effective. L’information étant diversifiée, l’on peut conclure à un respect du pluralisme.</w:t>
      </w:r>
    </w:p>
    <w:p w14:paraId="0CD877AA" w14:textId="77777777" w:rsidR="00284822" w:rsidRDefault="00F77BF8">
      <w:pPr>
        <w:spacing w:before="120" w:after="120"/>
        <w:rPr>
          <w:rFonts w:ascii="Rockwell" w:hAnsi="Rockwell"/>
          <w:szCs w:val="26"/>
        </w:rPr>
      </w:pPr>
      <w:r>
        <w:rPr>
          <w:rFonts w:ascii="Rockwell" w:hAnsi="Rockwell"/>
          <w:szCs w:val="26"/>
        </w:rPr>
        <w:t xml:space="preserve">Dans les médias audiovisuels, aussi bien publics que privés, le constat fait ressortir que les interventions des membres du gouvernement dépassent largement celles des autres acteurs sociopolitiques. Ce qui permet de conclure également à un déséquilibre persistant dans le traitement de l’information politique. </w:t>
      </w:r>
    </w:p>
    <w:p w14:paraId="5253EC2B" w14:textId="77777777" w:rsidR="00284822" w:rsidRDefault="00284822">
      <w:pPr>
        <w:spacing w:before="120" w:after="120"/>
        <w:rPr>
          <w:rFonts w:ascii="Rockwell" w:hAnsi="Rockwell"/>
          <w:szCs w:val="26"/>
        </w:rPr>
      </w:pPr>
    </w:p>
    <w:p w14:paraId="677373C5" w14:textId="47B328BD" w:rsidR="00284822" w:rsidRDefault="00F77BF8">
      <w:pPr>
        <w:pStyle w:val="Titre4"/>
        <w:spacing w:before="120" w:after="120"/>
        <w:rPr>
          <w:rFonts w:ascii="Rockwell" w:hAnsi="Rockwell"/>
          <w:sz w:val="28"/>
          <w:szCs w:val="28"/>
        </w:rPr>
      </w:pPr>
      <w:bookmarkStart w:id="172" w:name="_Toc175048688"/>
      <w:r>
        <w:rPr>
          <w:rFonts w:ascii="Rockwell" w:hAnsi="Rockwell"/>
          <w:sz w:val="28"/>
          <w:szCs w:val="28"/>
        </w:rPr>
        <w:lastRenderedPageBreak/>
        <w:t xml:space="preserve">Paragraphe 2 : </w:t>
      </w:r>
      <w:r w:rsidR="0046752A">
        <w:rPr>
          <w:rFonts w:ascii="Rockwell" w:hAnsi="Rockwell"/>
          <w:sz w:val="28"/>
          <w:szCs w:val="28"/>
        </w:rPr>
        <w:t xml:space="preserve">Observation </w:t>
      </w:r>
      <w:r>
        <w:rPr>
          <w:rFonts w:ascii="Rockwell" w:hAnsi="Rockwell"/>
          <w:sz w:val="28"/>
          <w:szCs w:val="28"/>
        </w:rPr>
        <w:t>du pluralisme et de l’équilibre de l’information dans les médias audiovisuels de l’Ouest</w:t>
      </w:r>
      <w:bookmarkEnd w:id="172"/>
    </w:p>
    <w:p w14:paraId="532D438D" w14:textId="77777777" w:rsidR="00284822" w:rsidRDefault="00F77BF8">
      <w:pPr>
        <w:spacing w:before="120" w:after="120"/>
        <w:rPr>
          <w:rFonts w:ascii="Rockwell" w:hAnsi="Rockwell"/>
          <w:szCs w:val="26"/>
        </w:rPr>
      </w:pPr>
      <w:r>
        <w:rPr>
          <w:rFonts w:ascii="Rockwell" w:hAnsi="Rockwell"/>
          <w:bCs/>
          <w:szCs w:val="26"/>
        </w:rPr>
        <w:t xml:space="preserve">L’observation du pluralisme et de l’équilibre de l’information dans </w:t>
      </w:r>
      <w:r>
        <w:rPr>
          <w:rFonts w:ascii="Rockwell" w:hAnsi="Rockwell"/>
          <w:szCs w:val="26"/>
        </w:rPr>
        <w:t>les médias audiovisuels de l’Ouest a concerné ceux des villes de Bobo-Dioulasso, Banfora, Gaoua et Dédougou.</w:t>
      </w:r>
    </w:p>
    <w:p w14:paraId="0A856326" w14:textId="77777777" w:rsidR="00284822" w:rsidRDefault="00F77BF8">
      <w:pPr>
        <w:spacing w:before="120" w:after="120"/>
        <w:rPr>
          <w:rFonts w:ascii="Rockwell" w:hAnsi="Rockwell"/>
          <w:szCs w:val="26"/>
          <w:lang w:eastAsia="en-US"/>
        </w:rPr>
      </w:pPr>
      <w:r>
        <w:rPr>
          <w:rFonts w:ascii="Rockwell" w:hAnsi="Rockwell"/>
          <w:szCs w:val="26"/>
          <w:lang w:eastAsia="en-US"/>
        </w:rPr>
        <w:t>Les acteurs socio-politiques pris en compte et les variables (TA) et (TP) sont les mêmes que ceux considérés pour les médias du Centre.</w:t>
      </w:r>
    </w:p>
    <w:p w14:paraId="186C73C6" w14:textId="77777777" w:rsidR="00284822" w:rsidRDefault="00F77BF8">
      <w:pPr>
        <w:spacing w:before="120" w:after="120"/>
        <w:rPr>
          <w:rFonts w:ascii="Rockwell" w:hAnsi="Rockwell"/>
          <w:szCs w:val="26"/>
        </w:rPr>
      </w:pPr>
      <w:r>
        <w:rPr>
          <w:rFonts w:ascii="Rockwell" w:hAnsi="Rockwell"/>
          <w:szCs w:val="26"/>
        </w:rPr>
        <w:t>Le tableau statistique ci-dessous met en exergue les données collectées dans ces médias au cours de l’année 2022.</w:t>
      </w:r>
    </w:p>
    <w:p w14:paraId="29668A0A" w14:textId="77777777" w:rsidR="00284822" w:rsidRDefault="00284822">
      <w:pPr>
        <w:spacing w:before="120" w:after="120"/>
        <w:rPr>
          <w:rFonts w:ascii="Rockwell" w:hAnsi="Rockwell"/>
          <w:szCs w:val="26"/>
        </w:rPr>
      </w:pPr>
    </w:p>
    <w:p w14:paraId="5A1D114C" w14:textId="77777777" w:rsidR="00284822" w:rsidRDefault="00284822">
      <w:pPr>
        <w:spacing w:before="120" w:after="120"/>
        <w:rPr>
          <w:rFonts w:ascii="Rockwell" w:hAnsi="Rockwell"/>
          <w:szCs w:val="26"/>
        </w:rPr>
        <w:sectPr w:rsidR="00284822">
          <w:pgSz w:w="11906" w:h="16838"/>
          <w:pgMar w:top="1418" w:right="1418" w:bottom="1418" w:left="1418" w:header="720" w:footer="720" w:gutter="0"/>
          <w:cols w:space="720"/>
        </w:sectPr>
      </w:pPr>
    </w:p>
    <w:p w14:paraId="46BE1A82" w14:textId="77777777" w:rsidR="00284822" w:rsidRDefault="00F77BF8">
      <w:pPr>
        <w:pStyle w:val="Titre5"/>
        <w:numPr>
          <w:ilvl w:val="4"/>
          <w:numId w:val="23"/>
        </w:numPr>
        <w:ind w:left="-993"/>
        <w:jc w:val="center"/>
        <w:rPr>
          <w:rFonts w:ascii="Rockwell" w:hAnsi="Rockwell"/>
        </w:rPr>
      </w:pPr>
      <w:bookmarkStart w:id="173" w:name="_Toc175048689"/>
      <w:r>
        <w:rPr>
          <w:rFonts w:ascii="Rockwell" w:hAnsi="Rockwell"/>
        </w:rPr>
        <w:lastRenderedPageBreak/>
        <w:t>Médias audiovisuels publics</w:t>
      </w:r>
      <w:bookmarkEnd w:id="173"/>
    </w:p>
    <w:p w14:paraId="060BC426" w14:textId="77777777" w:rsidR="00284822" w:rsidRDefault="00F77BF8">
      <w:pPr>
        <w:pStyle w:val="Titre6"/>
        <w:numPr>
          <w:ilvl w:val="1"/>
          <w:numId w:val="24"/>
        </w:numPr>
        <w:ind w:right="2520" w:firstLine="687"/>
        <w:rPr>
          <w:rFonts w:ascii="Rockwell" w:hAnsi="Rockwell"/>
        </w:rPr>
      </w:pPr>
      <w:r>
        <w:rPr>
          <w:rFonts w:ascii="Rockwell" w:hAnsi="Rockwell"/>
        </w:rPr>
        <w:t>Données des médias audiovisuels publics</w:t>
      </w:r>
    </w:p>
    <w:p w14:paraId="0C708DE5" w14:textId="77777777" w:rsidR="00284822" w:rsidRDefault="00F77BF8">
      <w:pPr>
        <w:pStyle w:val="Paragraphedeliste"/>
        <w:ind w:left="480"/>
        <w:jc w:val="center"/>
        <w:textAlignment w:val="auto"/>
        <w:rPr>
          <w:rFonts w:ascii="Rockwell" w:hAnsi="Rockwell"/>
          <w:sz w:val="20"/>
          <w:szCs w:val="20"/>
        </w:rPr>
      </w:pPr>
      <w:r>
        <w:rPr>
          <w:rFonts w:ascii="Rockwell" w:hAnsi="Rockwell"/>
          <w:b/>
          <w:sz w:val="20"/>
          <w:szCs w:val="20"/>
          <w:u w:val="single"/>
        </w:rPr>
        <w:t>Tableau 22</w:t>
      </w:r>
      <w:r>
        <w:rPr>
          <w:rFonts w:ascii="Rockwell" w:hAnsi="Rockwell"/>
          <w:b/>
          <w:i/>
          <w:sz w:val="20"/>
          <w:szCs w:val="20"/>
        </w:rPr>
        <w:t xml:space="preserve"> : </w:t>
      </w:r>
      <w:r>
        <w:rPr>
          <w:rFonts w:ascii="Rockwell" w:hAnsi="Rockwell"/>
          <w:i/>
          <w:sz w:val="20"/>
          <w:szCs w:val="20"/>
        </w:rPr>
        <w:t xml:space="preserve">Synthèse des TA et TP obtenus par les acteurs sociopolitiques dans les RTB2 radio de Bobo-Dioulasso, de Gaoua de Dédougou et radio municipale de </w:t>
      </w:r>
      <w:proofErr w:type="spellStart"/>
      <w:r>
        <w:rPr>
          <w:rFonts w:ascii="Rockwell" w:hAnsi="Rockwell"/>
          <w:i/>
          <w:sz w:val="20"/>
          <w:szCs w:val="20"/>
        </w:rPr>
        <w:t>Sya</w:t>
      </w:r>
      <w:proofErr w:type="spellEnd"/>
    </w:p>
    <w:p w14:paraId="5500447C" w14:textId="77777777" w:rsidR="00284822" w:rsidRDefault="00F77BF8">
      <w:pPr>
        <w:pStyle w:val="Paragraphedeliste"/>
        <w:ind w:left="-284"/>
        <w:rPr>
          <w:rFonts w:ascii="Rockwell" w:hAnsi="Rockwell"/>
        </w:rPr>
      </w:pPr>
      <w:r>
        <w:rPr>
          <w:rFonts w:ascii="Rockwell" w:hAnsi="Rockwell"/>
          <w:noProof/>
        </w:rPr>
        <w:drawing>
          <wp:inline distT="0" distB="0" distL="0" distR="0" wp14:anchorId="31B48CC1" wp14:editId="76888A1F">
            <wp:extent cx="9820275" cy="3752850"/>
            <wp:effectExtent l="0" t="0" r="9525" b="0"/>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 4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a:xfrm>
                      <a:off x="0" y="0"/>
                      <a:ext cx="9820275" cy="3752850"/>
                    </a:xfrm>
                    <a:prstGeom prst="rect">
                      <a:avLst/>
                    </a:prstGeom>
                    <a:noFill/>
                    <a:ln>
                      <a:noFill/>
                    </a:ln>
                  </pic:spPr>
                </pic:pic>
              </a:graphicData>
            </a:graphic>
          </wp:inline>
        </w:drawing>
      </w:r>
    </w:p>
    <w:p w14:paraId="167178F7" w14:textId="77777777" w:rsidR="00284822" w:rsidRDefault="00284822">
      <w:pPr>
        <w:suppressAutoHyphens w:val="0"/>
        <w:autoSpaceDN/>
        <w:spacing w:before="120" w:after="120"/>
        <w:jc w:val="left"/>
        <w:rPr>
          <w:rFonts w:ascii="Rockwell" w:hAnsi="Rockwell"/>
          <w:szCs w:val="26"/>
        </w:rPr>
        <w:sectPr w:rsidR="00284822">
          <w:pgSz w:w="16838" w:h="11906" w:orient="landscape"/>
          <w:pgMar w:top="1418" w:right="1418" w:bottom="1418" w:left="1418" w:header="720" w:footer="720" w:gutter="0"/>
          <w:cols w:space="720"/>
        </w:sectPr>
      </w:pPr>
    </w:p>
    <w:p w14:paraId="4D28DB2F" w14:textId="77777777" w:rsidR="00284822" w:rsidRDefault="00F77BF8">
      <w:pPr>
        <w:spacing w:before="120" w:after="120"/>
        <w:jc w:val="center"/>
        <w:rPr>
          <w:rFonts w:ascii="Rockwell" w:hAnsi="Rockwell"/>
          <w:i/>
          <w:sz w:val="20"/>
          <w:szCs w:val="20"/>
          <w:u w:val="single"/>
        </w:rPr>
      </w:pPr>
      <w:r>
        <w:rPr>
          <w:rFonts w:ascii="Rockwell" w:hAnsi="Rockwell"/>
          <w:i/>
          <w:sz w:val="20"/>
          <w:szCs w:val="20"/>
          <w:u w:val="single"/>
        </w:rPr>
        <w:lastRenderedPageBreak/>
        <w:t>Représentation graphique des temps d’antenne et de parole des acteurs sociopolitiques dans les médias audiovisuels publics</w:t>
      </w:r>
    </w:p>
    <w:p w14:paraId="336D8A65" w14:textId="77777777" w:rsidR="00284822" w:rsidRDefault="00F77BF8">
      <w:pPr>
        <w:spacing w:before="120" w:after="120"/>
        <w:jc w:val="center"/>
        <w:rPr>
          <w:rFonts w:ascii="Rockwell" w:hAnsi="Rockwell"/>
          <w:szCs w:val="26"/>
        </w:rPr>
      </w:pPr>
      <w:r>
        <w:rPr>
          <w:rFonts w:ascii="Rockwell" w:hAnsi="Rockwell"/>
          <w:noProof/>
          <w:szCs w:val="26"/>
        </w:rPr>
        <w:drawing>
          <wp:inline distT="0" distB="0" distL="0" distR="0" wp14:anchorId="6F27C86F" wp14:editId="3F2EA823">
            <wp:extent cx="5199380" cy="4472940"/>
            <wp:effectExtent l="0" t="0" r="1270" b="3810"/>
            <wp:docPr id="40" name="Graphique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inline>
        </w:drawing>
      </w:r>
    </w:p>
    <w:p w14:paraId="0C6302E3" w14:textId="77777777" w:rsidR="00284822" w:rsidRDefault="00284822">
      <w:pPr>
        <w:spacing w:before="120" w:after="120"/>
        <w:rPr>
          <w:rFonts w:ascii="Rockwell" w:hAnsi="Rockwell"/>
          <w:i/>
          <w:szCs w:val="26"/>
          <w:u w:val="single"/>
        </w:rPr>
      </w:pPr>
    </w:p>
    <w:p w14:paraId="5C848355" w14:textId="77777777" w:rsidR="00284822" w:rsidRDefault="00284822">
      <w:pPr>
        <w:spacing w:before="120" w:after="120"/>
        <w:rPr>
          <w:rFonts w:ascii="Rockwell" w:hAnsi="Rockwell"/>
          <w:b/>
          <w:szCs w:val="26"/>
          <w:u w:val="single"/>
        </w:rPr>
        <w:sectPr w:rsidR="00284822">
          <w:pgSz w:w="11906" w:h="16838"/>
          <w:pgMar w:top="1418" w:right="1418" w:bottom="1418" w:left="1418" w:header="720" w:footer="720" w:gutter="0"/>
          <w:cols w:space="720"/>
        </w:sectPr>
      </w:pPr>
    </w:p>
    <w:p w14:paraId="392B4C00" w14:textId="77777777" w:rsidR="00284822" w:rsidRDefault="00F77BF8">
      <w:pPr>
        <w:spacing w:before="120" w:after="120"/>
        <w:jc w:val="center"/>
        <w:rPr>
          <w:rFonts w:ascii="Rockwell" w:hAnsi="Rockwell"/>
          <w:sz w:val="20"/>
          <w:szCs w:val="20"/>
        </w:rPr>
      </w:pPr>
      <w:r>
        <w:rPr>
          <w:rFonts w:ascii="Rockwell" w:hAnsi="Rockwell"/>
          <w:b/>
          <w:sz w:val="20"/>
          <w:szCs w:val="20"/>
          <w:u w:val="single"/>
        </w:rPr>
        <w:lastRenderedPageBreak/>
        <w:t>Tableau 23</w:t>
      </w:r>
      <w:r>
        <w:rPr>
          <w:rFonts w:ascii="Rockwell" w:hAnsi="Rockwell"/>
          <w:i/>
          <w:sz w:val="20"/>
          <w:szCs w:val="20"/>
        </w:rPr>
        <w:t xml:space="preserve"> : Classement des huit (08) premiers partis politiques selon les TP et TA dans les médias audiovisuels publics</w:t>
      </w:r>
    </w:p>
    <w:tbl>
      <w:tblPr>
        <w:tblW w:w="10367" w:type="dxa"/>
        <w:jc w:val="center"/>
        <w:tblCellMar>
          <w:left w:w="10" w:type="dxa"/>
          <w:right w:w="10" w:type="dxa"/>
        </w:tblCellMar>
        <w:tblLook w:val="04A0" w:firstRow="1" w:lastRow="0" w:firstColumn="1" w:lastColumn="0" w:noHBand="0" w:noVBand="1"/>
      </w:tblPr>
      <w:tblGrid>
        <w:gridCol w:w="983"/>
        <w:gridCol w:w="2935"/>
        <w:gridCol w:w="1536"/>
        <w:gridCol w:w="1688"/>
        <w:gridCol w:w="1991"/>
        <w:gridCol w:w="1234"/>
      </w:tblGrid>
      <w:tr w:rsidR="00284822" w:rsidRPr="00732978" w14:paraId="62AB41A7" w14:textId="77777777">
        <w:trPr>
          <w:trHeight w:val="598"/>
          <w:jc w:val="center"/>
        </w:trPr>
        <w:tc>
          <w:tcPr>
            <w:tcW w:w="983" w:type="dxa"/>
            <w:tcBorders>
              <w:top w:val="single" w:sz="8" w:space="0" w:color="000000"/>
              <w:left w:val="single" w:sz="8" w:space="0" w:color="000000"/>
              <w:bottom w:val="single" w:sz="8" w:space="0" w:color="000000"/>
              <w:right w:val="single" w:sz="8" w:space="0" w:color="000000"/>
            </w:tcBorders>
            <w:shd w:val="clear" w:color="auto" w:fill="BDD6EE"/>
            <w:tcMar>
              <w:top w:w="0" w:type="dxa"/>
              <w:left w:w="70" w:type="dxa"/>
              <w:bottom w:w="0" w:type="dxa"/>
              <w:right w:w="70" w:type="dxa"/>
            </w:tcMar>
          </w:tcPr>
          <w:p w14:paraId="4D0F796F" w14:textId="77777777" w:rsidR="00284822" w:rsidRPr="00732978" w:rsidRDefault="00F77BF8">
            <w:pPr>
              <w:suppressAutoHyphens w:val="0"/>
              <w:spacing w:before="120" w:after="120"/>
              <w:jc w:val="center"/>
              <w:rPr>
                <w:rFonts w:ascii="Rockwell" w:hAnsi="Rockwell"/>
                <w:szCs w:val="26"/>
                <w:lang w:eastAsia="en-US"/>
              </w:rPr>
            </w:pPr>
            <w:r w:rsidRPr="00732978">
              <w:rPr>
                <w:rFonts w:ascii="Rockwell" w:hAnsi="Rockwell"/>
                <w:b/>
                <w:bCs/>
                <w:szCs w:val="26"/>
                <w:lang w:eastAsia="en-US"/>
              </w:rPr>
              <w:t>Rang</w:t>
            </w:r>
          </w:p>
        </w:tc>
        <w:tc>
          <w:tcPr>
            <w:tcW w:w="2935" w:type="dxa"/>
            <w:tcBorders>
              <w:top w:val="single" w:sz="8" w:space="0" w:color="000000"/>
              <w:left w:val="nil"/>
              <w:bottom w:val="single" w:sz="8" w:space="0" w:color="000000"/>
              <w:right w:val="single" w:sz="8" w:space="0" w:color="000000"/>
            </w:tcBorders>
            <w:shd w:val="clear" w:color="auto" w:fill="BDD6EE"/>
            <w:tcMar>
              <w:top w:w="0" w:type="dxa"/>
              <w:left w:w="70" w:type="dxa"/>
              <w:bottom w:w="0" w:type="dxa"/>
              <w:right w:w="70" w:type="dxa"/>
            </w:tcMar>
          </w:tcPr>
          <w:p w14:paraId="65B28491" w14:textId="77777777" w:rsidR="00284822" w:rsidRPr="00732978" w:rsidRDefault="00F77BF8">
            <w:pPr>
              <w:suppressAutoHyphens w:val="0"/>
              <w:spacing w:before="120" w:after="120"/>
              <w:jc w:val="center"/>
              <w:rPr>
                <w:rFonts w:ascii="Rockwell" w:hAnsi="Rockwell"/>
                <w:szCs w:val="26"/>
                <w:lang w:eastAsia="en-US"/>
              </w:rPr>
            </w:pPr>
            <w:r w:rsidRPr="00732978">
              <w:rPr>
                <w:rFonts w:ascii="Rockwell" w:hAnsi="Rockwell"/>
                <w:b/>
                <w:bCs/>
                <w:szCs w:val="26"/>
                <w:lang w:eastAsia="en-US"/>
              </w:rPr>
              <w:t>Partis politiques</w:t>
            </w:r>
          </w:p>
        </w:tc>
        <w:tc>
          <w:tcPr>
            <w:tcW w:w="1536" w:type="dxa"/>
            <w:tcBorders>
              <w:top w:val="single" w:sz="8" w:space="0" w:color="000000"/>
              <w:left w:val="nil"/>
              <w:bottom w:val="single" w:sz="8" w:space="0" w:color="000000"/>
              <w:right w:val="single" w:sz="8" w:space="0" w:color="000000"/>
            </w:tcBorders>
            <w:shd w:val="clear" w:color="auto" w:fill="BDD6EE"/>
            <w:tcMar>
              <w:top w:w="0" w:type="dxa"/>
              <w:left w:w="70" w:type="dxa"/>
              <w:bottom w:w="0" w:type="dxa"/>
              <w:right w:w="70" w:type="dxa"/>
            </w:tcMar>
          </w:tcPr>
          <w:p w14:paraId="0C94A870" w14:textId="77777777" w:rsidR="00284822" w:rsidRPr="00732978" w:rsidRDefault="00F77BF8">
            <w:pPr>
              <w:suppressAutoHyphens w:val="0"/>
              <w:spacing w:before="120" w:after="120"/>
              <w:jc w:val="center"/>
              <w:rPr>
                <w:rFonts w:ascii="Rockwell" w:hAnsi="Rockwell"/>
                <w:szCs w:val="26"/>
                <w:lang w:eastAsia="en-US"/>
              </w:rPr>
            </w:pPr>
            <w:r w:rsidRPr="00732978">
              <w:rPr>
                <w:rFonts w:ascii="Rockwell" w:hAnsi="Rockwell"/>
                <w:b/>
                <w:bCs/>
                <w:szCs w:val="26"/>
                <w:lang w:eastAsia="en-US"/>
              </w:rPr>
              <w:t>TA</w:t>
            </w:r>
          </w:p>
        </w:tc>
        <w:tc>
          <w:tcPr>
            <w:tcW w:w="1688" w:type="dxa"/>
            <w:tcBorders>
              <w:top w:val="single" w:sz="8" w:space="0" w:color="000000"/>
              <w:left w:val="nil"/>
              <w:bottom w:val="single" w:sz="8" w:space="0" w:color="000000"/>
              <w:right w:val="single" w:sz="8" w:space="0" w:color="000000"/>
            </w:tcBorders>
            <w:shd w:val="clear" w:color="auto" w:fill="BDD6EE"/>
            <w:tcMar>
              <w:top w:w="0" w:type="dxa"/>
              <w:left w:w="70" w:type="dxa"/>
              <w:bottom w:w="0" w:type="dxa"/>
              <w:right w:w="70" w:type="dxa"/>
            </w:tcMar>
          </w:tcPr>
          <w:p w14:paraId="3E0E8A88" w14:textId="77777777" w:rsidR="00284822" w:rsidRPr="00732978" w:rsidRDefault="00F77BF8">
            <w:pPr>
              <w:suppressAutoHyphens w:val="0"/>
              <w:spacing w:before="120" w:after="120"/>
              <w:jc w:val="center"/>
              <w:rPr>
                <w:rFonts w:ascii="Rockwell" w:hAnsi="Rockwell"/>
                <w:szCs w:val="26"/>
                <w:lang w:eastAsia="en-US"/>
              </w:rPr>
            </w:pPr>
            <w:r w:rsidRPr="00732978">
              <w:rPr>
                <w:rFonts w:ascii="Rockwell" w:hAnsi="Rockwell"/>
                <w:b/>
                <w:bCs/>
                <w:szCs w:val="26"/>
                <w:lang w:eastAsia="en-US"/>
              </w:rPr>
              <w:t>%TA</w:t>
            </w:r>
          </w:p>
        </w:tc>
        <w:tc>
          <w:tcPr>
            <w:tcW w:w="1991" w:type="dxa"/>
            <w:tcBorders>
              <w:top w:val="single" w:sz="8" w:space="0" w:color="000000"/>
              <w:left w:val="nil"/>
              <w:bottom w:val="single" w:sz="8" w:space="0" w:color="000000"/>
              <w:right w:val="single" w:sz="8" w:space="0" w:color="000000"/>
            </w:tcBorders>
            <w:shd w:val="clear" w:color="auto" w:fill="BDD6EE"/>
            <w:tcMar>
              <w:top w:w="0" w:type="dxa"/>
              <w:left w:w="70" w:type="dxa"/>
              <w:bottom w:w="0" w:type="dxa"/>
              <w:right w:w="70" w:type="dxa"/>
            </w:tcMar>
          </w:tcPr>
          <w:p w14:paraId="4EE565F0" w14:textId="77777777" w:rsidR="00284822" w:rsidRPr="00732978" w:rsidRDefault="00F77BF8">
            <w:pPr>
              <w:suppressAutoHyphens w:val="0"/>
              <w:spacing w:before="120" w:after="120"/>
              <w:jc w:val="center"/>
              <w:rPr>
                <w:rFonts w:ascii="Rockwell" w:hAnsi="Rockwell"/>
                <w:szCs w:val="26"/>
                <w:lang w:eastAsia="en-US"/>
              </w:rPr>
            </w:pPr>
            <w:r w:rsidRPr="00732978">
              <w:rPr>
                <w:rFonts w:ascii="Rockwell" w:hAnsi="Rockwell"/>
                <w:b/>
                <w:bCs/>
                <w:szCs w:val="26"/>
                <w:lang w:eastAsia="en-US"/>
              </w:rPr>
              <w:t>TP</w:t>
            </w:r>
          </w:p>
        </w:tc>
        <w:tc>
          <w:tcPr>
            <w:tcW w:w="1234" w:type="dxa"/>
            <w:tcBorders>
              <w:top w:val="single" w:sz="8" w:space="0" w:color="000000"/>
              <w:left w:val="nil"/>
              <w:bottom w:val="single" w:sz="8" w:space="0" w:color="000000"/>
              <w:right w:val="single" w:sz="8" w:space="0" w:color="000000"/>
            </w:tcBorders>
            <w:shd w:val="clear" w:color="auto" w:fill="BDD6EE"/>
            <w:tcMar>
              <w:top w:w="0" w:type="dxa"/>
              <w:left w:w="70" w:type="dxa"/>
              <w:bottom w:w="0" w:type="dxa"/>
              <w:right w:w="70" w:type="dxa"/>
            </w:tcMar>
          </w:tcPr>
          <w:p w14:paraId="51847C8E" w14:textId="77777777" w:rsidR="00284822" w:rsidRPr="00732978" w:rsidRDefault="00F77BF8">
            <w:pPr>
              <w:suppressAutoHyphens w:val="0"/>
              <w:spacing w:before="120" w:after="120"/>
              <w:jc w:val="center"/>
              <w:rPr>
                <w:rFonts w:ascii="Rockwell" w:hAnsi="Rockwell"/>
                <w:szCs w:val="26"/>
                <w:lang w:eastAsia="en-US"/>
              </w:rPr>
            </w:pPr>
            <w:r w:rsidRPr="00732978">
              <w:rPr>
                <w:rFonts w:ascii="Rockwell" w:hAnsi="Rockwell"/>
                <w:b/>
                <w:bCs/>
                <w:szCs w:val="26"/>
                <w:lang w:eastAsia="en-US"/>
              </w:rPr>
              <w:t>%TP</w:t>
            </w:r>
          </w:p>
        </w:tc>
      </w:tr>
      <w:tr w:rsidR="00284822" w:rsidRPr="00732978" w14:paraId="4BB076CE" w14:textId="77777777">
        <w:trPr>
          <w:trHeight w:val="420"/>
          <w:jc w:val="center"/>
        </w:trPr>
        <w:tc>
          <w:tcPr>
            <w:tcW w:w="983"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tcPr>
          <w:p w14:paraId="5F029D5A" w14:textId="77777777" w:rsidR="00284822" w:rsidRPr="00732978" w:rsidRDefault="00F77BF8">
            <w:pPr>
              <w:suppressAutoHyphens w:val="0"/>
              <w:spacing w:before="120" w:after="120"/>
              <w:jc w:val="center"/>
              <w:rPr>
                <w:rFonts w:ascii="Rockwell" w:hAnsi="Rockwell"/>
                <w:b/>
                <w:bCs/>
                <w:szCs w:val="26"/>
                <w:lang w:eastAsia="en-US"/>
              </w:rPr>
            </w:pPr>
            <w:r w:rsidRPr="00732978">
              <w:rPr>
                <w:rFonts w:ascii="Rockwell" w:hAnsi="Rockwell"/>
                <w:b/>
                <w:bCs/>
                <w:szCs w:val="26"/>
                <w:lang w:eastAsia="en-US"/>
              </w:rPr>
              <w:t>1</w:t>
            </w:r>
          </w:p>
        </w:tc>
        <w:tc>
          <w:tcPr>
            <w:tcW w:w="2935"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25B5EF0" w14:textId="77777777" w:rsidR="00284822" w:rsidRPr="00732978" w:rsidRDefault="00F77BF8">
            <w:pPr>
              <w:suppressAutoHyphens w:val="0"/>
              <w:spacing w:before="120" w:after="120"/>
              <w:jc w:val="center"/>
              <w:rPr>
                <w:rFonts w:ascii="Rockwell" w:hAnsi="Rockwell"/>
                <w:b/>
                <w:bCs/>
                <w:szCs w:val="26"/>
                <w:lang w:eastAsia="en-US"/>
              </w:rPr>
            </w:pPr>
            <w:r w:rsidRPr="00732978">
              <w:rPr>
                <w:rFonts w:ascii="Rockwell" w:hAnsi="Rockwell"/>
                <w:b/>
                <w:bCs/>
                <w:szCs w:val="26"/>
                <w:lang w:eastAsia="en-US"/>
              </w:rPr>
              <w:t>MPP</w:t>
            </w:r>
          </w:p>
        </w:tc>
        <w:tc>
          <w:tcPr>
            <w:tcW w:w="1536"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655DD7B" w14:textId="77777777" w:rsidR="00284822" w:rsidRPr="00732978" w:rsidRDefault="00F77BF8">
            <w:pPr>
              <w:suppressAutoHyphens w:val="0"/>
              <w:spacing w:before="120" w:after="120"/>
              <w:jc w:val="center"/>
              <w:rPr>
                <w:rFonts w:ascii="Rockwell" w:hAnsi="Rockwell"/>
                <w:szCs w:val="26"/>
                <w:lang w:eastAsia="en-US"/>
              </w:rPr>
            </w:pPr>
            <w:proofErr w:type="gramStart"/>
            <w:r w:rsidRPr="00732978">
              <w:rPr>
                <w:rFonts w:ascii="Rockwell" w:hAnsi="Rockwell"/>
                <w:szCs w:val="26"/>
                <w:lang w:eastAsia="en-US"/>
              </w:rPr>
              <w:t>00:</w:t>
            </w:r>
            <w:proofErr w:type="gramEnd"/>
            <w:r w:rsidRPr="00732978">
              <w:rPr>
                <w:rFonts w:ascii="Rockwell" w:hAnsi="Rockwell"/>
                <w:szCs w:val="26"/>
                <w:lang w:eastAsia="en-US"/>
              </w:rPr>
              <w:t>28:26</w:t>
            </w:r>
          </w:p>
        </w:tc>
        <w:tc>
          <w:tcPr>
            <w:tcW w:w="1688" w:type="dxa"/>
            <w:tcBorders>
              <w:top w:val="nil"/>
              <w:left w:val="nil"/>
              <w:bottom w:val="single" w:sz="8" w:space="0" w:color="000000"/>
              <w:right w:val="single" w:sz="8" w:space="0" w:color="000000"/>
            </w:tcBorders>
            <w:tcMar>
              <w:top w:w="0" w:type="dxa"/>
              <w:left w:w="70" w:type="dxa"/>
              <w:bottom w:w="0" w:type="dxa"/>
              <w:right w:w="70" w:type="dxa"/>
            </w:tcMar>
            <w:vAlign w:val="center"/>
          </w:tcPr>
          <w:p w14:paraId="271E6552" w14:textId="77777777" w:rsidR="00284822" w:rsidRPr="00732978" w:rsidRDefault="00F77BF8">
            <w:pPr>
              <w:suppressAutoHyphens w:val="0"/>
              <w:spacing w:before="120" w:after="120"/>
              <w:jc w:val="center"/>
              <w:rPr>
                <w:rFonts w:ascii="Rockwell" w:hAnsi="Rockwell"/>
                <w:szCs w:val="26"/>
                <w:lang w:eastAsia="en-US"/>
              </w:rPr>
            </w:pPr>
            <w:r w:rsidRPr="00732978">
              <w:rPr>
                <w:rFonts w:ascii="Rockwell" w:hAnsi="Rockwell"/>
                <w:szCs w:val="26"/>
                <w:lang w:eastAsia="en-US"/>
              </w:rPr>
              <w:t>61,81%</w:t>
            </w:r>
          </w:p>
        </w:tc>
        <w:tc>
          <w:tcPr>
            <w:tcW w:w="1991" w:type="dxa"/>
            <w:tcBorders>
              <w:top w:val="nil"/>
              <w:left w:val="nil"/>
              <w:bottom w:val="single" w:sz="8" w:space="0" w:color="000000"/>
              <w:right w:val="single" w:sz="8" w:space="0" w:color="000000"/>
            </w:tcBorders>
            <w:tcMar>
              <w:top w:w="0" w:type="dxa"/>
              <w:left w:w="70" w:type="dxa"/>
              <w:bottom w:w="0" w:type="dxa"/>
              <w:right w:w="70" w:type="dxa"/>
            </w:tcMar>
            <w:vAlign w:val="center"/>
          </w:tcPr>
          <w:p w14:paraId="5421B6A6" w14:textId="77777777" w:rsidR="00284822" w:rsidRPr="00732978" w:rsidRDefault="00F77BF8">
            <w:pPr>
              <w:suppressAutoHyphens w:val="0"/>
              <w:spacing w:before="120" w:after="120"/>
              <w:jc w:val="center"/>
              <w:rPr>
                <w:rFonts w:ascii="Rockwell" w:hAnsi="Rockwell"/>
                <w:szCs w:val="26"/>
                <w:lang w:eastAsia="en-US"/>
              </w:rPr>
            </w:pPr>
            <w:proofErr w:type="gramStart"/>
            <w:r w:rsidRPr="00732978">
              <w:rPr>
                <w:rFonts w:ascii="Rockwell" w:hAnsi="Rockwell"/>
                <w:szCs w:val="26"/>
                <w:lang w:eastAsia="en-US"/>
              </w:rPr>
              <w:t>00:</w:t>
            </w:r>
            <w:proofErr w:type="gramEnd"/>
            <w:r w:rsidRPr="00732978">
              <w:rPr>
                <w:rFonts w:ascii="Rockwell" w:hAnsi="Rockwell"/>
                <w:szCs w:val="26"/>
                <w:lang w:eastAsia="en-US"/>
              </w:rPr>
              <w:t>10:49</w:t>
            </w:r>
          </w:p>
        </w:tc>
        <w:tc>
          <w:tcPr>
            <w:tcW w:w="1234" w:type="dxa"/>
            <w:tcBorders>
              <w:top w:val="nil"/>
              <w:left w:val="nil"/>
              <w:bottom w:val="single" w:sz="8" w:space="0" w:color="000000"/>
              <w:right w:val="single" w:sz="8" w:space="0" w:color="000000"/>
            </w:tcBorders>
            <w:tcMar>
              <w:top w:w="0" w:type="dxa"/>
              <w:left w:w="70" w:type="dxa"/>
              <w:bottom w:w="0" w:type="dxa"/>
              <w:right w:w="70" w:type="dxa"/>
            </w:tcMar>
            <w:vAlign w:val="center"/>
          </w:tcPr>
          <w:p w14:paraId="2C68CDEB" w14:textId="77777777" w:rsidR="00284822" w:rsidRPr="00732978" w:rsidRDefault="00F77BF8">
            <w:pPr>
              <w:suppressAutoHyphens w:val="0"/>
              <w:spacing w:before="120" w:after="120"/>
              <w:jc w:val="center"/>
              <w:rPr>
                <w:rFonts w:ascii="Rockwell" w:hAnsi="Rockwell"/>
                <w:szCs w:val="26"/>
                <w:lang w:eastAsia="en-US"/>
              </w:rPr>
            </w:pPr>
            <w:r w:rsidRPr="00732978">
              <w:rPr>
                <w:rFonts w:ascii="Rockwell" w:hAnsi="Rockwell"/>
                <w:szCs w:val="26"/>
                <w:lang w:eastAsia="en-US"/>
              </w:rPr>
              <w:t>74,34%</w:t>
            </w:r>
          </w:p>
        </w:tc>
      </w:tr>
      <w:tr w:rsidR="00284822" w:rsidRPr="00732978" w14:paraId="5A363AE6" w14:textId="77777777">
        <w:trPr>
          <w:trHeight w:val="574"/>
          <w:jc w:val="center"/>
        </w:trPr>
        <w:tc>
          <w:tcPr>
            <w:tcW w:w="983"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tcPr>
          <w:p w14:paraId="4BCA8CC9" w14:textId="77777777" w:rsidR="00284822" w:rsidRPr="00732978" w:rsidRDefault="00F77BF8">
            <w:pPr>
              <w:suppressAutoHyphens w:val="0"/>
              <w:spacing w:before="120" w:after="120"/>
              <w:jc w:val="center"/>
              <w:rPr>
                <w:rFonts w:ascii="Rockwell" w:hAnsi="Rockwell"/>
                <w:b/>
                <w:bCs/>
                <w:szCs w:val="26"/>
                <w:lang w:eastAsia="en-US"/>
              </w:rPr>
            </w:pPr>
            <w:r w:rsidRPr="00732978">
              <w:rPr>
                <w:rFonts w:ascii="Rockwell" w:hAnsi="Rockwell"/>
                <w:b/>
                <w:bCs/>
                <w:szCs w:val="26"/>
                <w:lang w:eastAsia="en-US"/>
              </w:rPr>
              <w:t>2</w:t>
            </w:r>
          </w:p>
        </w:tc>
        <w:tc>
          <w:tcPr>
            <w:tcW w:w="2935" w:type="dxa"/>
            <w:tcBorders>
              <w:top w:val="nil"/>
              <w:left w:val="nil"/>
              <w:bottom w:val="single" w:sz="8" w:space="0" w:color="000000"/>
              <w:right w:val="single" w:sz="8" w:space="0" w:color="000000"/>
            </w:tcBorders>
            <w:tcMar>
              <w:top w:w="0" w:type="dxa"/>
              <w:left w:w="70" w:type="dxa"/>
              <w:bottom w:w="0" w:type="dxa"/>
              <w:right w:w="70" w:type="dxa"/>
            </w:tcMar>
            <w:vAlign w:val="center"/>
          </w:tcPr>
          <w:p w14:paraId="3487CD97" w14:textId="77777777" w:rsidR="00284822" w:rsidRPr="00732978" w:rsidRDefault="00F77BF8">
            <w:pPr>
              <w:suppressAutoHyphens w:val="0"/>
              <w:spacing w:before="120" w:after="120"/>
              <w:jc w:val="center"/>
              <w:rPr>
                <w:rFonts w:ascii="Rockwell" w:hAnsi="Rockwell"/>
                <w:b/>
                <w:bCs/>
                <w:szCs w:val="26"/>
                <w:lang w:eastAsia="en-US"/>
              </w:rPr>
            </w:pPr>
            <w:r w:rsidRPr="00732978">
              <w:rPr>
                <w:rFonts w:ascii="Rockwell" w:hAnsi="Rockwell"/>
                <w:b/>
                <w:bCs/>
                <w:szCs w:val="26"/>
                <w:lang w:eastAsia="en-US"/>
              </w:rPr>
              <w:t>CDP</w:t>
            </w:r>
          </w:p>
        </w:tc>
        <w:tc>
          <w:tcPr>
            <w:tcW w:w="1536" w:type="dxa"/>
            <w:tcBorders>
              <w:top w:val="nil"/>
              <w:left w:val="nil"/>
              <w:bottom w:val="single" w:sz="8" w:space="0" w:color="000000"/>
              <w:right w:val="single" w:sz="8" w:space="0" w:color="000000"/>
            </w:tcBorders>
            <w:tcMar>
              <w:top w:w="0" w:type="dxa"/>
              <w:left w:w="70" w:type="dxa"/>
              <w:bottom w:w="0" w:type="dxa"/>
              <w:right w:w="70" w:type="dxa"/>
            </w:tcMar>
            <w:vAlign w:val="center"/>
          </w:tcPr>
          <w:p w14:paraId="58E6FA23" w14:textId="77777777" w:rsidR="00284822" w:rsidRPr="00732978" w:rsidRDefault="00F77BF8">
            <w:pPr>
              <w:suppressAutoHyphens w:val="0"/>
              <w:spacing w:before="120" w:after="120"/>
              <w:jc w:val="center"/>
              <w:rPr>
                <w:rFonts w:ascii="Rockwell" w:hAnsi="Rockwell"/>
                <w:szCs w:val="26"/>
                <w:lang w:eastAsia="en-US"/>
              </w:rPr>
            </w:pPr>
            <w:proofErr w:type="gramStart"/>
            <w:r w:rsidRPr="00732978">
              <w:rPr>
                <w:rFonts w:ascii="Rockwell" w:hAnsi="Rockwell"/>
                <w:szCs w:val="26"/>
                <w:lang w:eastAsia="en-US"/>
              </w:rPr>
              <w:t>00:</w:t>
            </w:r>
            <w:proofErr w:type="gramEnd"/>
            <w:r w:rsidRPr="00732978">
              <w:rPr>
                <w:rFonts w:ascii="Rockwell" w:hAnsi="Rockwell"/>
                <w:szCs w:val="26"/>
                <w:lang w:eastAsia="en-US"/>
              </w:rPr>
              <w:t>08:56</w:t>
            </w:r>
          </w:p>
        </w:tc>
        <w:tc>
          <w:tcPr>
            <w:tcW w:w="1688" w:type="dxa"/>
            <w:tcBorders>
              <w:top w:val="nil"/>
              <w:left w:val="nil"/>
              <w:bottom w:val="single" w:sz="8" w:space="0" w:color="000000"/>
              <w:right w:val="single" w:sz="8" w:space="0" w:color="000000"/>
            </w:tcBorders>
            <w:tcMar>
              <w:top w:w="0" w:type="dxa"/>
              <w:left w:w="70" w:type="dxa"/>
              <w:bottom w:w="0" w:type="dxa"/>
              <w:right w:w="70" w:type="dxa"/>
            </w:tcMar>
            <w:vAlign w:val="center"/>
          </w:tcPr>
          <w:p w14:paraId="3016FA37" w14:textId="77777777" w:rsidR="00284822" w:rsidRPr="00732978" w:rsidRDefault="00F77BF8">
            <w:pPr>
              <w:suppressAutoHyphens w:val="0"/>
              <w:spacing w:before="120" w:after="120"/>
              <w:jc w:val="center"/>
              <w:rPr>
                <w:rFonts w:ascii="Rockwell" w:hAnsi="Rockwell"/>
                <w:szCs w:val="26"/>
                <w:lang w:eastAsia="en-US"/>
              </w:rPr>
            </w:pPr>
            <w:r w:rsidRPr="00732978">
              <w:rPr>
                <w:rFonts w:ascii="Rockwell" w:hAnsi="Rockwell"/>
                <w:szCs w:val="26"/>
                <w:lang w:eastAsia="en-US"/>
              </w:rPr>
              <w:t>19,42%</w:t>
            </w:r>
          </w:p>
        </w:tc>
        <w:tc>
          <w:tcPr>
            <w:tcW w:w="1991" w:type="dxa"/>
            <w:tcBorders>
              <w:top w:val="nil"/>
              <w:left w:val="nil"/>
              <w:bottom w:val="single" w:sz="8" w:space="0" w:color="000000"/>
              <w:right w:val="single" w:sz="8" w:space="0" w:color="000000"/>
            </w:tcBorders>
            <w:tcMar>
              <w:top w:w="0" w:type="dxa"/>
              <w:left w:w="70" w:type="dxa"/>
              <w:bottom w:w="0" w:type="dxa"/>
              <w:right w:w="70" w:type="dxa"/>
            </w:tcMar>
            <w:vAlign w:val="center"/>
          </w:tcPr>
          <w:p w14:paraId="7C89E03A" w14:textId="77777777" w:rsidR="00284822" w:rsidRPr="00732978" w:rsidRDefault="00F77BF8">
            <w:pPr>
              <w:suppressAutoHyphens w:val="0"/>
              <w:spacing w:before="120" w:after="120"/>
              <w:jc w:val="center"/>
              <w:rPr>
                <w:rFonts w:ascii="Rockwell" w:hAnsi="Rockwell"/>
                <w:szCs w:val="26"/>
                <w:lang w:eastAsia="en-US"/>
              </w:rPr>
            </w:pPr>
            <w:proofErr w:type="gramStart"/>
            <w:r w:rsidRPr="00732978">
              <w:rPr>
                <w:rFonts w:ascii="Rockwell" w:hAnsi="Rockwell"/>
                <w:szCs w:val="26"/>
                <w:lang w:eastAsia="en-US"/>
              </w:rPr>
              <w:t>00:</w:t>
            </w:r>
            <w:proofErr w:type="gramEnd"/>
            <w:r w:rsidRPr="00732978">
              <w:rPr>
                <w:rFonts w:ascii="Rockwell" w:hAnsi="Rockwell"/>
                <w:szCs w:val="26"/>
                <w:lang w:eastAsia="en-US"/>
              </w:rPr>
              <w:t>01:06</w:t>
            </w:r>
          </w:p>
        </w:tc>
        <w:tc>
          <w:tcPr>
            <w:tcW w:w="1234" w:type="dxa"/>
            <w:tcBorders>
              <w:top w:val="nil"/>
              <w:left w:val="nil"/>
              <w:bottom w:val="single" w:sz="8" w:space="0" w:color="000000"/>
              <w:right w:val="single" w:sz="8" w:space="0" w:color="000000"/>
            </w:tcBorders>
            <w:tcMar>
              <w:top w:w="0" w:type="dxa"/>
              <w:left w:w="70" w:type="dxa"/>
              <w:bottom w:w="0" w:type="dxa"/>
              <w:right w:w="70" w:type="dxa"/>
            </w:tcMar>
            <w:vAlign w:val="center"/>
          </w:tcPr>
          <w:p w14:paraId="506BFF84" w14:textId="77777777" w:rsidR="00284822" w:rsidRPr="00732978" w:rsidRDefault="00F77BF8">
            <w:pPr>
              <w:suppressAutoHyphens w:val="0"/>
              <w:spacing w:before="120" w:after="120"/>
              <w:jc w:val="center"/>
              <w:rPr>
                <w:rFonts w:ascii="Rockwell" w:hAnsi="Rockwell"/>
                <w:szCs w:val="26"/>
                <w:lang w:eastAsia="en-US"/>
              </w:rPr>
            </w:pPr>
            <w:r w:rsidRPr="00732978">
              <w:rPr>
                <w:rFonts w:ascii="Rockwell" w:hAnsi="Rockwell"/>
                <w:szCs w:val="26"/>
                <w:lang w:eastAsia="en-US"/>
              </w:rPr>
              <w:t>7,56%</w:t>
            </w:r>
          </w:p>
        </w:tc>
      </w:tr>
      <w:tr w:rsidR="00284822" w:rsidRPr="00732978" w14:paraId="3E1C9CE0" w14:textId="77777777">
        <w:trPr>
          <w:trHeight w:val="420"/>
          <w:jc w:val="center"/>
        </w:trPr>
        <w:tc>
          <w:tcPr>
            <w:tcW w:w="983"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tcPr>
          <w:p w14:paraId="6D7E827D" w14:textId="77777777" w:rsidR="00284822" w:rsidRPr="00732978" w:rsidRDefault="00F77BF8">
            <w:pPr>
              <w:suppressAutoHyphens w:val="0"/>
              <w:spacing w:before="120" w:after="120"/>
              <w:jc w:val="center"/>
              <w:rPr>
                <w:rFonts w:ascii="Rockwell" w:hAnsi="Rockwell"/>
                <w:b/>
                <w:bCs/>
                <w:szCs w:val="26"/>
                <w:lang w:eastAsia="en-US"/>
              </w:rPr>
            </w:pPr>
            <w:r w:rsidRPr="00732978">
              <w:rPr>
                <w:rFonts w:ascii="Rockwell" w:hAnsi="Rockwell"/>
                <w:b/>
                <w:bCs/>
                <w:szCs w:val="26"/>
                <w:lang w:eastAsia="en-US"/>
              </w:rPr>
              <w:t>3</w:t>
            </w:r>
          </w:p>
        </w:tc>
        <w:tc>
          <w:tcPr>
            <w:tcW w:w="2935" w:type="dxa"/>
            <w:tcBorders>
              <w:top w:val="nil"/>
              <w:left w:val="nil"/>
              <w:bottom w:val="single" w:sz="8" w:space="0" w:color="000000"/>
              <w:right w:val="single" w:sz="8" w:space="0" w:color="000000"/>
            </w:tcBorders>
            <w:tcMar>
              <w:top w:w="0" w:type="dxa"/>
              <w:left w:w="70" w:type="dxa"/>
              <w:bottom w:w="0" w:type="dxa"/>
              <w:right w:w="70" w:type="dxa"/>
            </w:tcMar>
            <w:vAlign w:val="center"/>
          </w:tcPr>
          <w:p w14:paraId="2960D5B2" w14:textId="77777777" w:rsidR="00284822" w:rsidRPr="00732978" w:rsidRDefault="00F77BF8">
            <w:pPr>
              <w:suppressAutoHyphens w:val="0"/>
              <w:spacing w:before="120" w:after="120"/>
              <w:jc w:val="center"/>
              <w:rPr>
                <w:rFonts w:ascii="Rockwell" w:hAnsi="Rockwell"/>
                <w:b/>
                <w:bCs/>
                <w:szCs w:val="26"/>
                <w:lang w:eastAsia="en-US"/>
              </w:rPr>
            </w:pPr>
            <w:r w:rsidRPr="00732978">
              <w:rPr>
                <w:rFonts w:ascii="Rockwell" w:hAnsi="Rockwell"/>
                <w:b/>
                <w:bCs/>
                <w:szCs w:val="26"/>
                <w:lang w:eastAsia="en-US"/>
              </w:rPr>
              <w:t>PPS</w:t>
            </w:r>
          </w:p>
        </w:tc>
        <w:tc>
          <w:tcPr>
            <w:tcW w:w="1536"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2F2D0E1" w14:textId="77777777" w:rsidR="00284822" w:rsidRPr="00732978" w:rsidRDefault="00F77BF8">
            <w:pPr>
              <w:suppressAutoHyphens w:val="0"/>
              <w:spacing w:before="120" w:after="120"/>
              <w:jc w:val="center"/>
              <w:rPr>
                <w:rFonts w:ascii="Rockwell" w:hAnsi="Rockwell"/>
                <w:szCs w:val="26"/>
                <w:lang w:eastAsia="en-US"/>
              </w:rPr>
            </w:pPr>
            <w:proofErr w:type="gramStart"/>
            <w:r w:rsidRPr="00732978">
              <w:rPr>
                <w:rFonts w:ascii="Rockwell" w:hAnsi="Rockwell"/>
                <w:szCs w:val="26"/>
                <w:lang w:eastAsia="en-US"/>
              </w:rPr>
              <w:t>00:</w:t>
            </w:r>
            <w:proofErr w:type="gramEnd"/>
            <w:r w:rsidRPr="00732978">
              <w:rPr>
                <w:rFonts w:ascii="Rockwell" w:hAnsi="Rockwell"/>
                <w:szCs w:val="26"/>
                <w:lang w:eastAsia="en-US"/>
              </w:rPr>
              <w:t>03:30</w:t>
            </w:r>
          </w:p>
        </w:tc>
        <w:tc>
          <w:tcPr>
            <w:tcW w:w="1688" w:type="dxa"/>
            <w:tcBorders>
              <w:top w:val="nil"/>
              <w:left w:val="nil"/>
              <w:bottom w:val="single" w:sz="8" w:space="0" w:color="000000"/>
              <w:right w:val="single" w:sz="8" w:space="0" w:color="000000"/>
            </w:tcBorders>
            <w:tcMar>
              <w:top w:w="0" w:type="dxa"/>
              <w:left w:w="70" w:type="dxa"/>
              <w:bottom w:w="0" w:type="dxa"/>
              <w:right w:w="70" w:type="dxa"/>
            </w:tcMar>
            <w:vAlign w:val="center"/>
          </w:tcPr>
          <w:p w14:paraId="3843F898" w14:textId="77777777" w:rsidR="00284822" w:rsidRPr="00732978" w:rsidRDefault="00F77BF8">
            <w:pPr>
              <w:suppressAutoHyphens w:val="0"/>
              <w:spacing w:before="120" w:after="120"/>
              <w:jc w:val="center"/>
              <w:rPr>
                <w:rFonts w:ascii="Rockwell" w:hAnsi="Rockwell"/>
                <w:szCs w:val="26"/>
                <w:lang w:eastAsia="en-US"/>
              </w:rPr>
            </w:pPr>
            <w:r w:rsidRPr="00732978">
              <w:rPr>
                <w:rFonts w:ascii="Rockwell" w:hAnsi="Rockwell"/>
                <w:szCs w:val="26"/>
                <w:lang w:eastAsia="en-US"/>
              </w:rPr>
              <w:t>7,61%</w:t>
            </w:r>
          </w:p>
        </w:tc>
        <w:tc>
          <w:tcPr>
            <w:tcW w:w="1991" w:type="dxa"/>
            <w:tcBorders>
              <w:top w:val="nil"/>
              <w:left w:val="nil"/>
              <w:bottom w:val="single" w:sz="8" w:space="0" w:color="000000"/>
              <w:right w:val="single" w:sz="8" w:space="0" w:color="000000"/>
            </w:tcBorders>
            <w:tcMar>
              <w:top w:w="0" w:type="dxa"/>
              <w:left w:w="70" w:type="dxa"/>
              <w:bottom w:w="0" w:type="dxa"/>
              <w:right w:w="70" w:type="dxa"/>
            </w:tcMar>
            <w:vAlign w:val="center"/>
          </w:tcPr>
          <w:p w14:paraId="22A4A32F" w14:textId="77777777" w:rsidR="00284822" w:rsidRPr="00732978" w:rsidRDefault="00F77BF8">
            <w:pPr>
              <w:suppressAutoHyphens w:val="0"/>
              <w:spacing w:before="120" w:after="120"/>
              <w:jc w:val="center"/>
              <w:rPr>
                <w:rFonts w:ascii="Rockwell" w:hAnsi="Rockwell"/>
                <w:szCs w:val="26"/>
                <w:lang w:eastAsia="en-US"/>
              </w:rPr>
            </w:pPr>
            <w:proofErr w:type="gramStart"/>
            <w:r w:rsidRPr="00732978">
              <w:rPr>
                <w:rFonts w:ascii="Rockwell" w:hAnsi="Rockwell"/>
                <w:szCs w:val="26"/>
                <w:lang w:eastAsia="en-US"/>
              </w:rPr>
              <w:t>00:</w:t>
            </w:r>
            <w:proofErr w:type="gramEnd"/>
            <w:r w:rsidRPr="00732978">
              <w:rPr>
                <w:rFonts w:ascii="Rockwell" w:hAnsi="Rockwell"/>
                <w:szCs w:val="26"/>
                <w:lang w:eastAsia="en-US"/>
              </w:rPr>
              <w:t>01:03</w:t>
            </w:r>
          </w:p>
        </w:tc>
        <w:tc>
          <w:tcPr>
            <w:tcW w:w="1234" w:type="dxa"/>
            <w:tcBorders>
              <w:top w:val="nil"/>
              <w:left w:val="nil"/>
              <w:bottom w:val="single" w:sz="8" w:space="0" w:color="000000"/>
              <w:right w:val="single" w:sz="8" w:space="0" w:color="000000"/>
            </w:tcBorders>
            <w:tcMar>
              <w:top w:w="0" w:type="dxa"/>
              <w:left w:w="70" w:type="dxa"/>
              <w:bottom w:w="0" w:type="dxa"/>
              <w:right w:w="70" w:type="dxa"/>
            </w:tcMar>
            <w:vAlign w:val="center"/>
          </w:tcPr>
          <w:p w14:paraId="211502E4" w14:textId="77777777" w:rsidR="00284822" w:rsidRPr="00732978" w:rsidRDefault="00F77BF8">
            <w:pPr>
              <w:suppressAutoHyphens w:val="0"/>
              <w:spacing w:before="120" w:after="120"/>
              <w:jc w:val="center"/>
              <w:rPr>
                <w:rFonts w:ascii="Rockwell" w:hAnsi="Rockwell"/>
                <w:szCs w:val="26"/>
                <w:lang w:eastAsia="en-US"/>
              </w:rPr>
            </w:pPr>
            <w:r w:rsidRPr="00732978">
              <w:rPr>
                <w:rFonts w:ascii="Rockwell" w:hAnsi="Rockwell"/>
                <w:szCs w:val="26"/>
                <w:lang w:eastAsia="en-US"/>
              </w:rPr>
              <w:t>7,22%</w:t>
            </w:r>
          </w:p>
        </w:tc>
      </w:tr>
      <w:tr w:rsidR="00284822" w:rsidRPr="00732978" w14:paraId="4D07D20F" w14:textId="77777777">
        <w:trPr>
          <w:trHeight w:val="578"/>
          <w:jc w:val="center"/>
        </w:trPr>
        <w:tc>
          <w:tcPr>
            <w:tcW w:w="983" w:type="dxa"/>
            <w:vMerge w:val="restart"/>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tcPr>
          <w:p w14:paraId="6ABB121E" w14:textId="77777777" w:rsidR="00284822" w:rsidRPr="00732978" w:rsidRDefault="00F77BF8">
            <w:pPr>
              <w:suppressAutoHyphens w:val="0"/>
              <w:spacing w:before="120" w:after="120"/>
              <w:jc w:val="center"/>
              <w:rPr>
                <w:rFonts w:ascii="Rockwell" w:hAnsi="Rockwell"/>
                <w:b/>
                <w:bCs/>
                <w:szCs w:val="26"/>
                <w:lang w:eastAsia="en-US"/>
              </w:rPr>
            </w:pPr>
            <w:r w:rsidRPr="00732978">
              <w:rPr>
                <w:rFonts w:ascii="Rockwell" w:hAnsi="Rockwell"/>
                <w:b/>
                <w:bCs/>
                <w:szCs w:val="26"/>
                <w:lang w:eastAsia="en-US"/>
              </w:rPr>
              <w:t>4</w:t>
            </w:r>
          </w:p>
        </w:tc>
        <w:tc>
          <w:tcPr>
            <w:tcW w:w="2935" w:type="dxa"/>
            <w:vMerge w:val="restart"/>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tcPr>
          <w:p w14:paraId="25B2F373" w14:textId="77777777" w:rsidR="00284822" w:rsidRPr="00732978" w:rsidRDefault="00F77BF8">
            <w:pPr>
              <w:suppressAutoHyphens w:val="0"/>
              <w:spacing w:before="120" w:after="120"/>
              <w:jc w:val="center"/>
              <w:rPr>
                <w:rFonts w:ascii="Rockwell" w:hAnsi="Rockwell"/>
                <w:b/>
                <w:bCs/>
                <w:szCs w:val="26"/>
                <w:lang w:eastAsia="en-US"/>
              </w:rPr>
            </w:pPr>
            <w:r w:rsidRPr="00732978">
              <w:rPr>
                <w:rFonts w:ascii="Rockwell" w:hAnsi="Rockwell"/>
                <w:b/>
                <w:bCs/>
                <w:szCs w:val="26"/>
                <w:lang w:eastAsia="en-US"/>
              </w:rPr>
              <w:t>NTD</w:t>
            </w:r>
          </w:p>
        </w:tc>
        <w:tc>
          <w:tcPr>
            <w:tcW w:w="1536" w:type="dxa"/>
            <w:vMerge w:val="restart"/>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tcPr>
          <w:p w14:paraId="5D32417E" w14:textId="77777777" w:rsidR="00284822" w:rsidRPr="00732978" w:rsidRDefault="00F77BF8">
            <w:pPr>
              <w:suppressAutoHyphens w:val="0"/>
              <w:spacing w:before="120" w:after="120"/>
              <w:jc w:val="center"/>
              <w:rPr>
                <w:rFonts w:ascii="Rockwell" w:hAnsi="Rockwell"/>
                <w:szCs w:val="26"/>
                <w:lang w:eastAsia="en-US"/>
              </w:rPr>
            </w:pPr>
            <w:proofErr w:type="gramStart"/>
            <w:r w:rsidRPr="00732978">
              <w:rPr>
                <w:rFonts w:ascii="Rockwell" w:hAnsi="Rockwell"/>
                <w:szCs w:val="26"/>
                <w:lang w:eastAsia="en-US"/>
              </w:rPr>
              <w:t>00:</w:t>
            </w:r>
            <w:proofErr w:type="gramEnd"/>
            <w:r w:rsidRPr="00732978">
              <w:rPr>
                <w:rFonts w:ascii="Rockwell" w:hAnsi="Rockwell"/>
                <w:szCs w:val="26"/>
                <w:lang w:eastAsia="en-US"/>
              </w:rPr>
              <w:t>03:28</w:t>
            </w:r>
          </w:p>
        </w:tc>
        <w:tc>
          <w:tcPr>
            <w:tcW w:w="1688" w:type="dxa"/>
            <w:vMerge w:val="restart"/>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tcPr>
          <w:p w14:paraId="6C0759E2" w14:textId="77777777" w:rsidR="00284822" w:rsidRPr="00732978" w:rsidRDefault="00F77BF8">
            <w:pPr>
              <w:suppressAutoHyphens w:val="0"/>
              <w:spacing w:before="120" w:after="120"/>
              <w:jc w:val="center"/>
              <w:rPr>
                <w:rFonts w:ascii="Rockwell" w:hAnsi="Rockwell"/>
                <w:szCs w:val="26"/>
                <w:lang w:eastAsia="en-US"/>
              </w:rPr>
            </w:pPr>
            <w:r w:rsidRPr="00732978">
              <w:rPr>
                <w:rFonts w:ascii="Rockwell" w:hAnsi="Rockwell"/>
                <w:szCs w:val="26"/>
                <w:lang w:eastAsia="en-US"/>
              </w:rPr>
              <w:t>7,54%</w:t>
            </w:r>
          </w:p>
        </w:tc>
        <w:tc>
          <w:tcPr>
            <w:tcW w:w="1991" w:type="dxa"/>
            <w:vMerge w:val="restart"/>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tcPr>
          <w:p w14:paraId="71102E81" w14:textId="77777777" w:rsidR="00284822" w:rsidRPr="00732978" w:rsidRDefault="00F77BF8">
            <w:pPr>
              <w:suppressAutoHyphens w:val="0"/>
              <w:spacing w:before="120" w:after="120"/>
              <w:jc w:val="center"/>
              <w:rPr>
                <w:rFonts w:ascii="Rockwell" w:hAnsi="Rockwell"/>
                <w:szCs w:val="26"/>
                <w:lang w:eastAsia="en-US"/>
              </w:rPr>
            </w:pPr>
            <w:proofErr w:type="gramStart"/>
            <w:r w:rsidRPr="00732978">
              <w:rPr>
                <w:rFonts w:ascii="Rockwell" w:hAnsi="Rockwell"/>
                <w:szCs w:val="26"/>
                <w:lang w:eastAsia="en-US"/>
              </w:rPr>
              <w:t>00:</w:t>
            </w:r>
            <w:proofErr w:type="gramEnd"/>
            <w:r w:rsidRPr="00732978">
              <w:rPr>
                <w:rFonts w:ascii="Rockwell" w:hAnsi="Rockwell"/>
                <w:szCs w:val="26"/>
                <w:lang w:eastAsia="en-US"/>
              </w:rPr>
              <w:t>01:05</w:t>
            </w:r>
          </w:p>
        </w:tc>
        <w:tc>
          <w:tcPr>
            <w:tcW w:w="1234" w:type="dxa"/>
            <w:vMerge w:val="restart"/>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tcPr>
          <w:p w14:paraId="14D5115D" w14:textId="77777777" w:rsidR="00284822" w:rsidRPr="00732978" w:rsidRDefault="00F77BF8">
            <w:pPr>
              <w:suppressAutoHyphens w:val="0"/>
              <w:spacing w:before="120" w:after="120"/>
              <w:jc w:val="center"/>
              <w:rPr>
                <w:rFonts w:ascii="Rockwell" w:hAnsi="Rockwell"/>
                <w:szCs w:val="26"/>
                <w:lang w:eastAsia="en-US"/>
              </w:rPr>
            </w:pPr>
            <w:r w:rsidRPr="00732978">
              <w:rPr>
                <w:rFonts w:ascii="Rockwell" w:hAnsi="Rockwell"/>
                <w:szCs w:val="26"/>
                <w:lang w:eastAsia="en-US"/>
              </w:rPr>
              <w:t>7,45%</w:t>
            </w:r>
          </w:p>
        </w:tc>
      </w:tr>
      <w:tr w:rsidR="00284822" w:rsidRPr="00732978" w14:paraId="7AD1260E" w14:textId="77777777">
        <w:trPr>
          <w:trHeight w:val="698"/>
          <w:jc w:val="center"/>
        </w:trPr>
        <w:tc>
          <w:tcPr>
            <w:tcW w:w="983" w:type="dxa"/>
            <w:vMerge/>
            <w:tcBorders>
              <w:top w:val="nil"/>
              <w:left w:val="single" w:sz="8" w:space="0" w:color="000000"/>
              <w:bottom w:val="single" w:sz="8" w:space="0" w:color="000000"/>
              <w:right w:val="single" w:sz="8" w:space="0" w:color="000000"/>
            </w:tcBorders>
            <w:vAlign w:val="center"/>
          </w:tcPr>
          <w:p w14:paraId="401268E8" w14:textId="77777777" w:rsidR="00284822" w:rsidRPr="00732978" w:rsidRDefault="00284822">
            <w:pPr>
              <w:suppressAutoHyphens w:val="0"/>
              <w:spacing w:before="120" w:after="120"/>
              <w:jc w:val="left"/>
              <w:rPr>
                <w:rFonts w:ascii="Rockwell" w:hAnsi="Rockwell"/>
                <w:b/>
                <w:bCs/>
                <w:szCs w:val="26"/>
                <w:lang w:eastAsia="en-US"/>
              </w:rPr>
            </w:pPr>
          </w:p>
        </w:tc>
        <w:tc>
          <w:tcPr>
            <w:tcW w:w="2935" w:type="dxa"/>
            <w:vMerge/>
            <w:tcBorders>
              <w:top w:val="nil"/>
              <w:left w:val="single" w:sz="8" w:space="0" w:color="000000"/>
              <w:bottom w:val="single" w:sz="8" w:space="0" w:color="000000"/>
              <w:right w:val="single" w:sz="8" w:space="0" w:color="000000"/>
            </w:tcBorders>
            <w:vAlign w:val="center"/>
          </w:tcPr>
          <w:p w14:paraId="1D4F75DC" w14:textId="77777777" w:rsidR="00284822" w:rsidRPr="00732978" w:rsidRDefault="00284822">
            <w:pPr>
              <w:suppressAutoHyphens w:val="0"/>
              <w:spacing w:before="120" w:after="120"/>
              <w:jc w:val="left"/>
              <w:rPr>
                <w:rFonts w:ascii="Rockwell" w:hAnsi="Rockwell"/>
                <w:b/>
                <w:bCs/>
                <w:szCs w:val="26"/>
                <w:lang w:eastAsia="en-US"/>
              </w:rPr>
            </w:pPr>
          </w:p>
        </w:tc>
        <w:tc>
          <w:tcPr>
            <w:tcW w:w="0" w:type="auto"/>
            <w:vMerge/>
            <w:tcBorders>
              <w:top w:val="nil"/>
              <w:left w:val="single" w:sz="8" w:space="0" w:color="000000"/>
              <w:bottom w:val="single" w:sz="8" w:space="0" w:color="000000"/>
              <w:right w:val="single" w:sz="8" w:space="0" w:color="000000"/>
            </w:tcBorders>
            <w:vAlign w:val="center"/>
          </w:tcPr>
          <w:p w14:paraId="0C6929C7" w14:textId="77777777" w:rsidR="00284822" w:rsidRPr="00732978" w:rsidRDefault="00284822">
            <w:pPr>
              <w:suppressAutoHyphens w:val="0"/>
              <w:spacing w:before="120" w:after="120"/>
              <w:jc w:val="left"/>
              <w:rPr>
                <w:rFonts w:ascii="Rockwell" w:hAnsi="Rockwell"/>
                <w:szCs w:val="26"/>
                <w:lang w:eastAsia="en-US"/>
              </w:rPr>
            </w:pPr>
          </w:p>
        </w:tc>
        <w:tc>
          <w:tcPr>
            <w:tcW w:w="0" w:type="auto"/>
            <w:vMerge/>
            <w:tcBorders>
              <w:top w:val="nil"/>
              <w:left w:val="single" w:sz="8" w:space="0" w:color="000000"/>
              <w:bottom w:val="single" w:sz="8" w:space="0" w:color="000000"/>
              <w:right w:val="single" w:sz="8" w:space="0" w:color="000000"/>
            </w:tcBorders>
            <w:vAlign w:val="center"/>
          </w:tcPr>
          <w:p w14:paraId="39747B41" w14:textId="77777777" w:rsidR="00284822" w:rsidRPr="00732978" w:rsidRDefault="00284822">
            <w:pPr>
              <w:suppressAutoHyphens w:val="0"/>
              <w:spacing w:before="120" w:after="120"/>
              <w:jc w:val="left"/>
              <w:rPr>
                <w:rFonts w:ascii="Rockwell" w:hAnsi="Rockwell"/>
                <w:szCs w:val="26"/>
                <w:lang w:eastAsia="en-US"/>
              </w:rPr>
            </w:pPr>
          </w:p>
        </w:tc>
        <w:tc>
          <w:tcPr>
            <w:tcW w:w="0" w:type="auto"/>
            <w:vMerge/>
            <w:tcBorders>
              <w:top w:val="nil"/>
              <w:left w:val="single" w:sz="8" w:space="0" w:color="000000"/>
              <w:bottom w:val="single" w:sz="8" w:space="0" w:color="000000"/>
              <w:right w:val="single" w:sz="8" w:space="0" w:color="000000"/>
            </w:tcBorders>
            <w:vAlign w:val="center"/>
          </w:tcPr>
          <w:p w14:paraId="44A93CC9" w14:textId="77777777" w:rsidR="00284822" w:rsidRPr="00732978" w:rsidRDefault="00284822">
            <w:pPr>
              <w:suppressAutoHyphens w:val="0"/>
              <w:spacing w:before="120" w:after="120"/>
              <w:jc w:val="left"/>
              <w:rPr>
                <w:rFonts w:ascii="Rockwell" w:hAnsi="Rockwell"/>
                <w:szCs w:val="26"/>
                <w:lang w:eastAsia="en-US"/>
              </w:rPr>
            </w:pPr>
          </w:p>
        </w:tc>
        <w:tc>
          <w:tcPr>
            <w:tcW w:w="0" w:type="auto"/>
            <w:vMerge/>
            <w:tcBorders>
              <w:top w:val="nil"/>
              <w:left w:val="single" w:sz="8" w:space="0" w:color="000000"/>
              <w:bottom w:val="single" w:sz="8" w:space="0" w:color="000000"/>
              <w:right w:val="single" w:sz="8" w:space="0" w:color="000000"/>
            </w:tcBorders>
            <w:vAlign w:val="center"/>
          </w:tcPr>
          <w:p w14:paraId="2B8DD27F" w14:textId="77777777" w:rsidR="00284822" w:rsidRPr="00732978" w:rsidRDefault="00284822">
            <w:pPr>
              <w:suppressAutoHyphens w:val="0"/>
              <w:spacing w:before="120" w:after="120"/>
              <w:jc w:val="left"/>
              <w:rPr>
                <w:rFonts w:ascii="Rockwell" w:hAnsi="Rockwell"/>
                <w:szCs w:val="26"/>
                <w:lang w:eastAsia="en-US"/>
              </w:rPr>
            </w:pPr>
          </w:p>
        </w:tc>
      </w:tr>
      <w:tr w:rsidR="00284822" w:rsidRPr="00732978" w14:paraId="1F3AD4E6" w14:textId="77777777">
        <w:trPr>
          <w:trHeight w:val="497"/>
          <w:jc w:val="center"/>
        </w:trPr>
        <w:tc>
          <w:tcPr>
            <w:tcW w:w="983"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tcPr>
          <w:p w14:paraId="44ADD1B5" w14:textId="77777777" w:rsidR="00284822" w:rsidRPr="00732978" w:rsidRDefault="00F77BF8">
            <w:pPr>
              <w:suppressAutoHyphens w:val="0"/>
              <w:spacing w:before="120" w:after="120"/>
              <w:jc w:val="center"/>
              <w:rPr>
                <w:rFonts w:ascii="Rockwell" w:hAnsi="Rockwell"/>
                <w:b/>
                <w:bCs/>
                <w:szCs w:val="26"/>
                <w:lang w:eastAsia="en-US"/>
              </w:rPr>
            </w:pPr>
            <w:r w:rsidRPr="00732978">
              <w:rPr>
                <w:rFonts w:ascii="Rockwell" w:hAnsi="Rockwell"/>
                <w:b/>
                <w:bCs/>
                <w:szCs w:val="26"/>
                <w:lang w:eastAsia="en-US"/>
              </w:rPr>
              <w:t>5</w:t>
            </w:r>
          </w:p>
        </w:tc>
        <w:tc>
          <w:tcPr>
            <w:tcW w:w="2935" w:type="dxa"/>
            <w:tcBorders>
              <w:top w:val="nil"/>
              <w:left w:val="nil"/>
              <w:bottom w:val="single" w:sz="8" w:space="0" w:color="000000"/>
              <w:right w:val="single" w:sz="8" w:space="0" w:color="000000"/>
            </w:tcBorders>
            <w:tcMar>
              <w:top w:w="0" w:type="dxa"/>
              <w:left w:w="70" w:type="dxa"/>
              <w:bottom w:w="0" w:type="dxa"/>
              <w:right w:w="70" w:type="dxa"/>
            </w:tcMar>
            <w:vAlign w:val="center"/>
          </w:tcPr>
          <w:p w14:paraId="5B52F8E0" w14:textId="77777777" w:rsidR="00284822" w:rsidRPr="00732978" w:rsidRDefault="00F77BF8">
            <w:pPr>
              <w:suppressAutoHyphens w:val="0"/>
              <w:spacing w:before="120" w:after="120"/>
              <w:jc w:val="center"/>
              <w:rPr>
                <w:rFonts w:ascii="Rockwell" w:hAnsi="Rockwell"/>
                <w:b/>
                <w:bCs/>
                <w:szCs w:val="26"/>
                <w:lang w:eastAsia="en-US"/>
              </w:rPr>
            </w:pPr>
            <w:r w:rsidRPr="00732978">
              <w:rPr>
                <w:rFonts w:ascii="Rockwell" w:hAnsi="Rockwell"/>
                <w:b/>
                <w:bCs/>
                <w:szCs w:val="26"/>
                <w:lang w:eastAsia="en-US"/>
              </w:rPr>
              <w:t>UPC</w:t>
            </w:r>
          </w:p>
        </w:tc>
        <w:tc>
          <w:tcPr>
            <w:tcW w:w="1536" w:type="dxa"/>
            <w:tcBorders>
              <w:top w:val="nil"/>
              <w:left w:val="nil"/>
              <w:bottom w:val="single" w:sz="8" w:space="0" w:color="000000"/>
              <w:right w:val="single" w:sz="8" w:space="0" w:color="000000"/>
            </w:tcBorders>
            <w:tcMar>
              <w:top w:w="0" w:type="dxa"/>
              <w:left w:w="70" w:type="dxa"/>
              <w:bottom w:w="0" w:type="dxa"/>
              <w:right w:w="70" w:type="dxa"/>
            </w:tcMar>
            <w:vAlign w:val="center"/>
          </w:tcPr>
          <w:p w14:paraId="19228756" w14:textId="77777777" w:rsidR="00284822" w:rsidRPr="00732978" w:rsidRDefault="00F77BF8">
            <w:pPr>
              <w:suppressAutoHyphens w:val="0"/>
              <w:spacing w:before="120" w:after="120"/>
              <w:jc w:val="center"/>
              <w:rPr>
                <w:rFonts w:ascii="Rockwell" w:hAnsi="Rockwell"/>
                <w:szCs w:val="26"/>
                <w:lang w:eastAsia="en-US"/>
              </w:rPr>
            </w:pPr>
            <w:proofErr w:type="gramStart"/>
            <w:r w:rsidRPr="00732978">
              <w:rPr>
                <w:rFonts w:ascii="Rockwell" w:hAnsi="Rockwell"/>
                <w:szCs w:val="26"/>
                <w:lang w:eastAsia="en-US"/>
              </w:rPr>
              <w:t>00:</w:t>
            </w:r>
            <w:proofErr w:type="gramEnd"/>
            <w:r w:rsidRPr="00732978">
              <w:rPr>
                <w:rFonts w:ascii="Rockwell" w:hAnsi="Rockwell"/>
                <w:szCs w:val="26"/>
                <w:lang w:eastAsia="en-US"/>
              </w:rPr>
              <w:t>01:01</w:t>
            </w:r>
          </w:p>
        </w:tc>
        <w:tc>
          <w:tcPr>
            <w:tcW w:w="1688" w:type="dxa"/>
            <w:tcBorders>
              <w:top w:val="nil"/>
              <w:left w:val="nil"/>
              <w:bottom w:val="single" w:sz="8" w:space="0" w:color="000000"/>
              <w:right w:val="single" w:sz="8" w:space="0" w:color="000000"/>
            </w:tcBorders>
            <w:tcMar>
              <w:top w:w="0" w:type="dxa"/>
              <w:left w:w="70" w:type="dxa"/>
              <w:bottom w:w="0" w:type="dxa"/>
              <w:right w:w="70" w:type="dxa"/>
            </w:tcMar>
            <w:vAlign w:val="center"/>
          </w:tcPr>
          <w:p w14:paraId="5CAEBF8A" w14:textId="77777777" w:rsidR="00284822" w:rsidRPr="00732978" w:rsidRDefault="00F77BF8">
            <w:pPr>
              <w:suppressAutoHyphens w:val="0"/>
              <w:spacing w:before="120" w:after="120"/>
              <w:jc w:val="center"/>
              <w:rPr>
                <w:rFonts w:ascii="Rockwell" w:hAnsi="Rockwell"/>
                <w:szCs w:val="26"/>
                <w:lang w:eastAsia="en-US"/>
              </w:rPr>
            </w:pPr>
            <w:r w:rsidRPr="00732978">
              <w:rPr>
                <w:rFonts w:ascii="Rockwell" w:hAnsi="Rockwell"/>
                <w:szCs w:val="26"/>
                <w:lang w:eastAsia="en-US"/>
              </w:rPr>
              <w:t>2,21%</w:t>
            </w:r>
          </w:p>
        </w:tc>
        <w:tc>
          <w:tcPr>
            <w:tcW w:w="1991" w:type="dxa"/>
            <w:tcBorders>
              <w:top w:val="nil"/>
              <w:left w:val="nil"/>
              <w:bottom w:val="single" w:sz="8" w:space="0" w:color="000000"/>
              <w:right w:val="single" w:sz="8" w:space="0" w:color="000000"/>
            </w:tcBorders>
            <w:tcMar>
              <w:top w:w="0" w:type="dxa"/>
              <w:left w:w="70" w:type="dxa"/>
              <w:bottom w:w="0" w:type="dxa"/>
              <w:right w:w="70" w:type="dxa"/>
            </w:tcMar>
            <w:vAlign w:val="center"/>
          </w:tcPr>
          <w:p w14:paraId="36F6EE0B" w14:textId="77777777" w:rsidR="00284822" w:rsidRPr="00732978" w:rsidRDefault="00F77BF8">
            <w:pPr>
              <w:suppressAutoHyphens w:val="0"/>
              <w:spacing w:before="120" w:after="120"/>
              <w:jc w:val="center"/>
              <w:rPr>
                <w:rFonts w:ascii="Rockwell" w:hAnsi="Rockwell"/>
                <w:szCs w:val="26"/>
                <w:lang w:eastAsia="en-US"/>
              </w:rPr>
            </w:pPr>
            <w:proofErr w:type="gramStart"/>
            <w:r w:rsidRPr="00732978">
              <w:rPr>
                <w:rFonts w:ascii="Rockwell" w:hAnsi="Rockwell"/>
                <w:szCs w:val="26"/>
                <w:lang w:eastAsia="en-US"/>
              </w:rPr>
              <w:t>00:</w:t>
            </w:r>
            <w:proofErr w:type="gramEnd"/>
            <w:r w:rsidRPr="00732978">
              <w:rPr>
                <w:rFonts w:ascii="Rockwell" w:hAnsi="Rockwell"/>
                <w:szCs w:val="26"/>
                <w:lang w:eastAsia="en-US"/>
              </w:rPr>
              <w:t>00:00</w:t>
            </w:r>
          </w:p>
        </w:tc>
        <w:tc>
          <w:tcPr>
            <w:tcW w:w="1234" w:type="dxa"/>
            <w:tcBorders>
              <w:top w:val="nil"/>
              <w:left w:val="nil"/>
              <w:bottom w:val="single" w:sz="8" w:space="0" w:color="000000"/>
              <w:right w:val="single" w:sz="8" w:space="0" w:color="000000"/>
            </w:tcBorders>
            <w:tcMar>
              <w:top w:w="0" w:type="dxa"/>
              <w:left w:w="70" w:type="dxa"/>
              <w:bottom w:w="0" w:type="dxa"/>
              <w:right w:w="70" w:type="dxa"/>
            </w:tcMar>
            <w:vAlign w:val="center"/>
          </w:tcPr>
          <w:p w14:paraId="3A16FED4" w14:textId="77777777" w:rsidR="00284822" w:rsidRPr="00732978" w:rsidRDefault="00F77BF8">
            <w:pPr>
              <w:suppressAutoHyphens w:val="0"/>
              <w:spacing w:before="120" w:after="120"/>
              <w:jc w:val="center"/>
              <w:rPr>
                <w:rFonts w:ascii="Rockwell" w:hAnsi="Rockwell"/>
                <w:szCs w:val="26"/>
                <w:lang w:eastAsia="en-US"/>
              </w:rPr>
            </w:pPr>
            <w:r w:rsidRPr="00732978">
              <w:rPr>
                <w:rFonts w:ascii="Rockwell" w:hAnsi="Rockwell"/>
                <w:szCs w:val="26"/>
                <w:lang w:eastAsia="en-US"/>
              </w:rPr>
              <w:t>0,00%</w:t>
            </w:r>
          </w:p>
        </w:tc>
      </w:tr>
      <w:tr w:rsidR="00284822" w:rsidRPr="00732978" w14:paraId="22D9A7C0" w14:textId="77777777">
        <w:trPr>
          <w:trHeight w:val="420"/>
          <w:jc w:val="center"/>
        </w:trPr>
        <w:tc>
          <w:tcPr>
            <w:tcW w:w="983"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tcPr>
          <w:p w14:paraId="2F0632C7" w14:textId="77777777" w:rsidR="00284822" w:rsidRPr="00732978" w:rsidRDefault="00F77BF8">
            <w:pPr>
              <w:suppressAutoHyphens w:val="0"/>
              <w:spacing w:before="120" w:after="120"/>
              <w:jc w:val="center"/>
              <w:rPr>
                <w:rFonts w:ascii="Rockwell" w:hAnsi="Rockwell"/>
                <w:b/>
                <w:bCs/>
                <w:szCs w:val="26"/>
                <w:lang w:eastAsia="en-US"/>
              </w:rPr>
            </w:pPr>
            <w:r w:rsidRPr="00732978">
              <w:rPr>
                <w:rFonts w:ascii="Rockwell" w:hAnsi="Rockwell"/>
                <w:b/>
                <w:bCs/>
                <w:szCs w:val="26"/>
                <w:lang w:eastAsia="en-US"/>
              </w:rPr>
              <w:t>6</w:t>
            </w:r>
          </w:p>
        </w:tc>
        <w:tc>
          <w:tcPr>
            <w:tcW w:w="2935" w:type="dxa"/>
            <w:tcBorders>
              <w:top w:val="nil"/>
              <w:left w:val="nil"/>
              <w:bottom w:val="single" w:sz="8" w:space="0" w:color="000000"/>
              <w:right w:val="single" w:sz="8" w:space="0" w:color="000000"/>
            </w:tcBorders>
            <w:tcMar>
              <w:top w:w="0" w:type="dxa"/>
              <w:left w:w="70" w:type="dxa"/>
              <w:bottom w:w="0" w:type="dxa"/>
              <w:right w:w="70" w:type="dxa"/>
            </w:tcMar>
            <w:vAlign w:val="center"/>
          </w:tcPr>
          <w:p w14:paraId="1BD6D11D" w14:textId="77777777" w:rsidR="00284822" w:rsidRPr="00732978" w:rsidRDefault="00F77BF8">
            <w:pPr>
              <w:suppressAutoHyphens w:val="0"/>
              <w:spacing w:before="120" w:after="120"/>
              <w:jc w:val="center"/>
              <w:rPr>
                <w:rFonts w:ascii="Rockwell" w:hAnsi="Rockwell"/>
                <w:b/>
                <w:bCs/>
                <w:szCs w:val="26"/>
                <w:lang w:eastAsia="en-US"/>
              </w:rPr>
            </w:pPr>
            <w:r w:rsidRPr="00732978">
              <w:rPr>
                <w:rFonts w:ascii="Rockwell" w:hAnsi="Rockwell"/>
                <w:b/>
                <w:bCs/>
                <w:szCs w:val="26"/>
                <w:lang w:eastAsia="en-US"/>
              </w:rPr>
              <w:t>MPS</w:t>
            </w:r>
          </w:p>
        </w:tc>
        <w:tc>
          <w:tcPr>
            <w:tcW w:w="1536" w:type="dxa"/>
            <w:tcBorders>
              <w:top w:val="nil"/>
              <w:left w:val="nil"/>
              <w:bottom w:val="single" w:sz="8" w:space="0" w:color="000000"/>
              <w:right w:val="single" w:sz="8" w:space="0" w:color="000000"/>
            </w:tcBorders>
            <w:tcMar>
              <w:top w:w="0" w:type="dxa"/>
              <w:left w:w="70" w:type="dxa"/>
              <w:bottom w:w="0" w:type="dxa"/>
              <w:right w:w="70" w:type="dxa"/>
            </w:tcMar>
            <w:vAlign w:val="center"/>
          </w:tcPr>
          <w:p w14:paraId="1B2110B1" w14:textId="77777777" w:rsidR="00284822" w:rsidRPr="00732978" w:rsidRDefault="00F77BF8">
            <w:pPr>
              <w:suppressAutoHyphens w:val="0"/>
              <w:spacing w:before="120" w:after="120"/>
              <w:jc w:val="center"/>
              <w:rPr>
                <w:rFonts w:ascii="Rockwell" w:hAnsi="Rockwell"/>
                <w:szCs w:val="26"/>
                <w:lang w:eastAsia="en-US"/>
              </w:rPr>
            </w:pPr>
            <w:proofErr w:type="gramStart"/>
            <w:r w:rsidRPr="00732978">
              <w:rPr>
                <w:rFonts w:ascii="Rockwell" w:hAnsi="Rockwell"/>
                <w:szCs w:val="26"/>
                <w:lang w:eastAsia="en-US"/>
              </w:rPr>
              <w:t>00:</w:t>
            </w:r>
            <w:proofErr w:type="gramEnd"/>
            <w:r w:rsidRPr="00732978">
              <w:rPr>
                <w:rFonts w:ascii="Rockwell" w:hAnsi="Rockwell"/>
                <w:szCs w:val="26"/>
                <w:lang w:eastAsia="en-US"/>
              </w:rPr>
              <w:t>00:40</w:t>
            </w:r>
          </w:p>
        </w:tc>
        <w:tc>
          <w:tcPr>
            <w:tcW w:w="1688" w:type="dxa"/>
            <w:tcBorders>
              <w:top w:val="nil"/>
              <w:left w:val="nil"/>
              <w:bottom w:val="single" w:sz="8" w:space="0" w:color="000000"/>
              <w:right w:val="single" w:sz="8" w:space="0" w:color="000000"/>
            </w:tcBorders>
            <w:tcMar>
              <w:top w:w="0" w:type="dxa"/>
              <w:left w:w="70" w:type="dxa"/>
              <w:bottom w:w="0" w:type="dxa"/>
              <w:right w:w="70" w:type="dxa"/>
            </w:tcMar>
            <w:vAlign w:val="center"/>
          </w:tcPr>
          <w:p w14:paraId="5E8A10E5" w14:textId="77777777" w:rsidR="00284822" w:rsidRPr="00732978" w:rsidRDefault="00F77BF8">
            <w:pPr>
              <w:suppressAutoHyphens w:val="0"/>
              <w:spacing w:before="120" w:after="120"/>
              <w:jc w:val="center"/>
              <w:rPr>
                <w:rFonts w:ascii="Rockwell" w:hAnsi="Rockwell"/>
                <w:szCs w:val="26"/>
                <w:lang w:eastAsia="en-US"/>
              </w:rPr>
            </w:pPr>
            <w:r w:rsidRPr="00732978">
              <w:rPr>
                <w:rFonts w:ascii="Rockwell" w:hAnsi="Rockwell"/>
                <w:szCs w:val="26"/>
                <w:lang w:eastAsia="en-US"/>
              </w:rPr>
              <w:t>1,45%</w:t>
            </w:r>
          </w:p>
        </w:tc>
        <w:tc>
          <w:tcPr>
            <w:tcW w:w="1991" w:type="dxa"/>
            <w:tcBorders>
              <w:top w:val="nil"/>
              <w:left w:val="nil"/>
              <w:bottom w:val="single" w:sz="8" w:space="0" w:color="000000"/>
              <w:right w:val="single" w:sz="8" w:space="0" w:color="000000"/>
            </w:tcBorders>
            <w:tcMar>
              <w:top w:w="0" w:type="dxa"/>
              <w:left w:w="70" w:type="dxa"/>
              <w:bottom w:w="0" w:type="dxa"/>
              <w:right w:w="70" w:type="dxa"/>
            </w:tcMar>
            <w:vAlign w:val="center"/>
          </w:tcPr>
          <w:p w14:paraId="71B6FCAD" w14:textId="77777777" w:rsidR="00284822" w:rsidRPr="00732978" w:rsidRDefault="00F77BF8">
            <w:pPr>
              <w:suppressAutoHyphens w:val="0"/>
              <w:spacing w:before="120" w:after="120"/>
              <w:jc w:val="center"/>
              <w:rPr>
                <w:rFonts w:ascii="Rockwell" w:hAnsi="Rockwell"/>
                <w:szCs w:val="26"/>
                <w:lang w:eastAsia="en-US"/>
              </w:rPr>
            </w:pPr>
            <w:proofErr w:type="gramStart"/>
            <w:r w:rsidRPr="00732978">
              <w:rPr>
                <w:rFonts w:ascii="Rockwell" w:hAnsi="Rockwell"/>
                <w:szCs w:val="26"/>
                <w:lang w:eastAsia="en-US"/>
              </w:rPr>
              <w:t>00:</w:t>
            </w:r>
            <w:proofErr w:type="gramEnd"/>
            <w:r w:rsidRPr="00732978">
              <w:rPr>
                <w:rFonts w:ascii="Rockwell" w:hAnsi="Rockwell"/>
                <w:szCs w:val="26"/>
                <w:lang w:eastAsia="en-US"/>
              </w:rPr>
              <w:t>00:00</w:t>
            </w:r>
          </w:p>
        </w:tc>
        <w:tc>
          <w:tcPr>
            <w:tcW w:w="1234" w:type="dxa"/>
            <w:tcBorders>
              <w:top w:val="nil"/>
              <w:left w:val="nil"/>
              <w:bottom w:val="single" w:sz="8" w:space="0" w:color="000000"/>
              <w:right w:val="single" w:sz="8" w:space="0" w:color="000000"/>
            </w:tcBorders>
            <w:tcMar>
              <w:top w:w="0" w:type="dxa"/>
              <w:left w:w="70" w:type="dxa"/>
              <w:bottom w:w="0" w:type="dxa"/>
              <w:right w:w="70" w:type="dxa"/>
            </w:tcMar>
            <w:vAlign w:val="center"/>
          </w:tcPr>
          <w:p w14:paraId="140870BC" w14:textId="77777777" w:rsidR="00284822" w:rsidRPr="00732978" w:rsidRDefault="00F77BF8">
            <w:pPr>
              <w:suppressAutoHyphens w:val="0"/>
              <w:spacing w:before="120" w:after="120"/>
              <w:jc w:val="center"/>
              <w:rPr>
                <w:rFonts w:ascii="Rockwell" w:hAnsi="Rockwell"/>
                <w:szCs w:val="26"/>
                <w:lang w:eastAsia="en-US"/>
              </w:rPr>
            </w:pPr>
            <w:r w:rsidRPr="00732978">
              <w:rPr>
                <w:rFonts w:ascii="Rockwell" w:hAnsi="Rockwell"/>
                <w:szCs w:val="26"/>
                <w:lang w:eastAsia="en-US"/>
              </w:rPr>
              <w:t>0,00%</w:t>
            </w:r>
          </w:p>
        </w:tc>
      </w:tr>
      <w:tr w:rsidR="00284822" w:rsidRPr="00732978" w14:paraId="45BF3A0B" w14:textId="77777777">
        <w:trPr>
          <w:trHeight w:val="432"/>
          <w:jc w:val="center"/>
        </w:trPr>
        <w:tc>
          <w:tcPr>
            <w:tcW w:w="983"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tcPr>
          <w:p w14:paraId="13054738" w14:textId="77777777" w:rsidR="00284822" w:rsidRPr="00732978" w:rsidRDefault="00F77BF8">
            <w:pPr>
              <w:suppressAutoHyphens w:val="0"/>
              <w:spacing w:before="120" w:after="120"/>
              <w:jc w:val="center"/>
              <w:rPr>
                <w:rFonts w:ascii="Rockwell" w:hAnsi="Rockwell"/>
                <w:szCs w:val="26"/>
                <w:lang w:eastAsia="en-US"/>
              </w:rPr>
            </w:pPr>
            <w:r w:rsidRPr="00732978">
              <w:rPr>
                <w:rFonts w:ascii="Rockwell" w:hAnsi="Rockwell"/>
                <w:b/>
                <w:bCs/>
                <w:szCs w:val="26"/>
                <w:lang w:eastAsia="en-US"/>
              </w:rPr>
              <w:t>6</w:t>
            </w:r>
            <w:r w:rsidRPr="00732978">
              <w:rPr>
                <w:rFonts w:ascii="Rockwell" w:hAnsi="Rockwell"/>
                <w:b/>
                <w:bCs/>
                <w:szCs w:val="26"/>
                <w:vertAlign w:val="superscript"/>
                <w:lang w:eastAsia="en-US"/>
              </w:rPr>
              <w:t>e</w:t>
            </w:r>
            <w:r w:rsidRPr="00732978">
              <w:rPr>
                <w:rFonts w:ascii="Rockwell" w:hAnsi="Rockwell"/>
                <w:b/>
                <w:bCs/>
                <w:szCs w:val="26"/>
                <w:lang w:eastAsia="en-US"/>
              </w:rPr>
              <w:t xml:space="preserve"> ex</w:t>
            </w:r>
          </w:p>
        </w:tc>
        <w:tc>
          <w:tcPr>
            <w:tcW w:w="2935" w:type="dxa"/>
            <w:tcBorders>
              <w:top w:val="nil"/>
              <w:left w:val="nil"/>
              <w:bottom w:val="single" w:sz="8" w:space="0" w:color="000000"/>
              <w:right w:val="single" w:sz="8" w:space="0" w:color="000000"/>
            </w:tcBorders>
            <w:tcMar>
              <w:top w:w="0" w:type="dxa"/>
              <w:left w:w="70" w:type="dxa"/>
              <w:bottom w:w="0" w:type="dxa"/>
              <w:right w:w="70" w:type="dxa"/>
            </w:tcMar>
            <w:vAlign w:val="center"/>
          </w:tcPr>
          <w:p w14:paraId="4C89FA59" w14:textId="77777777" w:rsidR="00284822" w:rsidRPr="00732978" w:rsidRDefault="00F77BF8">
            <w:pPr>
              <w:suppressAutoHyphens w:val="0"/>
              <w:spacing w:before="120" w:after="120"/>
              <w:jc w:val="center"/>
              <w:rPr>
                <w:rFonts w:ascii="Rockwell" w:hAnsi="Rockwell"/>
                <w:b/>
                <w:bCs/>
                <w:szCs w:val="26"/>
                <w:lang w:eastAsia="en-US"/>
              </w:rPr>
            </w:pPr>
            <w:r w:rsidRPr="00732978">
              <w:rPr>
                <w:rFonts w:ascii="Rockwell" w:hAnsi="Rockwell"/>
                <w:b/>
                <w:bCs/>
                <w:szCs w:val="26"/>
                <w:lang w:eastAsia="en-US"/>
              </w:rPr>
              <w:t>PDP/PS</w:t>
            </w:r>
          </w:p>
        </w:tc>
        <w:tc>
          <w:tcPr>
            <w:tcW w:w="1536" w:type="dxa"/>
            <w:tcBorders>
              <w:top w:val="nil"/>
              <w:left w:val="nil"/>
              <w:bottom w:val="single" w:sz="8" w:space="0" w:color="000000"/>
              <w:right w:val="single" w:sz="8" w:space="0" w:color="000000"/>
            </w:tcBorders>
            <w:tcMar>
              <w:top w:w="0" w:type="dxa"/>
              <w:left w:w="70" w:type="dxa"/>
              <w:bottom w:w="0" w:type="dxa"/>
              <w:right w:w="70" w:type="dxa"/>
            </w:tcMar>
            <w:vAlign w:val="center"/>
          </w:tcPr>
          <w:p w14:paraId="6455FB5A" w14:textId="77777777" w:rsidR="00284822" w:rsidRPr="00732978" w:rsidRDefault="00F77BF8">
            <w:pPr>
              <w:suppressAutoHyphens w:val="0"/>
              <w:spacing w:before="120" w:after="120"/>
              <w:jc w:val="center"/>
              <w:rPr>
                <w:rFonts w:ascii="Rockwell" w:hAnsi="Rockwell"/>
                <w:szCs w:val="26"/>
                <w:lang w:eastAsia="en-US"/>
              </w:rPr>
            </w:pPr>
            <w:proofErr w:type="gramStart"/>
            <w:r w:rsidRPr="00732978">
              <w:rPr>
                <w:rFonts w:ascii="Rockwell" w:hAnsi="Rockwell"/>
                <w:szCs w:val="26"/>
                <w:lang w:eastAsia="en-US"/>
              </w:rPr>
              <w:t>00:</w:t>
            </w:r>
            <w:proofErr w:type="gramEnd"/>
            <w:r w:rsidRPr="00732978">
              <w:rPr>
                <w:rFonts w:ascii="Rockwell" w:hAnsi="Rockwell"/>
                <w:szCs w:val="26"/>
                <w:lang w:eastAsia="en-US"/>
              </w:rPr>
              <w:t>00:40</w:t>
            </w:r>
          </w:p>
        </w:tc>
        <w:tc>
          <w:tcPr>
            <w:tcW w:w="1688" w:type="dxa"/>
            <w:tcBorders>
              <w:top w:val="nil"/>
              <w:left w:val="nil"/>
              <w:bottom w:val="single" w:sz="8" w:space="0" w:color="000000"/>
              <w:right w:val="single" w:sz="8" w:space="0" w:color="000000"/>
            </w:tcBorders>
            <w:tcMar>
              <w:top w:w="0" w:type="dxa"/>
              <w:left w:w="70" w:type="dxa"/>
              <w:bottom w:w="0" w:type="dxa"/>
              <w:right w:w="70" w:type="dxa"/>
            </w:tcMar>
            <w:vAlign w:val="center"/>
          </w:tcPr>
          <w:p w14:paraId="51988F6D" w14:textId="77777777" w:rsidR="00284822" w:rsidRPr="00732978" w:rsidRDefault="00F77BF8">
            <w:pPr>
              <w:suppressAutoHyphens w:val="0"/>
              <w:spacing w:before="120" w:after="120"/>
              <w:jc w:val="center"/>
              <w:rPr>
                <w:rFonts w:ascii="Rockwell" w:hAnsi="Rockwell"/>
                <w:szCs w:val="26"/>
                <w:lang w:eastAsia="en-US"/>
              </w:rPr>
            </w:pPr>
            <w:r w:rsidRPr="00732978">
              <w:rPr>
                <w:rFonts w:ascii="Rockwell" w:hAnsi="Rockwell"/>
                <w:szCs w:val="26"/>
                <w:lang w:eastAsia="en-US"/>
              </w:rPr>
              <w:t>1,45%</w:t>
            </w:r>
          </w:p>
        </w:tc>
        <w:tc>
          <w:tcPr>
            <w:tcW w:w="1991" w:type="dxa"/>
            <w:tcBorders>
              <w:top w:val="nil"/>
              <w:left w:val="nil"/>
              <w:bottom w:val="single" w:sz="8" w:space="0" w:color="000000"/>
              <w:right w:val="single" w:sz="8" w:space="0" w:color="000000"/>
            </w:tcBorders>
            <w:tcMar>
              <w:top w:w="0" w:type="dxa"/>
              <w:left w:w="70" w:type="dxa"/>
              <w:bottom w:w="0" w:type="dxa"/>
              <w:right w:w="70" w:type="dxa"/>
            </w:tcMar>
            <w:vAlign w:val="center"/>
          </w:tcPr>
          <w:p w14:paraId="64C3195E" w14:textId="77777777" w:rsidR="00284822" w:rsidRPr="00732978" w:rsidRDefault="00F77BF8">
            <w:pPr>
              <w:suppressAutoHyphens w:val="0"/>
              <w:spacing w:before="120" w:after="120"/>
              <w:jc w:val="center"/>
              <w:rPr>
                <w:rFonts w:ascii="Rockwell" w:hAnsi="Rockwell"/>
                <w:szCs w:val="26"/>
                <w:lang w:eastAsia="en-US"/>
              </w:rPr>
            </w:pPr>
            <w:proofErr w:type="gramStart"/>
            <w:r w:rsidRPr="00732978">
              <w:rPr>
                <w:rFonts w:ascii="Rockwell" w:hAnsi="Rockwell"/>
                <w:szCs w:val="26"/>
                <w:lang w:eastAsia="en-US"/>
              </w:rPr>
              <w:t>00:</w:t>
            </w:r>
            <w:proofErr w:type="gramEnd"/>
            <w:r w:rsidRPr="00732978">
              <w:rPr>
                <w:rFonts w:ascii="Rockwell" w:hAnsi="Rockwell"/>
                <w:szCs w:val="26"/>
                <w:lang w:eastAsia="en-US"/>
              </w:rPr>
              <w:t>00:00</w:t>
            </w:r>
          </w:p>
        </w:tc>
        <w:tc>
          <w:tcPr>
            <w:tcW w:w="1234" w:type="dxa"/>
            <w:tcBorders>
              <w:top w:val="nil"/>
              <w:left w:val="nil"/>
              <w:bottom w:val="single" w:sz="8" w:space="0" w:color="000000"/>
              <w:right w:val="single" w:sz="8" w:space="0" w:color="000000"/>
            </w:tcBorders>
            <w:tcMar>
              <w:top w:w="0" w:type="dxa"/>
              <w:left w:w="70" w:type="dxa"/>
              <w:bottom w:w="0" w:type="dxa"/>
              <w:right w:w="70" w:type="dxa"/>
            </w:tcMar>
            <w:vAlign w:val="center"/>
          </w:tcPr>
          <w:p w14:paraId="2BB12402" w14:textId="77777777" w:rsidR="00284822" w:rsidRPr="00732978" w:rsidRDefault="00F77BF8">
            <w:pPr>
              <w:suppressAutoHyphens w:val="0"/>
              <w:spacing w:before="120" w:after="120"/>
              <w:jc w:val="center"/>
              <w:rPr>
                <w:rFonts w:ascii="Rockwell" w:hAnsi="Rockwell"/>
                <w:szCs w:val="26"/>
                <w:lang w:eastAsia="en-US"/>
              </w:rPr>
            </w:pPr>
            <w:r w:rsidRPr="00732978">
              <w:rPr>
                <w:rFonts w:ascii="Rockwell" w:hAnsi="Rockwell"/>
                <w:szCs w:val="26"/>
                <w:lang w:eastAsia="en-US"/>
              </w:rPr>
              <w:t>0,00%</w:t>
            </w:r>
          </w:p>
        </w:tc>
      </w:tr>
      <w:tr w:rsidR="00284822" w:rsidRPr="00732978" w14:paraId="09C4FFD8" w14:textId="77777777">
        <w:trPr>
          <w:trHeight w:val="470"/>
          <w:jc w:val="center"/>
        </w:trPr>
        <w:tc>
          <w:tcPr>
            <w:tcW w:w="983"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tcPr>
          <w:p w14:paraId="54227F41" w14:textId="77777777" w:rsidR="00284822" w:rsidRPr="00732978" w:rsidRDefault="00F77BF8">
            <w:pPr>
              <w:suppressAutoHyphens w:val="0"/>
              <w:spacing w:before="120" w:after="120"/>
              <w:jc w:val="center"/>
              <w:rPr>
                <w:rFonts w:ascii="Rockwell" w:hAnsi="Rockwell"/>
                <w:b/>
                <w:bCs/>
                <w:szCs w:val="26"/>
                <w:lang w:eastAsia="en-US"/>
              </w:rPr>
            </w:pPr>
            <w:r w:rsidRPr="00732978">
              <w:rPr>
                <w:rFonts w:ascii="Rockwell" w:hAnsi="Rockwell"/>
                <w:b/>
                <w:bCs/>
                <w:szCs w:val="26"/>
                <w:lang w:eastAsia="en-US"/>
              </w:rPr>
              <w:t>8</w:t>
            </w:r>
          </w:p>
        </w:tc>
        <w:tc>
          <w:tcPr>
            <w:tcW w:w="2935" w:type="dxa"/>
            <w:tcBorders>
              <w:top w:val="nil"/>
              <w:left w:val="nil"/>
              <w:bottom w:val="single" w:sz="8" w:space="0" w:color="000000"/>
              <w:right w:val="single" w:sz="8" w:space="0" w:color="000000"/>
            </w:tcBorders>
            <w:tcMar>
              <w:top w:w="0" w:type="dxa"/>
              <w:left w:w="70" w:type="dxa"/>
              <w:bottom w:w="0" w:type="dxa"/>
              <w:right w:w="70" w:type="dxa"/>
            </w:tcMar>
            <w:vAlign w:val="center"/>
          </w:tcPr>
          <w:p w14:paraId="4A78B07D" w14:textId="77777777" w:rsidR="00284822" w:rsidRPr="00732978" w:rsidRDefault="00F77BF8">
            <w:pPr>
              <w:suppressAutoHyphens w:val="0"/>
              <w:spacing w:before="120" w:after="120"/>
              <w:jc w:val="center"/>
              <w:rPr>
                <w:rFonts w:ascii="Rockwell" w:hAnsi="Rockwell"/>
                <w:b/>
                <w:bCs/>
                <w:szCs w:val="26"/>
                <w:lang w:eastAsia="en-US"/>
              </w:rPr>
            </w:pPr>
            <w:r w:rsidRPr="00732978">
              <w:rPr>
                <w:rFonts w:ascii="Rockwell" w:hAnsi="Rockwell"/>
                <w:b/>
                <w:bCs/>
                <w:szCs w:val="26"/>
                <w:lang w:eastAsia="en-US"/>
              </w:rPr>
              <w:t>UNIR/PS</w:t>
            </w:r>
          </w:p>
        </w:tc>
        <w:tc>
          <w:tcPr>
            <w:tcW w:w="1536" w:type="dxa"/>
            <w:tcBorders>
              <w:top w:val="nil"/>
              <w:left w:val="nil"/>
              <w:bottom w:val="single" w:sz="8" w:space="0" w:color="000000"/>
              <w:right w:val="single" w:sz="8" w:space="0" w:color="000000"/>
            </w:tcBorders>
            <w:tcMar>
              <w:top w:w="0" w:type="dxa"/>
              <w:left w:w="70" w:type="dxa"/>
              <w:bottom w:w="0" w:type="dxa"/>
              <w:right w:w="70" w:type="dxa"/>
            </w:tcMar>
            <w:vAlign w:val="center"/>
          </w:tcPr>
          <w:p w14:paraId="13177704" w14:textId="77777777" w:rsidR="00284822" w:rsidRPr="00732978" w:rsidRDefault="00F77BF8">
            <w:pPr>
              <w:suppressAutoHyphens w:val="0"/>
              <w:spacing w:before="120" w:after="120"/>
              <w:jc w:val="center"/>
              <w:rPr>
                <w:rFonts w:ascii="Rockwell" w:hAnsi="Rockwell"/>
                <w:szCs w:val="26"/>
                <w:lang w:eastAsia="en-US"/>
              </w:rPr>
            </w:pPr>
            <w:proofErr w:type="gramStart"/>
            <w:r w:rsidRPr="00732978">
              <w:rPr>
                <w:rFonts w:ascii="Rockwell" w:hAnsi="Rockwell"/>
                <w:szCs w:val="26"/>
                <w:lang w:eastAsia="en-US"/>
              </w:rPr>
              <w:t>00:</w:t>
            </w:r>
            <w:proofErr w:type="gramEnd"/>
            <w:r w:rsidRPr="00732978">
              <w:rPr>
                <w:rFonts w:ascii="Rockwell" w:hAnsi="Rockwell"/>
                <w:szCs w:val="26"/>
                <w:lang w:eastAsia="en-US"/>
              </w:rPr>
              <w:t>00:39</w:t>
            </w:r>
          </w:p>
        </w:tc>
        <w:tc>
          <w:tcPr>
            <w:tcW w:w="1688"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63D927F" w14:textId="77777777" w:rsidR="00284822" w:rsidRPr="00732978" w:rsidRDefault="00F77BF8">
            <w:pPr>
              <w:suppressAutoHyphens w:val="0"/>
              <w:spacing w:before="120" w:after="120"/>
              <w:jc w:val="center"/>
              <w:rPr>
                <w:rFonts w:ascii="Rockwell" w:hAnsi="Rockwell"/>
                <w:szCs w:val="26"/>
                <w:lang w:eastAsia="en-US"/>
              </w:rPr>
            </w:pPr>
            <w:r w:rsidRPr="00732978">
              <w:rPr>
                <w:rFonts w:ascii="Rockwell" w:hAnsi="Rockwell"/>
                <w:szCs w:val="26"/>
                <w:lang w:eastAsia="en-US"/>
              </w:rPr>
              <w:t>1,41%</w:t>
            </w:r>
          </w:p>
        </w:tc>
        <w:tc>
          <w:tcPr>
            <w:tcW w:w="1991"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329D4E7" w14:textId="77777777" w:rsidR="00284822" w:rsidRPr="00732978" w:rsidRDefault="00F77BF8">
            <w:pPr>
              <w:suppressAutoHyphens w:val="0"/>
              <w:spacing w:before="120" w:after="120"/>
              <w:jc w:val="center"/>
              <w:rPr>
                <w:rFonts w:ascii="Rockwell" w:hAnsi="Rockwell"/>
                <w:szCs w:val="26"/>
                <w:lang w:eastAsia="en-US"/>
              </w:rPr>
            </w:pPr>
            <w:proofErr w:type="gramStart"/>
            <w:r w:rsidRPr="00732978">
              <w:rPr>
                <w:rFonts w:ascii="Rockwell" w:hAnsi="Rockwell"/>
                <w:szCs w:val="26"/>
                <w:lang w:eastAsia="en-US"/>
              </w:rPr>
              <w:t>00:</w:t>
            </w:r>
            <w:proofErr w:type="gramEnd"/>
            <w:r w:rsidRPr="00732978">
              <w:rPr>
                <w:rFonts w:ascii="Rockwell" w:hAnsi="Rockwell"/>
                <w:szCs w:val="26"/>
                <w:lang w:eastAsia="en-US"/>
              </w:rPr>
              <w:t>00:00</w:t>
            </w:r>
          </w:p>
        </w:tc>
        <w:tc>
          <w:tcPr>
            <w:tcW w:w="1234" w:type="dxa"/>
            <w:tcBorders>
              <w:top w:val="nil"/>
              <w:left w:val="nil"/>
              <w:bottom w:val="single" w:sz="8" w:space="0" w:color="000000"/>
              <w:right w:val="single" w:sz="8" w:space="0" w:color="000000"/>
            </w:tcBorders>
            <w:tcMar>
              <w:top w:w="0" w:type="dxa"/>
              <w:left w:w="70" w:type="dxa"/>
              <w:bottom w:w="0" w:type="dxa"/>
              <w:right w:w="70" w:type="dxa"/>
            </w:tcMar>
            <w:vAlign w:val="center"/>
          </w:tcPr>
          <w:p w14:paraId="76D94F52" w14:textId="77777777" w:rsidR="00284822" w:rsidRPr="00732978" w:rsidRDefault="00F77BF8">
            <w:pPr>
              <w:suppressAutoHyphens w:val="0"/>
              <w:spacing w:before="120" w:after="120"/>
              <w:jc w:val="center"/>
              <w:rPr>
                <w:rFonts w:ascii="Rockwell" w:hAnsi="Rockwell"/>
                <w:szCs w:val="26"/>
                <w:lang w:eastAsia="en-US"/>
              </w:rPr>
            </w:pPr>
            <w:r w:rsidRPr="00732978">
              <w:rPr>
                <w:rFonts w:ascii="Rockwell" w:hAnsi="Rockwell"/>
                <w:szCs w:val="26"/>
                <w:lang w:eastAsia="en-US"/>
              </w:rPr>
              <w:t>0,00%</w:t>
            </w:r>
          </w:p>
        </w:tc>
      </w:tr>
      <w:tr w:rsidR="00284822" w:rsidRPr="00732978" w14:paraId="1D4ADF33" w14:textId="77777777">
        <w:trPr>
          <w:trHeight w:val="420"/>
          <w:jc w:val="center"/>
        </w:trPr>
        <w:tc>
          <w:tcPr>
            <w:tcW w:w="3918" w:type="dxa"/>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14:paraId="6597C008" w14:textId="77777777" w:rsidR="00284822" w:rsidRPr="00732978" w:rsidRDefault="00F77BF8">
            <w:pPr>
              <w:suppressAutoHyphens w:val="0"/>
              <w:spacing w:before="120" w:after="120"/>
              <w:rPr>
                <w:rFonts w:ascii="Rockwell" w:hAnsi="Rockwell"/>
                <w:b/>
                <w:bCs/>
                <w:szCs w:val="26"/>
                <w:lang w:eastAsia="en-US"/>
              </w:rPr>
            </w:pPr>
            <w:r w:rsidRPr="00732978">
              <w:rPr>
                <w:rFonts w:ascii="Rockwell" w:hAnsi="Rockwell"/>
                <w:b/>
                <w:bCs/>
                <w:szCs w:val="26"/>
                <w:lang w:eastAsia="en-US"/>
              </w:rPr>
              <w:t>TOTAL</w:t>
            </w:r>
          </w:p>
        </w:tc>
        <w:tc>
          <w:tcPr>
            <w:tcW w:w="1536"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9AEE673" w14:textId="77777777" w:rsidR="00284822" w:rsidRPr="00732978" w:rsidRDefault="00F77BF8">
            <w:pPr>
              <w:suppressAutoHyphens w:val="0"/>
              <w:spacing w:before="120" w:after="120"/>
              <w:jc w:val="center"/>
              <w:rPr>
                <w:rFonts w:ascii="Rockwell" w:hAnsi="Rockwell"/>
                <w:b/>
                <w:szCs w:val="26"/>
                <w:lang w:eastAsia="en-US"/>
              </w:rPr>
            </w:pPr>
            <w:proofErr w:type="gramStart"/>
            <w:r w:rsidRPr="00732978">
              <w:rPr>
                <w:rFonts w:ascii="Rockwell" w:hAnsi="Rockwell"/>
                <w:b/>
                <w:szCs w:val="26"/>
                <w:lang w:eastAsia="en-US"/>
              </w:rPr>
              <w:t>00:</w:t>
            </w:r>
            <w:proofErr w:type="gramEnd"/>
            <w:r w:rsidRPr="00732978">
              <w:rPr>
                <w:rFonts w:ascii="Rockwell" w:hAnsi="Rockwell"/>
                <w:b/>
                <w:szCs w:val="26"/>
                <w:lang w:eastAsia="en-US"/>
              </w:rPr>
              <w:t>46:00</w:t>
            </w:r>
          </w:p>
        </w:tc>
        <w:tc>
          <w:tcPr>
            <w:tcW w:w="1688" w:type="dxa"/>
            <w:tcBorders>
              <w:top w:val="nil"/>
              <w:left w:val="nil"/>
              <w:bottom w:val="single" w:sz="8" w:space="0" w:color="000000"/>
              <w:right w:val="single" w:sz="8" w:space="0" w:color="000000"/>
            </w:tcBorders>
            <w:tcMar>
              <w:top w:w="0" w:type="dxa"/>
              <w:left w:w="70" w:type="dxa"/>
              <w:bottom w:w="0" w:type="dxa"/>
              <w:right w:w="70" w:type="dxa"/>
            </w:tcMar>
            <w:vAlign w:val="center"/>
          </w:tcPr>
          <w:p w14:paraId="15CB80B4" w14:textId="77777777" w:rsidR="00284822" w:rsidRPr="00732978" w:rsidRDefault="00F77BF8">
            <w:pPr>
              <w:suppressAutoHyphens w:val="0"/>
              <w:spacing w:before="120" w:after="120"/>
              <w:jc w:val="center"/>
              <w:rPr>
                <w:rFonts w:ascii="Rockwell" w:hAnsi="Rockwell"/>
                <w:b/>
                <w:szCs w:val="26"/>
                <w:lang w:eastAsia="en-US"/>
              </w:rPr>
            </w:pPr>
            <w:r w:rsidRPr="00732978">
              <w:rPr>
                <w:rFonts w:ascii="Rockwell" w:hAnsi="Rockwell"/>
                <w:b/>
                <w:szCs w:val="26"/>
                <w:lang w:eastAsia="en-US"/>
              </w:rPr>
              <w:t>100,00%</w:t>
            </w:r>
          </w:p>
        </w:tc>
        <w:tc>
          <w:tcPr>
            <w:tcW w:w="1991" w:type="dxa"/>
            <w:tcBorders>
              <w:top w:val="nil"/>
              <w:left w:val="nil"/>
              <w:bottom w:val="single" w:sz="8" w:space="0" w:color="000000"/>
              <w:right w:val="single" w:sz="8" w:space="0" w:color="000000"/>
            </w:tcBorders>
            <w:tcMar>
              <w:top w:w="0" w:type="dxa"/>
              <w:left w:w="70" w:type="dxa"/>
              <w:bottom w:w="0" w:type="dxa"/>
              <w:right w:w="70" w:type="dxa"/>
            </w:tcMar>
            <w:vAlign w:val="center"/>
          </w:tcPr>
          <w:p w14:paraId="3B153256" w14:textId="77777777" w:rsidR="00284822" w:rsidRPr="00732978" w:rsidRDefault="00F77BF8">
            <w:pPr>
              <w:suppressAutoHyphens w:val="0"/>
              <w:spacing w:before="120" w:after="120"/>
              <w:jc w:val="center"/>
              <w:rPr>
                <w:rFonts w:ascii="Rockwell" w:hAnsi="Rockwell"/>
                <w:b/>
                <w:szCs w:val="26"/>
                <w:lang w:eastAsia="en-US"/>
              </w:rPr>
            </w:pPr>
            <w:proofErr w:type="gramStart"/>
            <w:r w:rsidRPr="00732978">
              <w:rPr>
                <w:rFonts w:ascii="Rockwell" w:hAnsi="Rockwell"/>
                <w:b/>
                <w:szCs w:val="26"/>
                <w:lang w:eastAsia="en-US"/>
              </w:rPr>
              <w:t>00:</w:t>
            </w:r>
            <w:proofErr w:type="gramEnd"/>
            <w:r w:rsidRPr="00732978">
              <w:rPr>
                <w:rFonts w:ascii="Rockwell" w:hAnsi="Rockwell"/>
                <w:b/>
                <w:szCs w:val="26"/>
                <w:lang w:eastAsia="en-US"/>
              </w:rPr>
              <w:t>14:33</w:t>
            </w:r>
          </w:p>
        </w:tc>
        <w:tc>
          <w:tcPr>
            <w:tcW w:w="1234" w:type="dxa"/>
            <w:tcBorders>
              <w:top w:val="nil"/>
              <w:left w:val="nil"/>
              <w:bottom w:val="single" w:sz="8" w:space="0" w:color="000000"/>
              <w:right w:val="single" w:sz="8" w:space="0" w:color="000000"/>
            </w:tcBorders>
            <w:tcMar>
              <w:top w:w="0" w:type="dxa"/>
              <w:left w:w="70" w:type="dxa"/>
              <w:bottom w:w="0" w:type="dxa"/>
              <w:right w:w="70" w:type="dxa"/>
            </w:tcMar>
            <w:vAlign w:val="center"/>
          </w:tcPr>
          <w:p w14:paraId="3738E8E1" w14:textId="77777777" w:rsidR="00284822" w:rsidRPr="00732978" w:rsidRDefault="00F77BF8">
            <w:pPr>
              <w:suppressAutoHyphens w:val="0"/>
              <w:spacing w:before="120" w:after="120"/>
              <w:jc w:val="center"/>
              <w:rPr>
                <w:rFonts w:ascii="Rockwell" w:hAnsi="Rockwell"/>
                <w:b/>
                <w:szCs w:val="26"/>
                <w:lang w:eastAsia="en-US"/>
              </w:rPr>
            </w:pPr>
            <w:r w:rsidRPr="00732978">
              <w:rPr>
                <w:rFonts w:ascii="Rockwell" w:hAnsi="Rockwell"/>
                <w:b/>
                <w:szCs w:val="26"/>
                <w:lang w:eastAsia="en-US"/>
              </w:rPr>
              <w:t>100,00%</w:t>
            </w:r>
          </w:p>
        </w:tc>
      </w:tr>
    </w:tbl>
    <w:p w14:paraId="5C616ABD" w14:textId="77777777" w:rsidR="00284822" w:rsidRDefault="00F77BF8">
      <w:pPr>
        <w:spacing w:before="120" w:after="120"/>
        <w:ind w:hanging="567"/>
        <w:rPr>
          <w:rFonts w:ascii="Rockwell" w:hAnsi="Rockwell"/>
          <w:i/>
          <w:sz w:val="20"/>
          <w:szCs w:val="20"/>
        </w:rPr>
      </w:pPr>
      <w:r>
        <w:rPr>
          <w:rFonts w:ascii="Rockwell" w:hAnsi="Rockwell"/>
          <w:i/>
          <w:sz w:val="20"/>
          <w:szCs w:val="20"/>
          <w:u w:val="single"/>
          <w:lang w:eastAsia="en-US"/>
        </w:rPr>
        <w:t>Source</w:t>
      </w:r>
      <w:r>
        <w:rPr>
          <w:rFonts w:ascii="Rockwell" w:hAnsi="Rockwell"/>
          <w:i/>
          <w:sz w:val="20"/>
          <w:szCs w:val="20"/>
          <w:lang w:eastAsia="en-US"/>
        </w:rPr>
        <w:t> : CSC</w:t>
      </w:r>
    </w:p>
    <w:p w14:paraId="2048ABE1" w14:textId="77777777" w:rsidR="00284822" w:rsidRDefault="00284822">
      <w:pPr>
        <w:spacing w:before="120" w:after="120"/>
        <w:rPr>
          <w:rFonts w:ascii="Rockwell" w:hAnsi="Rockwell"/>
          <w:b/>
          <w:szCs w:val="26"/>
          <w:u w:val="single"/>
        </w:rPr>
      </w:pPr>
    </w:p>
    <w:p w14:paraId="41CC7C7F" w14:textId="77777777" w:rsidR="00284822" w:rsidRDefault="00284822">
      <w:pPr>
        <w:spacing w:before="120" w:after="120"/>
        <w:rPr>
          <w:rFonts w:ascii="Rockwell" w:hAnsi="Rockwell"/>
          <w:szCs w:val="26"/>
        </w:rPr>
        <w:sectPr w:rsidR="00284822">
          <w:pgSz w:w="11906" w:h="16838"/>
          <w:pgMar w:top="1418" w:right="1418" w:bottom="1418" w:left="1418" w:header="720" w:footer="720" w:gutter="0"/>
          <w:cols w:space="720"/>
        </w:sectPr>
      </w:pPr>
    </w:p>
    <w:p w14:paraId="75999533" w14:textId="3F36ABA5" w:rsidR="00284822" w:rsidRPr="00732978" w:rsidRDefault="00F77BF8">
      <w:pPr>
        <w:spacing w:before="120" w:after="120"/>
        <w:jc w:val="center"/>
        <w:rPr>
          <w:rFonts w:ascii="Rockwell" w:hAnsi="Rockwell"/>
          <w:sz w:val="20"/>
          <w:szCs w:val="20"/>
          <w:u w:val="single"/>
        </w:rPr>
      </w:pPr>
      <w:r w:rsidRPr="00732978">
        <w:rPr>
          <w:rFonts w:ascii="Rockwell" w:hAnsi="Rockwell"/>
          <w:i/>
          <w:sz w:val="20"/>
          <w:szCs w:val="20"/>
          <w:u w:val="single"/>
        </w:rPr>
        <w:lastRenderedPageBreak/>
        <w:t>Représentation graphique des TA et TP obtenus par les partis politiques dans les médias audiovisuels publics</w:t>
      </w:r>
    </w:p>
    <w:p w14:paraId="1FFDAD01" w14:textId="64AEBE51" w:rsidR="00284822" w:rsidRPr="00DF428C" w:rsidRDefault="00732978">
      <w:pPr>
        <w:spacing w:before="120" w:after="120"/>
        <w:jc w:val="center"/>
        <w:rPr>
          <w:rFonts w:ascii="Rockwell" w:hAnsi="Rockwell"/>
          <w:color w:val="FF0000"/>
          <w:szCs w:val="26"/>
        </w:rPr>
      </w:pPr>
      <w:r>
        <w:rPr>
          <w:noProof/>
        </w:rPr>
        <w:drawing>
          <wp:inline distT="0" distB="0" distL="0" distR="0" wp14:anchorId="1EC81613" wp14:editId="5CF15ACB">
            <wp:extent cx="4572000" cy="2743200"/>
            <wp:effectExtent l="0" t="0" r="0" b="0"/>
            <wp:docPr id="1" name="Graphique 1">
              <a:extLst xmlns:a="http://schemas.openxmlformats.org/drawingml/2006/main">
                <a:ext uri="{FF2B5EF4-FFF2-40B4-BE49-F238E27FC236}">
                  <a16:creationId xmlns:a16="http://schemas.microsoft.com/office/drawing/2014/main" id="{BF537135-B9F3-4B56-A11A-F6A985CFA6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8"/>
              </a:graphicData>
            </a:graphic>
          </wp:inline>
        </w:drawing>
      </w:r>
    </w:p>
    <w:p w14:paraId="61E2D35B" w14:textId="77777777" w:rsidR="00284822" w:rsidRDefault="00284822">
      <w:pPr>
        <w:spacing w:before="120" w:after="120"/>
        <w:jc w:val="center"/>
        <w:rPr>
          <w:rFonts w:ascii="Rockwell" w:hAnsi="Rockwell"/>
          <w:sz w:val="16"/>
          <w:szCs w:val="16"/>
        </w:rPr>
      </w:pPr>
    </w:p>
    <w:p w14:paraId="55D33BA6" w14:textId="77777777" w:rsidR="00284822" w:rsidRDefault="00F77BF8">
      <w:pPr>
        <w:pStyle w:val="Titre6"/>
        <w:numPr>
          <w:ilvl w:val="1"/>
          <w:numId w:val="24"/>
        </w:numPr>
        <w:rPr>
          <w:rFonts w:ascii="Rockwell" w:hAnsi="Rockwell"/>
        </w:rPr>
      </w:pPr>
      <w:r>
        <w:rPr>
          <w:rFonts w:ascii="Rockwell" w:hAnsi="Rockwell"/>
        </w:rPr>
        <w:t>Appréciation du pluralisme et de l’équilibre de l’information dans les médias audiovisuels publics de l’Ouest</w:t>
      </w:r>
    </w:p>
    <w:p w14:paraId="23A4373B" w14:textId="77777777" w:rsidR="00284822" w:rsidRDefault="00F77BF8">
      <w:pPr>
        <w:spacing w:before="120" w:after="120"/>
        <w:rPr>
          <w:rFonts w:ascii="Rockwell" w:hAnsi="Rockwell"/>
          <w:szCs w:val="26"/>
        </w:rPr>
      </w:pPr>
      <w:r>
        <w:rPr>
          <w:rFonts w:ascii="Rockwell" w:hAnsi="Rockwell"/>
          <w:szCs w:val="26"/>
        </w:rPr>
        <w:t xml:space="preserve">Les quatre médias publics (les </w:t>
      </w:r>
      <w:r>
        <w:rPr>
          <w:rFonts w:ascii="Rockwell" w:hAnsi="Rockwell"/>
          <w:i/>
          <w:szCs w:val="26"/>
        </w:rPr>
        <w:t xml:space="preserve">RTB2/radio </w:t>
      </w:r>
      <w:r>
        <w:rPr>
          <w:rFonts w:ascii="Rockwell" w:hAnsi="Rockwell"/>
          <w:szCs w:val="26"/>
        </w:rPr>
        <w:t>de</w:t>
      </w:r>
      <w:r>
        <w:rPr>
          <w:rFonts w:ascii="Rockwell" w:hAnsi="Rockwell"/>
          <w:i/>
          <w:szCs w:val="26"/>
        </w:rPr>
        <w:t xml:space="preserve"> Bobo-Dioulasso, Dédougou et Gaoua </w:t>
      </w:r>
      <w:r>
        <w:rPr>
          <w:rFonts w:ascii="Rockwell" w:hAnsi="Rockwell"/>
          <w:szCs w:val="26"/>
        </w:rPr>
        <w:t>ainsi que</w:t>
      </w:r>
      <w:r>
        <w:rPr>
          <w:rFonts w:ascii="Rockwell" w:hAnsi="Rockwell"/>
          <w:i/>
          <w:szCs w:val="26"/>
        </w:rPr>
        <w:t xml:space="preserve"> </w:t>
      </w:r>
      <w:r>
        <w:rPr>
          <w:rFonts w:ascii="Rockwell" w:hAnsi="Rockwell"/>
          <w:szCs w:val="26"/>
        </w:rPr>
        <w:t>la</w:t>
      </w:r>
      <w:r>
        <w:rPr>
          <w:rFonts w:ascii="Rockwell" w:hAnsi="Rockwell"/>
          <w:i/>
          <w:szCs w:val="26"/>
        </w:rPr>
        <w:t xml:space="preserve"> radio Municipale de </w:t>
      </w:r>
      <w:proofErr w:type="spellStart"/>
      <w:r>
        <w:rPr>
          <w:rFonts w:ascii="Rockwell" w:hAnsi="Rockwell"/>
          <w:i/>
          <w:szCs w:val="26"/>
        </w:rPr>
        <w:t>Sya</w:t>
      </w:r>
      <w:proofErr w:type="spellEnd"/>
      <w:r>
        <w:rPr>
          <w:rFonts w:ascii="Rockwell" w:hAnsi="Rockwell"/>
          <w:szCs w:val="26"/>
        </w:rPr>
        <w:t xml:space="preserve">) ont consacré un temps d’antenne (TA) total de 28 heures 58 minutes 56 secondes réparti entre les acteurs de la vie sociopolitique ainsi qu’il suit : </w:t>
      </w:r>
    </w:p>
    <w:p w14:paraId="6DE7A9CC" w14:textId="77777777" w:rsidR="00284822" w:rsidRDefault="00F77BF8">
      <w:pPr>
        <w:pStyle w:val="Paragraphedeliste"/>
        <w:numPr>
          <w:ilvl w:val="0"/>
          <w:numId w:val="25"/>
        </w:numPr>
        <w:rPr>
          <w:rFonts w:ascii="Rockwell" w:hAnsi="Rockwell"/>
        </w:rPr>
      </w:pPr>
      <w:proofErr w:type="gramStart"/>
      <w:r>
        <w:rPr>
          <w:rFonts w:ascii="Rockwell" w:hAnsi="Rockwell"/>
        </w:rPr>
        <w:t>les</w:t>
      </w:r>
      <w:proofErr w:type="gramEnd"/>
      <w:r>
        <w:rPr>
          <w:rFonts w:ascii="Rockwell" w:hAnsi="Rockwell"/>
        </w:rPr>
        <w:t xml:space="preserve"> organisations de la société civile en tête avec 12 heures 23 minutes 49 secondes de temps d’antenne, soit un taux de 42,77% ;</w:t>
      </w:r>
    </w:p>
    <w:p w14:paraId="6B69EF5E" w14:textId="77777777" w:rsidR="00284822" w:rsidRDefault="00F77BF8">
      <w:pPr>
        <w:pStyle w:val="Paragraphedeliste"/>
        <w:numPr>
          <w:ilvl w:val="0"/>
          <w:numId w:val="25"/>
        </w:numPr>
        <w:rPr>
          <w:rFonts w:ascii="Rockwell" w:hAnsi="Rockwell"/>
        </w:rPr>
      </w:pPr>
      <w:proofErr w:type="gramStart"/>
      <w:r>
        <w:rPr>
          <w:rFonts w:ascii="Rockwell" w:hAnsi="Rockwell"/>
        </w:rPr>
        <w:t>le</w:t>
      </w:r>
      <w:proofErr w:type="gramEnd"/>
      <w:r>
        <w:rPr>
          <w:rFonts w:ascii="Rockwell" w:hAnsi="Rockwell"/>
        </w:rPr>
        <w:t xml:space="preserve"> Gouvernement en deuxième position avec un temps d’antenne de 11 heures 55 minutes 59 secondes, soit 41,17% ;</w:t>
      </w:r>
    </w:p>
    <w:p w14:paraId="5A10D784" w14:textId="77777777" w:rsidR="00284822" w:rsidRDefault="00F77BF8">
      <w:pPr>
        <w:pStyle w:val="Paragraphedeliste"/>
        <w:numPr>
          <w:ilvl w:val="0"/>
          <w:numId w:val="25"/>
        </w:numPr>
        <w:rPr>
          <w:rFonts w:ascii="Rockwell" w:hAnsi="Rockwell"/>
        </w:rPr>
      </w:pPr>
      <w:proofErr w:type="gramStart"/>
      <w:r>
        <w:rPr>
          <w:rFonts w:ascii="Rockwell" w:hAnsi="Rockwell"/>
        </w:rPr>
        <w:t>la</w:t>
      </w:r>
      <w:proofErr w:type="gramEnd"/>
      <w:r>
        <w:rPr>
          <w:rFonts w:ascii="Rockwell" w:hAnsi="Rockwell"/>
        </w:rPr>
        <w:t xml:space="preserve"> Présidence du Faso avec 2 heures 35 minutes 10 secondes, soit 08,92% ;</w:t>
      </w:r>
    </w:p>
    <w:p w14:paraId="5328D239" w14:textId="77777777" w:rsidR="00284822" w:rsidRDefault="00F77BF8">
      <w:pPr>
        <w:pStyle w:val="Paragraphedeliste"/>
        <w:numPr>
          <w:ilvl w:val="0"/>
          <w:numId w:val="25"/>
        </w:numPr>
        <w:rPr>
          <w:rFonts w:ascii="Rockwell" w:hAnsi="Rockwell"/>
        </w:rPr>
      </w:pPr>
      <w:r>
        <w:rPr>
          <w:rFonts w:ascii="Rockwell" w:hAnsi="Rockwell"/>
        </w:rPr>
        <w:t xml:space="preserve"> </w:t>
      </w:r>
      <w:proofErr w:type="gramStart"/>
      <w:r>
        <w:rPr>
          <w:rFonts w:ascii="Rockwell" w:hAnsi="Rockwell"/>
        </w:rPr>
        <w:t>l’Assemblée</w:t>
      </w:r>
      <w:proofErr w:type="gramEnd"/>
      <w:r>
        <w:rPr>
          <w:rFonts w:ascii="Rockwell" w:hAnsi="Rockwell"/>
        </w:rPr>
        <w:t xml:space="preserve"> Nationale qui obtient 49 minutes 33 secondes, soit 02,84% ;</w:t>
      </w:r>
    </w:p>
    <w:p w14:paraId="6015A46E" w14:textId="77777777" w:rsidR="00284822" w:rsidRDefault="00F77BF8">
      <w:pPr>
        <w:pStyle w:val="Paragraphedeliste"/>
        <w:numPr>
          <w:ilvl w:val="0"/>
          <w:numId w:val="25"/>
        </w:numPr>
        <w:rPr>
          <w:rFonts w:ascii="Rockwell" w:hAnsi="Rockwell"/>
        </w:rPr>
      </w:pPr>
      <w:proofErr w:type="gramStart"/>
      <w:r>
        <w:rPr>
          <w:rFonts w:ascii="Rockwell" w:hAnsi="Rockwell"/>
        </w:rPr>
        <w:lastRenderedPageBreak/>
        <w:t>les</w:t>
      </w:r>
      <w:proofErr w:type="gramEnd"/>
      <w:r>
        <w:rPr>
          <w:rFonts w:ascii="Rockwell" w:hAnsi="Rockwell"/>
        </w:rPr>
        <w:t xml:space="preserve"> Partis politiques et les Autres Institutions arrivent en cinquième et sixième position avec respectivement 47 minutes 39 secondes, soit 2,74 % et 26 minutes 46 secondes, soit 1,53%.</w:t>
      </w:r>
    </w:p>
    <w:p w14:paraId="3951F3FE" w14:textId="77777777" w:rsidR="00284822" w:rsidRDefault="00F77BF8">
      <w:pPr>
        <w:spacing w:before="120" w:after="120"/>
        <w:rPr>
          <w:rFonts w:ascii="Rockwell" w:hAnsi="Rockwell"/>
          <w:szCs w:val="26"/>
        </w:rPr>
      </w:pPr>
      <w:r>
        <w:rPr>
          <w:rFonts w:ascii="Rockwell" w:hAnsi="Rockwell"/>
          <w:szCs w:val="26"/>
        </w:rPr>
        <w:t>En ce qui concerne les TA obtenus par les cinq (05) premiers partis ou formations politiques, le MPP occupe la première place avec 28 minutes 26 secondes, soit un taux de 59,67%. Le CDP suit avec 8 minutes 56 secondes avec un taux de 18,74 % puis viennent le PPS avec 3 minutes 30 secondes, soit 12 %, le NTD avec 3 minutes 28 secondes, soit 7, 27 % et l’UPC avec 1 minute 1 seconde soit 2,13 %.</w:t>
      </w:r>
    </w:p>
    <w:p w14:paraId="180A1D8F" w14:textId="77777777" w:rsidR="00284822" w:rsidRDefault="00F77BF8">
      <w:pPr>
        <w:spacing w:before="120" w:after="120"/>
        <w:rPr>
          <w:rFonts w:ascii="Rockwell" w:hAnsi="Rockwell"/>
          <w:szCs w:val="26"/>
        </w:rPr>
      </w:pPr>
      <w:r>
        <w:rPr>
          <w:rFonts w:ascii="Rockwell" w:hAnsi="Rockwell"/>
          <w:szCs w:val="26"/>
        </w:rPr>
        <w:t xml:space="preserve">Au niveau des médias de l’Ouest, il est constaté un respect du pluralisme de l’information avec cependant la persistance d’un déséquilibre en faveur de la société civile, du gouvernement et du MPP. </w:t>
      </w:r>
    </w:p>
    <w:p w14:paraId="571CB8F6" w14:textId="77777777" w:rsidR="00284822" w:rsidRDefault="00284822">
      <w:pPr>
        <w:spacing w:before="120" w:after="120"/>
        <w:rPr>
          <w:rFonts w:ascii="Rockwell" w:hAnsi="Rockwell"/>
          <w:szCs w:val="26"/>
        </w:rPr>
      </w:pPr>
    </w:p>
    <w:p w14:paraId="03F0902F" w14:textId="77777777" w:rsidR="00284822" w:rsidRDefault="00284822">
      <w:pPr>
        <w:spacing w:before="120" w:after="120"/>
        <w:jc w:val="center"/>
        <w:rPr>
          <w:rFonts w:ascii="Rockwell" w:hAnsi="Rockwell"/>
          <w:b/>
          <w:color w:val="FF0000"/>
          <w:szCs w:val="26"/>
        </w:rPr>
      </w:pPr>
    </w:p>
    <w:p w14:paraId="19ECC71C" w14:textId="77777777" w:rsidR="00284822" w:rsidRDefault="00284822">
      <w:pPr>
        <w:suppressAutoHyphens w:val="0"/>
        <w:autoSpaceDN/>
        <w:spacing w:before="120" w:after="120"/>
        <w:jc w:val="left"/>
        <w:rPr>
          <w:rFonts w:ascii="Rockwell" w:hAnsi="Rockwell"/>
          <w:color w:val="FF0000"/>
          <w:szCs w:val="26"/>
        </w:rPr>
        <w:sectPr w:rsidR="00284822">
          <w:pgSz w:w="11906" w:h="16838"/>
          <w:pgMar w:top="1418" w:right="1418" w:bottom="1418" w:left="1418" w:header="720" w:footer="720" w:gutter="0"/>
          <w:cols w:space="720"/>
        </w:sectPr>
      </w:pPr>
    </w:p>
    <w:p w14:paraId="028D7F12" w14:textId="77777777" w:rsidR="00284822" w:rsidRDefault="00F77BF8">
      <w:pPr>
        <w:pStyle w:val="Paragraphedeliste"/>
        <w:numPr>
          <w:ilvl w:val="0"/>
          <w:numId w:val="26"/>
        </w:numPr>
        <w:jc w:val="center"/>
        <w:rPr>
          <w:rFonts w:ascii="Rockwell" w:hAnsi="Rockwell"/>
          <w:b/>
          <w:i/>
        </w:rPr>
      </w:pPr>
      <w:r>
        <w:rPr>
          <w:rFonts w:ascii="Rockwell" w:hAnsi="Rockwell"/>
          <w:b/>
          <w:i/>
        </w:rPr>
        <w:lastRenderedPageBreak/>
        <w:t>Médias audiovisuels privés</w:t>
      </w:r>
    </w:p>
    <w:p w14:paraId="09508246" w14:textId="77777777" w:rsidR="00284822" w:rsidRDefault="00F77BF8">
      <w:pPr>
        <w:pStyle w:val="Titre6"/>
        <w:numPr>
          <w:ilvl w:val="1"/>
          <w:numId w:val="22"/>
        </w:numPr>
        <w:ind w:left="1418" w:firstLine="2327"/>
        <w:jc w:val="both"/>
        <w:textAlignment w:val="auto"/>
        <w:rPr>
          <w:rFonts w:ascii="Rockwell" w:hAnsi="Rockwell"/>
        </w:rPr>
      </w:pPr>
      <w:r>
        <w:rPr>
          <w:rFonts w:ascii="Rockwell" w:hAnsi="Rockwell"/>
        </w:rPr>
        <w:t xml:space="preserve">Données des </w:t>
      </w:r>
      <w:bookmarkStart w:id="174" w:name="_Hlk162527120"/>
      <w:r>
        <w:rPr>
          <w:rFonts w:ascii="Rockwell" w:hAnsi="Rockwell"/>
        </w:rPr>
        <w:t>médias audiovisuels privés</w:t>
      </w:r>
      <w:bookmarkEnd w:id="174"/>
    </w:p>
    <w:p w14:paraId="70A27BC4" w14:textId="77777777" w:rsidR="00284822" w:rsidRDefault="00F77BF8">
      <w:pPr>
        <w:spacing w:before="120" w:after="120"/>
        <w:jc w:val="center"/>
        <w:rPr>
          <w:rFonts w:ascii="Rockwell" w:hAnsi="Rockwell"/>
          <w:sz w:val="22"/>
          <w:szCs w:val="22"/>
        </w:rPr>
      </w:pPr>
      <w:r>
        <w:rPr>
          <w:rFonts w:ascii="Rockwell" w:hAnsi="Rockwell"/>
          <w:b/>
          <w:i/>
          <w:sz w:val="22"/>
          <w:szCs w:val="22"/>
          <w:u w:val="single"/>
        </w:rPr>
        <w:t>Tableau 24</w:t>
      </w:r>
      <w:r>
        <w:rPr>
          <w:rFonts w:ascii="Rockwell" w:hAnsi="Rockwell"/>
          <w:b/>
          <w:i/>
          <w:sz w:val="22"/>
          <w:szCs w:val="22"/>
        </w:rPr>
        <w:t xml:space="preserve"> : </w:t>
      </w:r>
      <w:r>
        <w:rPr>
          <w:rFonts w:ascii="Rockwell" w:hAnsi="Rockwell"/>
          <w:i/>
          <w:sz w:val="22"/>
          <w:szCs w:val="22"/>
        </w:rPr>
        <w:t xml:space="preserve">Synthèse des TA et TP obtenus par les acteurs sociopolitiques dans les radios privées </w:t>
      </w:r>
    </w:p>
    <w:p w14:paraId="2472F1DA" w14:textId="77777777" w:rsidR="00284822" w:rsidRDefault="00F77BF8">
      <w:pPr>
        <w:spacing w:before="120" w:after="120"/>
        <w:rPr>
          <w:rFonts w:ascii="Rockwell" w:hAnsi="Rockwell"/>
          <w:szCs w:val="26"/>
        </w:rPr>
      </w:pPr>
      <w:r>
        <w:rPr>
          <w:rFonts w:ascii="Rockwell" w:hAnsi="Rockwell"/>
          <w:noProof/>
          <w:szCs w:val="26"/>
        </w:rPr>
        <w:drawing>
          <wp:inline distT="0" distB="0" distL="0" distR="0" wp14:anchorId="77E06189" wp14:editId="760AB828">
            <wp:extent cx="8958580" cy="3944620"/>
            <wp:effectExtent l="0" t="0" r="0" b="0"/>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 38"/>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a:xfrm>
                      <a:off x="0" y="0"/>
                      <a:ext cx="8981435" cy="3954512"/>
                    </a:xfrm>
                    <a:prstGeom prst="rect">
                      <a:avLst/>
                    </a:prstGeom>
                    <a:noFill/>
                    <a:ln>
                      <a:noFill/>
                    </a:ln>
                  </pic:spPr>
                </pic:pic>
              </a:graphicData>
            </a:graphic>
          </wp:inline>
        </w:drawing>
      </w:r>
    </w:p>
    <w:p w14:paraId="68B4F2DD" w14:textId="77777777" w:rsidR="00284822" w:rsidRDefault="00284822">
      <w:pPr>
        <w:tabs>
          <w:tab w:val="left" w:pos="2646"/>
        </w:tabs>
        <w:spacing w:before="120" w:after="120"/>
        <w:rPr>
          <w:rFonts w:ascii="Rockwell" w:hAnsi="Rockwell"/>
          <w:szCs w:val="26"/>
        </w:rPr>
      </w:pPr>
    </w:p>
    <w:p w14:paraId="7AB1C614" w14:textId="77777777" w:rsidR="00284822" w:rsidRDefault="00284822">
      <w:pPr>
        <w:suppressAutoHyphens w:val="0"/>
        <w:autoSpaceDN/>
        <w:spacing w:before="120" w:after="120"/>
        <w:jc w:val="left"/>
        <w:rPr>
          <w:rFonts w:ascii="Rockwell" w:hAnsi="Rockwell"/>
          <w:szCs w:val="26"/>
        </w:rPr>
        <w:sectPr w:rsidR="00284822">
          <w:pgSz w:w="16838" w:h="11906" w:orient="landscape"/>
          <w:pgMar w:top="1418" w:right="3655" w:bottom="1418" w:left="1418" w:header="720" w:footer="720" w:gutter="0"/>
          <w:cols w:space="720"/>
        </w:sectPr>
      </w:pPr>
    </w:p>
    <w:p w14:paraId="299B486D" w14:textId="35F8A2FC" w:rsidR="00284822" w:rsidRPr="002D48AD" w:rsidRDefault="00F77BF8">
      <w:pPr>
        <w:spacing w:before="120" w:after="120"/>
        <w:jc w:val="center"/>
        <w:rPr>
          <w:rFonts w:ascii="Rockwell" w:hAnsi="Rockwell"/>
          <w:i/>
          <w:sz w:val="20"/>
          <w:szCs w:val="20"/>
        </w:rPr>
      </w:pPr>
      <w:r w:rsidRPr="002D48AD">
        <w:rPr>
          <w:rFonts w:ascii="Rockwell" w:hAnsi="Rockwell"/>
          <w:i/>
          <w:sz w:val="20"/>
          <w:szCs w:val="20"/>
          <w:u w:val="single"/>
        </w:rPr>
        <w:lastRenderedPageBreak/>
        <w:t xml:space="preserve">Représentation graphique des TA et TP obtenus par </w:t>
      </w:r>
      <w:r w:rsidR="00481F68" w:rsidRPr="002D48AD">
        <w:rPr>
          <w:rFonts w:ascii="Rockwell" w:hAnsi="Rockwell"/>
          <w:i/>
          <w:sz w:val="20"/>
          <w:szCs w:val="20"/>
          <w:u w:val="single"/>
        </w:rPr>
        <w:t xml:space="preserve">les </w:t>
      </w:r>
      <w:r w:rsidRPr="002D48AD">
        <w:rPr>
          <w:rFonts w:ascii="Rockwell" w:hAnsi="Rockwell"/>
          <w:i/>
          <w:sz w:val="20"/>
          <w:szCs w:val="20"/>
          <w:u w:val="single"/>
        </w:rPr>
        <w:t>acteurs sociopolitiques dans les médias audiovisuels privés</w:t>
      </w:r>
    </w:p>
    <w:p w14:paraId="4EABB90B" w14:textId="77777777" w:rsidR="00284822" w:rsidRDefault="00284822">
      <w:pPr>
        <w:spacing w:before="120" w:after="120"/>
        <w:rPr>
          <w:rFonts w:ascii="Rockwell" w:hAnsi="Rockwell"/>
          <w:b/>
          <w:szCs w:val="26"/>
          <w:u w:val="single"/>
        </w:rPr>
      </w:pPr>
    </w:p>
    <w:p w14:paraId="03CD9DD6" w14:textId="46FF0403" w:rsidR="00284822" w:rsidRDefault="002D48AD">
      <w:pPr>
        <w:spacing w:before="120" w:after="120"/>
        <w:rPr>
          <w:rFonts w:ascii="Rockwell" w:hAnsi="Rockwell"/>
          <w:b/>
          <w:szCs w:val="26"/>
          <w:u w:val="single"/>
        </w:rPr>
        <w:sectPr w:rsidR="00284822">
          <w:pgSz w:w="11906" w:h="16838"/>
          <w:pgMar w:top="1418" w:right="1418" w:bottom="1418" w:left="1418" w:header="720" w:footer="720" w:gutter="0"/>
          <w:cols w:space="720"/>
        </w:sectPr>
      </w:pPr>
      <w:r>
        <w:rPr>
          <w:noProof/>
        </w:rPr>
        <w:drawing>
          <wp:inline distT="0" distB="0" distL="0" distR="0" wp14:anchorId="4049C520" wp14:editId="691C34E3">
            <wp:extent cx="4572000" cy="2743200"/>
            <wp:effectExtent l="0" t="0" r="0" b="0"/>
            <wp:docPr id="76" name="Graphique 76">
              <a:extLst xmlns:a="http://schemas.openxmlformats.org/drawingml/2006/main">
                <a:ext uri="{FF2B5EF4-FFF2-40B4-BE49-F238E27FC236}">
                  <a16:creationId xmlns:a16="http://schemas.microsoft.com/office/drawing/2014/main" id="{A67B82BD-4C2B-4DCF-A7D9-60B88C1444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0"/>
              </a:graphicData>
            </a:graphic>
          </wp:inline>
        </w:drawing>
      </w:r>
      <w:bookmarkStart w:id="175" w:name="_GoBack"/>
      <w:bookmarkEnd w:id="175"/>
    </w:p>
    <w:p w14:paraId="2C57C906" w14:textId="77777777" w:rsidR="00284822" w:rsidRDefault="00F77BF8">
      <w:pPr>
        <w:spacing w:before="120" w:after="120"/>
        <w:jc w:val="center"/>
        <w:rPr>
          <w:rFonts w:ascii="Rockwell" w:hAnsi="Rockwell"/>
          <w:i/>
          <w:sz w:val="20"/>
          <w:szCs w:val="20"/>
        </w:rPr>
      </w:pPr>
      <w:r>
        <w:rPr>
          <w:rFonts w:ascii="Rockwell" w:hAnsi="Rockwell"/>
          <w:b/>
          <w:i/>
          <w:sz w:val="20"/>
          <w:szCs w:val="20"/>
          <w:u w:val="single"/>
        </w:rPr>
        <w:lastRenderedPageBreak/>
        <w:t>Tableau n°25</w:t>
      </w:r>
      <w:r>
        <w:rPr>
          <w:rFonts w:ascii="Rockwell" w:hAnsi="Rockwell"/>
          <w:i/>
          <w:sz w:val="20"/>
          <w:szCs w:val="20"/>
        </w:rPr>
        <w:t xml:space="preserve"> : Synthèse des temps d’antenne et de parole obtenus par les dix (10) partis politiques dans les médias audiovisuels privés</w:t>
      </w:r>
    </w:p>
    <w:tbl>
      <w:tblPr>
        <w:tblW w:w="13882" w:type="dxa"/>
        <w:tblCellMar>
          <w:left w:w="10" w:type="dxa"/>
          <w:right w:w="10" w:type="dxa"/>
        </w:tblCellMar>
        <w:tblLook w:val="04A0" w:firstRow="1" w:lastRow="0" w:firstColumn="1" w:lastColumn="0" w:noHBand="0" w:noVBand="1"/>
      </w:tblPr>
      <w:tblGrid>
        <w:gridCol w:w="1542"/>
        <w:gridCol w:w="3268"/>
        <w:gridCol w:w="2126"/>
        <w:gridCol w:w="2410"/>
        <w:gridCol w:w="2268"/>
        <w:gridCol w:w="2268"/>
      </w:tblGrid>
      <w:tr w:rsidR="00284822" w14:paraId="0F65936F" w14:textId="77777777">
        <w:trPr>
          <w:trHeight w:val="359"/>
        </w:trPr>
        <w:tc>
          <w:tcPr>
            <w:tcW w:w="13882" w:type="dxa"/>
            <w:gridSpan w:val="6"/>
            <w:tcBorders>
              <w:top w:val="single" w:sz="8" w:space="0" w:color="000000"/>
              <w:left w:val="single" w:sz="8" w:space="0" w:color="000000"/>
              <w:bottom w:val="nil"/>
              <w:right w:val="single" w:sz="8" w:space="0" w:color="000000"/>
            </w:tcBorders>
            <w:tcMar>
              <w:top w:w="15" w:type="dxa"/>
              <w:left w:w="70" w:type="dxa"/>
              <w:bottom w:w="0" w:type="dxa"/>
              <w:right w:w="70" w:type="dxa"/>
            </w:tcMar>
            <w:vAlign w:val="center"/>
          </w:tcPr>
          <w:p w14:paraId="3EC7BB34" w14:textId="77777777" w:rsidR="00284822" w:rsidRDefault="00F77BF8">
            <w:pPr>
              <w:spacing w:line="240" w:lineRule="auto"/>
              <w:jc w:val="center"/>
              <w:rPr>
                <w:rFonts w:ascii="Rockwell" w:hAnsi="Rockwell"/>
                <w:szCs w:val="26"/>
              </w:rPr>
            </w:pPr>
            <w:r>
              <w:rPr>
                <w:rFonts w:ascii="Rockwell" w:hAnsi="Rockwell"/>
                <w:b/>
                <w:bCs/>
                <w:i/>
                <w:iCs/>
                <w:color w:val="000000"/>
                <w:szCs w:val="26"/>
                <w:lang w:eastAsia="en-US"/>
              </w:rPr>
              <w:t>Classement des dix (10) partis politiques dans les médias audiovisuels privés selon le temps</w:t>
            </w:r>
          </w:p>
        </w:tc>
      </w:tr>
      <w:tr w:rsidR="00284822" w14:paraId="1111F223" w14:textId="77777777">
        <w:trPr>
          <w:trHeight w:val="420"/>
        </w:trPr>
        <w:tc>
          <w:tcPr>
            <w:tcW w:w="13882" w:type="dxa"/>
            <w:gridSpan w:val="6"/>
            <w:tcBorders>
              <w:top w:val="nil"/>
              <w:left w:val="single" w:sz="8" w:space="0" w:color="000000"/>
              <w:bottom w:val="single" w:sz="8" w:space="0" w:color="000000"/>
              <w:right w:val="single" w:sz="8" w:space="0" w:color="000000"/>
            </w:tcBorders>
            <w:tcMar>
              <w:top w:w="15" w:type="dxa"/>
              <w:left w:w="70" w:type="dxa"/>
              <w:bottom w:w="0" w:type="dxa"/>
              <w:right w:w="70" w:type="dxa"/>
            </w:tcMar>
            <w:vAlign w:val="center"/>
          </w:tcPr>
          <w:p w14:paraId="46D5BF1F" w14:textId="77777777" w:rsidR="00284822" w:rsidRDefault="00F77BF8">
            <w:pPr>
              <w:suppressAutoHyphens w:val="0"/>
              <w:spacing w:line="240" w:lineRule="auto"/>
              <w:jc w:val="center"/>
              <w:rPr>
                <w:rFonts w:ascii="Rockwell" w:hAnsi="Rockwell"/>
                <w:b/>
                <w:bCs/>
                <w:i/>
                <w:iCs/>
                <w:color w:val="000000"/>
                <w:szCs w:val="26"/>
                <w:lang w:eastAsia="en-US"/>
              </w:rPr>
            </w:pPr>
            <w:proofErr w:type="gramStart"/>
            <w:r>
              <w:rPr>
                <w:rFonts w:ascii="Rockwell" w:hAnsi="Rockwell"/>
                <w:b/>
                <w:bCs/>
                <w:i/>
                <w:iCs/>
                <w:color w:val="000000"/>
                <w:szCs w:val="26"/>
                <w:lang w:eastAsia="en-US"/>
              </w:rPr>
              <w:t>d’antenne</w:t>
            </w:r>
            <w:proofErr w:type="gramEnd"/>
            <w:r>
              <w:rPr>
                <w:rFonts w:ascii="Rockwell" w:hAnsi="Rockwell"/>
                <w:b/>
                <w:bCs/>
                <w:i/>
                <w:iCs/>
                <w:color w:val="000000"/>
                <w:szCs w:val="26"/>
                <w:lang w:eastAsia="en-US"/>
              </w:rPr>
              <w:t xml:space="preserve"> et de parole</w:t>
            </w:r>
          </w:p>
        </w:tc>
      </w:tr>
      <w:tr w:rsidR="00284822" w14:paraId="1E75F83C" w14:textId="77777777">
        <w:trPr>
          <w:trHeight w:val="669"/>
        </w:trPr>
        <w:tc>
          <w:tcPr>
            <w:tcW w:w="1542" w:type="dxa"/>
            <w:tcBorders>
              <w:top w:val="nil"/>
              <w:left w:val="single" w:sz="8" w:space="0" w:color="000000"/>
              <w:bottom w:val="single" w:sz="8" w:space="0" w:color="000000"/>
              <w:right w:val="single" w:sz="8" w:space="0" w:color="000000"/>
            </w:tcBorders>
            <w:shd w:val="clear" w:color="auto" w:fill="BDD6EE"/>
            <w:tcMar>
              <w:top w:w="15" w:type="dxa"/>
              <w:left w:w="70" w:type="dxa"/>
              <w:bottom w:w="0" w:type="dxa"/>
              <w:right w:w="70" w:type="dxa"/>
            </w:tcMar>
            <w:vAlign w:val="center"/>
          </w:tcPr>
          <w:p w14:paraId="7882F570" w14:textId="77777777" w:rsidR="00284822" w:rsidRDefault="00F77BF8">
            <w:pPr>
              <w:suppressAutoHyphens w:val="0"/>
              <w:spacing w:line="240" w:lineRule="auto"/>
              <w:jc w:val="center"/>
              <w:rPr>
                <w:rFonts w:ascii="Rockwell" w:hAnsi="Rockwell"/>
                <w:szCs w:val="26"/>
                <w:lang w:eastAsia="en-US"/>
              </w:rPr>
            </w:pPr>
            <w:r>
              <w:rPr>
                <w:rFonts w:ascii="Rockwell" w:hAnsi="Rockwell"/>
                <w:b/>
                <w:bCs/>
                <w:szCs w:val="26"/>
                <w:lang w:eastAsia="en-US"/>
              </w:rPr>
              <w:t>N° d’ordre</w:t>
            </w:r>
          </w:p>
        </w:tc>
        <w:tc>
          <w:tcPr>
            <w:tcW w:w="3268" w:type="dxa"/>
            <w:tcBorders>
              <w:top w:val="nil"/>
              <w:left w:val="nil"/>
              <w:bottom w:val="single" w:sz="8" w:space="0" w:color="000000"/>
              <w:right w:val="single" w:sz="8" w:space="0" w:color="000000"/>
            </w:tcBorders>
            <w:shd w:val="clear" w:color="auto" w:fill="BDD6EE"/>
            <w:tcMar>
              <w:top w:w="15" w:type="dxa"/>
              <w:left w:w="70" w:type="dxa"/>
              <w:bottom w:w="0" w:type="dxa"/>
              <w:right w:w="70" w:type="dxa"/>
            </w:tcMar>
            <w:vAlign w:val="center"/>
          </w:tcPr>
          <w:p w14:paraId="530EC9E4" w14:textId="77777777" w:rsidR="00284822" w:rsidRDefault="00F77BF8">
            <w:pPr>
              <w:suppressAutoHyphens w:val="0"/>
              <w:spacing w:line="240" w:lineRule="auto"/>
              <w:jc w:val="center"/>
              <w:rPr>
                <w:rFonts w:ascii="Rockwell" w:hAnsi="Rockwell"/>
                <w:szCs w:val="26"/>
                <w:lang w:eastAsia="en-US"/>
              </w:rPr>
            </w:pPr>
            <w:r>
              <w:rPr>
                <w:rFonts w:ascii="Rockwell" w:hAnsi="Rockwell"/>
                <w:b/>
                <w:bCs/>
                <w:szCs w:val="26"/>
                <w:lang w:eastAsia="en-US"/>
              </w:rPr>
              <w:t>Partis politiques</w:t>
            </w:r>
          </w:p>
        </w:tc>
        <w:tc>
          <w:tcPr>
            <w:tcW w:w="2126" w:type="dxa"/>
            <w:tcBorders>
              <w:top w:val="nil"/>
              <w:left w:val="nil"/>
              <w:bottom w:val="single" w:sz="8" w:space="0" w:color="000000"/>
              <w:right w:val="single" w:sz="8" w:space="0" w:color="000000"/>
            </w:tcBorders>
            <w:shd w:val="clear" w:color="auto" w:fill="BDD6EE"/>
            <w:tcMar>
              <w:top w:w="15" w:type="dxa"/>
              <w:left w:w="70" w:type="dxa"/>
              <w:bottom w:w="0" w:type="dxa"/>
              <w:right w:w="70" w:type="dxa"/>
            </w:tcMar>
            <w:vAlign w:val="center"/>
          </w:tcPr>
          <w:p w14:paraId="79640192" w14:textId="77777777" w:rsidR="00284822" w:rsidRDefault="00F77BF8">
            <w:pPr>
              <w:suppressAutoHyphens w:val="0"/>
              <w:spacing w:line="240" w:lineRule="auto"/>
              <w:jc w:val="center"/>
              <w:rPr>
                <w:rFonts w:ascii="Rockwell" w:hAnsi="Rockwell"/>
                <w:szCs w:val="26"/>
                <w:lang w:eastAsia="en-US"/>
              </w:rPr>
            </w:pPr>
            <w:r>
              <w:rPr>
                <w:rFonts w:ascii="Rockwell" w:hAnsi="Rockwell"/>
                <w:b/>
                <w:bCs/>
                <w:szCs w:val="26"/>
                <w:lang w:eastAsia="en-US"/>
              </w:rPr>
              <w:t>TA</w:t>
            </w:r>
          </w:p>
        </w:tc>
        <w:tc>
          <w:tcPr>
            <w:tcW w:w="2410" w:type="dxa"/>
            <w:tcBorders>
              <w:top w:val="nil"/>
              <w:left w:val="nil"/>
              <w:bottom w:val="single" w:sz="8" w:space="0" w:color="000000"/>
              <w:right w:val="single" w:sz="8" w:space="0" w:color="000000"/>
            </w:tcBorders>
            <w:shd w:val="clear" w:color="auto" w:fill="BDD6EE"/>
            <w:tcMar>
              <w:top w:w="15" w:type="dxa"/>
              <w:left w:w="70" w:type="dxa"/>
              <w:bottom w:w="0" w:type="dxa"/>
              <w:right w:w="70" w:type="dxa"/>
            </w:tcMar>
            <w:vAlign w:val="center"/>
          </w:tcPr>
          <w:p w14:paraId="0C9D44C3" w14:textId="77777777" w:rsidR="00284822" w:rsidRDefault="00F77BF8">
            <w:pPr>
              <w:suppressAutoHyphens w:val="0"/>
              <w:spacing w:line="240" w:lineRule="auto"/>
              <w:jc w:val="center"/>
              <w:rPr>
                <w:rFonts w:ascii="Rockwell" w:hAnsi="Rockwell"/>
                <w:szCs w:val="26"/>
                <w:lang w:eastAsia="en-US"/>
              </w:rPr>
            </w:pPr>
            <w:r>
              <w:rPr>
                <w:rFonts w:ascii="Rockwell" w:hAnsi="Rockwell"/>
                <w:b/>
                <w:bCs/>
                <w:szCs w:val="26"/>
                <w:lang w:eastAsia="en-US"/>
              </w:rPr>
              <w:t>%TA</w:t>
            </w:r>
          </w:p>
        </w:tc>
        <w:tc>
          <w:tcPr>
            <w:tcW w:w="2268" w:type="dxa"/>
            <w:tcBorders>
              <w:top w:val="nil"/>
              <w:left w:val="nil"/>
              <w:bottom w:val="single" w:sz="8" w:space="0" w:color="000000"/>
              <w:right w:val="single" w:sz="8" w:space="0" w:color="000000"/>
            </w:tcBorders>
            <w:shd w:val="clear" w:color="auto" w:fill="BDD6EE"/>
            <w:tcMar>
              <w:top w:w="15" w:type="dxa"/>
              <w:left w:w="70" w:type="dxa"/>
              <w:bottom w:w="0" w:type="dxa"/>
              <w:right w:w="70" w:type="dxa"/>
            </w:tcMar>
            <w:vAlign w:val="center"/>
          </w:tcPr>
          <w:p w14:paraId="0863B719" w14:textId="77777777" w:rsidR="00284822" w:rsidRDefault="00F77BF8">
            <w:pPr>
              <w:suppressAutoHyphens w:val="0"/>
              <w:spacing w:line="240" w:lineRule="auto"/>
              <w:jc w:val="center"/>
              <w:rPr>
                <w:rFonts w:ascii="Rockwell" w:hAnsi="Rockwell"/>
                <w:szCs w:val="26"/>
                <w:lang w:eastAsia="en-US"/>
              </w:rPr>
            </w:pPr>
            <w:r>
              <w:rPr>
                <w:rFonts w:ascii="Rockwell" w:hAnsi="Rockwell"/>
                <w:b/>
                <w:bCs/>
                <w:szCs w:val="26"/>
                <w:lang w:eastAsia="en-US"/>
              </w:rPr>
              <w:t>TP</w:t>
            </w:r>
          </w:p>
        </w:tc>
        <w:tc>
          <w:tcPr>
            <w:tcW w:w="2268" w:type="dxa"/>
            <w:tcBorders>
              <w:top w:val="nil"/>
              <w:left w:val="nil"/>
              <w:bottom w:val="single" w:sz="8" w:space="0" w:color="000000"/>
              <w:right w:val="single" w:sz="8" w:space="0" w:color="000000"/>
            </w:tcBorders>
            <w:shd w:val="clear" w:color="auto" w:fill="BDD6EE"/>
            <w:tcMar>
              <w:top w:w="15" w:type="dxa"/>
              <w:left w:w="70" w:type="dxa"/>
              <w:bottom w:w="0" w:type="dxa"/>
              <w:right w:w="70" w:type="dxa"/>
            </w:tcMar>
            <w:vAlign w:val="center"/>
          </w:tcPr>
          <w:p w14:paraId="7473EDC8" w14:textId="77777777" w:rsidR="00284822" w:rsidRDefault="00F77BF8">
            <w:pPr>
              <w:suppressAutoHyphens w:val="0"/>
              <w:spacing w:line="240" w:lineRule="auto"/>
              <w:jc w:val="center"/>
              <w:rPr>
                <w:rFonts w:ascii="Rockwell" w:hAnsi="Rockwell"/>
                <w:szCs w:val="26"/>
                <w:lang w:eastAsia="en-US"/>
              </w:rPr>
            </w:pPr>
            <w:r>
              <w:rPr>
                <w:rFonts w:ascii="Rockwell" w:hAnsi="Rockwell"/>
                <w:b/>
                <w:bCs/>
                <w:szCs w:val="26"/>
                <w:lang w:eastAsia="en-US"/>
              </w:rPr>
              <w:t>%TP</w:t>
            </w:r>
          </w:p>
        </w:tc>
      </w:tr>
      <w:tr w:rsidR="00284822" w14:paraId="274924C7" w14:textId="77777777">
        <w:trPr>
          <w:trHeight w:val="551"/>
        </w:trPr>
        <w:tc>
          <w:tcPr>
            <w:tcW w:w="1542" w:type="dxa"/>
            <w:tcBorders>
              <w:top w:val="nil"/>
              <w:left w:val="single" w:sz="8" w:space="0" w:color="000000"/>
              <w:bottom w:val="single" w:sz="8" w:space="0" w:color="000000"/>
              <w:right w:val="single" w:sz="8" w:space="0" w:color="000000"/>
            </w:tcBorders>
            <w:tcMar>
              <w:top w:w="15" w:type="dxa"/>
              <w:left w:w="70" w:type="dxa"/>
              <w:bottom w:w="0" w:type="dxa"/>
              <w:right w:w="70" w:type="dxa"/>
            </w:tcMar>
            <w:vAlign w:val="center"/>
          </w:tcPr>
          <w:p w14:paraId="2EC0E2E6" w14:textId="1B3096CC"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1</w:t>
            </w:r>
          </w:p>
        </w:tc>
        <w:tc>
          <w:tcPr>
            <w:tcW w:w="3268"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38CD67DF"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MPP</w:t>
            </w:r>
          </w:p>
        </w:tc>
        <w:tc>
          <w:tcPr>
            <w:tcW w:w="2126"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3B16B971" w14:textId="77777777" w:rsidR="00284822" w:rsidRDefault="00F77BF8">
            <w:pPr>
              <w:suppressAutoHyphens w:val="0"/>
              <w:spacing w:line="240" w:lineRule="auto"/>
              <w:jc w:val="center"/>
              <w:rPr>
                <w:rFonts w:ascii="Rockwell" w:hAnsi="Rockwell" w:cs="Calibri"/>
                <w:color w:val="000000"/>
                <w:szCs w:val="26"/>
                <w:lang w:eastAsia="en-US"/>
              </w:rPr>
            </w:pPr>
            <w:proofErr w:type="gramStart"/>
            <w:r>
              <w:rPr>
                <w:rFonts w:ascii="Rockwell" w:hAnsi="Rockwell" w:cs="Calibri"/>
                <w:color w:val="000000"/>
                <w:szCs w:val="26"/>
                <w:lang w:eastAsia="en-US"/>
              </w:rPr>
              <w:t>00:</w:t>
            </w:r>
            <w:proofErr w:type="gramEnd"/>
            <w:r>
              <w:rPr>
                <w:rFonts w:ascii="Rockwell" w:hAnsi="Rockwell" w:cs="Calibri"/>
                <w:color w:val="000000"/>
                <w:szCs w:val="26"/>
                <w:lang w:eastAsia="en-US"/>
              </w:rPr>
              <w:t>33:14</w:t>
            </w:r>
          </w:p>
        </w:tc>
        <w:tc>
          <w:tcPr>
            <w:tcW w:w="2410"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71D4FF50"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34,95%</w:t>
            </w:r>
          </w:p>
        </w:tc>
        <w:tc>
          <w:tcPr>
            <w:tcW w:w="2268"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1353830C" w14:textId="77777777" w:rsidR="00284822" w:rsidRDefault="00F77BF8">
            <w:pPr>
              <w:suppressAutoHyphens w:val="0"/>
              <w:spacing w:line="240" w:lineRule="auto"/>
              <w:jc w:val="center"/>
              <w:rPr>
                <w:rFonts w:ascii="Rockwell" w:hAnsi="Rockwell" w:cs="Calibri"/>
                <w:color w:val="000000"/>
                <w:szCs w:val="26"/>
                <w:lang w:eastAsia="en-US"/>
              </w:rPr>
            </w:pPr>
            <w:proofErr w:type="gramStart"/>
            <w:r>
              <w:rPr>
                <w:rFonts w:ascii="Rockwell" w:hAnsi="Rockwell" w:cs="Calibri"/>
                <w:color w:val="000000"/>
                <w:szCs w:val="26"/>
                <w:lang w:eastAsia="en-US"/>
              </w:rPr>
              <w:t>00:</w:t>
            </w:r>
            <w:proofErr w:type="gramEnd"/>
            <w:r>
              <w:rPr>
                <w:rFonts w:ascii="Rockwell" w:hAnsi="Rockwell" w:cs="Calibri"/>
                <w:color w:val="000000"/>
                <w:szCs w:val="26"/>
                <w:lang w:eastAsia="en-US"/>
              </w:rPr>
              <w:t>10:41</w:t>
            </w:r>
          </w:p>
        </w:tc>
        <w:tc>
          <w:tcPr>
            <w:tcW w:w="2268"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05D714E4"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50,24%</w:t>
            </w:r>
          </w:p>
        </w:tc>
      </w:tr>
      <w:tr w:rsidR="00284822" w14:paraId="34FC56B4" w14:textId="77777777">
        <w:trPr>
          <w:trHeight w:val="417"/>
        </w:trPr>
        <w:tc>
          <w:tcPr>
            <w:tcW w:w="1542" w:type="dxa"/>
            <w:tcBorders>
              <w:top w:val="nil"/>
              <w:left w:val="single" w:sz="8" w:space="0" w:color="000000"/>
              <w:bottom w:val="single" w:sz="8" w:space="0" w:color="000000"/>
              <w:right w:val="single" w:sz="8" w:space="0" w:color="000000"/>
            </w:tcBorders>
            <w:tcMar>
              <w:top w:w="15" w:type="dxa"/>
              <w:left w:w="70" w:type="dxa"/>
              <w:bottom w:w="0" w:type="dxa"/>
              <w:right w:w="70" w:type="dxa"/>
            </w:tcMar>
            <w:vAlign w:val="center"/>
          </w:tcPr>
          <w:p w14:paraId="3C14B7BE"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2</w:t>
            </w:r>
          </w:p>
        </w:tc>
        <w:tc>
          <w:tcPr>
            <w:tcW w:w="3268"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01D9B883"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CDP</w:t>
            </w:r>
          </w:p>
        </w:tc>
        <w:tc>
          <w:tcPr>
            <w:tcW w:w="2126"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18882DD1" w14:textId="77777777" w:rsidR="00284822" w:rsidRDefault="00F77BF8">
            <w:pPr>
              <w:suppressAutoHyphens w:val="0"/>
              <w:spacing w:line="240" w:lineRule="auto"/>
              <w:jc w:val="center"/>
              <w:rPr>
                <w:rFonts w:ascii="Rockwell" w:hAnsi="Rockwell" w:cs="Calibri"/>
                <w:color w:val="000000"/>
                <w:szCs w:val="26"/>
                <w:lang w:eastAsia="en-US"/>
              </w:rPr>
            </w:pPr>
            <w:proofErr w:type="gramStart"/>
            <w:r>
              <w:rPr>
                <w:rFonts w:ascii="Rockwell" w:hAnsi="Rockwell" w:cs="Calibri"/>
                <w:color w:val="000000"/>
                <w:szCs w:val="26"/>
                <w:lang w:eastAsia="en-US"/>
              </w:rPr>
              <w:t>00:</w:t>
            </w:r>
            <w:proofErr w:type="gramEnd"/>
            <w:r>
              <w:rPr>
                <w:rFonts w:ascii="Rockwell" w:hAnsi="Rockwell" w:cs="Calibri"/>
                <w:color w:val="000000"/>
                <w:szCs w:val="26"/>
                <w:lang w:eastAsia="en-US"/>
              </w:rPr>
              <w:t>22:15</w:t>
            </w:r>
          </w:p>
        </w:tc>
        <w:tc>
          <w:tcPr>
            <w:tcW w:w="2410"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3B52758F"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23,40%</w:t>
            </w:r>
          </w:p>
        </w:tc>
        <w:tc>
          <w:tcPr>
            <w:tcW w:w="2268"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6574B621" w14:textId="77777777" w:rsidR="00284822" w:rsidRDefault="00F77BF8">
            <w:pPr>
              <w:suppressAutoHyphens w:val="0"/>
              <w:spacing w:line="240" w:lineRule="auto"/>
              <w:jc w:val="center"/>
              <w:rPr>
                <w:rFonts w:ascii="Rockwell" w:hAnsi="Rockwell" w:cs="Calibri"/>
                <w:color w:val="000000"/>
                <w:szCs w:val="26"/>
                <w:lang w:eastAsia="en-US"/>
              </w:rPr>
            </w:pPr>
            <w:proofErr w:type="gramStart"/>
            <w:r>
              <w:rPr>
                <w:rFonts w:ascii="Rockwell" w:hAnsi="Rockwell" w:cs="Calibri"/>
                <w:color w:val="000000"/>
                <w:szCs w:val="26"/>
                <w:lang w:eastAsia="en-US"/>
              </w:rPr>
              <w:t>00:</w:t>
            </w:r>
            <w:proofErr w:type="gramEnd"/>
            <w:r>
              <w:rPr>
                <w:rFonts w:ascii="Rockwell" w:hAnsi="Rockwell" w:cs="Calibri"/>
                <w:color w:val="000000"/>
                <w:szCs w:val="26"/>
                <w:lang w:eastAsia="en-US"/>
              </w:rPr>
              <w:t>02:12</w:t>
            </w:r>
          </w:p>
        </w:tc>
        <w:tc>
          <w:tcPr>
            <w:tcW w:w="2268"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497BFF42"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10,34%</w:t>
            </w:r>
          </w:p>
        </w:tc>
      </w:tr>
      <w:tr w:rsidR="00284822" w14:paraId="640CBD35" w14:textId="77777777">
        <w:trPr>
          <w:trHeight w:val="553"/>
        </w:trPr>
        <w:tc>
          <w:tcPr>
            <w:tcW w:w="1542" w:type="dxa"/>
            <w:tcBorders>
              <w:top w:val="nil"/>
              <w:left w:val="single" w:sz="8" w:space="0" w:color="000000"/>
              <w:bottom w:val="single" w:sz="8" w:space="0" w:color="000000"/>
              <w:right w:val="single" w:sz="8" w:space="0" w:color="000000"/>
            </w:tcBorders>
            <w:tcMar>
              <w:top w:w="15" w:type="dxa"/>
              <w:left w:w="70" w:type="dxa"/>
              <w:bottom w:w="0" w:type="dxa"/>
              <w:right w:w="70" w:type="dxa"/>
            </w:tcMar>
            <w:vAlign w:val="center"/>
          </w:tcPr>
          <w:p w14:paraId="4F96F50E"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3</w:t>
            </w:r>
          </w:p>
        </w:tc>
        <w:tc>
          <w:tcPr>
            <w:tcW w:w="3268"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6D4406BB"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PPS</w:t>
            </w:r>
          </w:p>
        </w:tc>
        <w:tc>
          <w:tcPr>
            <w:tcW w:w="2126"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65C31C4F" w14:textId="77777777" w:rsidR="00284822" w:rsidRDefault="00F77BF8">
            <w:pPr>
              <w:suppressAutoHyphens w:val="0"/>
              <w:spacing w:line="240" w:lineRule="auto"/>
              <w:jc w:val="center"/>
              <w:rPr>
                <w:rFonts w:ascii="Rockwell" w:hAnsi="Rockwell" w:cs="Calibri"/>
                <w:color w:val="000000"/>
                <w:szCs w:val="26"/>
                <w:lang w:eastAsia="en-US"/>
              </w:rPr>
            </w:pPr>
            <w:proofErr w:type="gramStart"/>
            <w:r>
              <w:rPr>
                <w:rFonts w:ascii="Rockwell" w:hAnsi="Rockwell" w:cs="Calibri"/>
                <w:color w:val="000000"/>
                <w:szCs w:val="26"/>
                <w:lang w:eastAsia="en-US"/>
              </w:rPr>
              <w:t>00:</w:t>
            </w:r>
            <w:proofErr w:type="gramEnd"/>
            <w:r>
              <w:rPr>
                <w:rFonts w:ascii="Rockwell" w:hAnsi="Rockwell" w:cs="Calibri"/>
                <w:color w:val="000000"/>
                <w:szCs w:val="26"/>
                <w:lang w:eastAsia="en-US"/>
              </w:rPr>
              <w:t>15:25</w:t>
            </w:r>
          </w:p>
        </w:tc>
        <w:tc>
          <w:tcPr>
            <w:tcW w:w="2410"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0921DD97"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16,21%</w:t>
            </w:r>
          </w:p>
        </w:tc>
        <w:tc>
          <w:tcPr>
            <w:tcW w:w="2268"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733EA9FE" w14:textId="77777777" w:rsidR="00284822" w:rsidRDefault="00F77BF8">
            <w:pPr>
              <w:suppressAutoHyphens w:val="0"/>
              <w:spacing w:line="240" w:lineRule="auto"/>
              <w:jc w:val="center"/>
              <w:rPr>
                <w:rFonts w:ascii="Rockwell" w:hAnsi="Rockwell" w:cs="Calibri"/>
                <w:color w:val="000000"/>
                <w:szCs w:val="26"/>
                <w:lang w:eastAsia="en-US"/>
              </w:rPr>
            </w:pPr>
            <w:proofErr w:type="gramStart"/>
            <w:r>
              <w:rPr>
                <w:rFonts w:ascii="Rockwell" w:hAnsi="Rockwell" w:cs="Calibri"/>
                <w:color w:val="000000"/>
                <w:szCs w:val="26"/>
                <w:lang w:eastAsia="en-US"/>
              </w:rPr>
              <w:t>00:</w:t>
            </w:r>
            <w:proofErr w:type="gramEnd"/>
            <w:r>
              <w:rPr>
                <w:rFonts w:ascii="Rockwell" w:hAnsi="Rockwell" w:cs="Calibri"/>
                <w:color w:val="000000"/>
                <w:szCs w:val="26"/>
                <w:lang w:eastAsia="en-US"/>
              </w:rPr>
              <w:t>03:15</w:t>
            </w:r>
          </w:p>
        </w:tc>
        <w:tc>
          <w:tcPr>
            <w:tcW w:w="2268"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460C61B2"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15,28%</w:t>
            </w:r>
          </w:p>
        </w:tc>
      </w:tr>
      <w:tr w:rsidR="00284822" w14:paraId="061D44E2" w14:textId="77777777">
        <w:trPr>
          <w:trHeight w:val="545"/>
        </w:trPr>
        <w:tc>
          <w:tcPr>
            <w:tcW w:w="1542" w:type="dxa"/>
            <w:tcBorders>
              <w:top w:val="nil"/>
              <w:left w:val="single" w:sz="8" w:space="0" w:color="000000"/>
              <w:bottom w:val="single" w:sz="8" w:space="0" w:color="000000"/>
              <w:right w:val="single" w:sz="8" w:space="0" w:color="000000"/>
            </w:tcBorders>
            <w:tcMar>
              <w:top w:w="15" w:type="dxa"/>
              <w:left w:w="70" w:type="dxa"/>
              <w:bottom w:w="0" w:type="dxa"/>
              <w:right w:w="70" w:type="dxa"/>
            </w:tcMar>
            <w:vAlign w:val="center"/>
          </w:tcPr>
          <w:p w14:paraId="57C38866"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4</w:t>
            </w:r>
          </w:p>
        </w:tc>
        <w:tc>
          <w:tcPr>
            <w:tcW w:w="3268"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03548B59"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APMP</w:t>
            </w:r>
          </w:p>
        </w:tc>
        <w:tc>
          <w:tcPr>
            <w:tcW w:w="2126"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5D728416" w14:textId="77777777" w:rsidR="00284822" w:rsidRDefault="00F77BF8">
            <w:pPr>
              <w:suppressAutoHyphens w:val="0"/>
              <w:spacing w:line="240" w:lineRule="auto"/>
              <w:jc w:val="center"/>
              <w:rPr>
                <w:rFonts w:ascii="Rockwell" w:hAnsi="Rockwell" w:cs="Calibri"/>
                <w:color w:val="000000"/>
                <w:szCs w:val="26"/>
                <w:lang w:eastAsia="en-US"/>
              </w:rPr>
            </w:pPr>
            <w:proofErr w:type="gramStart"/>
            <w:r>
              <w:rPr>
                <w:rFonts w:ascii="Rockwell" w:hAnsi="Rockwell" w:cs="Calibri"/>
                <w:color w:val="000000"/>
                <w:szCs w:val="26"/>
                <w:lang w:eastAsia="en-US"/>
              </w:rPr>
              <w:t>00:</w:t>
            </w:r>
            <w:proofErr w:type="gramEnd"/>
            <w:r>
              <w:rPr>
                <w:rFonts w:ascii="Rockwell" w:hAnsi="Rockwell" w:cs="Calibri"/>
                <w:color w:val="000000"/>
                <w:szCs w:val="26"/>
                <w:lang w:eastAsia="en-US"/>
              </w:rPr>
              <w:t>07:34</w:t>
            </w:r>
          </w:p>
        </w:tc>
        <w:tc>
          <w:tcPr>
            <w:tcW w:w="2410"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0D422706"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7,96%</w:t>
            </w:r>
          </w:p>
        </w:tc>
        <w:tc>
          <w:tcPr>
            <w:tcW w:w="2268"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3DDFD24B" w14:textId="77777777" w:rsidR="00284822" w:rsidRDefault="00F77BF8">
            <w:pPr>
              <w:suppressAutoHyphens w:val="0"/>
              <w:spacing w:line="240" w:lineRule="auto"/>
              <w:jc w:val="center"/>
              <w:rPr>
                <w:rFonts w:ascii="Rockwell" w:hAnsi="Rockwell" w:cs="Calibri"/>
                <w:color w:val="000000"/>
                <w:szCs w:val="26"/>
                <w:lang w:eastAsia="en-US"/>
              </w:rPr>
            </w:pPr>
            <w:proofErr w:type="gramStart"/>
            <w:r>
              <w:rPr>
                <w:rFonts w:ascii="Rockwell" w:hAnsi="Rockwell" w:cs="Calibri"/>
                <w:color w:val="000000"/>
                <w:szCs w:val="26"/>
                <w:lang w:eastAsia="en-US"/>
              </w:rPr>
              <w:t>00:</w:t>
            </w:r>
            <w:proofErr w:type="gramEnd"/>
            <w:r>
              <w:rPr>
                <w:rFonts w:ascii="Rockwell" w:hAnsi="Rockwell" w:cs="Calibri"/>
                <w:color w:val="000000"/>
                <w:szCs w:val="26"/>
                <w:lang w:eastAsia="en-US"/>
              </w:rPr>
              <w:t>03:39</w:t>
            </w:r>
          </w:p>
        </w:tc>
        <w:tc>
          <w:tcPr>
            <w:tcW w:w="2268"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4E935B2A"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17,16%</w:t>
            </w:r>
          </w:p>
        </w:tc>
      </w:tr>
      <w:tr w:rsidR="00284822" w14:paraId="18A0793C" w14:textId="77777777">
        <w:trPr>
          <w:trHeight w:val="432"/>
        </w:trPr>
        <w:tc>
          <w:tcPr>
            <w:tcW w:w="1542" w:type="dxa"/>
            <w:tcBorders>
              <w:top w:val="nil"/>
              <w:left w:val="single" w:sz="8" w:space="0" w:color="000000"/>
              <w:bottom w:val="single" w:sz="8" w:space="0" w:color="000000"/>
              <w:right w:val="single" w:sz="8" w:space="0" w:color="000000"/>
            </w:tcBorders>
            <w:tcMar>
              <w:top w:w="15" w:type="dxa"/>
              <w:left w:w="70" w:type="dxa"/>
              <w:bottom w:w="0" w:type="dxa"/>
              <w:right w:w="70" w:type="dxa"/>
            </w:tcMar>
            <w:vAlign w:val="center"/>
          </w:tcPr>
          <w:p w14:paraId="2BE857C9"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5</w:t>
            </w:r>
          </w:p>
        </w:tc>
        <w:tc>
          <w:tcPr>
            <w:tcW w:w="3268"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0B7C9104"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CFOP</w:t>
            </w:r>
          </w:p>
        </w:tc>
        <w:tc>
          <w:tcPr>
            <w:tcW w:w="2126"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44D3F582" w14:textId="77777777" w:rsidR="00284822" w:rsidRDefault="00F77BF8">
            <w:pPr>
              <w:suppressAutoHyphens w:val="0"/>
              <w:spacing w:line="240" w:lineRule="auto"/>
              <w:jc w:val="center"/>
              <w:rPr>
                <w:rFonts w:ascii="Rockwell" w:hAnsi="Rockwell" w:cs="Calibri"/>
                <w:color w:val="000000"/>
                <w:szCs w:val="26"/>
                <w:lang w:eastAsia="en-US"/>
              </w:rPr>
            </w:pPr>
            <w:proofErr w:type="gramStart"/>
            <w:r>
              <w:rPr>
                <w:rFonts w:ascii="Rockwell" w:hAnsi="Rockwell" w:cs="Calibri"/>
                <w:color w:val="000000"/>
                <w:szCs w:val="26"/>
                <w:lang w:eastAsia="en-US"/>
              </w:rPr>
              <w:t>00:</w:t>
            </w:r>
            <w:proofErr w:type="gramEnd"/>
            <w:r>
              <w:rPr>
                <w:rFonts w:ascii="Rockwell" w:hAnsi="Rockwell" w:cs="Calibri"/>
                <w:color w:val="000000"/>
                <w:szCs w:val="26"/>
                <w:lang w:eastAsia="en-US"/>
              </w:rPr>
              <w:t>05:23</w:t>
            </w:r>
          </w:p>
        </w:tc>
        <w:tc>
          <w:tcPr>
            <w:tcW w:w="2410"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127E58C4"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5,66%</w:t>
            </w:r>
          </w:p>
        </w:tc>
        <w:tc>
          <w:tcPr>
            <w:tcW w:w="2268"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14201732" w14:textId="77777777" w:rsidR="00284822" w:rsidRDefault="00F77BF8">
            <w:pPr>
              <w:suppressAutoHyphens w:val="0"/>
              <w:spacing w:line="240" w:lineRule="auto"/>
              <w:jc w:val="center"/>
              <w:rPr>
                <w:rFonts w:ascii="Rockwell" w:hAnsi="Rockwell" w:cs="Calibri"/>
                <w:color w:val="000000"/>
                <w:szCs w:val="26"/>
                <w:lang w:eastAsia="en-US"/>
              </w:rPr>
            </w:pPr>
            <w:proofErr w:type="gramStart"/>
            <w:r>
              <w:rPr>
                <w:rFonts w:ascii="Rockwell" w:hAnsi="Rockwell" w:cs="Calibri"/>
                <w:color w:val="000000"/>
                <w:szCs w:val="26"/>
                <w:lang w:eastAsia="en-US"/>
              </w:rPr>
              <w:t>00:</w:t>
            </w:r>
            <w:proofErr w:type="gramEnd"/>
            <w:r>
              <w:rPr>
                <w:rFonts w:ascii="Rockwell" w:hAnsi="Rockwell" w:cs="Calibri"/>
                <w:color w:val="000000"/>
                <w:szCs w:val="26"/>
                <w:lang w:eastAsia="en-US"/>
              </w:rPr>
              <w:t>00:00</w:t>
            </w:r>
          </w:p>
        </w:tc>
        <w:tc>
          <w:tcPr>
            <w:tcW w:w="2268"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2E269149"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0,00%</w:t>
            </w:r>
          </w:p>
        </w:tc>
      </w:tr>
      <w:tr w:rsidR="00284822" w14:paraId="22773F08" w14:textId="77777777">
        <w:trPr>
          <w:trHeight w:val="432"/>
        </w:trPr>
        <w:tc>
          <w:tcPr>
            <w:tcW w:w="1542" w:type="dxa"/>
            <w:tcBorders>
              <w:top w:val="nil"/>
              <w:left w:val="single" w:sz="8" w:space="0" w:color="000000"/>
              <w:bottom w:val="single" w:sz="8" w:space="0" w:color="000000"/>
              <w:right w:val="single" w:sz="8" w:space="0" w:color="000000"/>
            </w:tcBorders>
            <w:tcMar>
              <w:top w:w="15" w:type="dxa"/>
              <w:left w:w="70" w:type="dxa"/>
              <w:bottom w:w="0" w:type="dxa"/>
              <w:right w:w="70" w:type="dxa"/>
            </w:tcMar>
            <w:vAlign w:val="center"/>
          </w:tcPr>
          <w:p w14:paraId="5F57B2DC"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6</w:t>
            </w:r>
          </w:p>
        </w:tc>
        <w:tc>
          <w:tcPr>
            <w:tcW w:w="3268"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42758760"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UNIR/PS</w:t>
            </w:r>
          </w:p>
        </w:tc>
        <w:tc>
          <w:tcPr>
            <w:tcW w:w="2126"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31D74578" w14:textId="77777777" w:rsidR="00284822" w:rsidRDefault="00F77BF8">
            <w:pPr>
              <w:suppressAutoHyphens w:val="0"/>
              <w:spacing w:line="240" w:lineRule="auto"/>
              <w:jc w:val="center"/>
              <w:rPr>
                <w:rFonts w:ascii="Rockwell" w:hAnsi="Rockwell" w:cs="Calibri"/>
                <w:color w:val="000000"/>
                <w:szCs w:val="26"/>
                <w:lang w:eastAsia="en-US"/>
              </w:rPr>
            </w:pPr>
            <w:proofErr w:type="gramStart"/>
            <w:r>
              <w:rPr>
                <w:rFonts w:ascii="Rockwell" w:hAnsi="Rockwell" w:cs="Calibri"/>
                <w:color w:val="000000"/>
                <w:szCs w:val="26"/>
                <w:lang w:eastAsia="en-US"/>
              </w:rPr>
              <w:t>00:</w:t>
            </w:r>
            <w:proofErr w:type="gramEnd"/>
            <w:r>
              <w:rPr>
                <w:rFonts w:ascii="Rockwell" w:hAnsi="Rockwell" w:cs="Calibri"/>
                <w:color w:val="000000"/>
                <w:szCs w:val="26"/>
                <w:lang w:eastAsia="en-US"/>
              </w:rPr>
              <w:t>04:51</w:t>
            </w:r>
          </w:p>
        </w:tc>
        <w:tc>
          <w:tcPr>
            <w:tcW w:w="2410"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2A90CD09"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5,10%</w:t>
            </w:r>
          </w:p>
        </w:tc>
        <w:tc>
          <w:tcPr>
            <w:tcW w:w="2268"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10168DD7" w14:textId="77777777" w:rsidR="00284822" w:rsidRDefault="00F77BF8">
            <w:pPr>
              <w:suppressAutoHyphens w:val="0"/>
              <w:spacing w:line="240" w:lineRule="auto"/>
              <w:jc w:val="center"/>
              <w:rPr>
                <w:rFonts w:ascii="Rockwell" w:hAnsi="Rockwell" w:cs="Calibri"/>
                <w:color w:val="000000"/>
                <w:szCs w:val="26"/>
                <w:lang w:eastAsia="en-US"/>
              </w:rPr>
            </w:pPr>
            <w:proofErr w:type="gramStart"/>
            <w:r>
              <w:rPr>
                <w:rFonts w:ascii="Rockwell" w:hAnsi="Rockwell" w:cs="Calibri"/>
                <w:color w:val="000000"/>
                <w:szCs w:val="26"/>
                <w:lang w:eastAsia="en-US"/>
              </w:rPr>
              <w:t>00:</w:t>
            </w:r>
            <w:proofErr w:type="gramEnd"/>
            <w:r>
              <w:rPr>
                <w:rFonts w:ascii="Rockwell" w:hAnsi="Rockwell" w:cs="Calibri"/>
                <w:color w:val="000000"/>
                <w:szCs w:val="26"/>
                <w:lang w:eastAsia="en-US"/>
              </w:rPr>
              <w:t>01:29</w:t>
            </w:r>
          </w:p>
        </w:tc>
        <w:tc>
          <w:tcPr>
            <w:tcW w:w="2268"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4C4C3417"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6,97%</w:t>
            </w:r>
          </w:p>
        </w:tc>
      </w:tr>
      <w:tr w:rsidR="00284822" w14:paraId="1EB64E49" w14:textId="77777777">
        <w:trPr>
          <w:trHeight w:val="432"/>
        </w:trPr>
        <w:tc>
          <w:tcPr>
            <w:tcW w:w="1542" w:type="dxa"/>
            <w:tcBorders>
              <w:top w:val="nil"/>
              <w:left w:val="single" w:sz="8" w:space="0" w:color="000000"/>
              <w:bottom w:val="single" w:sz="8" w:space="0" w:color="000000"/>
              <w:right w:val="single" w:sz="8" w:space="0" w:color="000000"/>
            </w:tcBorders>
            <w:tcMar>
              <w:top w:w="15" w:type="dxa"/>
              <w:left w:w="70" w:type="dxa"/>
              <w:bottom w:w="0" w:type="dxa"/>
              <w:right w:w="70" w:type="dxa"/>
            </w:tcMar>
            <w:vAlign w:val="center"/>
          </w:tcPr>
          <w:p w14:paraId="53B9E63A"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7</w:t>
            </w:r>
          </w:p>
        </w:tc>
        <w:tc>
          <w:tcPr>
            <w:tcW w:w="3268"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1DC2347C" w14:textId="77777777" w:rsidR="00284822" w:rsidRDefault="00F77BF8">
            <w:pPr>
              <w:suppressAutoHyphens w:val="0"/>
              <w:spacing w:line="240" w:lineRule="auto"/>
              <w:jc w:val="center"/>
              <w:rPr>
                <w:rFonts w:ascii="Rockwell" w:hAnsi="Rockwell" w:cs="Calibri"/>
                <w:color w:val="000000"/>
                <w:szCs w:val="26"/>
                <w:lang w:eastAsia="en-US"/>
              </w:rPr>
            </w:pPr>
            <w:r>
              <w:rPr>
                <w:rFonts w:ascii="Rockwell" w:hAnsi="Rockwell" w:cs="Calibri"/>
                <w:color w:val="000000"/>
                <w:szCs w:val="26"/>
                <w:lang w:eastAsia="en-US"/>
              </w:rPr>
              <w:t>UPC</w:t>
            </w:r>
          </w:p>
        </w:tc>
        <w:tc>
          <w:tcPr>
            <w:tcW w:w="2126"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3E6444BA" w14:textId="77777777" w:rsidR="00284822" w:rsidRDefault="00F77BF8">
            <w:pPr>
              <w:suppressAutoHyphens w:val="0"/>
              <w:spacing w:line="240" w:lineRule="auto"/>
              <w:jc w:val="center"/>
              <w:rPr>
                <w:rFonts w:ascii="Rockwell" w:hAnsi="Rockwell" w:cs="Calibri"/>
                <w:color w:val="000000"/>
                <w:szCs w:val="26"/>
                <w:lang w:eastAsia="en-US"/>
              </w:rPr>
            </w:pPr>
            <w:proofErr w:type="gramStart"/>
            <w:r>
              <w:rPr>
                <w:rFonts w:ascii="Rockwell" w:hAnsi="Rockwell" w:cs="Calibri"/>
                <w:color w:val="000000"/>
                <w:szCs w:val="26"/>
                <w:lang w:eastAsia="en-US"/>
              </w:rPr>
              <w:t>00:</w:t>
            </w:r>
            <w:proofErr w:type="gramEnd"/>
            <w:r>
              <w:rPr>
                <w:rFonts w:ascii="Rockwell" w:hAnsi="Rockwell" w:cs="Calibri"/>
                <w:color w:val="000000"/>
                <w:szCs w:val="26"/>
                <w:lang w:eastAsia="en-US"/>
              </w:rPr>
              <w:t>02:28</w:t>
            </w:r>
          </w:p>
        </w:tc>
        <w:tc>
          <w:tcPr>
            <w:tcW w:w="2410"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27AD5895"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2,59%</w:t>
            </w:r>
          </w:p>
        </w:tc>
        <w:tc>
          <w:tcPr>
            <w:tcW w:w="2268"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402C0AC5" w14:textId="77777777" w:rsidR="00284822" w:rsidRDefault="00F77BF8">
            <w:pPr>
              <w:suppressAutoHyphens w:val="0"/>
              <w:spacing w:line="240" w:lineRule="auto"/>
              <w:jc w:val="center"/>
              <w:rPr>
                <w:rFonts w:ascii="Rockwell" w:hAnsi="Rockwell"/>
                <w:color w:val="000000"/>
                <w:szCs w:val="26"/>
                <w:lang w:eastAsia="en-US"/>
              </w:rPr>
            </w:pPr>
            <w:proofErr w:type="gramStart"/>
            <w:r>
              <w:rPr>
                <w:rFonts w:ascii="Rockwell" w:hAnsi="Rockwell"/>
                <w:color w:val="000000"/>
                <w:szCs w:val="26"/>
                <w:lang w:eastAsia="en-US"/>
              </w:rPr>
              <w:t>00:</w:t>
            </w:r>
            <w:proofErr w:type="gramEnd"/>
            <w:r>
              <w:rPr>
                <w:rFonts w:ascii="Rockwell" w:hAnsi="Rockwell"/>
                <w:color w:val="000000"/>
                <w:szCs w:val="26"/>
                <w:lang w:eastAsia="en-US"/>
              </w:rPr>
              <w:t>00:00</w:t>
            </w:r>
          </w:p>
        </w:tc>
        <w:tc>
          <w:tcPr>
            <w:tcW w:w="2268"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74A5FBB5"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0,00%</w:t>
            </w:r>
          </w:p>
        </w:tc>
      </w:tr>
      <w:tr w:rsidR="00284822" w14:paraId="2B5EAE82" w14:textId="77777777">
        <w:trPr>
          <w:trHeight w:val="432"/>
        </w:trPr>
        <w:tc>
          <w:tcPr>
            <w:tcW w:w="1542" w:type="dxa"/>
            <w:tcBorders>
              <w:top w:val="nil"/>
              <w:left w:val="single" w:sz="8" w:space="0" w:color="000000"/>
              <w:bottom w:val="single" w:sz="8" w:space="0" w:color="000000"/>
              <w:right w:val="single" w:sz="8" w:space="0" w:color="000000"/>
            </w:tcBorders>
            <w:tcMar>
              <w:top w:w="15" w:type="dxa"/>
              <w:left w:w="70" w:type="dxa"/>
              <w:bottom w:w="0" w:type="dxa"/>
              <w:right w:w="70" w:type="dxa"/>
            </w:tcMar>
            <w:vAlign w:val="center"/>
          </w:tcPr>
          <w:p w14:paraId="52E5FFFD"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8</w:t>
            </w:r>
          </w:p>
        </w:tc>
        <w:tc>
          <w:tcPr>
            <w:tcW w:w="3268"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5C9A72F6"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SENS</w:t>
            </w:r>
          </w:p>
        </w:tc>
        <w:tc>
          <w:tcPr>
            <w:tcW w:w="2126"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2C393058" w14:textId="77777777" w:rsidR="00284822" w:rsidRDefault="00F77BF8">
            <w:pPr>
              <w:suppressAutoHyphens w:val="0"/>
              <w:spacing w:line="240" w:lineRule="auto"/>
              <w:jc w:val="center"/>
              <w:rPr>
                <w:rFonts w:ascii="Rockwell" w:hAnsi="Rockwell" w:cs="Calibri"/>
                <w:color w:val="000000"/>
                <w:szCs w:val="26"/>
                <w:lang w:eastAsia="en-US"/>
              </w:rPr>
            </w:pPr>
            <w:proofErr w:type="gramStart"/>
            <w:r>
              <w:rPr>
                <w:rFonts w:ascii="Rockwell" w:hAnsi="Rockwell" w:cs="Calibri"/>
                <w:color w:val="000000"/>
                <w:szCs w:val="26"/>
                <w:lang w:eastAsia="en-US"/>
              </w:rPr>
              <w:t>00:</w:t>
            </w:r>
            <w:proofErr w:type="gramEnd"/>
            <w:r>
              <w:rPr>
                <w:rFonts w:ascii="Rockwell" w:hAnsi="Rockwell" w:cs="Calibri"/>
                <w:color w:val="000000"/>
                <w:szCs w:val="26"/>
                <w:lang w:eastAsia="en-US"/>
              </w:rPr>
              <w:t>02:18</w:t>
            </w:r>
          </w:p>
        </w:tc>
        <w:tc>
          <w:tcPr>
            <w:tcW w:w="2410"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290065CE"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2,42%</w:t>
            </w:r>
          </w:p>
        </w:tc>
        <w:tc>
          <w:tcPr>
            <w:tcW w:w="2268"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0F4E4E68" w14:textId="77777777" w:rsidR="00284822" w:rsidRDefault="00F77BF8">
            <w:pPr>
              <w:suppressAutoHyphens w:val="0"/>
              <w:spacing w:line="240" w:lineRule="auto"/>
              <w:jc w:val="center"/>
              <w:rPr>
                <w:rFonts w:ascii="Rockwell" w:hAnsi="Rockwell"/>
                <w:color w:val="000000"/>
                <w:szCs w:val="26"/>
                <w:lang w:eastAsia="en-US"/>
              </w:rPr>
            </w:pPr>
            <w:proofErr w:type="gramStart"/>
            <w:r>
              <w:rPr>
                <w:rFonts w:ascii="Rockwell" w:hAnsi="Rockwell"/>
                <w:color w:val="000000"/>
                <w:szCs w:val="26"/>
                <w:lang w:eastAsia="en-US"/>
              </w:rPr>
              <w:t>00:</w:t>
            </w:r>
            <w:proofErr w:type="gramEnd"/>
            <w:r>
              <w:rPr>
                <w:rFonts w:ascii="Rockwell" w:hAnsi="Rockwell"/>
                <w:color w:val="000000"/>
                <w:szCs w:val="26"/>
                <w:lang w:eastAsia="en-US"/>
              </w:rPr>
              <w:t>00:00</w:t>
            </w:r>
          </w:p>
        </w:tc>
        <w:tc>
          <w:tcPr>
            <w:tcW w:w="2268"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4A229298"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0,00%</w:t>
            </w:r>
          </w:p>
        </w:tc>
      </w:tr>
      <w:tr w:rsidR="00284822" w14:paraId="493FE588" w14:textId="77777777">
        <w:trPr>
          <w:trHeight w:val="582"/>
        </w:trPr>
        <w:tc>
          <w:tcPr>
            <w:tcW w:w="1542" w:type="dxa"/>
            <w:tcBorders>
              <w:top w:val="nil"/>
              <w:left w:val="single" w:sz="8" w:space="0" w:color="000000"/>
              <w:bottom w:val="single" w:sz="8" w:space="0" w:color="000000"/>
              <w:right w:val="single" w:sz="8" w:space="0" w:color="000000"/>
            </w:tcBorders>
            <w:tcMar>
              <w:top w:w="15" w:type="dxa"/>
              <w:left w:w="70" w:type="dxa"/>
              <w:bottom w:w="0" w:type="dxa"/>
              <w:right w:w="70" w:type="dxa"/>
            </w:tcMar>
            <w:vAlign w:val="center"/>
          </w:tcPr>
          <w:p w14:paraId="6A596A2B"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9</w:t>
            </w:r>
          </w:p>
        </w:tc>
        <w:tc>
          <w:tcPr>
            <w:tcW w:w="3268"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034AF5A0"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MPS</w:t>
            </w:r>
          </w:p>
        </w:tc>
        <w:tc>
          <w:tcPr>
            <w:tcW w:w="2126"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6DBDB438" w14:textId="77777777" w:rsidR="00284822" w:rsidRDefault="00F77BF8">
            <w:pPr>
              <w:suppressAutoHyphens w:val="0"/>
              <w:spacing w:line="240" w:lineRule="auto"/>
              <w:jc w:val="center"/>
              <w:rPr>
                <w:rFonts w:ascii="Rockwell" w:hAnsi="Rockwell"/>
                <w:color w:val="000000"/>
                <w:szCs w:val="26"/>
                <w:lang w:eastAsia="en-US"/>
              </w:rPr>
            </w:pPr>
            <w:proofErr w:type="gramStart"/>
            <w:r>
              <w:rPr>
                <w:rFonts w:ascii="Rockwell" w:hAnsi="Rockwell"/>
                <w:color w:val="000000"/>
                <w:szCs w:val="26"/>
                <w:lang w:eastAsia="en-US"/>
              </w:rPr>
              <w:t>00:</w:t>
            </w:r>
            <w:proofErr w:type="gramEnd"/>
            <w:r>
              <w:rPr>
                <w:rFonts w:ascii="Rockwell" w:hAnsi="Rockwell"/>
                <w:color w:val="000000"/>
                <w:szCs w:val="26"/>
                <w:lang w:eastAsia="en-US"/>
              </w:rPr>
              <w:t>01:03</w:t>
            </w:r>
          </w:p>
        </w:tc>
        <w:tc>
          <w:tcPr>
            <w:tcW w:w="2410"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21B7B1EC"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1,10%</w:t>
            </w:r>
          </w:p>
        </w:tc>
        <w:tc>
          <w:tcPr>
            <w:tcW w:w="2268"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1F317298" w14:textId="77777777" w:rsidR="00284822" w:rsidRDefault="00F77BF8">
            <w:pPr>
              <w:suppressAutoHyphens w:val="0"/>
              <w:spacing w:line="240" w:lineRule="auto"/>
              <w:jc w:val="center"/>
              <w:rPr>
                <w:rFonts w:ascii="Rockwell" w:hAnsi="Rockwell"/>
                <w:color w:val="000000"/>
                <w:szCs w:val="26"/>
                <w:lang w:eastAsia="en-US"/>
              </w:rPr>
            </w:pPr>
            <w:proofErr w:type="gramStart"/>
            <w:r>
              <w:rPr>
                <w:rFonts w:ascii="Rockwell" w:hAnsi="Rockwell"/>
                <w:color w:val="000000"/>
                <w:szCs w:val="26"/>
                <w:lang w:eastAsia="en-US"/>
              </w:rPr>
              <w:t>00:</w:t>
            </w:r>
            <w:proofErr w:type="gramEnd"/>
            <w:r>
              <w:rPr>
                <w:rFonts w:ascii="Rockwell" w:hAnsi="Rockwell"/>
                <w:color w:val="000000"/>
                <w:szCs w:val="26"/>
                <w:lang w:eastAsia="en-US"/>
              </w:rPr>
              <w:t>00:00</w:t>
            </w:r>
          </w:p>
        </w:tc>
        <w:tc>
          <w:tcPr>
            <w:tcW w:w="2268"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4705EC1D"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0,00%</w:t>
            </w:r>
          </w:p>
        </w:tc>
      </w:tr>
      <w:tr w:rsidR="00284822" w14:paraId="141D46C3" w14:textId="77777777">
        <w:trPr>
          <w:trHeight w:val="432"/>
        </w:trPr>
        <w:tc>
          <w:tcPr>
            <w:tcW w:w="1542" w:type="dxa"/>
            <w:tcBorders>
              <w:top w:val="nil"/>
              <w:left w:val="single" w:sz="8" w:space="0" w:color="000000"/>
              <w:bottom w:val="single" w:sz="8" w:space="0" w:color="000000"/>
              <w:right w:val="single" w:sz="8" w:space="0" w:color="000000"/>
            </w:tcBorders>
            <w:tcMar>
              <w:top w:w="15" w:type="dxa"/>
              <w:left w:w="70" w:type="dxa"/>
              <w:bottom w:w="0" w:type="dxa"/>
              <w:right w:w="70" w:type="dxa"/>
            </w:tcMar>
            <w:vAlign w:val="center"/>
          </w:tcPr>
          <w:p w14:paraId="335579CF"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10</w:t>
            </w:r>
          </w:p>
        </w:tc>
        <w:tc>
          <w:tcPr>
            <w:tcW w:w="3268"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712EC726"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PAREN</w:t>
            </w:r>
          </w:p>
        </w:tc>
        <w:tc>
          <w:tcPr>
            <w:tcW w:w="2126"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2A9AEB8D" w14:textId="77777777" w:rsidR="00284822" w:rsidRDefault="00F77BF8">
            <w:pPr>
              <w:suppressAutoHyphens w:val="0"/>
              <w:spacing w:line="240" w:lineRule="auto"/>
              <w:jc w:val="center"/>
              <w:rPr>
                <w:rFonts w:ascii="Rockwell" w:hAnsi="Rockwell"/>
                <w:color w:val="000000"/>
                <w:szCs w:val="26"/>
                <w:lang w:eastAsia="en-US"/>
              </w:rPr>
            </w:pPr>
            <w:proofErr w:type="gramStart"/>
            <w:r>
              <w:rPr>
                <w:rFonts w:ascii="Rockwell" w:hAnsi="Rockwell"/>
                <w:color w:val="000000"/>
                <w:szCs w:val="26"/>
                <w:lang w:eastAsia="en-US"/>
              </w:rPr>
              <w:t>00:</w:t>
            </w:r>
            <w:proofErr w:type="gramEnd"/>
            <w:r>
              <w:rPr>
                <w:rFonts w:ascii="Rockwell" w:hAnsi="Rockwell"/>
                <w:color w:val="000000"/>
                <w:szCs w:val="26"/>
                <w:lang w:eastAsia="en-US"/>
              </w:rPr>
              <w:t>00:35</w:t>
            </w:r>
          </w:p>
        </w:tc>
        <w:tc>
          <w:tcPr>
            <w:tcW w:w="2410"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144B45AF"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0,61%</w:t>
            </w:r>
          </w:p>
        </w:tc>
        <w:tc>
          <w:tcPr>
            <w:tcW w:w="2268"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26BD0CAA" w14:textId="77777777" w:rsidR="00284822" w:rsidRDefault="00F77BF8">
            <w:pPr>
              <w:suppressAutoHyphens w:val="0"/>
              <w:spacing w:line="240" w:lineRule="auto"/>
              <w:jc w:val="center"/>
              <w:rPr>
                <w:rFonts w:ascii="Rockwell" w:hAnsi="Rockwell"/>
                <w:color w:val="000000"/>
                <w:szCs w:val="26"/>
                <w:lang w:eastAsia="en-US"/>
              </w:rPr>
            </w:pPr>
            <w:proofErr w:type="gramStart"/>
            <w:r>
              <w:rPr>
                <w:rFonts w:ascii="Rockwell" w:hAnsi="Rockwell"/>
                <w:color w:val="000000"/>
                <w:szCs w:val="26"/>
                <w:lang w:eastAsia="en-US"/>
              </w:rPr>
              <w:t>00:</w:t>
            </w:r>
            <w:proofErr w:type="gramEnd"/>
            <w:r>
              <w:rPr>
                <w:rFonts w:ascii="Rockwell" w:hAnsi="Rockwell"/>
                <w:color w:val="000000"/>
                <w:szCs w:val="26"/>
                <w:lang w:eastAsia="en-US"/>
              </w:rPr>
              <w:t>00:00</w:t>
            </w:r>
          </w:p>
        </w:tc>
        <w:tc>
          <w:tcPr>
            <w:tcW w:w="2268"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3D9B912D" w14:textId="77777777" w:rsidR="00284822" w:rsidRDefault="00F77BF8">
            <w:pPr>
              <w:suppressAutoHyphens w:val="0"/>
              <w:spacing w:line="240" w:lineRule="auto"/>
              <w:jc w:val="center"/>
              <w:rPr>
                <w:rFonts w:ascii="Rockwell" w:hAnsi="Rockwell"/>
                <w:color w:val="000000"/>
                <w:szCs w:val="26"/>
                <w:lang w:eastAsia="en-US"/>
              </w:rPr>
            </w:pPr>
            <w:r>
              <w:rPr>
                <w:rFonts w:ascii="Rockwell" w:hAnsi="Rockwell"/>
                <w:color w:val="000000"/>
                <w:szCs w:val="26"/>
                <w:lang w:eastAsia="en-US"/>
              </w:rPr>
              <w:t>0,00%</w:t>
            </w:r>
          </w:p>
        </w:tc>
      </w:tr>
      <w:tr w:rsidR="00284822" w14:paraId="35898D2D" w14:textId="77777777">
        <w:trPr>
          <w:trHeight w:val="578"/>
        </w:trPr>
        <w:tc>
          <w:tcPr>
            <w:tcW w:w="4810" w:type="dxa"/>
            <w:gridSpan w:val="2"/>
            <w:vMerge w:val="restart"/>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tcPr>
          <w:p w14:paraId="42307165" w14:textId="77777777" w:rsidR="00284822" w:rsidRDefault="00F77BF8">
            <w:pPr>
              <w:suppressAutoHyphens w:val="0"/>
              <w:spacing w:line="240" w:lineRule="auto"/>
              <w:rPr>
                <w:rFonts w:ascii="Rockwell" w:hAnsi="Rockwell"/>
                <w:b/>
                <w:bCs/>
                <w:color w:val="000000"/>
                <w:szCs w:val="26"/>
                <w:lang w:eastAsia="en-US"/>
              </w:rPr>
            </w:pPr>
            <w:r>
              <w:rPr>
                <w:rFonts w:ascii="Rockwell" w:hAnsi="Rockwell"/>
                <w:b/>
                <w:bCs/>
                <w:color w:val="000000"/>
                <w:szCs w:val="26"/>
                <w:lang w:eastAsia="en-US"/>
              </w:rPr>
              <w:t>TOTAL</w:t>
            </w:r>
          </w:p>
        </w:tc>
        <w:tc>
          <w:tcPr>
            <w:tcW w:w="2126" w:type="dxa"/>
            <w:vMerge w:val="restart"/>
            <w:tcBorders>
              <w:top w:val="nil"/>
              <w:left w:val="single" w:sz="8" w:space="0" w:color="000000"/>
              <w:bottom w:val="single" w:sz="8" w:space="0" w:color="000000"/>
              <w:right w:val="single" w:sz="8" w:space="0" w:color="000000"/>
            </w:tcBorders>
            <w:tcMar>
              <w:top w:w="15" w:type="dxa"/>
              <w:left w:w="70" w:type="dxa"/>
              <w:bottom w:w="0" w:type="dxa"/>
              <w:right w:w="70" w:type="dxa"/>
            </w:tcMar>
            <w:vAlign w:val="center"/>
          </w:tcPr>
          <w:p w14:paraId="577AFF44" w14:textId="77777777" w:rsidR="00284822" w:rsidRDefault="00F77BF8">
            <w:pPr>
              <w:suppressAutoHyphens w:val="0"/>
              <w:spacing w:line="240" w:lineRule="auto"/>
              <w:jc w:val="center"/>
              <w:rPr>
                <w:rFonts w:ascii="Rockwell" w:hAnsi="Rockwell"/>
                <w:b/>
                <w:bCs/>
                <w:color w:val="000000"/>
                <w:szCs w:val="26"/>
                <w:lang w:eastAsia="en-US"/>
              </w:rPr>
            </w:pPr>
            <w:proofErr w:type="gramStart"/>
            <w:r>
              <w:rPr>
                <w:rFonts w:ascii="Rockwell" w:hAnsi="Rockwell"/>
                <w:b/>
                <w:bCs/>
                <w:color w:val="000000"/>
                <w:szCs w:val="26"/>
                <w:lang w:eastAsia="en-US"/>
              </w:rPr>
              <w:t>01:</w:t>
            </w:r>
            <w:proofErr w:type="gramEnd"/>
            <w:r>
              <w:rPr>
                <w:rFonts w:ascii="Rockwell" w:hAnsi="Rockwell"/>
                <w:b/>
                <w:bCs/>
                <w:color w:val="000000"/>
                <w:szCs w:val="26"/>
                <w:lang w:eastAsia="en-US"/>
              </w:rPr>
              <w:t>35:06</w:t>
            </w:r>
          </w:p>
        </w:tc>
        <w:tc>
          <w:tcPr>
            <w:tcW w:w="2410" w:type="dxa"/>
            <w:vMerge w:val="restart"/>
            <w:tcBorders>
              <w:top w:val="nil"/>
              <w:left w:val="single" w:sz="8" w:space="0" w:color="000000"/>
              <w:bottom w:val="single" w:sz="8" w:space="0" w:color="000000"/>
              <w:right w:val="single" w:sz="8" w:space="0" w:color="000000"/>
            </w:tcBorders>
            <w:tcMar>
              <w:top w:w="15" w:type="dxa"/>
              <w:left w:w="70" w:type="dxa"/>
              <w:bottom w:w="0" w:type="dxa"/>
              <w:right w:w="70" w:type="dxa"/>
            </w:tcMar>
            <w:vAlign w:val="center"/>
          </w:tcPr>
          <w:p w14:paraId="249FA9CC" w14:textId="77777777" w:rsidR="00284822" w:rsidRDefault="00F77BF8">
            <w:pPr>
              <w:suppressAutoHyphens w:val="0"/>
              <w:spacing w:line="240" w:lineRule="auto"/>
              <w:jc w:val="center"/>
              <w:rPr>
                <w:rFonts w:ascii="Rockwell" w:hAnsi="Rockwell"/>
                <w:b/>
                <w:bCs/>
                <w:color w:val="000000"/>
                <w:szCs w:val="26"/>
                <w:lang w:eastAsia="en-US"/>
              </w:rPr>
            </w:pPr>
            <w:r>
              <w:rPr>
                <w:rFonts w:ascii="Rockwell" w:hAnsi="Rockwell"/>
                <w:b/>
                <w:bCs/>
                <w:color w:val="000000"/>
                <w:szCs w:val="26"/>
                <w:lang w:eastAsia="en-US"/>
              </w:rPr>
              <w:t>100%</w:t>
            </w:r>
          </w:p>
        </w:tc>
        <w:tc>
          <w:tcPr>
            <w:tcW w:w="2268" w:type="dxa"/>
            <w:vMerge w:val="restart"/>
            <w:tcBorders>
              <w:top w:val="nil"/>
              <w:left w:val="single" w:sz="8" w:space="0" w:color="000000"/>
              <w:bottom w:val="single" w:sz="8" w:space="0" w:color="000000"/>
              <w:right w:val="single" w:sz="8" w:space="0" w:color="000000"/>
            </w:tcBorders>
            <w:tcMar>
              <w:top w:w="15" w:type="dxa"/>
              <w:left w:w="70" w:type="dxa"/>
              <w:bottom w:w="0" w:type="dxa"/>
              <w:right w:w="70" w:type="dxa"/>
            </w:tcMar>
            <w:vAlign w:val="center"/>
          </w:tcPr>
          <w:p w14:paraId="1C41C5A3" w14:textId="77777777" w:rsidR="00284822" w:rsidRDefault="00F77BF8">
            <w:pPr>
              <w:suppressAutoHyphens w:val="0"/>
              <w:spacing w:line="240" w:lineRule="auto"/>
              <w:jc w:val="center"/>
              <w:rPr>
                <w:rFonts w:ascii="Rockwell" w:hAnsi="Rockwell"/>
                <w:b/>
                <w:bCs/>
                <w:color w:val="000000"/>
                <w:szCs w:val="26"/>
                <w:lang w:eastAsia="en-US"/>
              </w:rPr>
            </w:pPr>
            <w:proofErr w:type="gramStart"/>
            <w:r>
              <w:rPr>
                <w:rFonts w:ascii="Rockwell" w:hAnsi="Rockwell"/>
                <w:b/>
                <w:bCs/>
                <w:color w:val="000000"/>
                <w:szCs w:val="26"/>
                <w:lang w:eastAsia="en-US"/>
              </w:rPr>
              <w:t>00:</w:t>
            </w:r>
            <w:proofErr w:type="gramEnd"/>
            <w:r>
              <w:rPr>
                <w:rFonts w:ascii="Rockwell" w:hAnsi="Rockwell"/>
                <w:b/>
                <w:bCs/>
                <w:color w:val="000000"/>
                <w:szCs w:val="26"/>
                <w:lang w:eastAsia="en-US"/>
              </w:rPr>
              <w:t>21:16</w:t>
            </w:r>
          </w:p>
        </w:tc>
        <w:tc>
          <w:tcPr>
            <w:tcW w:w="2268" w:type="dxa"/>
            <w:vMerge w:val="restart"/>
            <w:tcBorders>
              <w:top w:val="nil"/>
              <w:left w:val="single" w:sz="8" w:space="0" w:color="000000"/>
              <w:bottom w:val="single" w:sz="8" w:space="0" w:color="000000"/>
              <w:right w:val="single" w:sz="8" w:space="0" w:color="000000"/>
            </w:tcBorders>
            <w:tcMar>
              <w:top w:w="15" w:type="dxa"/>
              <w:left w:w="70" w:type="dxa"/>
              <w:bottom w:w="0" w:type="dxa"/>
              <w:right w:w="70" w:type="dxa"/>
            </w:tcMar>
            <w:vAlign w:val="center"/>
          </w:tcPr>
          <w:p w14:paraId="2247BF7B" w14:textId="77777777" w:rsidR="00284822" w:rsidRDefault="00F77BF8">
            <w:pPr>
              <w:suppressAutoHyphens w:val="0"/>
              <w:spacing w:line="240" w:lineRule="auto"/>
              <w:jc w:val="center"/>
              <w:rPr>
                <w:rFonts w:ascii="Rockwell" w:hAnsi="Rockwell"/>
                <w:b/>
                <w:bCs/>
                <w:color w:val="000000"/>
                <w:szCs w:val="26"/>
                <w:lang w:eastAsia="en-US"/>
              </w:rPr>
            </w:pPr>
            <w:r>
              <w:rPr>
                <w:rFonts w:ascii="Rockwell" w:hAnsi="Rockwell"/>
                <w:b/>
                <w:bCs/>
                <w:color w:val="000000"/>
                <w:szCs w:val="26"/>
                <w:lang w:eastAsia="en-US"/>
              </w:rPr>
              <w:t>100%</w:t>
            </w:r>
          </w:p>
        </w:tc>
      </w:tr>
      <w:tr w:rsidR="00284822" w14:paraId="6E6BA9C6" w14:textId="77777777">
        <w:trPr>
          <w:trHeight w:val="698"/>
        </w:trPr>
        <w:tc>
          <w:tcPr>
            <w:tcW w:w="4810" w:type="dxa"/>
            <w:gridSpan w:val="2"/>
            <w:vMerge/>
            <w:tcBorders>
              <w:top w:val="single" w:sz="8" w:space="0" w:color="000000"/>
              <w:left w:val="single" w:sz="8" w:space="0" w:color="000000"/>
              <w:bottom w:val="single" w:sz="8" w:space="0" w:color="000000"/>
              <w:right w:val="single" w:sz="8" w:space="0" w:color="000000"/>
            </w:tcBorders>
            <w:vAlign w:val="center"/>
          </w:tcPr>
          <w:p w14:paraId="78F9D9BA" w14:textId="77777777" w:rsidR="00284822" w:rsidRDefault="00284822">
            <w:pPr>
              <w:suppressAutoHyphens w:val="0"/>
              <w:spacing w:line="240" w:lineRule="auto"/>
              <w:jc w:val="left"/>
              <w:rPr>
                <w:rFonts w:ascii="Rockwell" w:hAnsi="Rockwell"/>
                <w:b/>
                <w:bCs/>
                <w:color w:val="000000"/>
                <w:szCs w:val="26"/>
                <w:lang w:eastAsia="en-US"/>
              </w:rPr>
            </w:pPr>
          </w:p>
        </w:tc>
        <w:tc>
          <w:tcPr>
            <w:tcW w:w="2126" w:type="dxa"/>
            <w:vMerge/>
            <w:tcBorders>
              <w:top w:val="nil"/>
              <w:left w:val="single" w:sz="8" w:space="0" w:color="000000"/>
              <w:bottom w:val="single" w:sz="8" w:space="0" w:color="000000"/>
              <w:right w:val="single" w:sz="8" w:space="0" w:color="000000"/>
            </w:tcBorders>
            <w:vAlign w:val="center"/>
          </w:tcPr>
          <w:p w14:paraId="2422A15E" w14:textId="77777777" w:rsidR="00284822" w:rsidRDefault="00284822">
            <w:pPr>
              <w:suppressAutoHyphens w:val="0"/>
              <w:spacing w:line="240" w:lineRule="auto"/>
              <w:jc w:val="left"/>
              <w:rPr>
                <w:rFonts w:ascii="Rockwell" w:hAnsi="Rockwell"/>
                <w:b/>
                <w:bCs/>
                <w:color w:val="000000"/>
                <w:szCs w:val="26"/>
                <w:lang w:eastAsia="en-US"/>
              </w:rPr>
            </w:pPr>
          </w:p>
        </w:tc>
        <w:tc>
          <w:tcPr>
            <w:tcW w:w="2410" w:type="dxa"/>
            <w:vMerge/>
            <w:tcBorders>
              <w:top w:val="nil"/>
              <w:left w:val="single" w:sz="8" w:space="0" w:color="000000"/>
              <w:bottom w:val="single" w:sz="8" w:space="0" w:color="000000"/>
              <w:right w:val="single" w:sz="8" w:space="0" w:color="000000"/>
            </w:tcBorders>
            <w:vAlign w:val="center"/>
          </w:tcPr>
          <w:p w14:paraId="5F956318" w14:textId="77777777" w:rsidR="00284822" w:rsidRDefault="00284822">
            <w:pPr>
              <w:suppressAutoHyphens w:val="0"/>
              <w:spacing w:line="240" w:lineRule="auto"/>
              <w:jc w:val="left"/>
              <w:rPr>
                <w:rFonts w:ascii="Rockwell" w:hAnsi="Rockwell"/>
                <w:b/>
                <w:bCs/>
                <w:color w:val="000000"/>
                <w:szCs w:val="26"/>
                <w:lang w:eastAsia="en-US"/>
              </w:rPr>
            </w:pPr>
          </w:p>
        </w:tc>
        <w:tc>
          <w:tcPr>
            <w:tcW w:w="2268" w:type="dxa"/>
            <w:vMerge/>
            <w:tcBorders>
              <w:top w:val="nil"/>
              <w:left w:val="single" w:sz="8" w:space="0" w:color="000000"/>
              <w:bottom w:val="single" w:sz="8" w:space="0" w:color="000000"/>
              <w:right w:val="single" w:sz="8" w:space="0" w:color="000000"/>
            </w:tcBorders>
            <w:vAlign w:val="center"/>
          </w:tcPr>
          <w:p w14:paraId="010788A8" w14:textId="77777777" w:rsidR="00284822" w:rsidRDefault="00284822">
            <w:pPr>
              <w:suppressAutoHyphens w:val="0"/>
              <w:spacing w:line="240" w:lineRule="auto"/>
              <w:jc w:val="left"/>
              <w:rPr>
                <w:rFonts w:ascii="Rockwell" w:hAnsi="Rockwell"/>
                <w:b/>
                <w:bCs/>
                <w:color w:val="000000"/>
                <w:szCs w:val="26"/>
                <w:lang w:eastAsia="en-US"/>
              </w:rPr>
            </w:pPr>
          </w:p>
        </w:tc>
        <w:tc>
          <w:tcPr>
            <w:tcW w:w="2268" w:type="dxa"/>
            <w:vMerge/>
            <w:tcBorders>
              <w:top w:val="nil"/>
              <w:left w:val="single" w:sz="8" w:space="0" w:color="000000"/>
              <w:bottom w:val="single" w:sz="8" w:space="0" w:color="000000"/>
              <w:right w:val="single" w:sz="8" w:space="0" w:color="000000"/>
            </w:tcBorders>
            <w:vAlign w:val="center"/>
          </w:tcPr>
          <w:p w14:paraId="19124EF4" w14:textId="77777777" w:rsidR="00284822" w:rsidRDefault="00284822">
            <w:pPr>
              <w:suppressAutoHyphens w:val="0"/>
              <w:spacing w:line="240" w:lineRule="auto"/>
              <w:jc w:val="left"/>
              <w:rPr>
                <w:rFonts w:ascii="Rockwell" w:hAnsi="Rockwell"/>
                <w:b/>
                <w:bCs/>
                <w:color w:val="000000"/>
                <w:szCs w:val="26"/>
                <w:lang w:eastAsia="en-US"/>
              </w:rPr>
            </w:pPr>
          </w:p>
        </w:tc>
      </w:tr>
    </w:tbl>
    <w:p w14:paraId="335D130B" w14:textId="77777777" w:rsidR="00284822" w:rsidRDefault="00F77BF8">
      <w:pPr>
        <w:spacing w:before="120" w:after="120"/>
        <w:ind w:hanging="284"/>
        <w:rPr>
          <w:rFonts w:ascii="Rockwell" w:hAnsi="Rockwell"/>
          <w:i/>
          <w:sz w:val="20"/>
          <w:szCs w:val="20"/>
        </w:rPr>
      </w:pPr>
      <w:r>
        <w:rPr>
          <w:rFonts w:ascii="Rockwell" w:hAnsi="Rockwell"/>
          <w:b/>
          <w:szCs w:val="26"/>
        </w:rPr>
        <w:tab/>
      </w:r>
      <w:r>
        <w:rPr>
          <w:rFonts w:ascii="Rockwell" w:hAnsi="Rockwell"/>
          <w:i/>
          <w:sz w:val="20"/>
          <w:szCs w:val="20"/>
          <w:u w:val="single"/>
          <w:lang w:eastAsia="en-US"/>
        </w:rPr>
        <w:t>Source</w:t>
      </w:r>
      <w:r>
        <w:rPr>
          <w:rFonts w:ascii="Rockwell" w:hAnsi="Rockwell"/>
          <w:i/>
          <w:sz w:val="20"/>
          <w:szCs w:val="20"/>
          <w:lang w:eastAsia="en-US"/>
        </w:rPr>
        <w:t> : CSC</w:t>
      </w:r>
    </w:p>
    <w:p w14:paraId="66D0C543" w14:textId="77777777" w:rsidR="00284822" w:rsidRDefault="00284822">
      <w:pPr>
        <w:tabs>
          <w:tab w:val="left" w:pos="1881"/>
        </w:tabs>
        <w:spacing w:before="120" w:after="120"/>
        <w:rPr>
          <w:rFonts w:ascii="Rockwell" w:hAnsi="Rockwell"/>
          <w:szCs w:val="26"/>
        </w:rPr>
        <w:sectPr w:rsidR="00284822">
          <w:pgSz w:w="16838" w:h="11906" w:orient="landscape"/>
          <w:pgMar w:top="1418" w:right="1418" w:bottom="1418" w:left="1418" w:header="720" w:footer="720" w:gutter="0"/>
          <w:cols w:space="720"/>
        </w:sectPr>
      </w:pPr>
    </w:p>
    <w:p w14:paraId="4DF2F696" w14:textId="77777777" w:rsidR="00284822" w:rsidRDefault="00F77BF8">
      <w:pPr>
        <w:spacing w:before="120" w:after="120"/>
        <w:jc w:val="center"/>
        <w:rPr>
          <w:rFonts w:ascii="Rockwell" w:hAnsi="Rockwell"/>
          <w:i/>
          <w:sz w:val="20"/>
          <w:szCs w:val="20"/>
        </w:rPr>
      </w:pPr>
      <w:r>
        <w:rPr>
          <w:rFonts w:ascii="Rockwell" w:hAnsi="Rockwell"/>
          <w:i/>
          <w:sz w:val="20"/>
          <w:szCs w:val="20"/>
          <w:u w:val="single"/>
        </w:rPr>
        <w:lastRenderedPageBreak/>
        <w:t>Représentation graphique des TA et TP obtenus par les dix (10) partis politiques dans les médias audiovisuels privés</w:t>
      </w:r>
    </w:p>
    <w:p w14:paraId="7CEABD44" w14:textId="77777777" w:rsidR="00284822" w:rsidRDefault="00284822">
      <w:pPr>
        <w:spacing w:before="120" w:after="120"/>
        <w:jc w:val="center"/>
        <w:rPr>
          <w:rFonts w:ascii="Rockwell" w:hAnsi="Rockwell"/>
          <w:sz w:val="16"/>
          <w:szCs w:val="16"/>
        </w:rPr>
      </w:pPr>
    </w:p>
    <w:p w14:paraId="546BE5AB" w14:textId="77777777" w:rsidR="00284822" w:rsidRDefault="00F77BF8">
      <w:pPr>
        <w:spacing w:before="120" w:after="120"/>
        <w:jc w:val="center"/>
        <w:rPr>
          <w:rFonts w:ascii="Rockwell" w:hAnsi="Rockwell"/>
          <w:szCs w:val="26"/>
        </w:rPr>
      </w:pPr>
      <w:r>
        <w:rPr>
          <w:rFonts w:ascii="Rockwell" w:hAnsi="Rockwell"/>
          <w:noProof/>
          <w:szCs w:val="26"/>
        </w:rPr>
        <w:drawing>
          <wp:inline distT="0" distB="0" distL="0" distR="0" wp14:anchorId="5F89E9A9" wp14:editId="48D5DAC6">
            <wp:extent cx="5853430" cy="4284980"/>
            <wp:effectExtent l="0" t="0" r="13970" b="1270"/>
            <wp:docPr id="26" name="Graphique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91"/>
              </a:graphicData>
            </a:graphic>
          </wp:inline>
        </w:drawing>
      </w:r>
    </w:p>
    <w:p w14:paraId="4A56B6A6" w14:textId="77777777" w:rsidR="00284822" w:rsidRDefault="00284822">
      <w:pPr>
        <w:spacing w:before="120" w:after="120"/>
        <w:jc w:val="center"/>
        <w:rPr>
          <w:rFonts w:ascii="Rockwell" w:hAnsi="Rockwell"/>
          <w:szCs w:val="26"/>
        </w:rPr>
      </w:pPr>
    </w:p>
    <w:p w14:paraId="7BA9DCDC" w14:textId="77777777" w:rsidR="00284822" w:rsidRDefault="00F77BF8">
      <w:pPr>
        <w:pStyle w:val="Titre6"/>
        <w:numPr>
          <w:ilvl w:val="1"/>
          <w:numId w:val="22"/>
        </w:numPr>
        <w:rPr>
          <w:rFonts w:ascii="Rockwell" w:hAnsi="Rockwell"/>
        </w:rPr>
      </w:pPr>
      <w:r>
        <w:rPr>
          <w:rFonts w:ascii="Rockwell" w:hAnsi="Rockwell"/>
        </w:rPr>
        <w:t>Appréciation du pluralisme et de l’équilibre de l’information dans les médias audiovisuels privés</w:t>
      </w:r>
    </w:p>
    <w:p w14:paraId="3E8AECF7" w14:textId="77777777" w:rsidR="00284822" w:rsidRDefault="00F77BF8">
      <w:pPr>
        <w:spacing w:before="120" w:after="120"/>
        <w:rPr>
          <w:rFonts w:ascii="Rockwell" w:hAnsi="Rockwell"/>
          <w:szCs w:val="26"/>
        </w:rPr>
      </w:pPr>
      <w:r>
        <w:rPr>
          <w:rFonts w:ascii="Rockwell" w:hAnsi="Rockwell"/>
          <w:szCs w:val="26"/>
        </w:rPr>
        <w:t>Les médias privés ont octroyé un TA de 56 heures 46 minutes 22 secondes et un TP de 16 heures 30 minutes 03 secondes aux acteurs sociopolitiques.</w:t>
      </w:r>
    </w:p>
    <w:p w14:paraId="72B1A21C" w14:textId="77777777" w:rsidR="00284822" w:rsidRDefault="00F77BF8">
      <w:pPr>
        <w:spacing w:before="120" w:after="120"/>
        <w:rPr>
          <w:rFonts w:ascii="Rockwell" w:hAnsi="Rockwell"/>
          <w:szCs w:val="26"/>
        </w:rPr>
      </w:pPr>
      <w:r>
        <w:rPr>
          <w:rFonts w:ascii="Rockwell" w:hAnsi="Rockwell"/>
          <w:szCs w:val="26"/>
        </w:rPr>
        <w:t>Ce volume horaire a été principalement consacré aux activités de la Société civile qui ont bénéficié de 28 heures 39 minutes 21 secondes soit un taux de 50,47%, avec un TP de 8 heures 1 minute 7 secondes soit un taux de 48,59%. Elle est suivie du Gouvernement qui a enregistré un TA de 20 heures 6 minutes 28 secondes, soit 35,42% et un TP de 7 heures 22 minutes 26 secondes, soit 44,69%.</w:t>
      </w:r>
    </w:p>
    <w:p w14:paraId="23A4F8F8" w14:textId="77777777" w:rsidR="00284822" w:rsidRDefault="00F77BF8">
      <w:pPr>
        <w:spacing w:before="120" w:after="120"/>
        <w:rPr>
          <w:rFonts w:ascii="Rockwell" w:hAnsi="Rockwell"/>
          <w:szCs w:val="26"/>
        </w:rPr>
      </w:pPr>
      <w:r>
        <w:rPr>
          <w:rFonts w:ascii="Rockwell" w:hAnsi="Rockwell"/>
          <w:szCs w:val="26"/>
        </w:rPr>
        <w:lastRenderedPageBreak/>
        <w:t>Le Gouvernement est suivi de la Présidence du Faso (8,25% du TA et 3,64% du TP), des Partis politiques (2,79% du TA et 1,59% du TP), de l’Assemblée nationale (2,31% du TA et 00,97% du TP) et des Autres Institutions (00,76% du TA et 00,52% du TP).</w:t>
      </w:r>
    </w:p>
    <w:p w14:paraId="0AF0120C" w14:textId="77777777" w:rsidR="00284822" w:rsidRDefault="00F77BF8">
      <w:pPr>
        <w:spacing w:before="120" w:after="120"/>
        <w:rPr>
          <w:rFonts w:ascii="Rockwell" w:hAnsi="Rockwell"/>
          <w:szCs w:val="26"/>
        </w:rPr>
      </w:pPr>
      <w:r>
        <w:rPr>
          <w:rFonts w:ascii="Rockwell" w:hAnsi="Rockwell"/>
          <w:szCs w:val="26"/>
        </w:rPr>
        <w:t>Par ailleurs, dix (10) Partis et formations politiques se sont exprimés sur les antennes de ces radios privées. En ce qui concerne les temps d’antenne des cinq (05) premiers partis ou formations politiques, le MPP occupe la première position avec 33 minutes 14 secondes de TA, soit 34,95 %. Le CDP arrive en deuxième position avec 22 minutes 15 secondes, soit 23,40% du TA, suivi du PPS avec 15 minutes 25 secondes, soit 16, 21% du TA, de l’APMP 7 minutes 34 secondes avec 7,96 % du TA et du CFOP 5 minutes 23 secondes, soit 5,66 % du TA.</w:t>
      </w:r>
    </w:p>
    <w:p w14:paraId="36F10291" w14:textId="77777777" w:rsidR="00284822" w:rsidRDefault="00F77BF8">
      <w:pPr>
        <w:spacing w:before="120" w:after="120"/>
        <w:rPr>
          <w:rFonts w:ascii="Rockwell" w:hAnsi="Rockwell"/>
          <w:szCs w:val="26"/>
        </w:rPr>
      </w:pPr>
      <w:r>
        <w:rPr>
          <w:rFonts w:ascii="Rockwell" w:hAnsi="Rockwell"/>
          <w:szCs w:val="26"/>
        </w:rPr>
        <w:t>A l’issue de l’observation dans les médias privés comme publics, on remarque que l’information est plurielle. Cependant, elle est déséquilibrée au profit de la Société Civile et du MPP.</w:t>
      </w:r>
    </w:p>
    <w:p w14:paraId="56FC54F5" w14:textId="77777777" w:rsidR="00284822" w:rsidRDefault="00284822">
      <w:pPr>
        <w:spacing w:before="120" w:after="120"/>
        <w:rPr>
          <w:rFonts w:ascii="Rockwell" w:hAnsi="Rockwell"/>
          <w:szCs w:val="26"/>
        </w:rPr>
      </w:pPr>
    </w:p>
    <w:p w14:paraId="74E63CC5" w14:textId="77777777" w:rsidR="00284822" w:rsidRDefault="00284822">
      <w:pPr>
        <w:spacing w:before="120" w:after="120"/>
        <w:rPr>
          <w:rFonts w:ascii="Rockwell" w:hAnsi="Rockwell"/>
          <w:szCs w:val="26"/>
        </w:rPr>
        <w:sectPr w:rsidR="00284822">
          <w:pgSz w:w="11906" w:h="16838"/>
          <w:pgMar w:top="1418" w:right="1418" w:bottom="1418" w:left="1418" w:header="720" w:footer="720" w:gutter="0"/>
          <w:cols w:space="720"/>
        </w:sectPr>
      </w:pPr>
    </w:p>
    <w:p w14:paraId="1C09391D" w14:textId="77777777" w:rsidR="00284822" w:rsidRDefault="00F77BF8">
      <w:pPr>
        <w:pStyle w:val="Titre2"/>
        <w:spacing w:before="120" w:after="120"/>
        <w:rPr>
          <w:rFonts w:ascii="Rockwell" w:hAnsi="Rockwell"/>
          <w:sz w:val="30"/>
          <w:szCs w:val="30"/>
        </w:rPr>
      </w:pPr>
      <w:bookmarkStart w:id="176" w:name="_Toc122608678"/>
      <w:bookmarkStart w:id="177" w:name="_Toc170304756"/>
      <w:bookmarkStart w:id="178" w:name="_Toc175048690"/>
      <w:bookmarkStart w:id="179" w:name="_Toc119511781"/>
      <w:r>
        <w:rPr>
          <w:rFonts w:ascii="Rockwell" w:hAnsi="Rockwell"/>
          <w:sz w:val="30"/>
          <w:szCs w:val="30"/>
        </w:rPr>
        <w:lastRenderedPageBreak/>
        <w:t>CHAPITRE III : MANQUEMENTS A LA LOI, A L’ETHIQUE ET A LA DEONTOLOGIE</w:t>
      </w:r>
      <w:bookmarkEnd w:id="176"/>
      <w:bookmarkEnd w:id="177"/>
      <w:bookmarkEnd w:id="178"/>
      <w:bookmarkEnd w:id="179"/>
    </w:p>
    <w:p w14:paraId="28E0D59E" w14:textId="7DE637B2" w:rsidR="00284822" w:rsidRDefault="00F77BF8">
      <w:pPr>
        <w:spacing w:before="120" w:after="120"/>
        <w:rPr>
          <w:rFonts w:ascii="Rockwell" w:hAnsi="Rockwell"/>
          <w:szCs w:val="26"/>
        </w:rPr>
      </w:pPr>
      <w:r>
        <w:rPr>
          <w:rFonts w:ascii="Rockwell" w:hAnsi="Rockwell"/>
          <w:szCs w:val="26"/>
        </w:rPr>
        <w:t>La régulation de la communication porte également sur le contrôle du respect, par les médias, de la loi, de l’éthique et de la déontologie professionnelle</w:t>
      </w:r>
      <w:r w:rsidR="00EC030B">
        <w:rPr>
          <w:rFonts w:ascii="Rockwell" w:hAnsi="Rockwell"/>
          <w:szCs w:val="26"/>
        </w:rPr>
        <w:t>s</w:t>
      </w:r>
      <w:r>
        <w:rPr>
          <w:rFonts w:ascii="Rockwell" w:hAnsi="Rockwell"/>
          <w:szCs w:val="26"/>
        </w:rPr>
        <w:t xml:space="preserve">. Cette activité a donné lieu </w:t>
      </w:r>
      <w:r>
        <w:rPr>
          <w:rFonts w:ascii="Rockwell" w:eastAsia="Calibri" w:hAnsi="Rockwell"/>
          <w:szCs w:val="26"/>
          <w:lang w:eastAsia="en-US"/>
        </w:rPr>
        <w:t xml:space="preserve">à </w:t>
      </w:r>
      <w:r>
        <w:rPr>
          <w:rFonts w:ascii="Rockwell" w:hAnsi="Rockwell"/>
          <w:szCs w:val="26"/>
        </w:rPr>
        <w:t xml:space="preserve">plusieurs cas d’auto saisines et de saisines. </w:t>
      </w:r>
    </w:p>
    <w:p w14:paraId="546FDE32" w14:textId="17BA524C" w:rsidR="00284822" w:rsidRDefault="00F77BF8">
      <w:pPr>
        <w:spacing w:before="120" w:after="120"/>
        <w:rPr>
          <w:rFonts w:ascii="Rockwell" w:hAnsi="Rockwell"/>
          <w:szCs w:val="26"/>
        </w:rPr>
      </w:pPr>
      <w:r>
        <w:rPr>
          <w:rFonts w:ascii="Rockwell" w:hAnsi="Rockwell"/>
          <w:szCs w:val="26"/>
        </w:rPr>
        <w:t>Leur traitement a conduit à des auditions</w:t>
      </w:r>
      <w:r w:rsidR="00EC030B">
        <w:rPr>
          <w:rFonts w:ascii="Rockwell" w:hAnsi="Rockwell"/>
          <w:szCs w:val="26"/>
        </w:rPr>
        <w:t xml:space="preserve"> </w:t>
      </w:r>
      <w:r>
        <w:rPr>
          <w:rFonts w:ascii="Rockwell" w:hAnsi="Rockwell"/>
          <w:szCs w:val="26"/>
        </w:rPr>
        <w:t>et</w:t>
      </w:r>
      <w:r w:rsidR="00EC030B">
        <w:rPr>
          <w:rFonts w:ascii="Rockwell" w:hAnsi="Rockwell"/>
          <w:szCs w:val="26"/>
        </w:rPr>
        <w:t>,</w:t>
      </w:r>
      <w:r>
        <w:rPr>
          <w:rFonts w:ascii="Rockwell" w:hAnsi="Rockwell"/>
          <w:szCs w:val="26"/>
        </w:rPr>
        <w:t xml:space="preserve"> dans certains</w:t>
      </w:r>
      <w:r w:rsidR="00EC030B">
        <w:rPr>
          <w:rFonts w:ascii="Rockwell" w:hAnsi="Rockwell"/>
          <w:szCs w:val="26"/>
        </w:rPr>
        <w:t>,</w:t>
      </w:r>
      <w:r>
        <w:rPr>
          <w:rFonts w:ascii="Rockwell" w:hAnsi="Rockwell"/>
          <w:szCs w:val="26"/>
        </w:rPr>
        <w:t xml:space="preserve"> cas à des sanctions.</w:t>
      </w:r>
    </w:p>
    <w:p w14:paraId="62AC0F29" w14:textId="77777777" w:rsidR="00284822" w:rsidRDefault="00284822">
      <w:pPr>
        <w:pStyle w:val="Titre3"/>
        <w:spacing w:before="120" w:after="120"/>
        <w:rPr>
          <w:rFonts w:ascii="Rockwell" w:hAnsi="Rockwell"/>
        </w:rPr>
      </w:pPr>
    </w:p>
    <w:p w14:paraId="7DCE806B" w14:textId="482DC577" w:rsidR="00284822" w:rsidRDefault="00F77BF8">
      <w:pPr>
        <w:pStyle w:val="Titre3"/>
        <w:spacing w:before="120" w:after="120"/>
        <w:rPr>
          <w:rFonts w:ascii="Rockwell" w:hAnsi="Rockwell"/>
          <w:color w:val="000000" w:themeColor="text1"/>
          <w:szCs w:val="28"/>
        </w:rPr>
      </w:pPr>
      <w:bookmarkStart w:id="180" w:name="_Toc170304757"/>
      <w:bookmarkStart w:id="181" w:name="_Toc175048691"/>
      <w:r>
        <w:rPr>
          <w:rFonts w:ascii="Rockwell" w:hAnsi="Rockwell"/>
          <w:color w:val="000000" w:themeColor="text1"/>
          <w:szCs w:val="28"/>
        </w:rPr>
        <w:t>SECTION 1 : AUTO SAISINES</w:t>
      </w:r>
      <w:bookmarkEnd w:id="180"/>
      <w:bookmarkEnd w:id="181"/>
    </w:p>
    <w:p w14:paraId="7621719E" w14:textId="77777777" w:rsidR="00284822" w:rsidRDefault="00F77BF8">
      <w:pPr>
        <w:spacing w:before="120" w:after="120"/>
        <w:textAlignment w:val="auto"/>
        <w:rPr>
          <w:rFonts w:ascii="Rockwell" w:eastAsia="Calibri" w:hAnsi="Rockwell"/>
          <w:szCs w:val="26"/>
          <w:lang w:eastAsia="en-US"/>
        </w:rPr>
      </w:pPr>
      <w:r>
        <w:rPr>
          <w:rFonts w:ascii="Rockwell" w:eastAsia="Calibri" w:hAnsi="Rockwell"/>
          <w:szCs w:val="26"/>
          <w:lang w:eastAsia="en-US"/>
        </w:rPr>
        <w:t xml:space="preserve">Les manquements à la loi, à l’éthique et à la déontologie ayant fait l’objet d’auto saisines portent sur des cas d’appels à la sédition et/ou à la révolte, de publications d’images choquantes, d’intolérance religieuse, d’injures ou de propos grossiers. Ces manquements ont concerné dix (10) médias qui sont : les télévisions </w:t>
      </w:r>
      <w:r>
        <w:rPr>
          <w:rFonts w:ascii="Rockwell" w:eastAsia="Calibri" w:hAnsi="Rockwell"/>
          <w:i/>
          <w:szCs w:val="26"/>
          <w:lang w:eastAsia="en-US"/>
        </w:rPr>
        <w:t>BF1, Canal3, Savane TV, Oméga TV</w:t>
      </w:r>
      <w:r>
        <w:rPr>
          <w:rFonts w:ascii="Rockwell" w:eastAsia="Calibri" w:hAnsi="Rockwell"/>
          <w:szCs w:val="26"/>
          <w:lang w:eastAsia="en-US"/>
        </w:rPr>
        <w:t xml:space="preserve"> et la </w:t>
      </w:r>
      <w:r>
        <w:rPr>
          <w:rFonts w:ascii="Rockwell" w:eastAsia="Calibri" w:hAnsi="Rockwell"/>
          <w:i/>
          <w:szCs w:val="26"/>
          <w:lang w:eastAsia="en-US"/>
        </w:rPr>
        <w:t>RTB</w:t>
      </w:r>
      <w:r>
        <w:rPr>
          <w:rFonts w:ascii="Rockwell" w:eastAsia="Calibri" w:hAnsi="Rockwell"/>
          <w:szCs w:val="26"/>
          <w:lang w:eastAsia="en-US"/>
        </w:rPr>
        <w:t xml:space="preserve">, les radios </w:t>
      </w:r>
      <w:r>
        <w:rPr>
          <w:rFonts w:ascii="Rockwell" w:eastAsia="Calibri" w:hAnsi="Rockwell"/>
          <w:i/>
          <w:szCs w:val="26"/>
          <w:lang w:eastAsia="en-US"/>
        </w:rPr>
        <w:t xml:space="preserve">RFI, </w:t>
      </w:r>
      <w:proofErr w:type="spellStart"/>
      <w:r>
        <w:rPr>
          <w:rFonts w:ascii="Rockwell" w:eastAsia="Calibri" w:hAnsi="Rockwell"/>
          <w:i/>
          <w:szCs w:val="26"/>
          <w:lang w:eastAsia="en-US"/>
        </w:rPr>
        <w:t>Fémina</w:t>
      </w:r>
      <w:proofErr w:type="spellEnd"/>
      <w:r>
        <w:rPr>
          <w:rFonts w:ascii="Rockwell" w:eastAsia="Calibri" w:hAnsi="Rockwell"/>
          <w:i/>
          <w:szCs w:val="26"/>
          <w:lang w:eastAsia="en-US"/>
        </w:rPr>
        <w:t xml:space="preserve"> FM</w:t>
      </w:r>
      <w:r>
        <w:rPr>
          <w:rFonts w:ascii="Rockwell" w:eastAsia="Calibri" w:hAnsi="Rockwell"/>
          <w:szCs w:val="26"/>
          <w:lang w:eastAsia="en-US"/>
        </w:rPr>
        <w:t xml:space="preserve"> et les journaux </w:t>
      </w:r>
      <w:r>
        <w:rPr>
          <w:rFonts w:ascii="Rockwell" w:eastAsia="Calibri" w:hAnsi="Rockwell"/>
          <w:i/>
          <w:szCs w:val="26"/>
          <w:lang w:eastAsia="en-US"/>
        </w:rPr>
        <w:t>Infos Sciences Culture</w:t>
      </w:r>
      <w:r>
        <w:rPr>
          <w:rFonts w:ascii="Rockwell" w:eastAsia="Calibri" w:hAnsi="Rockwell"/>
          <w:szCs w:val="26"/>
          <w:lang w:eastAsia="en-US"/>
        </w:rPr>
        <w:t xml:space="preserve"> et </w:t>
      </w:r>
      <w:r>
        <w:rPr>
          <w:rFonts w:ascii="Rockwell" w:eastAsia="Calibri" w:hAnsi="Rockwell"/>
          <w:i/>
          <w:szCs w:val="26"/>
          <w:lang w:eastAsia="en-US"/>
        </w:rPr>
        <w:t xml:space="preserve">Infos </w:t>
      </w:r>
      <w:proofErr w:type="spellStart"/>
      <w:r>
        <w:rPr>
          <w:rFonts w:ascii="Rockwell" w:eastAsia="Calibri" w:hAnsi="Rockwell"/>
          <w:i/>
          <w:szCs w:val="26"/>
          <w:lang w:eastAsia="en-US"/>
        </w:rPr>
        <w:t>Wakat</w:t>
      </w:r>
      <w:proofErr w:type="spellEnd"/>
      <w:r>
        <w:rPr>
          <w:rFonts w:ascii="Rockwell" w:eastAsia="Calibri" w:hAnsi="Rockwell"/>
          <w:szCs w:val="26"/>
          <w:lang w:eastAsia="en-US"/>
        </w:rPr>
        <w:t>.</w:t>
      </w:r>
    </w:p>
    <w:p w14:paraId="7C10B833" w14:textId="77777777" w:rsidR="00284822" w:rsidRDefault="00284822">
      <w:pPr>
        <w:spacing w:before="120" w:after="120"/>
        <w:textAlignment w:val="auto"/>
        <w:rPr>
          <w:rFonts w:ascii="Rockwell" w:eastAsia="Calibri" w:hAnsi="Rockwell"/>
          <w:szCs w:val="26"/>
          <w:lang w:eastAsia="en-US"/>
        </w:rPr>
      </w:pPr>
    </w:p>
    <w:p w14:paraId="28777BD5" w14:textId="77777777" w:rsidR="00284822" w:rsidRDefault="00F77BF8">
      <w:pPr>
        <w:pStyle w:val="Titre4"/>
        <w:spacing w:before="120" w:after="120"/>
        <w:rPr>
          <w:rFonts w:ascii="Rockwell" w:hAnsi="Rockwell"/>
          <w:bCs/>
          <w:sz w:val="28"/>
          <w:szCs w:val="28"/>
        </w:rPr>
      </w:pPr>
      <w:bookmarkStart w:id="182" w:name="_Toc175048692"/>
      <w:r>
        <w:rPr>
          <w:rFonts w:ascii="Rockwell" w:hAnsi="Rockwell"/>
          <w:bCs/>
          <w:sz w:val="28"/>
          <w:szCs w:val="28"/>
        </w:rPr>
        <w:t xml:space="preserve">Paragraphe 1 : </w:t>
      </w:r>
      <w:r>
        <w:rPr>
          <w:rFonts w:ascii="Rockwell" w:eastAsia="Calibri" w:hAnsi="Rockwell"/>
          <w:sz w:val="28"/>
          <w:szCs w:val="28"/>
          <w:lang w:eastAsia="en-US"/>
        </w:rPr>
        <w:t>Propos de nature séditieuse</w:t>
      </w:r>
      <w:bookmarkEnd w:id="182"/>
    </w:p>
    <w:p w14:paraId="0AD6653C" w14:textId="77777777" w:rsidR="00284822" w:rsidRDefault="00F77BF8">
      <w:pPr>
        <w:spacing w:before="120" w:after="120"/>
        <w:textAlignment w:val="auto"/>
        <w:rPr>
          <w:rFonts w:ascii="Rockwell" w:eastAsia="Calibri" w:hAnsi="Rockwell"/>
          <w:szCs w:val="26"/>
          <w:lang w:eastAsia="en-US"/>
        </w:rPr>
      </w:pPr>
      <w:r>
        <w:rPr>
          <w:rFonts w:ascii="Rockwell" w:eastAsia="Calibri" w:hAnsi="Rockwell"/>
          <w:szCs w:val="26"/>
          <w:lang w:eastAsia="en-US"/>
        </w:rPr>
        <w:t xml:space="preserve">Les manquements relatifs à des situations séditieuses ou d’incitation à la révolte ont concerné les télévisions </w:t>
      </w:r>
      <w:r>
        <w:rPr>
          <w:rFonts w:ascii="Rockwell" w:eastAsia="Calibri" w:hAnsi="Rockwell"/>
          <w:i/>
          <w:szCs w:val="26"/>
          <w:lang w:eastAsia="en-US"/>
        </w:rPr>
        <w:t>BF1</w:t>
      </w:r>
      <w:r>
        <w:rPr>
          <w:rFonts w:ascii="Rockwell" w:eastAsia="Calibri" w:hAnsi="Rockwell"/>
          <w:szCs w:val="26"/>
          <w:lang w:eastAsia="en-US"/>
        </w:rPr>
        <w:t xml:space="preserve"> et </w:t>
      </w:r>
      <w:r>
        <w:rPr>
          <w:rFonts w:ascii="Rockwell" w:eastAsia="Calibri" w:hAnsi="Rockwell"/>
          <w:i/>
          <w:szCs w:val="26"/>
          <w:lang w:eastAsia="en-US"/>
        </w:rPr>
        <w:t>Savane TV</w:t>
      </w:r>
      <w:r>
        <w:rPr>
          <w:rFonts w:ascii="Rockwell" w:eastAsia="Calibri" w:hAnsi="Rockwell"/>
          <w:szCs w:val="26"/>
          <w:lang w:eastAsia="en-US"/>
        </w:rPr>
        <w:t>.</w:t>
      </w:r>
    </w:p>
    <w:p w14:paraId="5DF673E1" w14:textId="77777777" w:rsidR="00284822" w:rsidRDefault="00F77BF8">
      <w:pPr>
        <w:pStyle w:val="Titre5"/>
        <w:numPr>
          <w:ilvl w:val="1"/>
          <w:numId w:val="27"/>
        </w:numPr>
        <w:ind w:hanging="11"/>
        <w:rPr>
          <w:rFonts w:ascii="Rockwell" w:eastAsia="Calibri" w:hAnsi="Rockwell"/>
          <w:lang w:eastAsia="en-US"/>
        </w:rPr>
      </w:pPr>
      <w:bookmarkStart w:id="183" w:name="_Toc175048693"/>
      <w:r>
        <w:rPr>
          <w:rFonts w:ascii="Rockwell" w:eastAsia="Calibri" w:hAnsi="Rockwell"/>
          <w:lang w:eastAsia="en-US"/>
        </w:rPr>
        <w:t>Cas de la télévision BF1</w:t>
      </w:r>
      <w:bookmarkEnd w:id="183"/>
    </w:p>
    <w:p w14:paraId="52C86AB6" w14:textId="77777777" w:rsidR="00284822" w:rsidRDefault="00F77BF8">
      <w:pPr>
        <w:spacing w:before="120" w:after="120"/>
        <w:rPr>
          <w:rFonts w:ascii="Rockwell" w:hAnsi="Rockwell"/>
          <w:szCs w:val="26"/>
        </w:rPr>
      </w:pPr>
      <w:r>
        <w:rPr>
          <w:rFonts w:ascii="Rockwell" w:eastAsia="Calibri" w:hAnsi="Rockwell"/>
          <w:szCs w:val="26"/>
          <w:lang w:eastAsia="en-US"/>
        </w:rPr>
        <w:t xml:space="preserve"> La télévision </w:t>
      </w:r>
      <w:r>
        <w:rPr>
          <w:rFonts w:ascii="Rockwell" w:eastAsia="Calibri" w:hAnsi="Rockwell"/>
          <w:i/>
          <w:szCs w:val="26"/>
          <w:lang w:eastAsia="en-US"/>
        </w:rPr>
        <w:t>BF1</w:t>
      </w:r>
      <w:r>
        <w:rPr>
          <w:rFonts w:ascii="Rockwell" w:eastAsia="Calibri" w:hAnsi="Rockwell"/>
          <w:szCs w:val="26"/>
          <w:lang w:eastAsia="en-US"/>
        </w:rPr>
        <w:t> a diffusé, le 12 janvier 2022, au cours du journal télévisé de 19 heures 30 minutes, un compte rendu relatif à une conférence de presse du parti politique dénommé Front progressiste</w:t>
      </w:r>
      <w:r>
        <w:rPr>
          <w:rFonts w:ascii="Rockwell" w:eastAsia="Calibri" w:hAnsi="Rockwell"/>
          <w:b/>
          <w:szCs w:val="26"/>
          <w:lang w:eastAsia="en-US"/>
        </w:rPr>
        <w:t>,</w:t>
      </w:r>
      <w:r>
        <w:rPr>
          <w:rFonts w:ascii="Rockwell" w:eastAsia="Calibri" w:hAnsi="Rockwell"/>
          <w:szCs w:val="26"/>
          <w:lang w:eastAsia="en-US"/>
        </w:rPr>
        <w:t xml:space="preserve"> membre de l’alliance des partis politiques de la majorité présidentielle. Au cours de ladite conférence, le président du Front Progressiste, Monsieur </w:t>
      </w:r>
      <w:proofErr w:type="spellStart"/>
      <w:r>
        <w:rPr>
          <w:rFonts w:ascii="Rockwell" w:eastAsia="Calibri" w:hAnsi="Rockwell"/>
          <w:szCs w:val="26"/>
          <w:lang w:eastAsia="en-US"/>
        </w:rPr>
        <w:t>Gafarou</w:t>
      </w:r>
      <w:proofErr w:type="spellEnd"/>
      <w:r>
        <w:rPr>
          <w:rFonts w:ascii="Rockwell" w:eastAsia="Calibri" w:hAnsi="Rockwell"/>
          <w:szCs w:val="26"/>
          <w:lang w:eastAsia="en-US"/>
        </w:rPr>
        <w:t xml:space="preserve"> NIGNAN, a réclamé la démission du Président du Faso et demandé la mise en place d’une </w:t>
      </w:r>
      <w:r>
        <w:rPr>
          <w:rFonts w:ascii="Rockwell" w:eastAsia="Calibri" w:hAnsi="Rockwell"/>
          <w:szCs w:val="26"/>
          <w:lang w:eastAsia="en-US"/>
        </w:rPr>
        <w:lastRenderedPageBreak/>
        <w:t>transition. Il a également indiqué son intention de descendre dans la rue avec le peuple.</w:t>
      </w:r>
    </w:p>
    <w:p w14:paraId="6DB29823" w14:textId="77777777" w:rsidR="00284822" w:rsidRDefault="00F77BF8">
      <w:pPr>
        <w:spacing w:before="120" w:after="120"/>
        <w:rPr>
          <w:rFonts w:ascii="Rockwell" w:eastAsia="Calibri" w:hAnsi="Rockwell"/>
          <w:szCs w:val="26"/>
          <w:lang w:eastAsia="en-US"/>
        </w:rPr>
      </w:pPr>
      <w:r>
        <w:rPr>
          <w:rFonts w:ascii="Rockwell" w:eastAsia="Calibri" w:hAnsi="Rockwell"/>
          <w:szCs w:val="26"/>
          <w:lang w:eastAsia="en-US"/>
        </w:rPr>
        <w:t>Ces propos, de nature séditieuse, constituent une violation des principes d’éthique et de déontologie en matière de traitement de l’information. Ils contreviennent également à la loi sur l’audiovisuel</w:t>
      </w:r>
      <w:r>
        <w:rPr>
          <w:rStyle w:val="Appelnotedebasdep"/>
          <w:rFonts w:ascii="Rockwell" w:eastAsia="Calibri" w:hAnsi="Rockwell"/>
          <w:szCs w:val="26"/>
          <w:lang w:eastAsia="en-US"/>
        </w:rPr>
        <w:footnoteReference w:id="8"/>
      </w:r>
      <w:r>
        <w:rPr>
          <w:rFonts w:ascii="Rockwell" w:eastAsia="Calibri" w:hAnsi="Rockwell"/>
          <w:szCs w:val="26"/>
          <w:lang w:eastAsia="en-US"/>
        </w:rPr>
        <w:t xml:space="preserve">. </w:t>
      </w:r>
    </w:p>
    <w:p w14:paraId="7783769D" w14:textId="77777777" w:rsidR="00284822" w:rsidRDefault="00F77BF8">
      <w:pPr>
        <w:spacing w:before="120" w:after="120"/>
        <w:rPr>
          <w:rFonts w:ascii="Rockwell" w:hAnsi="Rockwell"/>
          <w:szCs w:val="26"/>
        </w:rPr>
      </w:pPr>
      <w:r>
        <w:rPr>
          <w:rFonts w:ascii="Rockwell" w:eastAsia="Calibri" w:hAnsi="Rockwell"/>
          <w:szCs w:val="26"/>
          <w:lang w:eastAsia="en-US"/>
        </w:rPr>
        <w:t xml:space="preserve">Se prononçant sur la question, le Conseil a adressé une lettre d’observation au Directeur de publication de </w:t>
      </w:r>
      <w:r>
        <w:rPr>
          <w:rFonts w:ascii="Rockwell" w:eastAsia="Calibri" w:hAnsi="Rockwell"/>
          <w:i/>
          <w:szCs w:val="26"/>
          <w:lang w:eastAsia="en-US"/>
        </w:rPr>
        <w:t>BF1</w:t>
      </w:r>
      <w:r>
        <w:rPr>
          <w:rFonts w:ascii="Rockwell" w:eastAsia="Calibri" w:hAnsi="Rockwell"/>
          <w:szCs w:val="26"/>
          <w:lang w:eastAsia="en-US"/>
        </w:rPr>
        <w:t xml:space="preserve"> afin d’attirer son attention sur les manquements constatés. </w:t>
      </w:r>
    </w:p>
    <w:p w14:paraId="096A67A4" w14:textId="77777777" w:rsidR="00284822" w:rsidRDefault="00F77BF8">
      <w:pPr>
        <w:pStyle w:val="Titre5"/>
        <w:numPr>
          <w:ilvl w:val="1"/>
          <w:numId w:val="28"/>
        </w:numPr>
        <w:rPr>
          <w:rFonts w:ascii="Rockwell" w:hAnsi="Rockwell"/>
        </w:rPr>
      </w:pPr>
      <w:bookmarkStart w:id="184" w:name="_Toc175048694"/>
      <w:r>
        <w:rPr>
          <w:rFonts w:ascii="Rockwell" w:eastAsia="Calibri" w:hAnsi="Rockwell"/>
          <w:lang w:eastAsia="en-US"/>
        </w:rPr>
        <w:t xml:space="preserve">Cas de la télévision </w:t>
      </w:r>
      <w:r>
        <w:rPr>
          <w:rFonts w:ascii="Rockwell" w:eastAsia="Calibri" w:hAnsi="Rockwell"/>
          <w:i/>
          <w:lang w:eastAsia="en-US"/>
        </w:rPr>
        <w:t>Savane TV</w:t>
      </w:r>
      <w:bookmarkEnd w:id="184"/>
    </w:p>
    <w:p w14:paraId="5216A2C5" w14:textId="77777777" w:rsidR="00284822" w:rsidRDefault="00F77BF8">
      <w:pPr>
        <w:spacing w:before="120" w:after="120"/>
        <w:textAlignment w:val="auto"/>
        <w:rPr>
          <w:rFonts w:ascii="Rockwell" w:eastAsia="Calibri" w:hAnsi="Rockwell"/>
          <w:szCs w:val="26"/>
          <w:lang w:eastAsia="en-US"/>
        </w:rPr>
      </w:pPr>
      <w:r>
        <w:rPr>
          <w:rFonts w:ascii="Rockwell" w:eastAsia="Calibri" w:hAnsi="Rockwell"/>
          <w:szCs w:val="26"/>
          <w:lang w:eastAsia="en-US"/>
        </w:rPr>
        <w:t xml:space="preserve">La télévision </w:t>
      </w:r>
      <w:r>
        <w:rPr>
          <w:rFonts w:ascii="Rockwell" w:eastAsia="Calibri" w:hAnsi="Rockwell"/>
          <w:i/>
          <w:szCs w:val="26"/>
          <w:lang w:eastAsia="en-US"/>
        </w:rPr>
        <w:t>Savane TV</w:t>
      </w:r>
      <w:r>
        <w:rPr>
          <w:rFonts w:ascii="Rockwell" w:eastAsia="Calibri" w:hAnsi="Rockwell"/>
          <w:szCs w:val="26"/>
          <w:lang w:eastAsia="en-US"/>
        </w:rPr>
        <w:t> a diffusé, le 12 avril 2022, des propos de nature séditieuse tenus par monsieur Mamadou Abdel Kader Traoré, coordonnateur du Mouvement pour le retour de Blaise Compaoré (MPRBC). Monsieur TRAORE, invité de l’émission « Bonjour le Faso », se prononçait sur le verdict du procès Thomas Sankara. Le CSC a estimé que les propos tenus étaient de nature à inciter à la violence.</w:t>
      </w:r>
    </w:p>
    <w:p w14:paraId="496F2F24" w14:textId="77777777" w:rsidR="00284822" w:rsidRDefault="00F77BF8">
      <w:pPr>
        <w:spacing w:before="120" w:after="120"/>
        <w:textAlignment w:val="auto"/>
        <w:rPr>
          <w:rFonts w:ascii="Rockwell" w:eastAsia="Calibri" w:hAnsi="Rockwell"/>
          <w:szCs w:val="26"/>
          <w:lang w:eastAsia="en-US"/>
        </w:rPr>
      </w:pPr>
      <w:r>
        <w:rPr>
          <w:rFonts w:ascii="Rockwell" w:eastAsia="Calibri" w:hAnsi="Rockwell"/>
          <w:szCs w:val="26"/>
          <w:lang w:eastAsia="en-US"/>
        </w:rPr>
        <w:t>Une lettre d’interpellation a été adressée au Directeur général de la télévision.</w:t>
      </w:r>
    </w:p>
    <w:p w14:paraId="49704E2C" w14:textId="77777777" w:rsidR="00284822" w:rsidRDefault="00284822">
      <w:pPr>
        <w:pStyle w:val="Titre4"/>
        <w:spacing w:before="120" w:after="120"/>
        <w:rPr>
          <w:rFonts w:ascii="Rockwell" w:hAnsi="Rockwell"/>
          <w:bCs/>
          <w:sz w:val="28"/>
          <w:szCs w:val="28"/>
        </w:rPr>
      </w:pPr>
    </w:p>
    <w:p w14:paraId="7473BC82" w14:textId="77777777" w:rsidR="00284822" w:rsidRDefault="00F77BF8">
      <w:pPr>
        <w:pStyle w:val="Titre4"/>
        <w:spacing w:before="120" w:after="120"/>
        <w:rPr>
          <w:rFonts w:ascii="Rockwell" w:hAnsi="Rockwell"/>
          <w:bCs/>
          <w:sz w:val="28"/>
          <w:szCs w:val="28"/>
        </w:rPr>
      </w:pPr>
      <w:bookmarkStart w:id="185" w:name="_Toc175048695"/>
      <w:r>
        <w:rPr>
          <w:rFonts w:ascii="Rockwell" w:hAnsi="Rockwell"/>
          <w:bCs/>
          <w:sz w:val="28"/>
          <w:szCs w:val="28"/>
        </w:rPr>
        <w:t xml:space="preserve">Paragraphe 2 : </w:t>
      </w:r>
      <w:r>
        <w:rPr>
          <w:rFonts w:ascii="Rockwell" w:eastAsia="Calibri" w:hAnsi="Rockwell"/>
          <w:sz w:val="28"/>
          <w:szCs w:val="28"/>
          <w:lang w:eastAsia="en-US"/>
        </w:rPr>
        <w:t>Publication d’images choquantes ou violentes</w:t>
      </w:r>
      <w:bookmarkEnd w:id="185"/>
    </w:p>
    <w:p w14:paraId="1713AEDB" w14:textId="77777777" w:rsidR="00284822" w:rsidRDefault="00F77BF8">
      <w:pPr>
        <w:spacing w:before="120" w:after="120"/>
        <w:textAlignment w:val="auto"/>
        <w:rPr>
          <w:rFonts w:ascii="Rockwell" w:hAnsi="Rockwell"/>
          <w:szCs w:val="26"/>
        </w:rPr>
      </w:pPr>
      <w:r>
        <w:rPr>
          <w:rFonts w:ascii="Rockwell" w:eastAsia="Calibri" w:hAnsi="Rockwell"/>
          <w:szCs w:val="26"/>
          <w:lang w:eastAsia="en-US"/>
        </w:rPr>
        <w:t>Dans sa parution numéro 153 du 30 janvier 2022, le journal </w:t>
      </w:r>
      <w:r>
        <w:rPr>
          <w:rFonts w:ascii="Rockwell" w:eastAsia="Calibri" w:hAnsi="Rockwell"/>
          <w:i/>
          <w:szCs w:val="26"/>
          <w:lang w:eastAsia="en-US"/>
        </w:rPr>
        <w:t>Infos Science Culture</w:t>
      </w:r>
      <w:r>
        <w:rPr>
          <w:rFonts w:ascii="Rockwell" w:eastAsia="Calibri" w:hAnsi="Rockwell"/>
          <w:szCs w:val="26"/>
          <w:lang w:eastAsia="en-US"/>
        </w:rPr>
        <w:t xml:space="preserve"> a publié deux articles intitulés </w:t>
      </w:r>
      <w:r>
        <w:rPr>
          <w:rFonts w:ascii="Rockwell" w:eastAsia="Calibri" w:hAnsi="Rockwell"/>
          <w:bCs/>
          <w:i/>
          <w:iCs/>
          <w:szCs w:val="26"/>
          <w:lang w:eastAsia="en-US"/>
        </w:rPr>
        <w:t>Ulcères, ce que vous ignorez !</w:t>
      </w:r>
      <w:r>
        <w:rPr>
          <w:rFonts w:ascii="Rockwell" w:eastAsia="Calibri" w:hAnsi="Rockwell"/>
          <w:szCs w:val="26"/>
          <w:lang w:eastAsia="en-US"/>
        </w:rPr>
        <w:t xml:space="preserve"> et «</w:t>
      </w:r>
      <w:r>
        <w:rPr>
          <w:rFonts w:ascii="Rockwell" w:eastAsia="Calibri" w:hAnsi="Rockwell"/>
          <w:b/>
          <w:bCs/>
          <w:i/>
          <w:iCs/>
          <w:szCs w:val="26"/>
          <w:lang w:eastAsia="en-US"/>
        </w:rPr>
        <w:t> journée mondiale contre le cancer/Diagnostic du mal ».</w:t>
      </w:r>
      <w:r>
        <w:rPr>
          <w:rFonts w:ascii="Rockwell" w:eastAsia="Calibri" w:hAnsi="Rockwell"/>
          <w:szCs w:val="26"/>
          <w:lang w:eastAsia="en-US"/>
        </w:rPr>
        <w:t xml:space="preserve"> Ces articles ont été illustrés par des images choquantes.</w:t>
      </w:r>
    </w:p>
    <w:p w14:paraId="6927C320" w14:textId="77777777" w:rsidR="00284822" w:rsidRDefault="00F77BF8">
      <w:pPr>
        <w:spacing w:before="120" w:after="120"/>
        <w:textAlignment w:val="auto"/>
        <w:rPr>
          <w:rFonts w:ascii="Rockwell" w:eastAsia="Calibri" w:hAnsi="Rockwell"/>
          <w:szCs w:val="26"/>
          <w:lang w:eastAsia="en-US"/>
        </w:rPr>
      </w:pPr>
      <w:r>
        <w:rPr>
          <w:rFonts w:ascii="Rockwell" w:eastAsia="Calibri" w:hAnsi="Rockwell"/>
          <w:szCs w:val="26"/>
          <w:lang w:eastAsia="en-US"/>
        </w:rPr>
        <w:lastRenderedPageBreak/>
        <w:t xml:space="preserve">Le Conseil a adressé une lettre d’observation au Directeur de publication du journal. </w:t>
      </w:r>
    </w:p>
    <w:p w14:paraId="35758BFA" w14:textId="77777777" w:rsidR="00284822" w:rsidRDefault="00284822">
      <w:pPr>
        <w:spacing w:before="120" w:after="120"/>
        <w:textAlignment w:val="auto"/>
        <w:rPr>
          <w:rFonts w:ascii="Rockwell" w:eastAsia="Calibri" w:hAnsi="Rockwell"/>
          <w:szCs w:val="26"/>
          <w:lang w:eastAsia="en-US"/>
        </w:rPr>
      </w:pPr>
    </w:p>
    <w:p w14:paraId="7987B821" w14:textId="77777777" w:rsidR="00284822" w:rsidRDefault="00F77BF8">
      <w:pPr>
        <w:pStyle w:val="Titre4"/>
        <w:spacing w:before="120" w:after="120"/>
        <w:rPr>
          <w:rFonts w:ascii="Rockwell" w:eastAsia="Calibri" w:hAnsi="Rockwell"/>
          <w:sz w:val="28"/>
          <w:szCs w:val="28"/>
          <w:lang w:eastAsia="en-US"/>
        </w:rPr>
      </w:pPr>
      <w:bookmarkStart w:id="186" w:name="_Toc175048696"/>
      <w:r>
        <w:rPr>
          <w:rFonts w:ascii="Rockwell" w:hAnsi="Rockwell"/>
          <w:bCs/>
          <w:sz w:val="28"/>
          <w:szCs w:val="28"/>
        </w:rPr>
        <w:t xml:space="preserve">Paragraphe 3 : </w:t>
      </w:r>
      <w:r>
        <w:rPr>
          <w:rFonts w:ascii="Rockwell" w:eastAsia="Calibri" w:hAnsi="Rockwell"/>
          <w:sz w:val="28"/>
          <w:szCs w:val="28"/>
          <w:lang w:eastAsia="en-US"/>
        </w:rPr>
        <w:t>Intolérance religieuse</w:t>
      </w:r>
      <w:bookmarkEnd w:id="186"/>
    </w:p>
    <w:p w14:paraId="66AFC0AC" w14:textId="77777777" w:rsidR="00284822" w:rsidRDefault="00284822">
      <w:pPr>
        <w:spacing w:before="120" w:after="120"/>
        <w:rPr>
          <w:rFonts w:eastAsia="Calibri"/>
          <w:lang w:eastAsia="en-US"/>
        </w:rPr>
      </w:pPr>
    </w:p>
    <w:p w14:paraId="7F7F7BE5" w14:textId="77777777" w:rsidR="00284822" w:rsidRDefault="00F77BF8">
      <w:pPr>
        <w:pStyle w:val="Paragraphedeliste"/>
        <w:ind w:left="1985"/>
        <w:rPr>
          <w:rFonts w:ascii="Rockwell" w:eastAsia="Calibri" w:hAnsi="Rockwell"/>
          <w:b/>
          <w:i/>
          <w:lang w:eastAsia="en-US"/>
        </w:rPr>
      </w:pPr>
      <w:r>
        <w:rPr>
          <w:rFonts w:ascii="Rockwell" w:eastAsia="Calibri" w:hAnsi="Rockwell"/>
          <w:b/>
          <w:i/>
          <w:lang w:eastAsia="en-US"/>
        </w:rPr>
        <w:t>Cas de la radio Femina FM </w:t>
      </w:r>
    </w:p>
    <w:p w14:paraId="58C0F23B" w14:textId="77777777" w:rsidR="00284822" w:rsidRDefault="00F77BF8">
      <w:pPr>
        <w:spacing w:before="120" w:after="120"/>
        <w:rPr>
          <w:rFonts w:ascii="Rockwell" w:eastAsia="Calibri" w:hAnsi="Rockwell"/>
          <w:szCs w:val="26"/>
          <w:lang w:eastAsia="en-US"/>
        </w:rPr>
      </w:pPr>
      <w:r>
        <w:rPr>
          <w:rFonts w:ascii="Rockwell" w:eastAsia="Calibri" w:hAnsi="Rockwell"/>
          <w:szCs w:val="26"/>
          <w:lang w:eastAsia="en-US"/>
        </w:rPr>
        <w:t xml:space="preserve">Ce média a diffusé, le dimanche 20 mars 2022, un prêche contenant des propos portant atteinte à la tolérance religieuse.  </w:t>
      </w:r>
    </w:p>
    <w:p w14:paraId="7D19ACF4" w14:textId="77777777" w:rsidR="00284822" w:rsidRDefault="00F77BF8">
      <w:pPr>
        <w:spacing w:before="120" w:after="120"/>
        <w:rPr>
          <w:rFonts w:ascii="Rockwell" w:eastAsia="Calibri" w:hAnsi="Rockwell"/>
          <w:szCs w:val="26"/>
          <w:lang w:eastAsia="en-US"/>
        </w:rPr>
      </w:pPr>
      <w:r>
        <w:rPr>
          <w:rFonts w:ascii="Rockwell" w:eastAsia="Calibri" w:hAnsi="Rockwell"/>
          <w:szCs w:val="26"/>
          <w:lang w:eastAsia="en-US"/>
        </w:rPr>
        <w:t xml:space="preserve">Après analyse de ces propos </w:t>
      </w:r>
      <w:r>
        <w:rPr>
          <w:rFonts w:ascii="Rockwell" w:hAnsi="Rockwell"/>
          <w:szCs w:val="26"/>
        </w:rPr>
        <w:t>qui visaient spécifiquement les religions traditionnelles et chrétiennes, l</w:t>
      </w:r>
      <w:r>
        <w:rPr>
          <w:rFonts w:ascii="Rockwell" w:eastAsia="Calibri" w:hAnsi="Rockwell"/>
          <w:szCs w:val="26"/>
          <w:lang w:eastAsia="en-US"/>
        </w:rPr>
        <w:t>e CSC a estimé que ce prêche contrevenait aux dispositions légales et règlementaires</w:t>
      </w:r>
      <w:r>
        <w:rPr>
          <w:rStyle w:val="Appelnotedebasdep"/>
          <w:rFonts w:ascii="Rockwell" w:eastAsia="Calibri" w:hAnsi="Rockwell"/>
          <w:szCs w:val="26"/>
          <w:lang w:eastAsia="en-US"/>
        </w:rPr>
        <w:footnoteReference w:id="9"/>
      </w:r>
      <w:r>
        <w:rPr>
          <w:rFonts w:ascii="Rockwell" w:eastAsia="Calibri" w:hAnsi="Rockwell"/>
          <w:szCs w:val="26"/>
          <w:lang w:eastAsia="en-US"/>
        </w:rPr>
        <w:t xml:space="preserve">. </w:t>
      </w:r>
    </w:p>
    <w:p w14:paraId="5D0CFF94" w14:textId="77777777" w:rsidR="00284822" w:rsidRDefault="00F77BF8">
      <w:pPr>
        <w:spacing w:before="120" w:after="120"/>
        <w:rPr>
          <w:rFonts w:ascii="Rockwell" w:eastAsia="Calibri" w:hAnsi="Rockwell"/>
          <w:szCs w:val="26"/>
          <w:lang w:eastAsia="en-US"/>
        </w:rPr>
      </w:pPr>
      <w:r>
        <w:rPr>
          <w:rFonts w:ascii="Rockwell" w:eastAsia="Calibri" w:hAnsi="Rockwell"/>
          <w:szCs w:val="26"/>
          <w:lang w:eastAsia="en-US"/>
        </w:rPr>
        <w:t xml:space="preserve">Après audition du responsable de la radio, une lettre d’interpellation lui a été adressée l’invitant à cesser la diffusion des prêches en direct. </w:t>
      </w:r>
    </w:p>
    <w:p w14:paraId="56B5C32E" w14:textId="77777777" w:rsidR="00284822" w:rsidRDefault="00284822">
      <w:pPr>
        <w:pStyle w:val="Titre4"/>
        <w:spacing w:before="120" w:after="120"/>
        <w:rPr>
          <w:rFonts w:ascii="Rockwell" w:hAnsi="Rockwell"/>
          <w:bCs/>
          <w:i/>
          <w:szCs w:val="26"/>
        </w:rPr>
      </w:pPr>
    </w:p>
    <w:p w14:paraId="160DA390" w14:textId="77777777" w:rsidR="00284822" w:rsidRDefault="00F77BF8">
      <w:pPr>
        <w:pStyle w:val="Titre4"/>
        <w:spacing w:before="120" w:after="120"/>
        <w:rPr>
          <w:rFonts w:ascii="Rockwell" w:eastAsia="Calibri" w:hAnsi="Rockwell"/>
          <w:sz w:val="28"/>
          <w:szCs w:val="28"/>
          <w:lang w:eastAsia="en-US"/>
        </w:rPr>
      </w:pPr>
      <w:bookmarkStart w:id="187" w:name="_Toc175048697"/>
      <w:r>
        <w:rPr>
          <w:rFonts w:ascii="Rockwell" w:hAnsi="Rockwell"/>
          <w:bCs/>
          <w:sz w:val="28"/>
          <w:szCs w:val="28"/>
        </w:rPr>
        <w:t xml:space="preserve">Paragraphe 4 : </w:t>
      </w:r>
      <w:r>
        <w:rPr>
          <w:rFonts w:ascii="Rockwell" w:eastAsia="Calibri" w:hAnsi="Rockwell"/>
          <w:sz w:val="28"/>
          <w:szCs w:val="28"/>
          <w:lang w:eastAsia="en-US"/>
        </w:rPr>
        <w:t>Diffusion ou publication d’informations renfermant des propos injurieux et/ou à caractère diffamatoire</w:t>
      </w:r>
      <w:bookmarkEnd w:id="187"/>
    </w:p>
    <w:p w14:paraId="24489BB6" w14:textId="77777777" w:rsidR="00284822" w:rsidRDefault="00F77BF8">
      <w:pPr>
        <w:spacing w:before="120" w:after="120"/>
        <w:rPr>
          <w:rFonts w:ascii="Rockwell" w:eastAsia="Calibri" w:hAnsi="Rockwell"/>
          <w:szCs w:val="26"/>
          <w:lang w:eastAsia="en-US"/>
        </w:rPr>
      </w:pPr>
      <w:r>
        <w:rPr>
          <w:rFonts w:ascii="Rockwell" w:eastAsia="Calibri" w:hAnsi="Rockwell"/>
          <w:szCs w:val="26"/>
          <w:lang w:eastAsia="en-US"/>
        </w:rPr>
        <w:t xml:space="preserve">Ces manquements ont été relevés dans trois (03) médias à savoir : le journal </w:t>
      </w:r>
      <w:r>
        <w:rPr>
          <w:rFonts w:ascii="Rockwell" w:eastAsia="Calibri" w:hAnsi="Rockwell"/>
          <w:i/>
          <w:szCs w:val="26"/>
          <w:lang w:eastAsia="en-US"/>
        </w:rPr>
        <w:t>L’express du Faso,</w:t>
      </w:r>
      <w:r>
        <w:rPr>
          <w:rFonts w:ascii="Rockwell" w:eastAsia="Calibri" w:hAnsi="Rockwell"/>
          <w:szCs w:val="26"/>
          <w:lang w:eastAsia="en-US"/>
        </w:rPr>
        <w:t xml:space="preserve"> les télévisions </w:t>
      </w:r>
      <w:r>
        <w:rPr>
          <w:rFonts w:ascii="Rockwell" w:eastAsia="Calibri" w:hAnsi="Rockwell"/>
          <w:i/>
          <w:szCs w:val="26"/>
          <w:lang w:eastAsia="en-US"/>
        </w:rPr>
        <w:t>Oméga TV </w:t>
      </w:r>
      <w:r>
        <w:rPr>
          <w:rFonts w:ascii="Rockwell" w:eastAsia="Calibri" w:hAnsi="Rockwell"/>
          <w:szCs w:val="26"/>
          <w:lang w:eastAsia="en-US"/>
        </w:rPr>
        <w:t xml:space="preserve">et </w:t>
      </w:r>
      <w:r>
        <w:rPr>
          <w:rFonts w:ascii="Rockwell" w:eastAsia="Calibri" w:hAnsi="Rockwell"/>
          <w:i/>
          <w:szCs w:val="26"/>
          <w:lang w:eastAsia="en-US"/>
        </w:rPr>
        <w:t>Savane TV</w:t>
      </w:r>
      <w:r>
        <w:rPr>
          <w:rFonts w:ascii="Rockwell" w:eastAsia="Calibri" w:hAnsi="Rockwell"/>
          <w:szCs w:val="26"/>
          <w:lang w:eastAsia="en-US"/>
        </w:rPr>
        <w:t>.</w:t>
      </w:r>
    </w:p>
    <w:p w14:paraId="25914401" w14:textId="77777777" w:rsidR="00284822" w:rsidRDefault="00284822">
      <w:pPr>
        <w:spacing w:before="120" w:after="120"/>
        <w:rPr>
          <w:rFonts w:ascii="Rockwell" w:hAnsi="Rockwell"/>
          <w:sz w:val="16"/>
          <w:szCs w:val="16"/>
        </w:rPr>
        <w:sectPr w:rsidR="00284822">
          <w:headerReference w:type="default" r:id="rId92"/>
          <w:footerReference w:type="default" r:id="rId93"/>
          <w:pgSz w:w="11906" w:h="16838"/>
          <w:pgMar w:top="1418" w:right="1418" w:bottom="1418" w:left="1418" w:header="720" w:footer="720" w:gutter="0"/>
          <w:cols w:space="720"/>
        </w:sectPr>
      </w:pPr>
    </w:p>
    <w:p w14:paraId="293CE546" w14:textId="77777777" w:rsidR="00284822" w:rsidRDefault="00F77BF8">
      <w:pPr>
        <w:pStyle w:val="Titre5"/>
        <w:numPr>
          <w:ilvl w:val="0"/>
          <w:numId w:val="0"/>
        </w:numPr>
        <w:ind w:left="5531" w:hanging="4680"/>
        <w:rPr>
          <w:rFonts w:ascii="Rockwell" w:hAnsi="Rockwell"/>
        </w:rPr>
      </w:pPr>
      <w:bookmarkStart w:id="188" w:name="_Toc175048698"/>
      <w:r>
        <w:rPr>
          <w:rFonts w:ascii="Rockwell" w:eastAsia="Calibri" w:hAnsi="Rockwell"/>
          <w:lang w:eastAsia="en-US"/>
        </w:rPr>
        <w:lastRenderedPageBreak/>
        <w:t xml:space="preserve">4.1. Cas du journal </w:t>
      </w:r>
      <w:r>
        <w:rPr>
          <w:rFonts w:ascii="Rockwell" w:eastAsia="Calibri" w:hAnsi="Rockwell"/>
          <w:i/>
          <w:lang w:eastAsia="en-US"/>
        </w:rPr>
        <w:t>L’express du Faso</w:t>
      </w:r>
      <w:bookmarkEnd w:id="188"/>
    </w:p>
    <w:p w14:paraId="203473D1" w14:textId="77777777" w:rsidR="00284822" w:rsidRDefault="00F77BF8">
      <w:pPr>
        <w:spacing w:before="120" w:after="120"/>
        <w:rPr>
          <w:rFonts w:ascii="Rockwell" w:eastAsia="Calibri" w:hAnsi="Rockwell"/>
          <w:szCs w:val="26"/>
          <w:lang w:eastAsia="en-US"/>
        </w:rPr>
      </w:pPr>
      <w:bookmarkStart w:id="189" w:name="_Hlk162254153"/>
      <w:r>
        <w:rPr>
          <w:rFonts w:ascii="Rockwell" w:eastAsia="Calibri" w:hAnsi="Rockwell"/>
          <w:bCs/>
          <w:szCs w:val="26"/>
          <w:lang w:eastAsia="en-US"/>
        </w:rPr>
        <w:t>Dans la</w:t>
      </w:r>
      <w:r>
        <w:rPr>
          <w:rFonts w:ascii="Rockwell" w:eastAsia="Calibri" w:hAnsi="Rockwell"/>
          <w:szCs w:val="26"/>
          <w:lang w:eastAsia="en-US"/>
        </w:rPr>
        <w:t xml:space="preserve"> rubrique de caricature humoristique de </w:t>
      </w:r>
      <w:r>
        <w:rPr>
          <w:rFonts w:ascii="Rockwell" w:eastAsia="Calibri" w:hAnsi="Rockwell"/>
          <w:i/>
          <w:szCs w:val="26"/>
          <w:lang w:eastAsia="en-US"/>
        </w:rPr>
        <w:t xml:space="preserve">L’express du Faso, </w:t>
      </w:r>
      <w:r>
        <w:rPr>
          <w:rFonts w:ascii="Rockwell" w:eastAsia="Calibri" w:hAnsi="Rockwell"/>
          <w:szCs w:val="26"/>
          <w:lang w:eastAsia="en-US"/>
        </w:rPr>
        <w:t xml:space="preserve">dénommée « Sourions un peu », le CSC a constaté des manquements au respect de la loi, de l’éthique et de la déontologie professionnelle. </w:t>
      </w:r>
    </w:p>
    <w:p w14:paraId="174BD40C" w14:textId="77777777" w:rsidR="00284822" w:rsidRDefault="00F77BF8">
      <w:pPr>
        <w:spacing w:before="120" w:after="120"/>
        <w:rPr>
          <w:rFonts w:ascii="Rockwell" w:eastAsia="Calibri" w:hAnsi="Rockwell"/>
          <w:szCs w:val="26"/>
          <w:lang w:eastAsia="en-US"/>
        </w:rPr>
      </w:pPr>
      <w:r>
        <w:rPr>
          <w:rFonts w:ascii="Rockwell" w:eastAsia="Calibri" w:hAnsi="Rockwell"/>
          <w:szCs w:val="26"/>
          <w:lang w:eastAsia="en-US"/>
        </w:rPr>
        <w:t xml:space="preserve">Il s’agit notamment de propos méprisants, susceptibles d’inciter les lecteurs aux vices ou pouvant nuire à l’éducation des enfants. </w:t>
      </w:r>
    </w:p>
    <w:p w14:paraId="53128FE6" w14:textId="77777777" w:rsidR="00284822" w:rsidRDefault="00F77BF8">
      <w:pPr>
        <w:spacing w:before="120" w:after="120"/>
        <w:rPr>
          <w:rFonts w:ascii="Rockwell" w:eastAsia="Calibri" w:hAnsi="Rockwell"/>
          <w:szCs w:val="26"/>
          <w:lang w:eastAsia="en-US"/>
        </w:rPr>
      </w:pPr>
      <w:r>
        <w:rPr>
          <w:rFonts w:ascii="Rockwell" w:eastAsia="Calibri" w:hAnsi="Rockwell"/>
          <w:szCs w:val="26"/>
          <w:lang w:eastAsia="en-US"/>
        </w:rPr>
        <w:t xml:space="preserve">Après audition de son responsable, </w:t>
      </w:r>
      <w:bookmarkEnd w:id="189"/>
      <w:r>
        <w:rPr>
          <w:rFonts w:ascii="Rockwell" w:eastAsia="Calibri" w:hAnsi="Rockwell"/>
          <w:szCs w:val="26"/>
          <w:lang w:eastAsia="en-US"/>
        </w:rPr>
        <w:t xml:space="preserve">une lettre d’interpellation a été adressée au média. </w:t>
      </w:r>
    </w:p>
    <w:p w14:paraId="0A274599" w14:textId="77777777" w:rsidR="00284822" w:rsidRDefault="00284822">
      <w:pPr>
        <w:spacing w:before="120" w:after="120"/>
        <w:rPr>
          <w:rFonts w:ascii="Rockwell" w:eastAsia="Calibri" w:hAnsi="Rockwell"/>
          <w:sz w:val="10"/>
          <w:szCs w:val="10"/>
          <w:lang w:eastAsia="en-US"/>
        </w:rPr>
      </w:pPr>
    </w:p>
    <w:p w14:paraId="1FA5A64C" w14:textId="77777777" w:rsidR="00284822" w:rsidRDefault="00F77BF8">
      <w:pPr>
        <w:pStyle w:val="Titre5"/>
        <w:numPr>
          <w:ilvl w:val="1"/>
          <w:numId w:val="29"/>
        </w:numPr>
        <w:ind w:hanging="543"/>
        <w:rPr>
          <w:rFonts w:ascii="Rockwell" w:eastAsia="Calibri" w:hAnsi="Rockwell"/>
          <w:lang w:eastAsia="en-US"/>
        </w:rPr>
      </w:pPr>
      <w:bookmarkStart w:id="190" w:name="_Toc175048699"/>
      <w:r>
        <w:rPr>
          <w:rFonts w:ascii="Rockwell" w:eastAsia="Calibri" w:hAnsi="Rockwell"/>
          <w:lang w:eastAsia="en-US"/>
        </w:rPr>
        <w:t>Cas de la télévision Oméga TV</w:t>
      </w:r>
      <w:bookmarkEnd w:id="190"/>
    </w:p>
    <w:p w14:paraId="30E96F6D" w14:textId="77777777" w:rsidR="00284822" w:rsidRDefault="00F77BF8">
      <w:pPr>
        <w:autoSpaceDE w:val="0"/>
        <w:spacing w:before="120" w:after="120"/>
        <w:rPr>
          <w:rFonts w:ascii="Rockwell" w:eastAsia="Calibri" w:hAnsi="Rockwell"/>
          <w:szCs w:val="26"/>
          <w:lang w:eastAsia="en-US"/>
        </w:rPr>
      </w:pPr>
      <w:r>
        <w:rPr>
          <w:rFonts w:ascii="Rockwell" w:eastAsia="Calibri" w:hAnsi="Rockwell"/>
          <w:szCs w:val="26"/>
          <w:lang w:eastAsia="en-US"/>
        </w:rPr>
        <w:t xml:space="preserve">Lors d’une émission de débat diffusée en direct sur ses antennes, le 27 juillet 2022 de 20 heures 28 minutes à 21 heures 22 minutes, et traitant du séjour de l’ancien Président Blaise COMPAORE à Ouagadougou, un invité de la télévision </w:t>
      </w:r>
      <w:r>
        <w:rPr>
          <w:rFonts w:ascii="Rockwell" w:eastAsia="Calibri" w:hAnsi="Rockwell"/>
          <w:i/>
          <w:szCs w:val="26"/>
          <w:lang w:eastAsia="en-US"/>
        </w:rPr>
        <w:t>Oméga TV</w:t>
      </w:r>
      <w:r>
        <w:rPr>
          <w:rFonts w:ascii="Rockwell" w:eastAsia="Calibri" w:hAnsi="Rockwell"/>
          <w:szCs w:val="26"/>
          <w:lang w:eastAsia="en-US"/>
        </w:rPr>
        <w:t xml:space="preserve"> a, en violation de la loi</w:t>
      </w:r>
      <w:r>
        <w:rPr>
          <w:rStyle w:val="Appelnotedebasdep"/>
          <w:rFonts w:ascii="Rockwell" w:eastAsia="Calibri" w:hAnsi="Rockwell"/>
          <w:szCs w:val="26"/>
          <w:lang w:eastAsia="en-US"/>
        </w:rPr>
        <w:footnoteReference w:id="10"/>
      </w:r>
      <w:r>
        <w:rPr>
          <w:rFonts w:ascii="Rockwell" w:eastAsia="Calibri" w:hAnsi="Rockwell"/>
          <w:szCs w:val="26"/>
          <w:lang w:eastAsia="en-US"/>
        </w:rPr>
        <w:t xml:space="preserve">, tenu des propos discourtois et injurieux à l’égard du Président Paul Henri </w:t>
      </w:r>
      <w:proofErr w:type="spellStart"/>
      <w:r>
        <w:rPr>
          <w:rFonts w:ascii="Rockwell" w:eastAsia="Calibri" w:hAnsi="Rockwell"/>
          <w:szCs w:val="26"/>
          <w:lang w:eastAsia="en-US"/>
        </w:rPr>
        <w:t>Sandaogo</w:t>
      </w:r>
      <w:proofErr w:type="spellEnd"/>
      <w:r>
        <w:rPr>
          <w:rFonts w:ascii="Rockwell" w:eastAsia="Calibri" w:hAnsi="Rockwell"/>
          <w:szCs w:val="26"/>
          <w:lang w:eastAsia="en-US"/>
        </w:rPr>
        <w:t xml:space="preserve"> DAMIBA. </w:t>
      </w:r>
    </w:p>
    <w:p w14:paraId="06647CD2" w14:textId="77777777" w:rsidR="00284822" w:rsidRDefault="00F77BF8">
      <w:pPr>
        <w:autoSpaceDE w:val="0"/>
        <w:spacing w:before="120" w:after="120"/>
        <w:rPr>
          <w:rFonts w:ascii="Rockwell" w:eastAsia="Calibri" w:hAnsi="Rockwell"/>
          <w:szCs w:val="26"/>
          <w:lang w:eastAsia="en-US"/>
        </w:rPr>
      </w:pPr>
      <w:r>
        <w:rPr>
          <w:rFonts w:ascii="Rockwell" w:eastAsia="Calibri" w:hAnsi="Rockwell"/>
          <w:szCs w:val="26"/>
          <w:lang w:eastAsia="en-US"/>
        </w:rPr>
        <w:t xml:space="preserve">Les responsables du média ont été auditionnés et une lettre d’interpellation a été adressée à l’organe. </w:t>
      </w:r>
    </w:p>
    <w:p w14:paraId="58153E0F" w14:textId="77777777" w:rsidR="00284822" w:rsidRDefault="00284822">
      <w:pPr>
        <w:autoSpaceDE w:val="0"/>
        <w:spacing w:before="120" w:after="120"/>
        <w:rPr>
          <w:rFonts w:ascii="Rockwell" w:eastAsia="Calibri" w:hAnsi="Rockwell"/>
          <w:sz w:val="10"/>
          <w:szCs w:val="10"/>
          <w:lang w:eastAsia="en-US"/>
        </w:rPr>
      </w:pPr>
    </w:p>
    <w:p w14:paraId="41FAA103" w14:textId="77777777" w:rsidR="00284822" w:rsidRDefault="00F77BF8">
      <w:pPr>
        <w:pStyle w:val="Titre5"/>
        <w:numPr>
          <w:ilvl w:val="1"/>
          <w:numId w:val="29"/>
        </w:numPr>
        <w:rPr>
          <w:rFonts w:ascii="Rockwell" w:eastAsia="Calibri" w:hAnsi="Rockwell"/>
          <w:i/>
          <w:lang w:eastAsia="en-US"/>
        </w:rPr>
      </w:pPr>
      <w:bookmarkStart w:id="191" w:name="_Toc175048700"/>
      <w:r>
        <w:rPr>
          <w:rFonts w:ascii="Rockwell" w:eastAsia="Calibri" w:hAnsi="Rockwell"/>
          <w:lang w:eastAsia="en-US"/>
        </w:rPr>
        <w:t xml:space="preserve">Cas de la télévision </w:t>
      </w:r>
      <w:r>
        <w:rPr>
          <w:rFonts w:ascii="Rockwell" w:eastAsia="Calibri" w:hAnsi="Rockwell"/>
          <w:i/>
          <w:lang w:eastAsia="en-US"/>
        </w:rPr>
        <w:t>Savane TV</w:t>
      </w:r>
      <w:bookmarkEnd w:id="191"/>
    </w:p>
    <w:p w14:paraId="46FFC894" w14:textId="77777777" w:rsidR="00284822" w:rsidRDefault="00F77BF8">
      <w:pPr>
        <w:autoSpaceDE w:val="0"/>
        <w:spacing w:before="120" w:after="120"/>
        <w:rPr>
          <w:rFonts w:ascii="Rockwell" w:eastAsia="Calibri" w:hAnsi="Rockwell"/>
          <w:szCs w:val="26"/>
          <w:lang w:eastAsia="en-US"/>
        </w:rPr>
      </w:pPr>
      <w:r>
        <w:rPr>
          <w:rFonts w:ascii="Rockwell" w:eastAsia="Calibri" w:hAnsi="Rockwell"/>
          <w:szCs w:val="26"/>
          <w:lang w:eastAsia="en-US"/>
        </w:rPr>
        <w:t xml:space="preserve">Dans l’émission « Bonjour le Faso » de </w:t>
      </w:r>
      <w:r>
        <w:rPr>
          <w:rFonts w:ascii="Rockwell" w:eastAsia="Calibri" w:hAnsi="Rockwell"/>
          <w:i/>
          <w:szCs w:val="26"/>
          <w:lang w:eastAsia="en-US"/>
        </w:rPr>
        <w:t>Savane TV,</w:t>
      </w:r>
      <w:r>
        <w:rPr>
          <w:rFonts w:ascii="Rockwell" w:eastAsia="Calibri" w:hAnsi="Rockwell"/>
          <w:szCs w:val="26"/>
          <w:lang w:eastAsia="en-US"/>
        </w:rPr>
        <w:t xml:space="preserve"> diffusée le 12 avril 2022, de 8 heures 06 minutes à 8 heures 36 minutes, le CSC a relevé des manquements, notamment des propos injurieux et diffamatoires, de nature à jeter le discrédit sur une décision de justice. </w:t>
      </w:r>
    </w:p>
    <w:p w14:paraId="5DBEC376" w14:textId="77777777" w:rsidR="00284822" w:rsidRDefault="00F77BF8">
      <w:pPr>
        <w:autoSpaceDE w:val="0"/>
        <w:spacing w:before="120" w:after="120"/>
        <w:rPr>
          <w:rFonts w:ascii="Rockwell" w:eastAsia="Calibri" w:hAnsi="Rockwell"/>
          <w:szCs w:val="26"/>
          <w:lang w:eastAsia="en-US"/>
        </w:rPr>
      </w:pPr>
      <w:r>
        <w:rPr>
          <w:rFonts w:ascii="Rockwell" w:eastAsia="Calibri" w:hAnsi="Rockwell"/>
          <w:szCs w:val="26"/>
          <w:lang w:eastAsia="en-US"/>
        </w:rPr>
        <w:t>Après audition des responsables du média, une lettre d’interpellation a été adressée à l’organe de presse.</w:t>
      </w:r>
    </w:p>
    <w:p w14:paraId="7A5D5CB5" w14:textId="77777777" w:rsidR="00284822" w:rsidRDefault="00284822">
      <w:pPr>
        <w:autoSpaceDE w:val="0"/>
        <w:spacing w:before="120" w:after="120"/>
        <w:rPr>
          <w:rFonts w:ascii="Rockwell" w:eastAsia="Calibri" w:hAnsi="Rockwell"/>
          <w:sz w:val="10"/>
          <w:szCs w:val="10"/>
          <w:lang w:eastAsia="en-US"/>
        </w:rPr>
      </w:pPr>
    </w:p>
    <w:p w14:paraId="6ABA7999" w14:textId="77777777" w:rsidR="00284822" w:rsidRDefault="00F77BF8">
      <w:pPr>
        <w:pStyle w:val="Titre4"/>
        <w:spacing w:before="120" w:after="120"/>
        <w:rPr>
          <w:rFonts w:ascii="Rockwell" w:eastAsia="Calibri" w:hAnsi="Rockwell"/>
          <w:sz w:val="28"/>
          <w:szCs w:val="28"/>
          <w:lang w:eastAsia="en-US"/>
        </w:rPr>
      </w:pPr>
      <w:bookmarkStart w:id="192" w:name="_Toc175048701"/>
      <w:r>
        <w:rPr>
          <w:rFonts w:ascii="Rockwell" w:eastAsia="Calibri" w:hAnsi="Rockwell"/>
          <w:sz w:val="28"/>
          <w:szCs w:val="28"/>
          <w:lang w:eastAsia="en-US"/>
        </w:rPr>
        <w:lastRenderedPageBreak/>
        <w:t>Paragraphe 5 : Diffusion de fausses nouvelles et déséquilibre</w:t>
      </w:r>
      <w:bookmarkEnd w:id="192"/>
    </w:p>
    <w:p w14:paraId="0ED7C784" w14:textId="77777777" w:rsidR="00284822" w:rsidRDefault="00F77BF8">
      <w:pPr>
        <w:pStyle w:val="Titre4"/>
        <w:spacing w:before="120" w:after="120"/>
        <w:rPr>
          <w:rFonts w:ascii="Rockwell" w:eastAsia="Calibri" w:hAnsi="Rockwell"/>
          <w:sz w:val="28"/>
          <w:szCs w:val="28"/>
          <w:lang w:eastAsia="en-US"/>
        </w:rPr>
      </w:pPr>
      <w:bookmarkStart w:id="193" w:name="_Toc175048702"/>
      <w:proofErr w:type="gramStart"/>
      <w:r>
        <w:rPr>
          <w:rFonts w:ascii="Rockwell" w:eastAsia="Calibri" w:hAnsi="Rockwell"/>
          <w:sz w:val="28"/>
          <w:szCs w:val="28"/>
          <w:lang w:eastAsia="en-US"/>
        </w:rPr>
        <w:t>de</w:t>
      </w:r>
      <w:proofErr w:type="gramEnd"/>
      <w:r>
        <w:rPr>
          <w:rFonts w:ascii="Rockwell" w:eastAsia="Calibri" w:hAnsi="Rockwell"/>
          <w:sz w:val="28"/>
          <w:szCs w:val="28"/>
          <w:lang w:eastAsia="en-US"/>
        </w:rPr>
        <w:t xml:space="preserve"> l’information</w:t>
      </w:r>
      <w:bookmarkEnd w:id="193"/>
    </w:p>
    <w:p w14:paraId="070DB9C5" w14:textId="77777777" w:rsidR="00284822" w:rsidRDefault="00284822">
      <w:pPr>
        <w:spacing w:before="120" w:after="120"/>
        <w:rPr>
          <w:rFonts w:eastAsia="Calibri"/>
          <w:lang w:eastAsia="en-US"/>
        </w:rPr>
      </w:pPr>
    </w:p>
    <w:p w14:paraId="349C717D" w14:textId="77777777" w:rsidR="00284822" w:rsidRDefault="00F77BF8">
      <w:pPr>
        <w:autoSpaceDE w:val="0"/>
        <w:spacing w:before="120" w:after="120"/>
        <w:jc w:val="center"/>
        <w:rPr>
          <w:rFonts w:ascii="Rockwell" w:eastAsia="Calibri" w:hAnsi="Rockwell"/>
          <w:i/>
          <w:szCs w:val="26"/>
          <w:lang w:eastAsia="en-US"/>
        </w:rPr>
      </w:pPr>
      <w:r>
        <w:rPr>
          <w:rFonts w:ascii="Rockwell" w:eastAsia="Calibri" w:hAnsi="Rockwell"/>
          <w:szCs w:val="26"/>
          <w:lang w:eastAsia="en-US"/>
        </w:rPr>
        <w:t xml:space="preserve">Les médias concernés par ces manquements sont : </w:t>
      </w:r>
      <w:r>
        <w:rPr>
          <w:rFonts w:ascii="Rockwell" w:eastAsia="Calibri" w:hAnsi="Rockwell"/>
          <w:i/>
          <w:szCs w:val="26"/>
          <w:lang w:eastAsia="en-US"/>
        </w:rPr>
        <w:t>RFI, Oméga TV</w:t>
      </w:r>
      <w:r>
        <w:rPr>
          <w:rFonts w:ascii="Rockwell" w:eastAsia="Calibri" w:hAnsi="Rockwell"/>
          <w:szCs w:val="26"/>
          <w:lang w:eastAsia="en-US"/>
        </w:rPr>
        <w:t xml:space="preserve"> et </w:t>
      </w:r>
      <w:r>
        <w:rPr>
          <w:rFonts w:ascii="Rockwell" w:eastAsia="Calibri" w:hAnsi="Rockwell"/>
          <w:i/>
          <w:szCs w:val="26"/>
          <w:lang w:eastAsia="en-US"/>
        </w:rPr>
        <w:t xml:space="preserve">Infos </w:t>
      </w:r>
      <w:proofErr w:type="spellStart"/>
      <w:r>
        <w:rPr>
          <w:rFonts w:ascii="Rockwell" w:eastAsia="Calibri" w:hAnsi="Rockwell"/>
          <w:i/>
          <w:szCs w:val="26"/>
          <w:lang w:eastAsia="en-US"/>
        </w:rPr>
        <w:t>wakat</w:t>
      </w:r>
      <w:proofErr w:type="spellEnd"/>
    </w:p>
    <w:p w14:paraId="70BAA7B7" w14:textId="77777777" w:rsidR="00284822" w:rsidRDefault="00284822">
      <w:pPr>
        <w:autoSpaceDE w:val="0"/>
        <w:spacing w:before="120" w:after="120"/>
        <w:jc w:val="center"/>
        <w:rPr>
          <w:rFonts w:ascii="Rockwell" w:eastAsia="Calibri" w:hAnsi="Rockwell"/>
          <w:sz w:val="6"/>
          <w:szCs w:val="6"/>
          <w:lang w:eastAsia="en-US"/>
        </w:rPr>
      </w:pPr>
    </w:p>
    <w:p w14:paraId="43C1197B" w14:textId="77777777" w:rsidR="00284822" w:rsidRDefault="00F77BF8">
      <w:pPr>
        <w:pStyle w:val="Titre5"/>
        <w:numPr>
          <w:ilvl w:val="0"/>
          <w:numId w:val="0"/>
        </w:numPr>
        <w:ind w:left="3402" w:hanging="2976"/>
        <w:rPr>
          <w:rFonts w:ascii="Rockwell" w:eastAsia="Calibri" w:hAnsi="Rockwell"/>
          <w:lang w:eastAsia="en-US"/>
        </w:rPr>
      </w:pPr>
      <w:bookmarkStart w:id="194" w:name="_Toc175048703"/>
      <w:r>
        <w:rPr>
          <w:rFonts w:ascii="Rockwell" w:eastAsia="Calibri" w:hAnsi="Rockwell"/>
          <w:lang w:eastAsia="en-US"/>
        </w:rPr>
        <w:t xml:space="preserve">5.1. Cas de </w:t>
      </w:r>
      <w:r>
        <w:rPr>
          <w:rFonts w:ascii="Rockwell" w:eastAsia="Calibri" w:hAnsi="Rockwell"/>
          <w:i/>
          <w:lang w:eastAsia="en-US"/>
        </w:rPr>
        <w:t>Radio France Internationale</w:t>
      </w:r>
      <w:bookmarkEnd w:id="194"/>
    </w:p>
    <w:p w14:paraId="61FB6337" w14:textId="77777777" w:rsidR="00284822" w:rsidRDefault="00F77BF8">
      <w:pPr>
        <w:autoSpaceDE w:val="0"/>
        <w:spacing w:before="120" w:after="120"/>
        <w:rPr>
          <w:rFonts w:ascii="Rockwell" w:eastAsia="Calibri" w:hAnsi="Rockwell"/>
          <w:szCs w:val="26"/>
          <w:lang w:eastAsia="en-US"/>
        </w:rPr>
      </w:pPr>
      <w:r>
        <w:rPr>
          <w:rFonts w:ascii="Rockwell" w:eastAsia="Calibri" w:hAnsi="Rockwell"/>
          <w:szCs w:val="26"/>
          <w:lang w:eastAsia="en-US"/>
        </w:rPr>
        <w:t>Des manquements relatifs à la diffusion de fausses nouvelles ont été enregistrés sur les ondes de</w:t>
      </w:r>
      <w:r>
        <w:rPr>
          <w:rFonts w:ascii="Rockwell" w:eastAsia="Calibri" w:hAnsi="Rockwell"/>
          <w:b/>
          <w:i/>
          <w:szCs w:val="26"/>
          <w:lang w:eastAsia="en-US"/>
        </w:rPr>
        <w:t xml:space="preserve"> </w:t>
      </w:r>
      <w:r>
        <w:rPr>
          <w:rFonts w:ascii="Rockwell" w:eastAsia="Calibri" w:hAnsi="Rockwell"/>
          <w:i/>
          <w:szCs w:val="26"/>
          <w:lang w:eastAsia="en-US"/>
        </w:rPr>
        <w:t>RFI.</w:t>
      </w:r>
      <w:r>
        <w:rPr>
          <w:rFonts w:ascii="Rockwell" w:eastAsia="Calibri" w:hAnsi="Rockwell"/>
          <w:szCs w:val="26"/>
          <w:lang w:eastAsia="en-US"/>
        </w:rPr>
        <w:t xml:space="preserve"> </w:t>
      </w:r>
    </w:p>
    <w:p w14:paraId="041A2587" w14:textId="77777777" w:rsidR="00284822" w:rsidRDefault="00F77BF8">
      <w:pPr>
        <w:autoSpaceDE w:val="0"/>
        <w:spacing w:before="120" w:after="120"/>
        <w:rPr>
          <w:rFonts w:ascii="Rockwell" w:eastAsia="Calibri" w:hAnsi="Rockwell"/>
          <w:szCs w:val="26"/>
          <w:lang w:eastAsia="en-US"/>
        </w:rPr>
      </w:pPr>
      <w:r>
        <w:rPr>
          <w:rFonts w:ascii="Rockwell" w:eastAsia="Calibri" w:hAnsi="Rockwell"/>
          <w:szCs w:val="26"/>
          <w:lang w:eastAsia="en-US"/>
        </w:rPr>
        <w:t>Le premier cas a été constaté le vendredi 22 avril 2022, où la radio a relayé, au cours de son journal de 6 heures 30 minutes et sur son site internet, des informations accusant l’armée burkinabè de bavures sur des civils, lors d’opérations militaires, menées dans la province de l’</w:t>
      </w:r>
      <w:proofErr w:type="spellStart"/>
      <w:r>
        <w:rPr>
          <w:rFonts w:ascii="Rockwell" w:eastAsia="Calibri" w:hAnsi="Rockwell"/>
          <w:szCs w:val="26"/>
          <w:lang w:eastAsia="en-US"/>
        </w:rPr>
        <w:t>Oudalan</w:t>
      </w:r>
      <w:proofErr w:type="spellEnd"/>
      <w:r>
        <w:rPr>
          <w:rFonts w:ascii="Rockwell" w:eastAsia="Calibri" w:hAnsi="Rockwell"/>
          <w:szCs w:val="26"/>
          <w:lang w:eastAsia="en-US"/>
        </w:rPr>
        <w:t>.</w:t>
      </w:r>
    </w:p>
    <w:p w14:paraId="7A1E58C6" w14:textId="77777777" w:rsidR="00284822" w:rsidRDefault="00F77BF8">
      <w:pPr>
        <w:autoSpaceDE w:val="0"/>
        <w:spacing w:before="120" w:after="120"/>
        <w:rPr>
          <w:rFonts w:ascii="Rockwell" w:eastAsia="Calibri" w:hAnsi="Rockwell"/>
          <w:szCs w:val="26"/>
          <w:lang w:eastAsia="en-US"/>
        </w:rPr>
      </w:pPr>
      <w:r>
        <w:rPr>
          <w:rFonts w:ascii="Rockwell" w:eastAsia="Calibri" w:hAnsi="Rockwell"/>
          <w:szCs w:val="26"/>
          <w:lang w:eastAsia="en-US"/>
        </w:rPr>
        <w:t xml:space="preserve">Le deuxième cas de manquement est relatif à la publication, sur son site internet ainsi que la diffusion sur ses ondes, le 02 mai 2022, d’informations erronées concernant la procédure d’extradition de monsieur François Compaoré. </w:t>
      </w:r>
    </w:p>
    <w:p w14:paraId="79408EA0" w14:textId="1E28AC9E" w:rsidR="00284822" w:rsidRDefault="00F77BF8">
      <w:pPr>
        <w:autoSpaceDE w:val="0"/>
        <w:spacing w:before="120" w:after="120"/>
        <w:rPr>
          <w:rFonts w:ascii="Rockwell" w:eastAsia="Calibri" w:hAnsi="Rockwell"/>
          <w:szCs w:val="26"/>
          <w:lang w:eastAsia="en-US"/>
        </w:rPr>
      </w:pPr>
      <w:r>
        <w:rPr>
          <w:rFonts w:ascii="Rockwell" w:eastAsia="Calibri" w:hAnsi="Rockwell"/>
          <w:szCs w:val="26"/>
          <w:lang w:eastAsia="en-US"/>
        </w:rPr>
        <w:t xml:space="preserve">Après analyse de ces faits, le CSC a conclu à un manque de professionnalisme de la part du média et a auditionné son correspondant, à Ouagadougou, le 25 mai </w:t>
      </w:r>
      <w:commentRangeStart w:id="195"/>
      <w:r>
        <w:rPr>
          <w:rFonts w:ascii="Rockwell" w:eastAsia="Calibri" w:hAnsi="Rockwell"/>
          <w:szCs w:val="26"/>
          <w:lang w:eastAsia="en-US"/>
        </w:rPr>
        <w:t>2022</w:t>
      </w:r>
      <w:commentRangeEnd w:id="195"/>
      <w:r>
        <w:rPr>
          <w:rStyle w:val="Marquedecommentaire"/>
        </w:rPr>
        <w:commentReference w:id="195"/>
      </w:r>
      <w:r>
        <w:rPr>
          <w:rFonts w:ascii="Rockwell" w:eastAsia="Calibri" w:hAnsi="Rockwell"/>
          <w:szCs w:val="26"/>
          <w:lang w:eastAsia="en-US"/>
        </w:rPr>
        <w:t>.</w:t>
      </w:r>
    </w:p>
    <w:p w14:paraId="6027269F" w14:textId="77777777" w:rsidR="00E12C34" w:rsidRDefault="00E12C34" w:rsidP="00E12C34">
      <w:pPr>
        <w:autoSpaceDE w:val="0"/>
        <w:spacing w:before="120" w:after="120"/>
        <w:rPr>
          <w:rFonts w:ascii="Rockwell" w:eastAsia="Calibri" w:hAnsi="Rockwell"/>
          <w:szCs w:val="26"/>
          <w:lang w:eastAsia="en-US"/>
        </w:rPr>
      </w:pPr>
      <w:r>
        <w:rPr>
          <w:rFonts w:ascii="Rockwell" w:eastAsia="Calibri" w:hAnsi="Rockwell"/>
          <w:szCs w:val="26"/>
          <w:lang w:eastAsia="en-US"/>
        </w:rPr>
        <w:t>Une lettre d’interpellation leur a été adressée.</w:t>
      </w:r>
    </w:p>
    <w:p w14:paraId="3CAC8324" w14:textId="77777777" w:rsidR="00284822" w:rsidRDefault="00284822">
      <w:pPr>
        <w:autoSpaceDE w:val="0"/>
        <w:spacing w:before="120" w:after="120"/>
        <w:rPr>
          <w:rFonts w:ascii="Rockwell" w:eastAsia="Calibri" w:hAnsi="Rockwell"/>
          <w:sz w:val="4"/>
          <w:szCs w:val="4"/>
          <w:lang w:eastAsia="en-US"/>
        </w:rPr>
      </w:pPr>
    </w:p>
    <w:p w14:paraId="412FCF06" w14:textId="77777777" w:rsidR="00284822" w:rsidRDefault="00F77BF8">
      <w:pPr>
        <w:pStyle w:val="Titre5"/>
        <w:numPr>
          <w:ilvl w:val="1"/>
          <w:numId w:val="30"/>
        </w:numPr>
        <w:ind w:hanging="436"/>
        <w:rPr>
          <w:rFonts w:ascii="Rockwell" w:eastAsia="Calibri" w:hAnsi="Rockwell"/>
          <w:i/>
          <w:lang w:eastAsia="en-US"/>
        </w:rPr>
      </w:pPr>
      <w:bookmarkStart w:id="196" w:name="_Toc175048704"/>
      <w:r>
        <w:rPr>
          <w:rFonts w:ascii="Rockwell" w:eastAsia="Calibri" w:hAnsi="Rockwell"/>
          <w:lang w:eastAsia="en-US"/>
        </w:rPr>
        <w:t xml:space="preserve">Cas de </w:t>
      </w:r>
      <w:r>
        <w:rPr>
          <w:rFonts w:ascii="Rockwell" w:eastAsia="Calibri" w:hAnsi="Rockwell"/>
          <w:i/>
          <w:lang w:eastAsia="en-US"/>
        </w:rPr>
        <w:t>radio Oméga </w:t>
      </w:r>
      <w:r>
        <w:rPr>
          <w:rFonts w:ascii="Rockwell" w:eastAsia="Calibri" w:hAnsi="Rockwell"/>
          <w:lang w:eastAsia="en-US"/>
        </w:rPr>
        <w:t xml:space="preserve">et du journal </w:t>
      </w:r>
      <w:proofErr w:type="spellStart"/>
      <w:r>
        <w:rPr>
          <w:rFonts w:ascii="Rockwell" w:eastAsia="Calibri" w:hAnsi="Rockwell"/>
          <w:i/>
          <w:lang w:eastAsia="en-US"/>
        </w:rPr>
        <w:t>Infowakat</w:t>
      </w:r>
      <w:bookmarkEnd w:id="196"/>
      <w:proofErr w:type="spellEnd"/>
      <w:r>
        <w:rPr>
          <w:rFonts w:ascii="Rockwell" w:eastAsia="Calibri" w:hAnsi="Rockwell"/>
          <w:i/>
          <w:lang w:eastAsia="en-US"/>
        </w:rPr>
        <w:t> </w:t>
      </w:r>
    </w:p>
    <w:p w14:paraId="6225F5F0" w14:textId="77777777" w:rsidR="00284822" w:rsidRDefault="00F77BF8">
      <w:pPr>
        <w:autoSpaceDE w:val="0"/>
        <w:spacing w:before="120" w:after="120"/>
        <w:rPr>
          <w:rFonts w:ascii="Rockwell" w:eastAsia="Calibri" w:hAnsi="Rockwell"/>
          <w:szCs w:val="26"/>
          <w:lang w:eastAsia="en-US"/>
        </w:rPr>
      </w:pPr>
      <w:r>
        <w:rPr>
          <w:rFonts w:ascii="Rockwell" w:eastAsia="Calibri" w:hAnsi="Rockwell"/>
          <w:szCs w:val="26"/>
          <w:lang w:eastAsia="en-US"/>
        </w:rPr>
        <w:t xml:space="preserve">La </w:t>
      </w:r>
      <w:r>
        <w:rPr>
          <w:rFonts w:ascii="Rockwell" w:eastAsia="Calibri" w:hAnsi="Rockwell"/>
          <w:i/>
          <w:szCs w:val="26"/>
          <w:lang w:eastAsia="en-US"/>
        </w:rPr>
        <w:t>radio Oméga</w:t>
      </w:r>
      <w:r>
        <w:rPr>
          <w:rFonts w:ascii="Rockwell" w:eastAsia="Calibri" w:hAnsi="Rockwell"/>
          <w:szCs w:val="26"/>
          <w:lang w:eastAsia="en-US"/>
        </w:rPr>
        <w:t xml:space="preserve"> et la presse en ligne</w:t>
      </w:r>
      <w:r>
        <w:rPr>
          <w:rFonts w:ascii="Rockwell" w:eastAsia="Calibri" w:hAnsi="Rockwell"/>
          <w:i/>
          <w:szCs w:val="26"/>
          <w:lang w:eastAsia="en-US"/>
        </w:rPr>
        <w:t> </w:t>
      </w:r>
      <w:proofErr w:type="spellStart"/>
      <w:r>
        <w:rPr>
          <w:rFonts w:ascii="Rockwell" w:eastAsia="Calibri" w:hAnsi="Rockwell"/>
          <w:i/>
          <w:szCs w:val="26"/>
          <w:lang w:eastAsia="en-US"/>
        </w:rPr>
        <w:t>Infowakat</w:t>
      </w:r>
      <w:proofErr w:type="spellEnd"/>
      <w:r>
        <w:rPr>
          <w:rFonts w:ascii="Rockwell" w:eastAsia="Calibri" w:hAnsi="Rockwell"/>
          <w:i/>
          <w:szCs w:val="26"/>
          <w:lang w:eastAsia="en-US"/>
        </w:rPr>
        <w:t xml:space="preserve"> </w:t>
      </w:r>
      <w:r>
        <w:rPr>
          <w:rFonts w:ascii="Rockwell" w:eastAsia="Calibri" w:hAnsi="Rockwell"/>
          <w:szCs w:val="26"/>
          <w:lang w:eastAsia="en-US"/>
        </w:rPr>
        <w:t xml:space="preserve">ont également relayé l’information donnée par </w:t>
      </w:r>
      <w:r>
        <w:rPr>
          <w:rFonts w:ascii="Rockwell" w:eastAsia="Calibri" w:hAnsi="Rockwell"/>
          <w:i/>
          <w:szCs w:val="26"/>
          <w:lang w:eastAsia="en-US"/>
        </w:rPr>
        <w:t>RFI</w:t>
      </w:r>
      <w:r>
        <w:rPr>
          <w:rFonts w:ascii="Rockwell" w:eastAsia="Calibri" w:hAnsi="Rockwell"/>
          <w:szCs w:val="26"/>
          <w:lang w:eastAsia="en-US"/>
        </w:rPr>
        <w:t xml:space="preserve"> relative à de supposées exactions commises par les Forces de Défense et de Sécurité sur des civils dans la province de l’</w:t>
      </w:r>
      <w:proofErr w:type="spellStart"/>
      <w:r>
        <w:rPr>
          <w:rFonts w:ascii="Rockwell" w:eastAsia="Calibri" w:hAnsi="Rockwell"/>
          <w:szCs w:val="26"/>
          <w:lang w:eastAsia="en-US"/>
        </w:rPr>
        <w:t>Oudalan</w:t>
      </w:r>
      <w:proofErr w:type="spellEnd"/>
      <w:r>
        <w:rPr>
          <w:rFonts w:ascii="Rockwell" w:eastAsia="Calibri" w:hAnsi="Rockwell"/>
          <w:szCs w:val="26"/>
          <w:lang w:eastAsia="en-US"/>
        </w:rPr>
        <w:t>.</w:t>
      </w:r>
    </w:p>
    <w:p w14:paraId="6558F371" w14:textId="77777777" w:rsidR="00284822" w:rsidRDefault="00F77BF8">
      <w:pPr>
        <w:autoSpaceDE w:val="0"/>
        <w:spacing w:before="120" w:after="120"/>
        <w:rPr>
          <w:rFonts w:ascii="Rockwell" w:eastAsia="Calibri" w:hAnsi="Rockwell"/>
          <w:szCs w:val="26"/>
          <w:lang w:eastAsia="en-US"/>
        </w:rPr>
      </w:pPr>
      <w:r>
        <w:rPr>
          <w:rFonts w:ascii="Rockwell" w:eastAsia="Calibri" w:hAnsi="Rockwell"/>
          <w:szCs w:val="26"/>
          <w:lang w:eastAsia="en-US"/>
        </w:rPr>
        <w:lastRenderedPageBreak/>
        <w:t>Il leur est également reproché l’absence de vérification et de recoupement des sources d’information, enfreignant ainsi les principes professionnels du traitement de l’information, tels qu’édictés par l’article 7 de la charte d’éthique et de déontologie du journaliste burkinabé.</w:t>
      </w:r>
    </w:p>
    <w:p w14:paraId="20802E8A" w14:textId="77777777" w:rsidR="00284822" w:rsidRDefault="00F77BF8">
      <w:pPr>
        <w:autoSpaceDE w:val="0"/>
        <w:spacing w:before="120" w:after="120"/>
        <w:rPr>
          <w:rFonts w:ascii="Rockwell" w:eastAsia="Calibri" w:hAnsi="Rockwell"/>
          <w:szCs w:val="26"/>
          <w:lang w:eastAsia="en-US"/>
        </w:rPr>
      </w:pPr>
      <w:r>
        <w:rPr>
          <w:rFonts w:ascii="Rockwell" w:eastAsia="Calibri" w:hAnsi="Rockwell"/>
          <w:szCs w:val="26"/>
          <w:lang w:eastAsia="en-US"/>
        </w:rPr>
        <w:t>Une lettre d’interpellation leur a été adressée.</w:t>
      </w:r>
    </w:p>
    <w:p w14:paraId="70861A9A" w14:textId="77777777" w:rsidR="00284822" w:rsidRDefault="00284822">
      <w:pPr>
        <w:pStyle w:val="Titre4"/>
        <w:spacing w:before="120" w:after="120"/>
        <w:rPr>
          <w:rFonts w:ascii="Rockwell" w:eastAsia="Calibri" w:hAnsi="Rockwell"/>
          <w:sz w:val="28"/>
          <w:szCs w:val="28"/>
        </w:rPr>
      </w:pPr>
    </w:p>
    <w:p w14:paraId="63B7882B" w14:textId="77777777" w:rsidR="00284822" w:rsidRDefault="00F77BF8">
      <w:pPr>
        <w:pStyle w:val="Titre4"/>
        <w:spacing w:before="120" w:after="120"/>
        <w:rPr>
          <w:rFonts w:ascii="Rockwell" w:eastAsia="Calibri" w:hAnsi="Rockwell"/>
          <w:sz w:val="28"/>
          <w:szCs w:val="28"/>
        </w:rPr>
      </w:pPr>
      <w:bookmarkStart w:id="197" w:name="_Toc175048705"/>
      <w:r>
        <w:rPr>
          <w:rFonts w:ascii="Rockwell" w:eastAsia="Calibri" w:hAnsi="Rockwell"/>
          <w:sz w:val="28"/>
          <w:szCs w:val="28"/>
        </w:rPr>
        <w:t>Paragraphe 6 : Diffusion d’images attentatoires aux bonnes mœurs</w:t>
      </w:r>
      <w:bookmarkEnd w:id="197"/>
    </w:p>
    <w:p w14:paraId="12EFCE23" w14:textId="77777777" w:rsidR="00284822" w:rsidRDefault="00284822">
      <w:pPr>
        <w:spacing w:before="120" w:after="120"/>
        <w:rPr>
          <w:rFonts w:eastAsia="Calibri"/>
          <w:sz w:val="10"/>
          <w:szCs w:val="10"/>
        </w:rPr>
      </w:pPr>
    </w:p>
    <w:p w14:paraId="14C3D981" w14:textId="77777777" w:rsidR="00284822" w:rsidRDefault="00F77BF8">
      <w:pPr>
        <w:autoSpaceDE w:val="0"/>
        <w:spacing w:before="120" w:after="120"/>
        <w:rPr>
          <w:rFonts w:ascii="Rockwell" w:eastAsia="Calibri" w:hAnsi="Rockwell"/>
          <w:szCs w:val="26"/>
          <w:lang w:eastAsia="en-US"/>
        </w:rPr>
      </w:pPr>
      <w:r>
        <w:rPr>
          <w:rFonts w:ascii="Rockwell" w:eastAsia="Calibri" w:hAnsi="Rockwell"/>
          <w:szCs w:val="26"/>
          <w:lang w:eastAsia="en-US"/>
        </w:rPr>
        <w:t>Le 12 juillet 2022, la télévision </w:t>
      </w:r>
      <w:r>
        <w:rPr>
          <w:rFonts w:ascii="Rockwell" w:eastAsia="Calibri" w:hAnsi="Rockwell"/>
          <w:i/>
          <w:szCs w:val="26"/>
          <w:lang w:eastAsia="en-US"/>
        </w:rPr>
        <w:t xml:space="preserve">Canal3 </w:t>
      </w:r>
      <w:r>
        <w:rPr>
          <w:rFonts w:ascii="Rockwell" w:eastAsia="Calibri" w:hAnsi="Rockwell"/>
          <w:szCs w:val="26"/>
          <w:lang w:eastAsia="en-US"/>
        </w:rPr>
        <w:t>s’est rendue coupable d’un manquement portant sur la diffusion d’un épisode de la série télévisuelle américaine « GLEE » comportant des scènes d’homosexualité. Cette diffusion, sans signalétique et à une heure de grande audience, constitue une violation de la loi</w:t>
      </w:r>
      <w:r>
        <w:rPr>
          <w:rStyle w:val="Appelnotedebasdep"/>
          <w:rFonts w:ascii="Rockwell" w:eastAsia="Calibri" w:hAnsi="Rockwell"/>
          <w:szCs w:val="26"/>
          <w:lang w:eastAsia="en-US"/>
        </w:rPr>
        <w:footnoteReference w:id="11"/>
      </w:r>
      <w:r>
        <w:rPr>
          <w:rFonts w:ascii="Rockwell" w:eastAsia="Calibri" w:hAnsi="Rockwell"/>
          <w:szCs w:val="26"/>
          <w:lang w:eastAsia="en-US"/>
        </w:rPr>
        <w:t>.</w:t>
      </w:r>
    </w:p>
    <w:p w14:paraId="387BD399" w14:textId="77777777" w:rsidR="00284822" w:rsidRDefault="00F77BF8">
      <w:pPr>
        <w:autoSpaceDE w:val="0"/>
        <w:spacing w:before="120" w:after="120"/>
        <w:rPr>
          <w:rFonts w:ascii="Rockwell" w:eastAsia="Calibri" w:hAnsi="Rockwell"/>
          <w:szCs w:val="26"/>
          <w:lang w:eastAsia="en-US"/>
        </w:rPr>
      </w:pPr>
      <w:r>
        <w:rPr>
          <w:rFonts w:ascii="Rockwell" w:eastAsia="Calibri" w:hAnsi="Rockwell"/>
          <w:szCs w:val="26"/>
          <w:lang w:eastAsia="en-US"/>
        </w:rPr>
        <w:t xml:space="preserve">Le CSC avait prévu d’auditionner les responsables de </w:t>
      </w:r>
      <w:r>
        <w:rPr>
          <w:rFonts w:ascii="Rockwell" w:eastAsia="Calibri" w:hAnsi="Rockwell"/>
          <w:i/>
          <w:szCs w:val="26"/>
          <w:lang w:eastAsia="en-US"/>
        </w:rPr>
        <w:t>Canal3</w:t>
      </w:r>
      <w:r>
        <w:rPr>
          <w:rFonts w:ascii="Rockwell" w:eastAsia="Calibri" w:hAnsi="Rockwell"/>
          <w:szCs w:val="26"/>
          <w:lang w:eastAsia="en-US"/>
        </w:rPr>
        <w:t xml:space="preserve"> mais le dysfonctionnement de l’organe délibérant n’a pas permis d’effectuer cette audition. </w:t>
      </w:r>
    </w:p>
    <w:p w14:paraId="01717518" w14:textId="77777777" w:rsidR="00284822" w:rsidRDefault="00284822">
      <w:pPr>
        <w:autoSpaceDE w:val="0"/>
        <w:spacing w:before="120" w:after="120"/>
        <w:jc w:val="center"/>
        <w:rPr>
          <w:rFonts w:ascii="Rockwell" w:eastAsia="Calibri" w:hAnsi="Rockwell"/>
          <w:sz w:val="10"/>
          <w:szCs w:val="10"/>
          <w:lang w:eastAsia="en-US"/>
        </w:rPr>
      </w:pPr>
    </w:p>
    <w:p w14:paraId="78A5CB65" w14:textId="77777777" w:rsidR="00284822" w:rsidRDefault="00F77BF8">
      <w:pPr>
        <w:pStyle w:val="Titre4"/>
        <w:spacing w:before="120" w:after="120"/>
        <w:rPr>
          <w:rFonts w:ascii="Rockwell" w:hAnsi="Rockwell"/>
          <w:sz w:val="28"/>
          <w:szCs w:val="28"/>
        </w:rPr>
      </w:pPr>
      <w:bookmarkStart w:id="198" w:name="_Toc175048706"/>
      <w:bookmarkStart w:id="199" w:name="_Hlk162358511"/>
      <w:r>
        <w:rPr>
          <w:rFonts w:ascii="Rockwell" w:hAnsi="Rockwell"/>
          <w:sz w:val="28"/>
          <w:szCs w:val="28"/>
        </w:rPr>
        <w:t>Paragraphe 7 : Auto-saisines relatives aux contenus publicitaires</w:t>
      </w:r>
      <w:bookmarkEnd w:id="198"/>
    </w:p>
    <w:p w14:paraId="0B78CBF2" w14:textId="77777777" w:rsidR="00284822" w:rsidRDefault="00F77BF8">
      <w:pPr>
        <w:spacing w:before="120" w:after="120"/>
        <w:rPr>
          <w:rFonts w:ascii="Rockwell" w:hAnsi="Rockwell"/>
          <w:szCs w:val="26"/>
        </w:rPr>
      </w:pPr>
      <w:r>
        <w:rPr>
          <w:rFonts w:ascii="Rockwell" w:hAnsi="Rockwell"/>
          <w:szCs w:val="26"/>
        </w:rPr>
        <w:t xml:space="preserve">L’article 2 </w:t>
      </w:r>
      <w:bookmarkStart w:id="200" w:name="_Hlk31706847"/>
      <w:r>
        <w:rPr>
          <w:rFonts w:ascii="Rockwell" w:hAnsi="Rockwell"/>
          <w:szCs w:val="26"/>
        </w:rPr>
        <w:t>alinéa</w:t>
      </w:r>
      <w:bookmarkEnd w:id="200"/>
      <w:r>
        <w:rPr>
          <w:rFonts w:ascii="Rockwell" w:hAnsi="Rockwell"/>
          <w:szCs w:val="26"/>
        </w:rPr>
        <w:t xml:space="preserve"> 1</w:t>
      </w:r>
      <w:r>
        <w:rPr>
          <w:rFonts w:ascii="Rockwell" w:hAnsi="Rockwell"/>
          <w:szCs w:val="26"/>
          <w:vertAlign w:val="superscript"/>
        </w:rPr>
        <w:t>er</w:t>
      </w:r>
      <w:r>
        <w:rPr>
          <w:rFonts w:ascii="Rockwell" w:hAnsi="Rockwell"/>
          <w:szCs w:val="26"/>
        </w:rPr>
        <w:t xml:space="preserve"> de la loi N°080-2015/CNT du 23 novembre 2015 portant règlementation de la publicité au Burkina Faso énonce que :</w:t>
      </w:r>
      <w:r>
        <w:rPr>
          <w:rFonts w:ascii="Rockwell" w:hAnsi="Rockwell"/>
          <w:i/>
          <w:szCs w:val="26"/>
        </w:rPr>
        <w:t xml:space="preserve"> « constitue une opération de publicité, toute inscription, forme, image ou son destinés à informer le public ou à attirer son attention sur une marque, un produit ou un service ».</w:t>
      </w:r>
      <w:r>
        <w:rPr>
          <w:rFonts w:ascii="Rockwell" w:hAnsi="Rockwell"/>
          <w:szCs w:val="26"/>
        </w:rPr>
        <w:t xml:space="preserve"> </w:t>
      </w:r>
    </w:p>
    <w:p w14:paraId="3434B14C" w14:textId="037B5D03" w:rsidR="00284822" w:rsidRDefault="00F77BF8" w:rsidP="00BD0322">
      <w:pPr>
        <w:spacing w:before="120" w:after="120"/>
        <w:rPr>
          <w:rFonts w:ascii="Rockwell" w:hAnsi="Rockwell"/>
          <w:szCs w:val="26"/>
        </w:rPr>
      </w:pPr>
      <w:r>
        <w:rPr>
          <w:rFonts w:ascii="Rockwell" w:hAnsi="Rockwell"/>
          <w:szCs w:val="26"/>
        </w:rPr>
        <w:lastRenderedPageBreak/>
        <w:t xml:space="preserve">Les auto-saisines relatives aux contenus publicitaires ont porté sur la diffusion de </w:t>
      </w:r>
      <w:r w:rsidR="00BD0322">
        <w:rPr>
          <w:rFonts w:ascii="Rockwell" w:hAnsi="Rockwell"/>
          <w:szCs w:val="26"/>
        </w:rPr>
        <w:t>publicités</w:t>
      </w:r>
      <w:r w:rsidR="00BD0322" w:rsidRPr="00BD0322">
        <w:rPr>
          <w:rFonts w:ascii="Rockwell" w:hAnsi="Rockwell"/>
          <w:szCs w:val="26"/>
        </w:rPr>
        <w:t xml:space="preserve"> sans le visa du ministère en charge</w:t>
      </w:r>
      <w:r w:rsidR="00BD0322">
        <w:rPr>
          <w:rFonts w:ascii="Rockwell" w:hAnsi="Rockwell"/>
          <w:szCs w:val="26"/>
        </w:rPr>
        <w:t xml:space="preserve"> </w:t>
      </w:r>
      <w:r w:rsidR="00BD0322" w:rsidRPr="00BD0322">
        <w:rPr>
          <w:rFonts w:ascii="Rockwell" w:hAnsi="Rockwell"/>
          <w:szCs w:val="26"/>
        </w:rPr>
        <w:t>de la santé</w:t>
      </w:r>
      <w:r>
        <w:rPr>
          <w:rFonts w:ascii="Rockwell" w:hAnsi="Rockwell"/>
          <w:szCs w:val="26"/>
        </w:rPr>
        <w:t xml:space="preserve"> et </w:t>
      </w:r>
      <w:r w:rsidR="00BD0322">
        <w:rPr>
          <w:rFonts w:ascii="Rockwell" w:hAnsi="Rockwell"/>
          <w:szCs w:val="26"/>
        </w:rPr>
        <w:t xml:space="preserve">de </w:t>
      </w:r>
      <w:r w:rsidR="00BD0322" w:rsidRPr="00BD0322">
        <w:rPr>
          <w:rFonts w:ascii="Rockwell" w:hAnsi="Rockwell"/>
          <w:szCs w:val="26"/>
        </w:rPr>
        <w:t>publicités interdites</w:t>
      </w:r>
      <w:r>
        <w:rPr>
          <w:rFonts w:ascii="Rockwell" w:hAnsi="Rockwell"/>
          <w:szCs w:val="26"/>
        </w:rPr>
        <w:t>.</w:t>
      </w:r>
    </w:p>
    <w:p w14:paraId="648274CB" w14:textId="77777777" w:rsidR="00284822" w:rsidRDefault="00F77BF8">
      <w:pPr>
        <w:spacing w:before="120" w:after="120"/>
        <w:rPr>
          <w:rFonts w:ascii="Rockwell" w:hAnsi="Rockwell"/>
          <w:szCs w:val="26"/>
        </w:rPr>
      </w:pPr>
      <w:r>
        <w:rPr>
          <w:rFonts w:ascii="Rockwell" w:hAnsi="Rockwell"/>
          <w:szCs w:val="26"/>
        </w:rPr>
        <w:t xml:space="preserve">Ces manquements ont été observés dans les médias suivants : </w:t>
      </w:r>
    </w:p>
    <w:p w14:paraId="7BC774D2" w14:textId="77777777" w:rsidR="00284822" w:rsidRDefault="00F77BF8">
      <w:pPr>
        <w:pStyle w:val="Paragraphedeliste"/>
        <w:numPr>
          <w:ilvl w:val="0"/>
          <w:numId w:val="31"/>
        </w:numPr>
        <w:ind w:left="0"/>
        <w:rPr>
          <w:rFonts w:ascii="Rockwell" w:hAnsi="Rockwell"/>
        </w:rPr>
      </w:pPr>
      <w:proofErr w:type="gramStart"/>
      <w:r>
        <w:rPr>
          <w:rFonts w:ascii="Rockwell" w:hAnsi="Rockwell"/>
        </w:rPr>
        <w:t>les</w:t>
      </w:r>
      <w:proofErr w:type="gramEnd"/>
      <w:r>
        <w:rPr>
          <w:rFonts w:ascii="Rockwell" w:hAnsi="Rockwell"/>
        </w:rPr>
        <w:t xml:space="preserve"> radios </w:t>
      </w:r>
      <w:r>
        <w:rPr>
          <w:rFonts w:ascii="Rockwell" w:hAnsi="Rockwell"/>
          <w:i/>
        </w:rPr>
        <w:t>Optima FM</w:t>
      </w:r>
      <w:r>
        <w:rPr>
          <w:rFonts w:ascii="Rockwell" w:hAnsi="Rockwell"/>
        </w:rPr>
        <w:t xml:space="preserve">, </w:t>
      </w:r>
      <w:r>
        <w:rPr>
          <w:rFonts w:ascii="Rockwell" w:hAnsi="Rockwell"/>
          <w:i/>
        </w:rPr>
        <w:t xml:space="preserve">Al </w:t>
      </w:r>
      <w:proofErr w:type="spellStart"/>
      <w:r>
        <w:rPr>
          <w:rFonts w:ascii="Rockwell" w:hAnsi="Rockwell"/>
          <w:i/>
        </w:rPr>
        <w:t>Fajir</w:t>
      </w:r>
      <w:proofErr w:type="spellEnd"/>
      <w:r>
        <w:rPr>
          <w:rFonts w:ascii="Rockwell" w:hAnsi="Rockwell"/>
        </w:rPr>
        <w:t xml:space="preserve">, </w:t>
      </w:r>
      <w:r>
        <w:rPr>
          <w:rFonts w:ascii="Rockwell" w:hAnsi="Rockwell"/>
          <w:i/>
        </w:rPr>
        <w:t>la Voix du paysan</w:t>
      </w:r>
      <w:r>
        <w:rPr>
          <w:rFonts w:ascii="Rockwell" w:hAnsi="Rockwell"/>
        </w:rPr>
        <w:t xml:space="preserve">, </w:t>
      </w:r>
      <w:r>
        <w:rPr>
          <w:rFonts w:ascii="Rockwell" w:hAnsi="Rockwell"/>
          <w:i/>
        </w:rPr>
        <w:t>Oméga FM</w:t>
      </w:r>
      <w:r>
        <w:rPr>
          <w:rFonts w:ascii="Rockwell" w:hAnsi="Rockwell"/>
        </w:rPr>
        <w:t xml:space="preserve"> , </w:t>
      </w:r>
      <w:r>
        <w:rPr>
          <w:rFonts w:ascii="Rockwell" w:hAnsi="Rockwell"/>
          <w:i/>
        </w:rPr>
        <w:t>LPC</w:t>
      </w:r>
      <w:r>
        <w:rPr>
          <w:rFonts w:ascii="Rockwell" w:hAnsi="Rockwell"/>
        </w:rPr>
        <w:t xml:space="preserve"> et </w:t>
      </w:r>
      <w:r>
        <w:rPr>
          <w:rFonts w:ascii="Rockwell" w:hAnsi="Rockwell"/>
          <w:i/>
        </w:rPr>
        <w:t>Amitié</w:t>
      </w:r>
      <w:r>
        <w:rPr>
          <w:rFonts w:ascii="Rockwell" w:hAnsi="Rockwell"/>
        </w:rPr>
        <w:t> ;</w:t>
      </w:r>
    </w:p>
    <w:p w14:paraId="2DD99DC4" w14:textId="77777777" w:rsidR="00284822" w:rsidRDefault="00F77BF8">
      <w:pPr>
        <w:pStyle w:val="Paragraphedeliste"/>
        <w:numPr>
          <w:ilvl w:val="0"/>
          <w:numId w:val="31"/>
        </w:numPr>
        <w:ind w:left="0"/>
        <w:rPr>
          <w:rFonts w:ascii="Rockwell" w:hAnsi="Rockwell"/>
        </w:rPr>
      </w:pPr>
      <w:proofErr w:type="gramStart"/>
      <w:r>
        <w:rPr>
          <w:rFonts w:ascii="Rockwell" w:hAnsi="Rockwell"/>
        </w:rPr>
        <w:t>les</w:t>
      </w:r>
      <w:proofErr w:type="gramEnd"/>
      <w:r>
        <w:rPr>
          <w:rFonts w:ascii="Rockwell" w:hAnsi="Rockwell"/>
        </w:rPr>
        <w:t xml:space="preserve"> télévisions </w:t>
      </w:r>
      <w:r>
        <w:rPr>
          <w:rFonts w:ascii="Rockwell" w:hAnsi="Rockwell"/>
          <w:i/>
        </w:rPr>
        <w:t>BF1, RTB/télé, 3TV</w:t>
      </w:r>
      <w:r>
        <w:rPr>
          <w:rFonts w:ascii="Rockwell" w:hAnsi="Rockwell"/>
        </w:rPr>
        <w:t> ;</w:t>
      </w:r>
    </w:p>
    <w:p w14:paraId="10863D40" w14:textId="77777777" w:rsidR="00284822" w:rsidRDefault="00F77BF8">
      <w:pPr>
        <w:pStyle w:val="Paragraphedeliste"/>
        <w:numPr>
          <w:ilvl w:val="0"/>
          <w:numId w:val="31"/>
        </w:numPr>
        <w:ind w:left="0"/>
        <w:rPr>
          <w:rFonts w:ascii="Rockwell" w:hAnsi="Rockwell"/>
        </w:rPr>
      </w:pPr>
      <w:proofErr w:type="gramStart"/>
      <w:r>
        <w:rPr>
          <w:rFonts w:ascii="Rockwell" w:hAnsi="Rockwell"/>
        </w:rPr>
        <w:t>les</w:t>
      </w:r>
      <w:proofErr w:type="gramEnd"/>
      <w:r>
        <w:rPr>
          <w:rFonts w:ascii="Rockwell" w:hAnsi="Rockwell"/>
        </w:rPr>
        <w:t xml:space="preserve"> journaux L’</w:t>
      </w:r>
      <w:r>
        <w:rPr>
          <w:rFonts w:ascii="Rockwell" w:hAnsi="Rockwell"/>
          <w:i/>
        </w:rPr>
        <w:t xml:space="preserve">Observateur </w:t>
      </w:r>
      <w:proofErr w:type="spellStart"/>
      <w:r>
        <w:rPr>
          <w:rFonts w:ascii="Rockwell" w:hAnsi="Rockwell"/>
          <w:i/>
        </w:rPr>
        <w:t>Paalga</w:t>
      </w:r>
      <w:proofErr w:type="spellEnd"/>
      <w:r>
        <w:rPr>
          <w:rFonts w:ascii="Rockwell" w:hAnsi="Rockwell"/>
        </w:rPr>
        <w:t>, l’</w:t>
      </w:r>
      <w:r>
        <w:rPr>
          <w:rFonts w:ascii="Rockwell" w:hAnsi="Rockwell"/>
          <w:i/>
        </w:rPr>
        <w:t>Evènement</w:t>
      </w:r>
      <w:r>
        <w:rPr>
          <w:rFonts w:ascii="Rockwell" w:hAnsi="Rockwell"/>
        </w:rPr>
        <w:t xml:space="preserve">, </w:t>
      </w:r>
      <w:r>
        <w:rPr>
          <w:rFonts w:ascii="Rockwell" w:hAnsi="Rockwell"/>
          <w:i/>
        </w:rPr>
        <w:t>Le Pays</w:t>
      </w:r>
      <w:r>
        <w:rPr>
          <w:rFonts w:ascii="Rockwell" w:hAnsi="Rockwell"/>
        </w:rPr>
        <w:t> ;</w:t>
      </w:r>
    </w:p>
    <w:p w14:paraId="08E879F3" w14:textId="77777777" w:rsidR="00284822" w:rsidRDefault="00F77BF8">
      <w:pPr>
        <w:pStyle w:val="Paragraphedeliste"/>
        <w:numPr>
          <w:ilvl w:val="0"/>
          <w:numId w:val="31"/>
        </w:numPr>
        <w:ind w:left="0"/>
        <w:rPr>
          <w:rFonts w:ascii="Rockwell" w:hAnsi="Rockwell"/>
        </w:rPr>
      </w:pPr>
      <w:proofErr w:type="gramStart"/>
      <w:r>
        <w:rPr>
          <w:rFonts w:ascii="Rockwell" w:hAnsi="Rockwell"/>
        </w:rPr>
        <w:t>la</w:t>
      </w:r>
      <w:proofErr w:type="gramEnd"/>
      <w:r>
        <w:rPr>
          <w:rFonts w:ascii="Rockwell" w:hAnsi="Rockwell"/>
        </w:rPr>
        <w:t xml:space="preserve"> régie publicitaire </w:t>
      </w:r>
      <w:r>
        <w:rPr>
          <w:rFonts w:ascii="Rockwell" w:hAnsi="Rockwell"/>
          <w:i/>
        </w:rPr>
        <w:t>Synergie média ;</w:t>
      </w:r>
    </w:p>
    <w:p w14:paraId="599B0D82" w14:textId="77777777" w:rsidR="00284822" w:rsidRDefault="00F77BF8">
      <w:pPr>
        <w:pStyle w:val="Paragraphedeliste"/>
        <w:numPr>
          <w:ilvl w:val="0"/>
          <w:numId w:val="31"/>
        </w:numPr>
        <w:ind w:left="0"/>
        <w:rPr>
          <w:rFonts w:ascii="Rockwell" w:hAnsi="Rockwell"/>
        </w:rPr>
      </w:pPr>
      <w:proofErr w:type="gramStart"/>
      <w:r>
        <w:rPr>
          <w:rFonts w:ascii="Rockwell" w:hAnsi="Rockwell"/>
        </w:rPr>
        <w:t>la</w:t>
      </w:r>
      <w:proofErr w:type="gramEnd"/>
      <w:r>
        <w:rPr>
          <w:rFonts w:ascii="Rockwell" w:hAnsi="Rockwell"/>
        </w:rPr>
        <w:t xml:space="preserve"> presse en ligne </w:t>
      </w:r>
      <w:r>
        <w:rPr>
          <w:rFonts w:ascii="Rockwell" w:hAnsi="Rockwell"/>
          <w:i/>
        </w:rPr>
        <w:t>Burkina 24</w:t>
      </w:r>
      <w:r>
        <w:rPr>
          <w:rFonts w:ascii="Rockwell" w:hAnsi="Rockwell"/>
        </w:rPr>
        <w:t>.</w:t>
      </w:r>
    </w:p>
    <w:p w14:paraId="2C6210D7" w14:textId="77777777" w:rsidR="00284822" w:rsidRDefault="00284822">
      <w:pPr>
        <w:pStyle w:val="Paragraphedeliste"/>
        <w:rPr>
          <w:rFonts w:ascii="Rockwell" w:hAnsi="Rockwell"/>
          <w:sz w:val="10"/>
          <w:szCs w:val="10"/>
        </w:rPr>
      </w:pPr>
    </w:p>
    <w:p w14:paraId="4F57E72B" w14:textId="77777777" w:rsidR="00284822" w:rsidRPr="00A42984" w:rsidRDefault="00F77BF8">
      <w:pPr>
        <w:pStyle w:val="Titre6"/>
        <w:spacing w:before="0" w:after="0"/>
        <w:ind w:left="709"/>
        <w:jc w:val="left"/>
        <w:rPr>
          <w:rFonts w:ascii="Rockwell" w:hAnsi="Rockwell"/>
          <w:i w:val="0"/>
        </w:rPr>
      </w:pPr>
      <w:r w:rsidRPr="00A42984">
        <w:rPr>
          <w:rFonts w:ascii="Rockwell" w:hAnsi="Rockwell"/>
          <w:i w:val="0"/>
        </w:rPr>
        <w:t>Publicités diffusées sans le visa du ministère en charge</w:t>
      </w:r>
    </w:p>
    <w:p w14:paraId="492CCF10" w14:textId="77777777" w:rsidR="00284822" w:rsidRPr="00A42984" w:rsidRDefault="00F77BF8">
      <w:pPr>
        <w:pStyle w:val="Titre6"/>
        <w:numPr>
          <w:ilvl w:val="0"/>
          <w:numId w:val="0"/>
        </w:numPr>
        <w:spacing w:before="0" w:after="0"/>
        <w:ind w:left="709" w:firstLine="707"/>
        <w:jc w:val="left"/>
        <w:rPr>
          <w:rFonts w:ascii="Rockwell" w:hAnsi="Rockwell"/>
          <w:i w:val="0"/>
        </w:rPr>
      </w:pPr>
      <w:proofErr w:type="gramStart"/>
      <w:r w:rsidRPr="00A42984">
        <w:rPr>
          <w:rFonts w:ascii="Rockwell" w:hAnsi="Rockwell"/>
          <w:i w:val="0"/>
        </w:rPr>
        <w:t>de</w:t>
      </w:r>
      <w:proofErr w:type="gramEnd"/>
      <w:r w:rsidRPr="00A42984">
        <w:rPr>
          <w:rFonts w:ascii="Rockwell" w:hAnsi="Rockwell"/>
          <w:i w:val="0"/>
        </w:rPr>
        <w:t xml:space="preserve"> la santé</w:t>
      </w:r>
    </w:p>
    <w:p w14:paraId="5710732D" w14:textId="77777777" w:rsidR="00284822" w:rsidRDefault="00284822">
      <w:pPr>
        <w:pStyle w:val="Titre5"/>
        <w:numPr>
          <w:ilvl w:val="0"/>
          <w:numId w:val="0"/>
        </w:numPr>
        <w:ind w:left="567"/>
        <w:rPr>
          <w:rFonts w:ascii="Rockwell" w:hAnsi="Rockwell"/>
          <w:sz w:val="10"/>
          <w:szCs w:val="10"/>
        </w:rPr>
      </w:pPr>
    </w:p>
    <w:p w14:paraId="2D1F6170" w14:textId="77777777" w:rsidR="00284822" w:rsidRDefault="00F77BF8">
      <w:pPr>
        <w:spacing w:before="120" w:after="120"/>
        <w:textAlignment w:val="auto"/>
        <w:rPr>
          <w:rFonts w:ascii="Rockwell" w:hAnsi="Rockwell"/>
          <w:szCs w:val="26"/>
        </w:rPr>
      </w:pPr>
      <w:r>
        <w:rPr>
          <w:rFonts w:ascii="Rockwell" w:hAnsi="Rockwell"/>
          <w:szCs w:val="26"/>
        </w:rPr>
        <w:t>Ces publicités concernent les produits pharmaceutiques ou de la pharmacopée traditionnelle.  En effet, l’article 31 de la loi ci-dessus citée indique que :</w:t>
      </w:r>
      <w:r>
        <w:rPr>
          <w:rFonts w:ascii="Rockwell" w:hAnsi="Rockwell"/>
          <w:b/>
          <w:i/>
          <w:szCs w:val="26"/>
        </w:rPr>
        <w:t xml:space="preserve"> </w:t>
      </w:r>
      <w:r>
        <w:rPr>
          <w:rFonts w:ascii="Rockwell" w:hAnsi="Rockwell"/>
          <w:i/>
          <w:szCs w:val="26"/>
        </w:rPr>
        <w:t>«</w:t>
      </w:r>
      <w:r>
        <w:rPr>
          <w:rFonts w:ascii="Rockwell" w:hAnsi="Rockwell"/>
          <w:b/>
          <w:i/>
          <w:szCs w:val="26"/>
        </w:rPr>
        <w:t> </w:t>
      </w:r>
      <w:r>
        <w:rPr>
          <w:rFonts w:ascii="Rockwell" w:hAnsi="Rockwell"/>
          <w:i/>
          <w:szCs w:val="26"/>
        </w:rPr>
        <w:t>Toute publicité de produits pharmaceutiques ou produits de la médecine traditionnelle est interdite auprès du grand public sous réserve de l’obtention du visa délivré par le ministre en charge de la santé ».</w:t>
      </w:r>
    </w:p>
    <w:p w14:paraId="27E9C23B" w14:textId="77777777" w:rsidR="00284822" w:rsidRDefault="00F77BF8">
      <w:pPr>
        <w:spacing w:before="120" w:after="120"/>
        <w:rPr>
          <w:rFonts w:ascii="Rockwell" w:hAnsi="Rockwell"/>
          <w:szCs w:val="26"/>
        </w:rPr>
      </w:pPr>
      <w:r>
        <w:rPr>
          <w:rFonts w:ascii="Rockwell" w:hAnsi="Rockwell"/>
          <w:szCs w:val="26"/>
        </w:rPr>
        <w:t xml:space="preserve">Les médias sus-évoqués ont exercé leurs activités en violation de cette disposition légale. Les différents manquements y relatifs sont ci-dessous répertoriés. </w:t>
      </w:r>
    </w:p>
    <w:p w14:paraId="4DCD2248" w14:textId="77777777" w:rsidR="00284822" w:rsidRDefault="00284822">
      <w:pPr>
        <w:spacing w:before="120" w:after="120"/>
        <w:rPr>
          <w:rFonts w:ascii="Rockwell" w:hAnsi="Rockwell"/>
          <w:sz w:val="10"/>
          <w:szCs w:val="10"/>
        </w:rPr>
      </w:pPr>
    </w:p>
    <w:p w14:paraId="51A8FD9F" w14:textId="77777777" w:rsidR="00284822" w:rsidRDefault="00F77BF8">
      <w:pPr>
        <w:pStyle w:val="Paragraphedeliste"/>
        <w:numPr>
          <w:ilvl w:val="0"/>
          <w:numId w:val="32"/>
        </w:numPr>
        <w:ind w:hanging="153"/>
        <w:jc w:val="left"/>
        <w:rPr>
          <w:rFonts w:ascii="Rockwell" w:hAnsi="Rockwell"/>
          <w:b/>
          <w:i/>
          <w:color w:val="000000" w:themeColor="text1"/>
        </w:rPr>
      </w:pPr>
      <w:r>
        <w:rPr>
          <w:rFonts w:ascii="Rockwell" w:hAnsi="Rockwell"/>
          <w:b/>
          <w:i/>
          <w:color w:val="000000" w:themeColor="text1"/>
        </w:rPr>
        <w:t>Cas de la radio LPC de Bobo-Dioulasso</w:t>
      </w:r>
    </w:p>
    <w:p w14:paraId="5B1691F4" w14:textId="77777777" w:rsidR="00284822" w:rsidRDefault="00F77BF8">
      <w:pPr>
        <w:spacing w:before="120" w:after="120"/>
        <w:rPr>
          <w:rFonts w:ascii="Rockwell" w:hAnsi="Rockwell"/>
          <w:bCs/>
          <w:szCs w:val="26"/>
        </w:rPr>
      </w:pPr>
      <w:r>
        <w:rPr>
          <w:rFonts w:ascii="Rockwell" w:hAnsi="Rockwell"/>
          <w:szCs w:val="26"/>
        </w:rPr>
        <w:t>Cette radio a diffusé un spot publicitaire</w:t>
      </w:r>
      <w:r>
        <w:rPr>
          <w:rFonts w:ascii="Rockwell" w:hAnsi="Rockwell"/>
          <w:bCs/>
          <w:szCs w:val="26"/>
        </w:rPr>
        <w:t xml:space="preserve"> faisant la promotion d’une activité de soins sanitaires organisée par une </w:t>
      </w:r>
      <w:proofErr w:type="spellStart"/>
      <w:r>
        <w:rPr>
          <w:rFonts w:ascii="Rockwell" w:hAnsi="Rockwell"/>
          <w:bCs/>
          <w:szCs w:val="26"/>
        </w:rPr>
        <w:t>tradipraticienne</w:t>
      </w:r>
      <w:proofErr w:type="spellEnd"/>
      <w:r>
        <w:rPr>
          <w:rFonts w:ascii="Rockwell" w:hAnsi="Rockwell"/>
          <w:bCs/>
          <w:szCs w:val="26"/>
        </w:rPr>
        <w:t xml:space="preserve">. </w:t>
      </w:r>
    </w:p>
    <w:p w14:paraId="0BEA2BA4" w14:textId="77777777" w:rsidR="00284822" w:rsidRDefault="00F77BF8">
      <w:pPr>
        <w:spacing w:before="120" w:after="120"/>
        <w:rPr>
          <w:rFonts w:ascii="Rockwell" w:hAnsi="Rockwell"/>
          <w:bCs/>
          <w:szCs w:val="26"/>
        </w:rPr>
      </w:pPr>
      <w:r>
        <w:rPr>
          <w:rFonts w:ascii="Rockwell" w:hAnsi="Rockwell"/>
          <w:bCs/>
          <w:szCs w:val="26"/>
        </w:rPr>
        <w:t>Le CSC a auditionné la Directrice de la radio et a adressé une lettre d’interpellation au média.</w:t>
      </w:r>
    </w:p>
    <w:p w14:paraId="3198D891" w14:textId="77777777" w:rsidR="00284822" w:rsidRDefault="00F77BF8">
      <w:pPr>
        <w:pStyle w:val="En-tte"/>
        <w:numPr>
          <w:ilvl w:val="0"/>
          <w:numId w:val="32"/>
        </w:numPr>
        <w:spacing w:before="120" w:after="120"/>
        <w:jc w:val="left"/>
        <w:rPr>
          <w:rFonts w:ascii="Rockwell" w:hAnsi="Rockwell"/>
          <w:i/>
          <w:sz w:val="26"/>
          <w:szCs w:val="26"/>
        </w:rPr>
      </w:pPr>
      <w:r>
        <w:rPr>
          <w:rFonts w:ascii="Rockwell" w:hAnsi="Rockwell"/>
          <w:b/>
          <w:i/>
          <w:sz w:val="26"/>
          <w:szCs w:val="26"/>
        </w:rPr>
        <w:t>Cas de la radio Optima</w:t>
      </w:r>
    </w:p>
    <w:p w14:paraId="4FB91009" w14:textId="77777777" w:rsidR="00284822" w:rsidRDefault="00F77BF8">
      <w:pPr>
        <w:pStyle w:val="En-tte"/>
        <w:spacing w:before="120" w:after="120"/>
        <w:rPr>
          <w:rFonts w:ascii="Rockwell" w:hAnsi="Rockwell"/>
          <w:sz w:val="26"/>
          <w:szCs w:val="26"/>
        </w:rPr>
      </w:pPr>
      <w:r>
        <w:rPr>
          <w:rFonts w:ascii="Rockwell" w:hAnsi="Rockwell"/>
          <w:sz w:val="26"/>
          <w:szCs w:val="26"/>
        </w:rPr>
        <w:lastRenderedPageBreak/>
        <w:t xml:space="preserve">Le 14 mars 2022, la </w:t>
      </w:r>
      <w:r>
        <w:rPr>
          <w:rFonts w:ascii="Rockwell" w:hAnsi="Rockwell"/>
          <w:i/>
          <w:sz w:val="26"/>
          <w:szCs w:val="26"/>
        </w:rPr>
        <w:t>radio Optima</w:t>
      </w:r>
      <w:r>
        <w:rPr>
          <w:rFonts w:ascii="Rockwell" w:hAnsi="Rockwell"/>
          <w:sz w:val="26"/>
          <w:szCs w:val="26"/>
        </w:rPr>
        <w:t xml:space="preserve"> a reçu dans son émission de santé, un tradipraticien qui, sans visa du ministère en charge de la Santé, a fait la promotion de ses produits et fait étalage de ses prétendues connaissances en matière de médecine traditionnelle. </w:t>
      </w:r>
    </w:p>
    <w:p w14:paraId="09A90F8D" w14:textId="77777777" w:rsidR="00284822" w:rsidRDefault="00F77BF8">
      <w:pPr>
        <w:pStyle w:val="En-tte"/>
        <w:spacing w:before="120" w:after="120"/>
        <w:rPr>
          <w:rFonts w:ascii="Rockwell" w:hAnsi="Rockwell"/>
          <w:sz w:val="26"/>
          <w:szCs w:val="26"/>
        </w:rPr>
      </w:pPr>
      <w:r>
        <w:rPr>
          <w:rFonts w:ascii="Rockwell" w:hAnsi="Rockwell"/>
          <w:sz w:val="26"/>
          <w:szCs w:val="26"/>
        </w:rPr>
        <w:t>Le CSC a auditionné les responsables de l’organe et, compte tenu de la récurrence du manquement, il a été décidé de la suspension de l’émission pour une durée de trois (03) mois.</w:t>
      </w:r>
    </w:p>
    <w:p w14:paraId="307C50BF" w14:textId="77777777" w:rsidR="00284822" w:rsidRDefault="00F77BF8">
      <w:pPr>
        <w:spacing w:before="120" w:after="120"/>
        <w:rPr>
          <w:rFonts w:ascii="Rockwell" w:hAnsi="Rockwell"/>
          <w:szCs w:val="26"/>
        </w:rPr>
      </w:pPr>
      <w:r>
        <w:rPr>
          <w:rFonts w:ascii="Rockwell" w:hAnsi="Rockwell"/>
          <w:szCs w:val="26"/>
        </w:rPr>
        <w:t xml:space="preserve">En dépit de la crise interne qu’a traversée l’institution et du dysfonctionnement du Collège des Conseillers de mai à décembre 2022 suite à l’élection contestée du Président </w:t>
      </w:r>
      <w:proofErr w:type="spellStart"/>
      <w:r>
        <w:rPr>
          <w:rFonts w:ascii="Rockwell" w:hAnsi="Rockwell"/>
          <w:szCs w:val="26"/>
        </w:rPr>
        <w:t>Abdoulazize</w:t>
      </w:r>
      <w:proofErr w:type="spellEnd"/>
      <w:r>
        <w:rPr>
          <w:rFonts w:ascii="Rockwell" w:hAnsi="Rockwell"/>
          <w:szCs w:val="26"/>
        </w:rPr>
        <w:t xml:space="preserve"> BAMOGO, la régulation courante s’est poursuivie au niveau des services techniques. Toutefois, les dossiers de manquements relevés n’ont pas été traités par le Collège des conseillers. Il s’agit des cas suivants :</w:t>
      </w:r>
    </w:p>
    <w:p w14:paraId="126053B6" w14:textId="77777777" w:rsidR="00284822" w:rsidRDefault="00F77BF8">
      <w:pPr>
        <w:pStyle w:val="Paragraphedeliste"/>
        <w:numPr>
          <w:ilvl w:val="0"/>
          <w:numId w:val="31"/>
        </w:numPr>
        <w:ind w:left="-284" w:firstLine="284"/>
        <w:jc w:val="left"/>
        <w:rPr>
          <w:rFonts w:ascii="Rockwell" w:hAnsi="Rockwell"/>
          <w:b/>
        </w:rPr>
      </w:pPr>
      <w:r>
        <w:rPr>
          <w:rFonts w:ascii="Rockwell" w:hAnsi="Rockwell"/>
          <w:b/>
        </w:rPr>
        <w:t xml:space="preserve">Cas de la </w:t>
      </w:r>
      <w:r>
        <w:rPr>
          <w:rFonts w:ascii="Rockwell" w:hAnsi="Rockwell"/>
          <w:b/>
          <w:i/>
        </w:rPr>
        <w:t>radio de l’Amitié</w:t>
      </w:r>
    </w:p>
    <w:p w14:paraId="14782CCF" w14:textId="77777777" w:rsidR="00284822" w:rsidRDefault="00F77BF8">
      <w:pPr>
        <w:spacing w:before="120" w:after="120"/>
        <w:rPr>
          <w:rFonts w:ascii="Rockwell" w:hAnsi="Rockwell"/>
          <w:szCs w:val="26"/>
        </w:rPr>
      </w:pPr>
      <w:r>
        <w:rPr>
          <w:rFonts w:ascii="Rockwell" w:hAnsi="Rockwell"/>
          <w:szCs w:val="26"/>
        </w:rPr>
        <w:t xml:space="preserve">La </w:t>
      </w:r>
      <w:r>
        <w:rPr>
          <w:rFonts w:ascii="Rockwell" w:hAnsi="Rockwell"/>
          <w:i/>
          <w:szCs w:val="26"/>
        </w:rPr>
        <w:t>radio de l’Amitié</w:t>
      </w:r>
      <w:r>
        <w:rPr>
          <w:rFonts w:ascii="Rockwell" w:hAnsi="Rockwell"/>
          <w:szCs w:val="26"/>
        </w:rPr>
        <w:t xml:space="preserve"> de Ouahigouya a reçu, au cours d’une de ses émissions, un tradipraticien, lequel a fait la promotion de la médecine traditionnelle et de ses produits de soins sans visas du ministère en charge de la Santé. </w:t>
      </w:r>
    </w:p>
    <w:p w14:paraId="615BC3CF" w14:textId="77777777" w:rsidR="00284822" w:rsidRDefault="00F77BF8">
      <w:pPr>
        <w:spacing w:before="120" w:after="120"/>
        <w:rPr>
          <w:rFonts w:ascii="Rockwell" w:hAnsi="Rockwell"/>
          <w:szCs w:val="26"/>
        </w:rPr>
      </w:pPr>
      <w:r>
        <w:rPr>
          <w:rFonts w:ascii="Rockwell" w:hAnsi="Rockwell"/>
          <w:szCs w:val="26"/>
        </w:rPr>
        <w:t>Les responsables de la radio ont fait l’objet d’une audition suite à ce manquement.</w:t>
      </w:r>
    </w:p>
    <w:p w14:paraId="1873C866" w14:textId="77777777" w:rsidR="00284822" w:rsidRDefault="00F77BF8">
      <w:pPr>
        <w:pStyle w:val="Paragraphedeliste"/>
        <w:numPr>
          <w:ilvl w:val="0"/>
          <w:numId w:val="31"/>
        </w:numPr>
        <w:jc w:val="left"/>
        <w:rPr>
          <w:rFonts w:ascii="Rockwell" w:hAnsi="Rockwell"/>
          <w:b/>
        </w:rPr>
      </w:pPr>
      <w:r>
        <w:rPr>
          <w:rFonts w:ascii="Rockwell" w:hAnsi="Rockwell"/>
          <w:b/>
        </w:rPr>
        <w:t xml:space="preserve">Cas de la radio </w:t>
      </w:r>
      <w:r>
        <w:rPr>
          <w:rFonts w:ascii="Rockwell" w:hAnsi="Rockwell"/>
          <w:b/>
          <w:i/>
        </w:rPr>
        <w:t>La</w:t>
      </w:r>
      <w:r>
        <w:rPr>
          <w:rFonts w:ascii="Rockwell" w:hAnsi="Rockwell"/>
          <w:b/>
        </w:rPr>
        <w:t xml:space="preserve"> </w:t>
      </w:r>
      <w:r>
        <w:rPr>
          <w:rFonts w:ascii="Rockwell" w:hAnsi="Rockwell"/>
          <w:b/>
          <w:i/>
        </w:rPr>
        <w:t>Voix du Paysan</w:t>
      </w:r>
    </w:p>
    <w:p w14:paraId="5447CBD9" w14:textId="2964B1C5" w:rsidR="00284822" w:rsidRDefault="00F77BF8">
      <w:pPr>
        <w:spacing w:before="120" w:after="120"/>
        <w:rPr>
          <w:rFonts w:ascii="Rockwell" w:hAnsi="Rockwell"/>
          <w:szCs w:val="26"/>
        </w:rPr>
      </w:pPr>
      <w:r>
        <w:rPr>
          <w:rFonts w:ascii="Rockwell" w:hAnsi="Rockwell"/>
          <w:i/>
          <w:szCs w:val="26"/>
        </w:rPr>
        <w:t xml:space="preserve">La radio la Voix du Paysan </w:t>
      </w:r>
      <w:r>
        <w:rPr>
          <w:rFonts w:ascii="Rockwell" w:hAnsi="Rockwell"/>
          <w:szCs w:val="26"/>
        </w:rPr>
        <w:t xml:space="preserve">de Ouahigouya a reçu les 22 mars et 17 mai 2022 un tradipraticien qui, tout en décrivant les signes et symptômes de certaines maladies, a affirmé qu’il disposait de produits à même de les soigner. </w:t>
      </w:r>
    </w:p>
    <w:p w14:paraId="17049674" w14:textId="260CA959" w:rsidR="00A42984" w:rsidRDefault="00A42984">
      <w:pPr>
        <w:spacing w:before="120" w:after="120"/>
        <w:rPr>
          <w:rFonts w:ascii="Rockwell" w:hAnsi="Rockwell"/>
          <w:szCs w:val="26"/>
        </w:rPr>
      </w:pPr>
    </w:p>
    <w:p w14:paraId="4EC98091" w14:textId="23560E39" w:rsidR="00A42984" w:rsidRDefault="00A42984">
      <w:pPr>
        <w:spacing w:before="120" w:after="120"/>
        <w:rPr>
          <w:rFonts w:ascii="Rockwell" w:hAnsi="Rockwell"/>
          <w:szCs w:val="26"/>
        </w:rPr>
      </w:pPr>
    </w:p>
    <w:p w14:paraId="376C687D" w14:textId="54F15DB3" w:rsidR="00A42984" w:rsidRDefault="00A42984">
      <w:pPr>
        <w:spacing w:before="120" w:after="120"/>
        <w:rPr>
          <w:rFonts w:ascii="Rockwell" w:hAnsi="Rockwell"/>
          <w:szCs w:val="26"/>
        </w:rPr>
      </w:pPr>
    </w:p>
    <w:p w14:paraId="4AA47125" w14:textId="77777777" w:rsidR="00A42984" w:rsidRDefault="00A42984">
      <w:pPr>
        <w:spacing w:before="120" w:after="120"/>
        <w:rPr>
          <w:rFonts w:ascii="Rockwell" w:hAnsi="Rockwell"/>
          <w:szCs w:val="26"/>
        </w:rPr>
      </w:pPr>
    </w:p>
    <w:p w14:paraId="3C922997" w14:textId="77777777" w:rsidR="00284822" w:rsidRDefault="00F77BF8">
      <w:pPr>
        <w:pStyle w:val="Paragraphedeliste"/>
        <w:numPr>
          <w:ilvl w:val="0"/>
          <w:numId w:val="31"/>
        </w:numPr>
        <w:jc w:val="left"/>
        <w:rPr>
          <w:rFonts w:ascii="Rockwell" w:hAnsi="Rockwell"/>
          <w:b/>
          <w:i/>
        </w:rPr>
      </w:pPr>
      <w:r>
        <w:rPr>
          <w:rFonts w:ascii="Rockwell" w:hAnsi="Rockwell"/>
          <w:b/>
          <w:i/>
        </w:rPr>
        <w:lastRenderedPageBreak/>
        <w:t xml:space="preserve">Cas du quotidien L’Observateur </w:t>
      </w:r>
      <w:proofErr w:type="spellStart"/>
      <w:r>
        <w:rPr>
          <w:rFonts w:ascii="Rockwell" w:hAnsi="Rockwell"/>
          <w:b/>
          <w:i/>
        </w:rPr>
        <w:t>Paalga</w:t>
      </w:r>
      <w:proofErr w:type="spellEnd"/>
    </w:p>
    <w:p w14:paraId="50249770" w14:textId="7F47EF10" w:rsidR="00284822" w:rsidRDefault="00F77BF8">
      <w:pPr>
        <w:jc w:val="left"/>
        <w:rPr>
          <w:rFonts w:ascii="Rockwell" w:hAnsi="Rockwell"/>
        </w:rPr>
      </w:pPr>
      <w:r>
        <w:rPr>
          <w:rFonts w:ascii="Rockwell" w:hAnsi="Rockwell"/>
        </w:rPr>
        <w:t xml:space="preserve">Dans sa </w:t>
      </w:r>
      <w:r w:rsidR="00A42984">
        <w:rPr>
          <w:rFonts w:ascii="Rockwell" w:hAnsi="Rockwell"/>
        </w:rPr>
        <w:t>parution</w:t>
      </w:r>
      <w:r>
        <w:rPr>
          <w:rFonts w:ascii="Rockwell" w:hAnsi="Rockwell"/>
        </w:rPr>
        <w:t xml:space="preserve"> n°10604 des 25 et 26 mai 2022 à la page 06, </w:t>
      </w:r>
      <w:r w:rsidR="00A42984" w:rsidRPr="00A42984">
        <w:rPr>
          <w:rFonts w:ascii="Rockwell" w:hAnsi="Rockwell"/>
          <w:i/>
        </w:rPr>
        <w:t>L’O</w:t>
      </w:r>
      <w:r w:rsidRPr="00A42984">
        <w:rPr>
          <w:rFonts w:ascii="Rockwell" w:hAnsi="Rockwell"/>
          <w:i/>
        </w:rPr>
        <w:t xml:space="preserve">bservateur </w:t>
      </w:r>
      <w:proofErr w:type="spellStart"/>
      <w:r w:rsidRPr="00A42984">
        <w:rPr>
          <w:rFonts w:ascii="Rockwell" w:hAnsi="Rockwell"/>
          <w:i/>
        </w:rPr>
        <w:t>Paalga</w:t>
      </w:r>
      <w:proofErr w:type="spellEnd"/>
      <w:r>
        <w:rPr>
          <w:rFonts w:ascii="Rockwell" w:hAnsi="Rockwell"/>
        </w:rPr>
        <w:t xml:space="preserve">, </w:t>
      </w:r>
      <w:proofErr w:type="gramStart"/>
      <w:r>
        <w:rPr>
          <w:rFonts w:ascii="Rockwell" w:hAnsi="Rockwell"/>
        </w:rPr>
        <w:t>a ,</w:t>
      </w:r>
      <w:proofErr w:type="gramEnd"/>
      <w:r>
        <w:rPr>
          <w:rFonts w:ascii="Rockwell" w:hAnsi="Rockwell"/>
        </w:rPr>
        <w:t xml:space="preserve"> en violation des dispositions légales</w:t>
      </w:r>
      <w:r>
        <w:rPr>
          <w:rStyle w:val="Appelnotedebasdep"/>
          <w:rFonts w:ascii="Rockwell" w:hAnsi="Rockwell"/>
        </w:rPr>
        <w:footnoteReference w:id="12"/>
      </w:r>
      <w:r>
        <w:rPr>
          <w:rFonts w:ascii="Rockwell" w:hAnsi="Rockwell"/>
        </w:rPr>
        <w:t xml:space="preserve"> fait la publicité d’un centre de santé privé.</w:t>
      </w:r>
    </w:p>
    <w:p w14:paraId="08D4F359" w14:textId="77777777" w:rsidR="00284822" w:rsidRDefault="00F77BF8">
      <w:pPr>
        <w:pStyle w:val="Paragraphedeliste"/>
        <w:numPr>
          <w:ilvl w:val="0"/>
          <w:numId w:val="31"/>
        </w:numPr>
        <w:ind w:left="714" w:hanging="357"/>
        <w:jc w:val="left"/>
        <w:rPr>
          <w:rFonts w:ascii="Rockwell" w:hAnsi="Rockwell"/>
          <w:b/>
          <w:i/>
        </w:rPr>
      </w:pPr>
      <w:r>
        <w:rPr>
          <w:rFonts w:ascii="Rockwell" w:hAnsi="Rockwell"/>
          <w:b/>
          <w:i/>
        </w:rPr>
        <w:t xml:space="preserve">Cas du </w:t>
      </w:r>
      <w:bookmarkStart w:id="201" w:name="_Hlk162268562"/>
      <w:r>
        <w:rPr>
          <w:rFonts w:ascii="Rockwell" w:hAnsi="Rockwell"/>
          <w:b/>
          <w:i/>
        </w:rPr>
        <w:t>journal en ligne Burkina 24</w:t>
      </w:r>
      <w:bookmarkEnd w:id="201"/>
    </w:p>
    <w:p w14:paraId="64E9556B" w14:textId="77777777" w:rsidR="00284822" w:rsidRDefault="00F77BF8">
      <w:pPr>
        <w:spacing w:before="120" w:after="120"/>
        <w:rPr>
          <w:rFonts w:ascii="Rockwell" w:hAnsi="Rockwell"/>
          <w:szCs w:val="26"/>
        </w:rPr>
      </w:pPr>
      <w:r>
        <w:rPr>
          <w:rFonts w:ascii="Rockwell" w:hAnsi="Rockwell"/>
          <w:szCs w:val="26"/>
        </w:rPr>
        <w:t xml:space="preserve">Le journal en ligne </w:t>
      </w:r>
      <w:r>
        <w:rPr>
          <w:rFonts w:ascii="Rockwell" w:hAnsi="Rockwell"/>
          <w:i/>
          <w:szCs w:val="26"/>
        </w:rPr>
        <w:t>Burkina 24</w:t>
      </w:r>
      <w:r>
        <w:rPr>
          <w:rFonts w:ascii="Rockwell" w:hAnsi="Rockwell"/>
          <w:szCs w:val="26"/>
        </w:rPr>
        <w:t> a publié, le 29 mai 2022, un article faisant les éloges de rebouteurs qui traiteraient en un laps de temps, des cas de fractures et d’entorses de toutes ampleurs. </w:t>
      </w:r>
    </w:p>
    <w:p w14:paraId="440CACD2" w14:textId="77777777" w:rsidR="00284822" w:rsidRDefault="00F77BF8">
      <w:pPr>
        <w:pStyle w:val="Paragraphedeliste"/>
        <w:numPr>
          <w:ilvl w:val="0"/>
          <w:numId w:val="31"/>
        </w:numPr>
        <w:jc w:val="left"/>
        <w:rPr>
          <w:rFonts w:ascii="Rockwell" w:hAnsi="Rockwell"/>
          <w:b/>
          <w:i/>
        </w:rPr>
      </w:pPr>
      <w:r>
        <w:rPr>
          <w:rFonts w:ascii="Rockwell" w:hAnsi="Rockwell"/>
          <w:b/>
          <w:i/>
        </w:rPr>
        <w:t xml:space="preserve">Cas du journal </w:t>
      </w:r>
      <w:bookmarkStart w:id="202" w:name="_Hlk162268850"/>
      <w:r>
        <w:rPr>
          <w:rFonts w:ascii="Rockwell" w:hAnsi="Rockwell"/>
          <w:b/>
          <w:i/>
        </w:rPr>
        <w:t>L’Evénement</w:t>
      </w:r>
      <w:bookmarkEnd w:id="202"/>
    </w:p>
    <w:p w14:paraId="2ADF1E51" w14:textId="77777777" w:rsidR="00284822" w:rsidRDefault="00F77BF8">
      <w:pPr>
        <w:spacing w:before="120" w:after="120"/>
        <w:rPr>
          <w:rFonts w:ascii="Rockwell" w:hAnsi="Rockwell"/>
          <w:szCs w:val="26"/>
        </w:rPr>
      </w:pPr>
      <w:r>
        <w:rPr>
          <w:rFonts w:ascii="Rockwell" w:hAnsi="Rockwell"/>
          <w:i/>
          <w:szCs w:val="26"/>
        </w:rPr>
        <w:t xml:space="preserve">L’Evénement </w:t>
      </w:r>
      <w:r>
        <w:rPr>
          <w:rFonts w:ascii="Rockwell" w:hAnsi="Rockwell"/>
          <w:szCs w:val="26"/>
        </w:rPr>
        <w:t xml:space="preserve">a publié dans sa parution n°474 du 25 juillet 2022, dans sa rubrique dénommée « Focus », un article portant sur une guérisseuse traditionnelle qui soignerait les malades grâce à des pouvoirs mystiques. </w:t>
      </w:r>
    </w:p>
    <w:p w14:paraId="4C9ADDB8" w14:textId="77777777" w:rsidR="00284822" w:rsidRDefault="00F77BF8">
      <w:pPr>
        <w:pStyle w:val="Paragraphedeliste"/>
        <w:numPr>
          <w:ilvl w:val="0"/>
          <w:numId w:val="31"/>
        </w:numPr>
        <w:ind w:left="-851" w:firstLine="1135"/>
        <w:jc w:val="left"/>
        <w:rPr>
          <w:rFonts w:ascii="Rockwell" w:hAnsi="Rockwell"/>
          <w:b/>
          <w:i/>
        </w:rPr>
      </w:pPr>
      <w:r>
        <w:rPr>
          <w:rFonts w:ascii="Rockwell" w:hAnsi="Rockwell"/>
          <w:b/>
          <w:i/>
        </w:rPr>
        <w:t xml:space="preserve">Cas de la radio Al </w:t>
      </w:r>
      <w:proofErr w:type="spellStart"/>
      <w:r>
        <w:rPr>
          <w:rFonts w:ascii="Rockwell" w:hAnsi="Rockwell"/>
          <w:b/>
          <w:i/>
        </w:rPr>
        <w:t>Fajir</w:t>
      </w:r>
      <w:proofErr w:type="spellEnd"/>
    </w:p>
    <w:p w14:paraId="6C38C2F1" w14:textId="77777777" w:rsidR="00284822" w:rsidRDefault="00F77BF8">
      <w:pPr>
        <w:spacing w:before="120" w:after="120"/>
        <w:rPr>
          <w:rFonts w:ascii="Rockwell" w:hAnsi="Rockwell"/>
          <w:szCs w:val="26"/>
        </w:rPr>
      </w:pPr>
      <w:r>
        <w:rPr>
          <w:rFonts w:ascii="Rockwell" w:hAnsi="Rockwell"/>
          <w:szCs w:val="26"/>
        </w:rPr>
        <w:t xml:space="preserve">La radio </w:t>
      </w:r>
      <w:r>
        <w:rPr>
          <w:rFonts w:ascii="Rockwell" w:hAnsi="Rockwell"/>
          <w:i/>
          <w:szCs w:val="26"/>
        </w:rPr>
        <w:t xml:space="preserve">Al </w:t>
      </w:r>
      <w:proofErr w:type="spellStart"/>
      <w:r>
        <w:rPr>
          <w:rFonts w:ascii="Rockwell" w:hAnsi="Rockwell"/>
          <w:i/>
          <w:szCs w:val="26"/>
        </w:rPr>
        <w:t>Fajir</w:t>
      </w:r>
      <w:proofErr w:type="spellEnd"/>
      <w:r>
        <w:rPr>
          <w:rFonts w:ascii="Rockwell" w:hAnsi="Rockwell"/>
          <w:szCs w:val="26"/>
        </w:rPr>
        <w:t xml:space="preserve"> a diffusé, les 29 et 30 juin 2022, aux environs de 07 heures 40 minutes et de 10 heures 16 minutes, une émission sur la promotion de produits de la médecine traditionnelle ainsi qu’un spot publicitaire d’un établissement sanitaire.</w:t>
      </w:r>
    </w:p>
    <w:p w14:paraId="589B955B" w14:textId="77777777" w:rsidR="00284822" w:rsidRDefault="00F77BF8">
      <w:pPr>
        <w:spacing w:before="120" w:after="120"/>
        <w:rPr>
          <w:rFonts w:ascii="Rockwell" w:hAnsi="Rockwell"/>
          <w:szCs w:val="26"/>
        </w:rPr>
      </w:pPr>
      <w:r>
        <w:rPr>
          <w:rFonts w:ascii="Rockwell" w:hAnsi="Rockwell"/>
          <w:szCs w:val="26"/>
        </w:rPr>
        <w:t xml:space="preserve">Après la normalisation de la situation et avec la reprise des travaux du collège, le Conseil a fait un communiqué de presse relatif à la publication des messages publicitaires liés aux produits pharmaceutiques, à la pharmacopée traditionnelle et aux établissements sanitaires. Il a exhorté les médias au respect des textes en vigueur.  </w:t>
      </w:r>
    </w:p>
    <w:p w14:paraId="63BD9CFF" w14:textId="77777777" w:rsidR="00284822" w:rsidRDefault="00284822">
      <w:pPr>
        <w:spacing w:before="120" w:after="120"/>
        <w:rPr>
          <w:rFonts w:ascii="Rockwell" w:hAnsi="Rockwell"/>
          <w:color w:val="FF0000"/>
          <w:sz w:val="10"/>
          <w:szCs w:val="10"/>
        </w:rPr>
      </w:pPr>
    </w:p>
    <w:p w14:paraId="7C3CD3C6" w14:textId="68220F92" w:rsidR="00284822" w:rsidRDefault="00A42984">
      <w:pPr>
        <w:pStyle w:val="Titre5"/>
        <w:numPr>
          <w:ilvl w:val="0"/>
          <w:numId w:val="28"/>
        </w:numPr>
        <w:ind w:firstLine="543"/>
        <w:rPr>
          <w:rFonts w:ascii="Rockwell" w:hAnsi="Rockwell"/>
        </w:rPr>
      </w:pPr>
      <w:bookmarkStart w:id="203" w:name="_Toc175048707"/>
      <w:r>
        <w:rPr>
          <w:rFonts w:ascii="Rockwell" w:hAnsi="Rockwell"/>
        </w:rPr>
        <w:lastRenderedPageBreak/>
        <w:t>P</w:t>
      </w:r>
      <w:r w:rsidR="00F77BF8">
        <w:rPr>
          <w:rFonts w:ascii="Rockwell" w:hAnsi="Rockwell"/>
        </w:rPr>
        <w:t>ublicités interdites</w:t>
      </w:r>
      <w:bookmarkEnd w:id="203"/>
    </w:p>
    <w:p w14:paraId="44955DC6" w14:textId="77777777" w:rsidR="00284822" w:rsidRDefault="00F77BF8">
      <w:pPr>
        <w:pStyle w:val="Titre6"/>
        <w:numPr>
          <w:ilvl w:val="1"/>
          <w:numId w:val="33"/>
        </w:numPr>
        <w:ind w:hanging="164"/>
        <w:jc w:val="both"/>
        <w:rPr>
          <w:rFonts w:ascii="Rockwell" w:hAnsi="Rockwell"/>
        </w:rPr>
      </w:pPr>
      <w:r>
        <w:rPr>
          <w:rFonts w:ascii="Rockwell" w:hAnsi="Rockwell"/>
        </w:rPr>
        <w:t>Publicité sur les établissements de santé</w:t>
      </w:r>
    </w:p>
    <w:p w14:paraId="313B3EBC" w14:textId="77777777" w:rsidR="00284822" w:rsidRDefault="00F77BF8">
      <w:pPr>
        <w:spacing w:before="120" w:after="120"/>
        <w:rPr>
          <w:rFonts w:ascii="Rockwell" w:hAnsi="Rockwell"/>
          <w:szCs w:val="26"/>
        </w:rPr>
      </w:pPr>
      <w:r>
        <w:rPr>
          <w:rFonts w:ascii="Rockwell" w:hAnsi="Rockwell"/>
          <w:szCs w:val="26"/>
        </w:rPr>
        <w:t>Aux termes de la loi sur la publicité, est interdite toute publicité sur les établissements sanitaires, les morgues et effets mortuaires.</w:t>
      </w:r>
    </w:p>
    <w:p w14:paraId="48E288EA" w14:textId="77777777" w:rsidR="00284822" w:rsidRDefault="00F77BF8">
      <w:pPr>
        <w:spacing w:before="120" w:after="120"/>
        <w:rPr>
          <w:rFonts w:ascii="Rockwell" w:hAnsi="Rockwell"/>
          <w:szCs w:val="26"/>
        </w:rPr>
      </w:pPr>
      <w:r>
        <w:rPr>
          <w:rFonts w:ascii="Rockwell" w:hAnsi="Rockwell"/>
          <w:szCs w:val="26"/>
        </w:rPr>
        <w:t>A cet égard, les cas ci-après observés constituent des manquements qui ont valu une auto saisine du CSC :</w:t>
      </w:r>
    </w:p>
    <w:p w14:paraId="35AB51F3" w14:textId="77777777" w:rsidR="00284822" w:rsidRDefault="00F77BF8">
      <w:pPr>
        <w:pStyle w:val="Paragraphedeliste"/>
        <w:numPr>
          <w:ilvl w:val="0"/>
          <w:numId w:val="31"/>
        </w:numPr>
        <w:rPr>
          <w:rFonts w:ascii="Rockwell" w:hAnsi="Rockwell"/>
        </w:rPr>
      </w:pPr>
      <w:proofErr w:type="gramStart"/>
      <w:r>
        <w:rPr>
          <w:rFonts w:ascii="Rockwell" w:hAnsi="Rockwell"/>
        </w:rPr>
        <w:t>dans</w:t>
      </w:r>
      <w:proofErr w:type="gramEnd"/>
      <w:r>
        <w:rPr>
          <w:rFonts w:ascii="Rockwell" w:hAnsi="Rockwell"/>
        </w:rPr>
        <w:t xml:space="preserve"> la rubrique dénommée « POT-POURRI » de sa parution n°7572 du 06 mai 2022, le quotidien </w:t>
      </w:r>
      <w:r>
        <w:rPr>
          <w:rFonts w:ascii="Rockwell" w:hAnsi="Rockwell"/>
          <w:i/>
        </w:rPr>
        <w:t>Le Pays</w:t>
      </w:r>
      <w:r>
        <w:rPr>
          <w:rFonts w:ascii="Rockwell" w:hAnsi="Rockwell"/>
        </w:rPr>
        <w:t> a fait la publicité d’un établissement sanitaire ;</w:t>
      </w:r>
    </w:p>
    <w:p w14:paraId="0873A20F" w14:textId="77777777" w:rsidR="00284822" w:rsidRDefault="00F77BF8">
      <w:pPr>
        <w:pStyle w:val="Paragraphedeliste"/>
        <w:numPr>
          <w:ilvl w:val="0"/>
          <w:numId w:val="31"/>
        </w:numPr>
        <w:rPr>
          <w:rFonts w:ascii="Rockwell" w:hAnsi="Rockwell"/>
        </w:rPr>
      </w:pPr>
      <w:proofErr w:type="gramStart"/>
      <w:r>
        <w:rPr>
          <w:rFonts w:ascii="Rockwell" w:hAnsi="Rockwell"/>
        </w:rPr>
        <w:t>la</w:t>
      </w:r>
      <w:proofErr w:type="gramEnd"/>
      <w:r>
        <w:rPr>
          <w:rFonts w:ascii="Rockwell" w:hAnsi="Rockwell"/>
        </w:rPr>
        <w:t xml:space="preserve"> régie Synergie média a également publié sur certains de ses panneaux une affiche faisant la promotion d’un établissement de santé.</w:t>
      </w:r>
    </w:p>
    <w:p w14:paraId="571CD790" w14:textId="77777777" w:rsidR="00284822" w:rsidRDefault="00F77BF8">
      <w:pPr>
        <w:spacing w:before="120" w:after="120"/>
        <w:rPr>
          <w:rFonts w:ascii="Rockwell" w:hAnsi="Rockwell"/>
          <w:szCs w:val="26"/>
        </w:rPr>
      </w:pPr>
      <w:r>
        <w:rPr>
          <w:rFonts w:ascii="Rockwell" w:hAnsi="Rockwell"/>
          <w:szCs w:val="26"/>
        </w:rPr>
        <w:t>Le CSC a auditionné les premiers responsables des deux (02) structures et leur a adressé une lettre d’interpellation les exhortant au strict respect des textes en vigueur.</w:t>
      </w:r>
    </w:p>
    <w:p w14:paraId="08869F69" w14:textId="77777777" w:rsidR="00284822" w:rsidRDefault="00284822">
      <w:pPr>
        <w:spacing w:before="120" w:after="120"/>
        <w:rPr>
          <w:rFonts w:ascii="Rockwell" w:hAnsi="Rockwell"/>
          <w:sz w:val="10"/>
          <w:szCs w:val="10"/>
        </w:rPr>
      </w:pPr>
    </w:p>
    <w:p w14:paraId="2F9E286E" w14:textId="77777777" w:rsidR="00284822" w:rsidRDefault="00F77BF8">
      <w:pPr>
        <w:pStyle w:val="Titre6"/>
        <w:numPr>
          <w:ilvl w:val="1"/>
          <w:numId w:val="33"/>
        </w:numPr>
        <w:ind w:left="426"/>
        <w:rPr>
          <w:rFonts w:ascii="Rockwell" w:hAnsi="Rockwell"/>
        </w:rPr>
      </w:pPr>
      <w:r>
        <w:rPr>
          <w:rFonts w:ascii="Rockwell" w:hAnsi="Rockwell"/>
        </w:rPr>
        <w:t>Publicité sur les boissons alcooliques</w:t>
      </w:r>
    </w:p>
    <w:p w14:paraId="6181E105" w14:textId="77777777" w:rsidR="00284822" w:rsidRDefault="00F77BF8">
      <w:pPr>
        <w:spacing w:before="120" w:after="120"/>
        <w:rPr>
          <w:rFonts w:ascii="Rockwell" w:hAnsi="Rockwell"/>
          <w:szCs w:val="26"/>
        </w:rPr>
      </w:pPr>
      <w:r>
        <w:rPr>
          <w:rFonts w:ascii="Rockwell" w:hAnsi="Rockwell"/>
          <w:szCs w:val="26"/>
        </w:rPr>
        <w:t xml:space="preserve">La loi sur la publicité interdit la promotion, dans les médias, de toute boisson dont le degré d’alcool est supérieur à 10% du volume. Ce faisant, le CSC s’est </w:t>
      </w:r>
      <w:proofErr w:type="gramStart"/>
      <w:r>
        <w:rPr>
          <w:rFonts w:ascii="Rockwell" w:hAnsi="Rockwell"/>
          <w:szCs w:val="26"/>
        </w:rPr>
        <w:t>auto saisi</w:t>
      </w:r>
      <w:proofErr w:type="gramEnd"/>
      <w:r>
        <w:rPr>
          <w:rFonts w:ascii="Rockwell" w:hAnsi="Rockwell"/>
          <w:szCs w:val="26"/>
        </w:rPr>
        <w:t xml:space="preserve"> d’un manquement relatif à la diffusion, par </w:t>
      </w:r>
      <w:r>
        <w:rPr>
          <w:rFonts w:ascii="Rockwell" w:hAnsi="Rockwell"/>
          <w:i/>
          <w:szCs w:val="26"/>
        </w:rPr>
        <w:t>BF1</w:t>
      </w:r>
      <w:r>
        <w:rPr>
          <w:rFonts w:ascii="Rockwell" w:hAnsi="Rockwell"/>
          <w:szCs w:val="26"/>
        </w:rPr>
        <w:t xml:space="preserve"> d’un spot publicitaire portant sur un vin dont le degré d’alcool est de 12%, donc supérieur au taux autorisé.</w:t>
      </w:r>
    </w:p>
    <w:bookmarkEnd w:id="199"/>
    <w:p w14:paraId="0528A0BA" w14:textId="77777777" w:rsidR="00284822" w:rsidRDefault="00284822"/>
    <w:p w14:paraId="4852D521" w14:textId="05AB3C2A" w:rsidR="00284822" w:rsidRDefault="00F77BF8">
      <w:pPr>
        <w:pStyle w:val="Titre3"/>
        <w:spacing w:before="120" w:after="120"/>
        <w:rPr>
          <w:rFonts w:ascii="Rockwell" w:hAnsi="Rockwell"/>
        </w:rPr>
      </w:pPr>
      <w:bookmarkStart w:id="204" w:name="_Toc170304758"/>
      <w:bookmarkStart w:id="205" w:name="_Toc175048708"/>
      <w:r>
        <w:rPr>
          <w:rFonts w:ascii="Rockwell" w:hAnsi="Rockwell"/>
        </w:rPr>
        <w:t>SECTION 2 : SAISINES</w:t>
      </w:r>
      <w:bookmarkEnd w:id="204"/>
      <w:bookmarkEnd w:id="205"/>
    </w:p>
    <w:p w14:paraId="2CC73153" w14:textId="77777777" w:rsidR="00284822" w:rsidRDefault="00F77BF8">
      <w:pPr>
        <w:spacing w:before="120" w:after="120"/>
        <w:textAlignment w:val="auto"/>
        <w:rPr>
          <w:rFonts w:ascii="Rockwell" w:hAnsi="Rockwell"/>
          <w:szCs w:val="26"/>
        </w:rPr>
      </w:pPr>
      <w:r>
        <w:rPr>
          <w:rFonts w:ascii="Rockwell" w:hAnsi="Rockwell"/>
          <w:szCs w:val="26"/>
        </w:rPr>
        <w:t xml:space="preserve">Le CSC a examiné, au cours de l’année 2022, sept (07) cas de saisine portant sur des manquements relatifs à la diffusion de vidéos obscènes, à l’atteinte aux bonnes mœurs, à une usurpation de nom et concurrence déloyale, à la diffusion de fausses nouvelles, au manque de professionnalisme dans le </w:t>
      </w:r>
      <w:r>
        <w:rPr>
          <w:rFonts w:ascii="Rockwell" w:hAnsi="Rockwell"/>
          <w:szCs w:val="26"/>
        </w:rPr>
        <w:lastRenderedPageBreak/>
        <w:t xml:space="preserve">traitement de l’information et à l’inexploitation convenable du récépissé de déclaration. A ces cas s’ajoutent des saisines émanant de l’Ambassade de France et de </w:t>
      </w:r>
      <w:r>
        <w:rPr>
          <w:rFonts w:ascii="Rockwell" w:hAnsi="Rockwell"/>
          <w:i/>
          <w:szCs w:val="26"/>
        </w:rPr>
        <w:t>BF1</w:t>
      </w:r>
      <w:r>
        <w:rPr>
          <w:rFonts w:ascii="Rockwell" w:hAnsi="Rockwell"/>
          <w:szCs w:val="26"/>
        </w:rPr>
        <w:t xml:space="preserve">. </w:t>
      </w:r>
    </w:p>
    <w:p w14:paraId="70BC0AED" w14:textId="77777777" w:rsidR="00284822" w:rsidRDefault="00284822">
      <w:pPr>
        <w:spacing w:before="120" w:after="120"/>
        <w:jc w:val="center"/>
        <w:textAlignment w:val="auto"/>
        <w:rPr>
          <w:rFonts w:ascii="Rockwell" w:hAnsi="Rockwell"/>
          <w:sz w:val="10"/>
          <w:szCs w:val="10"/>
        </w:rPr>
      </w:pPr>
    </w:p>
    <w:p w14:paraId="78FC14C3" w14:textId="77777777" w:rsidR="00284822" w:rsidRDefault="00F77BF8">
      <w:pPr>
        <w:pStyle w:val="Titre4"/>
        <w:spacing w:before="120" w:after="120"/>
        <w:rPr>
          <w:rFonts w:ascii="Rockwell" w:hAnsi="Rockwell"/>
          <w:sz w:val="28"/>
          <w:szCs w:val="28"/>
        </w:rPr>
      </w:pPr>
      <w:bookmarkStart w:id="206" w:name="_Toc175048709"/>
      <w:r>
        <w:rPr>
          <w:rFonts w:ascii="Rockwell" w:hAnsi="Rockwell"/>
          <w:sz w:val="28"/>
          <w:szCs w:val="28"/>
        </w:rPr>
        <w:t>Paragraphe 1 : Publication d’images obscènes</w:t>
      </w:r>
      <w:bookmarkEnd w:id="206"/>
    </w:p>
    <w:p w14:paraId="79B587FA" w14:textId="77777777" w:rsidR="00284822" w:rsidRDefault="00F77BF8">
      <w:pPr>
        <w:spacing w:before="120" w:after="120"/>
        <w:rPr>
          <w:rFonts w:ascii="Rockwell" w:hAnsi="Rockwell"/>
          <w:szCs w:val="26"/>
        </w:rPr>
      </w:pPr>
      <w:r>
        <w:rPr>
          <w:rFonts w:ascii="Rockwell" w:hAnsi="Rockwell"/>
          <w:szCs w:val="26"/>
        </w:rPr>
        <w:t>Le Conseil supérieur de la communication a reçu le 14 février 2022, la plainte d’un citoyen relative à un clip musical diffusé par les médias et susceptible d’influencer négativement le public jeune.</w:t>
      </w:r>
    </w:p>
    <w:p w14:paraId="442E8DDD" w14:textId="77777777" w:rsidR="00284822" w:rsidRDefault="00F77BF8">
      <w:pPr>
        <w:spacing w:before="120" w:after="120"/>
        <w:rPr>
          <w:rFonts w:ascii="Rockwell" w:hAnsi="Rockwell"/>
          <w:szCs w:val="26"/>
        </w:rPr>
      </w:pPr>
      <w:r>
        <w:rPr>
          <w:rFonts w:ascii="Rockwell" w:hAnsi="Rockwell"/>
          <w:szCs w:val="26"/>
        </w:rPr>
        <w:t xml:space="preserve"> A l’analyse de la plainte, le CSC a confirmé le caractère obscène du contenu de la chanson et des images diffusées. </w:t>
      </w:r>
    </w:p>
    <w:p w14:paraId="49051D7E" w14:textId="77777777" w:rsidR="00284822" w:rsidRDefault="00F77BF8">
      <w:pPr>
        <w:spacing w:before="120" w:after="120"/>
        <w:rPr>
          <w:rFonts w:ascii="Rockwell" w:hAnsi="Rockwell"/>
          <w:szCs w:val="26"/>
        </w:rPr>
      </w:pPr>
      <w:r>
        <w:rPr>
          <w:rFonts w:ascii="Rockwell" w:hAnsi="Rockwell"/>
          <w:szCs w:val="26"/>
        </w:rPr>
        <w:t xml:space="preserve">Une lettre d’interpellation et un communiqué ont été adressés aux médias audiovisuels pour interdire la diffusion dudit clip aux heures de grande audience. </w:t>
      </w:r>
    </w:p>
    <w:p w14:paraId="64494C2E" w14:textId="77777777" w:rsidR="00284822" w:rsidRDefault="00284822">
      <w:pPr>
        <w:spacing w:before="120" w:after="120"/>
        <w:rPr>
          <w:rFonts w:ascii="Rockwell" w:hAnsi="Rockwell"/>
          <w:szCs w:val="26"/>
        </w:rPr>
      </w:pPr>
    </w:p>
    <w:p w14:paraId="6AFC5FA5" w14:textId="77777777" w:rsidR="00284822" w:rsidRDefault="00F77BF8">
      <w:pPr>
        <w:pStyle w:val="Titre4"/>
        <w:spacing w:before="120" w:after="120"/>
        <w:rPr>
          <w:rFonts w:ascii="Rockwell" w:hAnsi="Rockwell"/>
          <w:sz w:val="28"/>
          <w:szCs w:val="28"/>
        </w:rPr>
      </w:pPr>
      <w:bookmarkStart w:id="207" w:name="_Toc175048710"/>
      <w:r>
        <w:rPr>
          <w:rFonts w:ascii="Rockwell" w:hAnsi="Rockwell"/>
          <w:bCs/>
          <w:sz w:val="28"/>
          <w:szCs w:val="28"/>
        </w:rPr>
        <w:t xml:space="preserve">Paragraphe 2 : </w:t>
      </w:r>
      <w:r>
        <w:rPr>
          <w:rFonts w:ascii="Rockwell" w:hAnsi="Rockwell"/>
          <w:sz w:val="28"/>
          <w:szCs w:val="28"/>
        </w:rPr>
        <w:t>Atteinte à la protection des mineurs</w:t>
      </w:r>
      <w:bookmarkEnd w:id="207"/>
    </w:p>
    <w:p w14:paraId="6EEE1C19" w14:textId="77777777" w:rsidR="00284822" w:rsidRDefault="00F77BF8">
      <w:pPr>
        <w:spacing w:before="120" w:after="120"/>
        <w:rPr>
          <w:rFonts w:ascii="Rockwell" w:hAnsi="Rockwell"/>
          <w:szCs w:val="26"/>
        </w:rPr>
      </w:pPr>
      <w:r>
        <w:rPr>
          <w:rFonts w:ascii="Rockwell" w:hAnsi="Rockwell"/>
          <w:szCs w:val="26"/>
        </w:rPr>
        <w:t xml:space="preserve">Le CSC a été interpellé relativement au contenu de l’émission </w:t>
      </w:r>
      <w:r>
        <w:rPr>
          <w:rFonts w:ascii="Rockwell" w:hAnsi="Rockwell"/>
          <w:i/>
          <w:szCs w:val="26"/>
        </w:rPr>
        <w:t>«</w:t>
      </w:r>
      <w:r>
        <w:rPr>
          <w:rFonts w:ascii="Rockwell" w:hAnsi="Rockwell"/>
          <w:b/>
          <w:i/>
          <w:szCs w:val="26"/>
        </w:rPr>
        <w:t> </w:t>
      </w:r>
      <w:r>
        <w:rPr>
          <w:rFonts w:ascii="Rockwell" w:hAnsi="Rockwell"/>
          <w:i/>
          <w:szCs w:val="26"/>
        </w:rPr>
        <w:t>100 TABOU</w:t>
      </w:r>
      <w:r>
        <w:rPr>
          <w:rFonts w:ascii="Rockwell" w:hAnsi="Rockwell"/>
          <w:b/>
          <w:i/>
          <w:szCs w:val="26"/>
        </w:rPr>
        <w:t> </w:t>
      </w:r>
      <w:r>
        <w:rPr>
          <w:rFonts w:ascii="Rockwell" w:hAnsi="Rockwell"/>
          <w:i/>
          <w:szCs w:val="26"/>
        </w:rPr>
        <w:t>»</w:t>
      </w:r>
      <w:r>
        <w:rPr>
          <w:rFonts w:ascii="Rockwell" w:hAnsi="Rockwell"/>
          <w:b/>
          <w:i/>
          <w:szCs w:val="26"/>
        </w:rPr>
        <w:t xml:space="preserve"> </w:t>
      </w:r>
      <w:r>
        <w:rPr>
          <w:rFonts w:ascii="Rockwell" w:hAnsi="Rockwell"/>
          <w:szCs w:val="26"/>
        </w:rPr>
        <w:t xml:space="preserve">de la </w:t>
      </w:r>
      <w:r>
        <w:rPr>
          <w:rFonts w:ascii="Rockwell" w:hAnsi="Rockwell"/>
          <w:i/>
          <w:szCs w:val="26"/>
        </w:rPr>
        <w:t>télévision 3TV</w:t>
      </w:r>
      <w:r>
        <w:rPr>
          <w:rFonts w:ascii="Rockwell" w:hAnsi="Rockwell"/>
          <w:szCs w:val="26"/>
        </w:rPr>
        <w:t xml:space="preserve"> diffusée le 27 mars 2022, et portant sur la sexualité des couples. Au regard des heures de diffusion, entre 14 heures et 21 heures, le CSC a estimé que cette émission contrevenait aux dispositions de l’article 7 de la décision n°</w:t>
      </w:r>
      <w:r>
        <w:rPr>
          <w:rFonts w:ascii="Rockwell" w:hAnsi="Rockwell"/>
          <w:i/>
          <w:szCs w:val="26"/>
        </w:rPr>
        <w:t xml:space="preserve">2014-0008/CSC/CAB/SG du 15 mai 2014 portant protection des mineurs contre les programmes des télévisions pouvant nuire à leur épanouissement </w:t>
      </w:r>
      <w:r>
        <w:rPr>
          <w:rStyle w:val="Appelnotedebasdep"/>
          <w:rFonts w:ascii="Rockwell" w:hAnsi="Rockwell"/>
          <w:i/>
          <w:szCs w:val="26"/>
        </w:rPr>
        <w:footnoteReference w:id="13"/>
      </w:r>
      <w:r>
        <w:rPr>
          <w:rFonts w:ascii="Rockwell" w:hAnsi="Rockwell"/>
          <w:szCs w:val="26"/>
        </w:rPr>
        <w:t xml:space="preserve">. </w:t>
      </w:r>
    </w:p>
    <w:p w14:paraId="3FB8DF4C" w14:textId="77777777" w:rsidR="00284822" w:rsidRDefault="00F77BF8">
      <w:pPr>
        <w:spacing w:before="120" w:after="120"/>
        <w:rPr>
          <w:rFonts w:ascii="Rockwell" w:hAnsi="Rockwell"/>
          <w:szCs w:val="26"/>
        </w:rPr>
      </w:pPr>
      <w:r>
        <w:rPr>
          <w:rFonts w:ascii="Rockwell" w:hAnsi="Rockwell"/>
          <w:szCs w:val="26"/>
        </w:rPr>
        <w:t xml:space="preserve">Par conséquent, une lettre d’interpellation a été adressée au Directeur général de la télévision </w:t>
      </w:r>
      <w:r>
        <w:rPr>
          <w:rFonts w:ascii="Rockwell" w:hAnsi="Rockwell"/>
          <w:i/>
          <w:szCs w:val="26"/>
        </w:rPr>
        <w:t xml:space="preserve">3TV </w:t>
      </w:r>
      <w:r>
        <w:rPr>
          <w:rFonts w:ascii="Rockwell" w:hAnsi="Rockwell"/>
          <w:szCs w:val="26"/>
        </w:rPr>
        <w:t xml:space="preserve">pour lui signifier les écarts constatés et l’inviter à revoir les heures de diffusion de cette émission. </w:t>
      </w:r>
    </w:p>
    <w:p w14:paraId="7031DF8D" w14:textId="77777777" w:rsidR="00284822" w:rsidRDefault="00F77BF8">
      <w:pPr>
        <w:pStyle w:val="Titre4"/>
        <w:spacing w:before="120" w:after="120"/>
        <w:rPr>
          <w:rFonts w:ascii="Rockwell" w:hAnsi="Rockwell"/>
          <w:sz w:val="28"/>
          <w:szCs w:val="28"/>
        </w:rPr>
      </w:pPr>
      <w:bookmarkStart w:id="208" w:name="_Toc175048711"/>
      <w:r>
        <w:rPr>
          <w:rFonts w:ascii="Rockwell" w:hAnsi="Rockwell"/>
          <w:sz w:val="28"/>
          <w:szCs w:val="28"/>
        </w:rPr>
        <w:lastRenderedPageBreak/>
        <w:t>Paragraphe 3 : Usurpation de nom et concurrence déloyale</w:t>
      </w:r>
      <w:bookmarkEnd w:id="208"/>
    </w:p>
    <w:p w14:paraId="445A2579" w14:textId="77777777" w:rsidR="00284822" w:rsidRDefault="00F77BF8">
      <w:pPr>
        <w:spacing w:before="120" w:after="120"/>
        <w:rPr>
          <w:rFonts w:ascii="Rockwell" w:hAnsi="Rockwell"/>
          <w:szCs w:val="26"/>
        </w:rPr>
      </w:pPr>
      <w:r>
        <w:rPr>
          <w:rFonts w:ascii="Rockwell" w:hAnsi="Rockwell"/>
          <w:szCs w:val="26"/>
        </w:rPr>
        <w:t xml:space="preserve">Le CSC a été saisi, le 24 mars 2022, par la directrice de publication du journal en ligne </w:t>
      </w:r>
      <w:r>
        <w:rPr>
          <w:rFonts w:ascii="Rockwell" w:hAnsi="Rockwell"/>
          <w:i/>
          <w:szCs w:val="26"/>
        </w:rPr>
        <w:t>fasoinfos.com</w:t>
      </w:r>
      <w:r>
        <w:rPr>
          <w:rFonts w:ascii="Rockwell" w:hAnsi="Rockwell"/>
          <w:szCs w:val="26"/>
        </w:rPr>
        <w:t>,</w:t>
      </w:r>
      <w:r>
        <w:rPr>
          <w:rFonts w:ascii="Rockwell" w:hAnsi="Rockwell"/>
          <w:b/>
          <w:szCs w:val="26"/>
        </w:rPr>
        <w:t xml:space="preserve"> </w:t>
      </w:r>
      <w:r>
        <w:rPr>
          <w:rFonts w:ascii="Rockwell" w:hAnsi="Rockwell"/>
          <w:szCs w:val="26"/>
        </w:rPr>
        <w:t>d’une plainte contre le journal en ligne </w:t>
      </w:r>
      <w:r>
        <w:rPr>
          <w:rFonts w:ascii="Rockwell" w:hAnsi="Rockwell"/>
          <w:i/>
          <w:szCs w:val="26"/>
        </w:rPr>
        <w:t>fasoinfo.com</w:t>
      </w:r>
      <w:r>
        <w:rPr>
          <w:rFonts w:ascii="Rockwell" w:hAnsi="Rockwell"/>
          <w:szCs w:val="26"/>
        </w:rPr>
        <w:t> et sa page Facebook pour usurpation de nom et publication d’images obscènes. Pour elle, en effet, le second site appartiendrait au concepteur de son site qui, de façon subtile, l’a reproduit avec une lettre en moins dans le but de saboter son activité.</w:t>
      </w:r>
    </w:p>
    <w:p w14:paraId="515C7988" w14:textId="77777777" w:rsidR="00284822" w:rsidRDefault="00F77BF8">
      <w:pPr>
        <w:spacing w:before="120" w:after="120"/>
        <w:rPr>
          <w:rFonts w:ascii="Rockwell" w:hAnsi="Rockwell"/>
          <w:szCs w:val="26"/>
        </w:rPr>
      </w:pPr>
      <w:r>
        <w:rPr>
          <w:rFonts w:ascii="Rockwell" w:hAnsi="Rockwell"/>
          <w:szCs w:val="26"/>
        </w:rPr>
        <w:t>De ce fait, elle a exigé la fermeture du second site et le paiement de dommages et intérêts. </w:t>
      </w:r>
    </w:p>
    <w:p w14:paraId="63AF49CB" w14:textId="77777777" w:rsidR="00284822" w:rsidRDefault="00F77BF8">
      <w:pPr>
        <w:spacing w:before="120" w:after="120"/>
        <w:rPr>
          <w:rFonts w:ascii="Rockwell" w:hAnsi="Rockwell"/>
          <w:szCs w:val="26"/>
        </w:rPr>
      </w:pPr>
      <w:r>
        <w:rPr>
          <w:rFonts w:ascii="Rockwell" w:hAnsi="Rockwell"/>
          <w:szCs w:val="26"/>
        </w:rPr>
        <w:t>L’analyse de la plainte, à la lumière de la loi</w:t>
      </w:r>
      <w:r>
        <w:rPr>
          <w:rStyle w:val="Appelnotedebasdep"/>
          <w:rFonts w:ascii="Rockwell" w:hAnsi="Rockwell"/>
          <w:szCs w:val="26"/>
        </w:rPr>
        <w:footnoteReference w:id="14"/>
      </w:r>
      <w:r>
        <w:rPr>
          <w:rFonts w:ascii="Rockwell" w:hAnsi="Rockwell"/>
          <w:szCs w:val="26"/>
        </w:rPr>
        <w:t xml:space="preserve">, fait ressortir l’existence effective d’une concurrence déloyale entre les deux sites. Quant à l’usurpation de nom qui relève du domaine de la propriété intellectuelle, le CSC s’est déclaré incompétent pour trancher le différend. </w:t>
      </w:r>
    </w:p>
    <w:p w14:paraId="56AEE675" w14:textId="77777777" w:rsidR="00284822" w:rsidRDefault="00F77BF8">
      <w:pPr>
        <w:spacing w:before="120" w:after="120"/>
        <w:textAlignment w:val="auto"/>
        <w:rPr>
          <w:rFonts w:ascii="Rockwell" w:hAnsi="Rockwell"/>
          <w:szCs w:val="26"/>
        </w:rPr>
      </w:pPr>
      <w:r>
        <w:rPr>
          <w:rFonts w:ascii="Rockwell" w:hAnsi="Rockwell"/>
          <w:szCs w:val="26"/>
        </w:rPr>
        <w:t>Il a donc invité la plaignante à saisir les juridictions compétentes.</w:t>
      </w:r>
    </w:p>
    <w:p w14:paraId="0ECBFE0F" w14:textId="77777777" w:rsidR="00284822" w:rsidRDefault="00284822">
      <w:pPr>
        <w:spacing w:before="120" w:after="120"/>
        <w:textAlignment w:val="auto"/>
        <w:rPr>
          <w:rFonts w:ascii="Rockwell" w:hAnsi="Rockwell"/>
          <w:sz w:val="10"/>
          <w:szCs w:val="10"/>
        </w:rPr>
      </w:pPr>
    </w:p>
    <w:p w14:paraId="42DE39F9" w14:textId="77777777" w:rsidR="00284822" w:rsidRDefault="00F77BF8">
      <w:pPr>
        <w:pStyle w:val="Titre4"/>
        <w:spacing w:before="120" w:after="120"/>
        <w:rPr>
          <w:rFonts w:ascii="Rockwell" w:hAnsi="Rockwell"/>
          <w:sz w:val="28"/>
          <w:szCs w:val="28"/>
        </w:rPr>
      </w:pPr>
      <w:bookmarkStart w:id="209" w:name="_Hlk162346710"/>
      <w:bookmarkStart w:id="210" w:name="_Toc175048712"/>
      <w:r>
        <w:rPr>
          <w:rFonts w:ascii="Rockwell" w:hAnsi="Rockwell"/>
          <w:sz w:val="28"/>
          <w:szCs w:val="28"/>
        </w:rPr>
        <w:t>Paragraphe 4</w:t>
      </w:r>
      <w:bookmarkEnd w:id="209"/>
      <w:r>
        <w:rPr>
          <w:rFonts w:ascii="Rockwell" w:hAnsi="Rockwell"/>
          <w:sz w:val="28"/>
          <w:szCs w:val="28"/>
        </w:rPr>
        <w:t> : Diffusion de fausses nouvelles et déséquilibre de l’information</w:t>
      </w:r>
      <w:bookmarkEnd w:id="210"/>
    </w:p>
    <w:p w14:paraId="6262EBF5" w14:textId="6CBC3FA8" w:rsidR="00284822" w:rsidRDefault="00F77BF8">
      <w:pPr>
        <w:spacing w:before="120" w:after="120"/>
        <w:textAlignment w:val="auto"/>
        <w:rPr>
          <w:rFonts w:ascii="Rockwell" w:hAnsi="Rockwell"/>
          <w:szCs w:val="26"/>
        </w:rPr>
      </w:pPr>
      <w:r w:rsidRPr="003E48B4">
        <w:rPr>
          <w:rFonts w:ascii="Rockwell" w:hAnsi="Rockwell"/>
          <w:szCs w:val="26"/>
        </w:rPr>
        <w:t>Le journal</w:t>
      </w:r>
      <w:r>
        <w:rPr>
          <w:rFonts w:ascii="Rockwell" w:hAnsi="Rockwell"/>
          <w:i/>
          <w:szCs w:val="26"/>
        </w:rPr>
        <w:t xml:space="preserve"> Aujourd’hui au Faso,</w:t>
      </w:r>
      <w:r>
        <w:rPr>
          <w:rFonts w:ascii="Rockwell" w:hAnsi="Rockwell"/>
          <w:szCs w:val="26"/>
        </w:rPr>
        <w:t xml:space="preserve"> dans sa parution n° 2089 du 04 au 07 août 2022 et sur son site d’information</w:t>
      </w:r>
      <w:r w:rsidR="003E48B4">
        <w:rPr>
          <w:rFonts w:ascii="Rockwell" w:hAnsi="Rockwell"/>
          <w:szCs w:val="26"/>
        </w:rPr>
        <w:t>,</w:t>
      </w:r>
      <w:r>
        <w:rPr>
          <w:rFonts w:ascii="Rockwell" w:hAnsi="Rockwell"/>
          <w:szCs w:val="26"/>
        </w:rPr>
        <w:t xml:space="preserve"> a publié un article intitulé : « </w:t>
      </w:r>
      <w:r>
        <w:rPr>
          <w:rFonts w:ascii="Rockwell" w:hAnsi="Rockwell"/>
          <w:i/>
          <w:szCs w:val="26"/>
        </w:rPr>
        <w:t>dialogue avec les terroristes / vers une paix des braves de 2 ans signée entre le Burkina Faso et le Katibas ?</w:t>
      </w:r>
      <w:r>
        <w:rPr>
          <w:rFonts w:ascii="Rockwell" w:hAnsi="Rockwell"/>
          <w:szCs w:val="26"/>
        </w:rPr>
        <w:t xml:space="preserve"> ». Interpellé, le CSC a estimé que le journal a enfreint les règles d’éthique et de déontologie professionnelles. Il a convoqué le directeur de publication de ce quotidien en vue d’une </w:t>
      </w:r>
      <w:commentRangeStart w:id="211"/>
      <w:r>
        <w:rPr>
          <w:rFonts w:ascii="Rockwell" w:hAnsi="Rockwell"/>
          <w:szCs w:val="26"/>
        </w:rPr>
        <w:t>audition</w:t>
      </w:r>
      <w:commentRangeEnd w:id="211"/>
      <w:r>
        <w:rPr>
          <w:rStyle w:val="Marquedecommentaire"/>
        </w:rPr>
        <w:commentReference w:id="211"/>
      </w:r>
      <w:r>
        <w:rPr>
          <w:rFonts w:ascii="Rockwell" w:hAnsi="Rockwell"/>
          <w:szCs w:val="26"/>
        </w:rPr>
        <w:t xml:space="preserve">. </w:t>
      </w:r>
    </w:p>
    <w:p w14:paraId="0803026E" w14:textId="77777777" w:rsidR="00284822" w:rsidRDefault="00284822">
      <w:pPr>
        <w:spacing w:before="120" w:after="120"/>
        <w:jc w:val="center"/>
        <w:textAlignment w:val="auto"/>
        <w:rPr>
          <w:rFonts w:ascii="Rockwell" w:hAnsi="Rockwell"/>
          <w:sz w:val="10"/>
          <w:szCs w:val="10"/>
        </w:rPr>
      </w:pPr>
    </w:p>
    <w:p w14:paraId="7680E311" w14:textId="77777777" w:rsidR="00284822" w:rsidRDefault="00F77BF8">
      <w:pPr>
        <w:pStyle w:val="Titre4"/>
        <w:spacing w:before="120" w:after="120"/>
        <w:rPr>
          <w:rFonts w:ascii="Rockwell" w:hAnsi="Rockwell"/>
          <w:sz w:val="28"/>
          <w:szCs w:val="28"/>
        </w:rPr>
      </w:pPr>
      <w:bookmarkStart w:id="212" w:name="_Toc175048713"/>
      <w:r>
        <w:rPr>
          <w:rFonts w:ascii="Rockwell" w:hAnsi="Rockwell"/>
          <w:sz w:val="28"/>
          <w:szCs w:val="28"/>
        </w:rPr>
        <w:lastRenderedPageBreak/>
        <w:t>Paragraphe 5 : Désinformation et atteinte à la responsabilité sociale</w:t>
      </w:r>
      <w:bookmarkEnd w:id="212"/>
    </w:p>
    <w:p w14:paraId="4993EA5A" w14:textId="77777777" w:rsidR="00284822" w:rsidRDefault="00F77BF8">
      <w:pPr>
        <w:spacing w:before="120" w:after="120"/>
        <w:textAlignment w:val="auto"/>
        <w:rPr>
          <w:rFonts w:ascii="Rockwell" w:hAnsi="Rockwell"/>
          <w:color w:val="000000" w:themeColor="text1"/>
          <w:szCs w:val="26"/>
        </w:rPr>
      </w:pPr>
      <w:r>
        <w:rPr>
          <w:rFonts w:ascii="Rockwell" w:hAnsi="Rockwell"/>
          <w:color w:val="000000" w:themeColor="text1"/>
          <w:szCs w:val="26"/>
        </w:rPr>
        <w:t xml:space="preserve">Le CSC a été saisi, le 14 juin 2022, d’une plainte relative à la publication, sur la page Facebook du journal </w:t>
      </w:r>
      <w:r>
        <w:rPr>
          <w:rFonts w:ascii="Rockwell" w:hAnsi="Rockwell"/>
          <w:i/>
          <w:color w:val="000000" w:themeColor="text1"/>
          <w:szCs w:val="26"/>
        </w:rPr>
        <w:t xml:space="preserve">L’Observateur </w:t>
      </w:r>
      <w:proofErr w:type="spellStart"/>
      <w:r>
        <w:rPr>
          <w:rFonts w:ascii="Rockwell" w:hAnsi="Rockwell"/>
          <w:i/>
          <w:color w:val="000000" w:themeColor="text1"/>
          <w:szCs w:val="26"/>
        </w:rPr>
        <w:t>Paalga</w:t>
      </w:r>
      <w:proofErr w:type="spellEnd"/>
      <w:r>
        <w:rPr>
          <w:rFonts w:ascii="Rockwell" w:hAnsi="Rockwell"/>
          <w:i/>
          <w:color w:val="000000" w:themeColor="text1"/>
          <w:szCs w:val="26"/>
        </w:rPr>
        <w:t>,</w:t>
      </w:r>
      <w:r>
        <w:rPr>
          <w:rFonts w:ascii="Rockwell" w:hAnsi="Rockwell"/>
          <w:color w:val="000000" w:themeColor="text1"/>
          <w:szCs w:val="26"/>
        </w:rPr>
        <w:t xml:space="preserve"> de propos du Chef d’Etat-major de la gendarmerie nationale, sortis de leur contexte. </w:t>
      </w:r>
    </w:p>
    <w:p w14:paraId="4A925D2E" w14:textId="77777777" w:rsidR="00284822" w:rsidRDefault="00F77BF8">
      <w:pPr>
        <w:spacing w:before="120" w:after="120"/>
        <w:textAlignment w:val="auto"/>
        <w:rPr>
          <w:rFonts w:ascii="Rockwell" w:hAnsi="Rockwell"/>
          <w:szCs w:val="26"/>
        </w:rPr>
      </w:pPr>
      <w:r>
        <w:rPr>
          <w:rFonts w:ascii="Rockwell" w:hAnsi="Rockwell"/>
          <w:color w:val="000000" w:themeColor="text1"/>
          <w:szCs w:val="26"/>
        </w:rPr>
        <w:t>Le CSC a estimé que la diffusion de l’information hors de son contexte initial</w:t>
      </w:r>
      <w:r>
        <w:rPr>
          <w:rFonts w:ascii="Rockwell" w:hAnsi="Rockwell"/>
          <w:szCs w:val="26"/>
        </w:rPr>
        <w:t xml:space="preserve"> manque d’objectivité et d’honnêteté et </w:t>
      </w:r>
      <w:r>
        <w:rPr>
          <w:rFonts w:ascii="Rockwell" w:hAnsi="Rockwell"/>
          <w:color w:val="000000" w:themeColor="text1"/>
          <w:szCs w:val="26"/>
        </w:rPr>
        <w:t xml:space="preserve">constitue de ce fait une faute professionnelle. </w:t>
      </w:r>
    </w:p>
    <w:p w14:paraId="6C0D896C" w14:textId="77777777" w:rsidR="00284822" w:rsidRDefault="00F77BF8">
      <w:pPr>
        <w:spacing w:before="120" w:after="120"/>
        <w:textAlignment w:val="auto"/>
        <w:rPr>
          <w:rFonts w:ascii="Rockwell" w:hAnsi="Rockwell"/>
          <w:color w:val="000000" w:themeColor="text1"/>
          <w:szCs w:val="26"/>
        </w:rPr>
      </w:pPr>
      <w:r>
        <w:rPr>
          <w:rFonts w:ascii="Rockwell" w:hAnsi="Rockwell"/>
          <w:color w:val="000000" w:themeColor="text1"/>
          <w:szCs w:val="26"/>
        </w:rPr>
        <w:t>Il a donc adressé une lettre d’interpellation au directeur de publication pour l’inviter à redoubler de vigilance et de prudence.</w:t>
      </w:r>
    </w:p>
    <w:p w14:paraId="5E5DDAA9" w14:textId="77777777" w:rsidR="00284822" w:rsidRDefault="00284822">
      <w:pPr>
        <w:spacing w:before="120" w:after="120"/>
        <w:textAlignment w:val="auto"/>
        <w:rPr>
          <w:rFonts w:ascii="Rockwell" w:hAnsi="Rockwell"/>
          <w:szCs w:val="26"/>
        </w:rPr>
      </w:pPr>
    </w:p>
    <w:p w14:paraId="519A6AEC" w14:textId="77777777" w:rsidR="00284822" w:rsidRDefault="00F77BF8">
      <w:pPr>
        <w:pStyle w:val="Titre4"/>
        <w:spacing w:before="120" w:after="120"/>
        <w:rPr>
          <w:rFonts w:ascii="Rockwell" w:hAnsi="Rockwell"/>
          <w:sz w:val="28"/>
          <w:szCs w:val="28"/>
        </w:rPr>
      </w:pPr>
      <w:bookmarkStart w:id="213" w:name="_Toc175048714"/>
      <w:r>
        <w:rPr>
          <w:rFonts w:ascii="Rockwell" w:hAnsi="Rockwell"/>
          <w:sz w:val="28"/>
          <w:szCs w:val="28"/>
        </w:rPr>
        <w:t>Paragraphe 6 : Fonctionnement irrégulier</w:t>
      </w:r>
      <w:bookmarkEnd w:id="213"/>
    </w:p>
    <w:p w14:paraId="2C04BE4C" w14:textId="77777777" w:rsidR="00284822" w:rsidRDefault="00F77BF8">
      <w:pPr>
        <w:spacing w:before="120" w:after="120"/>
        <w:textAlignment w:val="auto"/>
        <w:rPr>
          <w:rFonts w:ascii="Rockwell" w:hAnsi="Rockwell"/>
          <w:color w:val="FF0000"/>
          <w:szCs w:val="26"/>
        </w:rPr>
      </w:pPr>
      <w:r>
        <w:rPr>
          <w:rFonts w:ascii="Rockwell" w:hAnsi="Rockwell"/>
          <w:szCs w:val="26"/>
        </w:rPr>
        <w:t>Suite à des investigations de la brigade centrale de lutte contre la cybercriminalité, son Commandant a saisi le CSC d’une plainte, le 14 juin 2022, contre le média en ligne </w:t>
      </w:r>
      <w:r>
        <w:rPr>
          <w:rFonts w:ascii="Rockwell" w:hAnsi="Rockwell"/>
          <w:i/>
          <w:szCs w:val="26"/>
        </w:rPr>
        <w:t>Faso times</w:t>
      </w:r>
      <w:r>
        <w:rPr>
          <w:rFonts w:ascii="Rockwell" w:hAnsi="Rockwell"/>
          <w:szCs w:val="26"/>
        </w:rPr>
        <w:t xml:space="preserve">, pour manquement à la règlementation. </w:t>
      </w:r>
    </w:p>
    <w:p w14:paraId="4D0525ED" w14:textId="4686215B" w:rsidR="00284822" w:rsidRDefault="00F77BF8">
      <w:pPr>
        <w:spacing w:before="120" w:after="120"/>
        <w:textAlignment w:val="auto"/>
        <w:rPr>
          <w:rFonts w:ascii="Rockwell" w:hAnsi="Rockwell"/>
          <w:szCs w:val="26"/>
        </w:rPr>
      </w:pPr>
      <w:r>
        <w:rPr>
          <w:rFonts w:ascii="Rockwell" w:hAnsi="Rockwell"/>
          <w:szCs w:val="26"/>
        </w:rPr>
        <w:t xml:space="preserve">En effet, il reproche au média la publication de propos, assortis d’images, portant sur des attaques terroristes ainsi que </w:t>
      </w:r>
      <w:r w:rsidR="003E48B4">
        <w:rPr>
          <w:rFonts w:ascii="Rockwell" w:hAnsi="Rockwell"/>
          <w:szCs w:val="26"/>
        </w:rPr>
        <w:t xml:space="preserve">sur </w:t>
      </w:r>
      <w:r>
        <w:rPr>
          <w:rFonts w:ascii="Rockwell" w:hAnsi="Rockwell"/>
          <w:szCs w:val="26"/>
        </w:rPr>
        <w:t xml:space="preserve">la situation politique au Burkina Faso. </w:t>
      </w:r>
    </w:p>
    <w:p w14:paraId="598CD767" w14:textId="77777777" w:rsidR="00284822" w:rsidRDefault="00F77BF8">
      <w:pPr>
        <w:spacing w:before="120" w:after="120"/>
        <w:textAlignment w:val="auto"/>
        <w:rPr>
          <w:rFonts w:ascii="Rockwell" w:hAnsi="Rockwell"/>
          <w:szCs w:val="26"/>
        </w:rPr>
      </w:pPr>
      <w:r>
        <w:rPr>
          <w:rFonts w:ascii="Rockwell" w:hAnsi="Rockwell"/>
          <w:szCs w:val="26"/>
        </w:rPr>
        <w:t>Apres analyse, le CSC s’est rendu compte qu’en plus des griefs portés par le plaignant, le média concerné ne s’était pas encore déclaré auprès de ses services techniques.</w:t>
      </w:r>
    </w:p>
    <w:p w14:paraId="0B307040" w14:textId="77777777" w:rsidR="00284822" w:rsidRDefault="00F77BF8">
      <w:pPr>
        <w:spacing w:before="120" w:after="120"/>
        <w:textAlignment w:val="auto"/>
        <w:rPr>
          <w:rFonts w:ascii="Rockwell" w:hAnsi="Rockwell"/>
          <w:szCs w:val="26"/>
        </w:rPr>
      </w:pPr>
      <w:r>
        <w:rPr>
          <w:rFonts w:ascii="Rockwell" w:hAnsi="Rockwell"/>
          <w:szCs w:val="26"/>
        </w:rPr>
        <w:t xml:space="preserve">Il avait été préconisé l’audition du directeur de publication mais le dysfonctionnement du CSC en son temps n’a pas permis de mener cette audition. </w:t>
      </w:r>
    </w:p>
    <w:p w14:paraId="2B610621" w14:textId="77777777" w:rsidR="00284822" w:rsidRDefault="00284822">
      <w:pPr>
        <w:spacing w:before="120" w:after="120"/>
        <w:textAlignment w:val="auto"/>
        <w:rPr>
          <w:rFonts w:ascii="Rockwell" w:hAnsi="Rockwell"/>
          <w:szCs w:val="26"/>
        </w:rPr>
        <w:sectPr w:rsidR="00284822">
          <w:pgSz w:w="11906" w:h="16838"/>
          <w:pgMar w:top="1418" w:right="1418" w:bottom="1418" w:left="1418" w:header="720" w:footer="720" w:gutter="0"/>
          <w:cols w:space="720"/>
        </w:sectPr>
      </w:pPr>
    </w:p>
    <w:p w14:paraId="5C182D33" w14:textId="77777777" w:rsidR="00284822" w:rsidRDefault="00F77BF8">
      <w:pPr>
        <w:pStyle w:val="Titre2"/>
        <w:spacing w:before="120" w:after="120"/>
        <w:rPr>
          <w:rFonts w:ascii="Rockwell" w:hAnsi="Rockwell"/>
          <w:sz w:val="30"/>
          <w:szCs w:val="30"/>
        </w:rPr>
      </w:pPr>
      <w:bookmarkStart w:id="214" w:name="_Toc119511784"/>
      <w:bookmarkStart w:id="215" w:name="_Toc170304759"/>
      <w:bookmarkStart w:id="216" w:name="_Toc175048715"/>
      <w:bookmarkStart w:id="217" w:name="_Toc122608695"/>
      <w:r>
        <w:rPr>
          <w:rFonts w:ascii="Rockwell" w:hAnsi="Rockwell"/>
          <w:sz w:val="30"/>
          <w:szCs w:val="30"/>
        </w:rPr>
        <w:lastRenderedPageBreak/>
        <w:t>CHAPITRE IV : CONTENTIEUX ET MEDIATION</w:t>
      </w:r>
      <w:bookmarkEnd w:id="214"/>
      <w:bookmarkEnd w:id="215"/>
      <w:bookmarkEnd w:id="216"/>
      <w:bookmarkEnd w:id="217"/>
    </w:p>
    <w:p w14:paraId="268AE155" w14:textId="77777777" w:rsidR="00284822" w:rsidRDefault="00284822">
      <w:pPr>
        <w:spacing w:before="120" w:after="120"/>
        <w:rPr>
          <w:rFonts w:ascii="Rockwell" w:hAnsi="Rockwell"/>
          <w:sz w:val="16"/>
          <w:szCs w:val="16"/>
        </w:rPr>
      </w:pPr>
    </w:p>
    <w:p w14:paraId="38F3519F" w14:textId="77777777" w:rsidR="00284822" w:rsidRDefault="00F77BF8">
      <w:pPr>
        <w:pStyle w:val="Titre3"/>
        <w:spacing w:before="120" w:after="120"/>
        <w:rPr>
          <w:rFonts w:ascii="Rockwell" w:hAnsi="Rockwell"/>
          <w:szCs w:val="28"/>
        </w:rPr>
      </w:pPr>
      <w:bookmarkStart w:id="218" w:name="_Toc170304760"/>
      <w:bookmarkStart w:id="219" w:name="_Toc175048716"/>
      <w:bookmarkStart w:id="220" w:name="_Toc122608696"/>
      <w:bookmarkStart w:id="221" w:name="_Toc119511785"/>
      <w:r>
        <w:rPr>
          <w:rFonts w:ascii="Rockwell" w:hAnsi="Rockwell"/>
          <w:szCs w:val="28"/>
        </w:rPr>
        <w:t>SECTION 1 : SUIVI ET GESTION DU CONTENTIEUX</w:t>
      </w:r>
      <w:bookmarkEnd w:id="218"/>
      <w:bookmarkEnd w:id="219"/>
      <w:bookmarkEnd w:id="220"/>
      <w:bookmarkEnd w:id="221"/>
    </w:p>
    <w:p w14:paraId="698F0F22" w14:textId="77777777" w:rsidR="00284822" w:rsidRDefault="00284822">
      <w:pPr>
        <w:spacing w:before="120" w:after="120"/>
        <w:jc w:val="center"/>
        <w:rPr>
          <w:rFonts w:ascii="Rockwell" w:hAnsi="Rockwell"/>
          <w:sz w:val="10"/>
          <w:szCs w:val="10"/>
        </w:rPr>
      </w:pPr>
    </w:p>
    <w:p w14:paraId="30448B68" w14:textId="77777777" w:rsidR="00284822" w:rsidRDefault="00F77BF8">
      <w:pPr>
        <w:tabs>
          <w:tab w:val="left" w:pos="1033"/>
        </w:tabs>
        <w:spacing w:before="120" w:after="120"/>
        <w:rPr>
          <w:rFonts w:ascii="Rockwell" w:hAnsi="Rockwell"/>
          <w:szCs w:val="26"/>
        </w:rPr>
      </w:pPr>
      <w:r>
        <w:rPr>
          <w:rFonts w:ascii="Rockwell" w:hAnsi="Rockwell"/>
          <w:szCs w:val="26"/>
        </w:rPr>
        <w:t>Au cours de l’année 2022, les dossiers contentieux nouveaux et pendants impliquant le CSC sont les suivants :</w:t>
      </w:r>
    </w:p>
    <w:p w14:paraId="50A4D884" w14:textId="77777777" w:rsidR="00284822" w:rsidRDefault="00F77BF8">
      <w:pPr>
        <w:numPr>
          <w:ilvl w:val="0"/>
          <w:numId w:val="34"/>
        </w:numPr>
        <w:tabs>
          <w:tab w:val="left" w:pos="-13787"/>
        </w:tabs>
        <w:spacing w:before="120" w:after="120"/>
        <w:rPr>
          <w:rFonts w:ascii="Rockwell" w:hAnsi="Rockwell"/>
          <w:szCs w:val="26"/>
        </w:rPr>
      </w:pPr>
      <w:proofErr w:type="gramStart"/>
      <w:r>
        <w:rPr>
          <w:rFonts w:ascii="Rockwell" w:hAnsi="Rockwell"/>
          <w:szCs w:val="26"/>
        </w:rPr>
        <w:t>l’affaire</w:t>
      </w:r>
      <w:proofErr w:type="gramEnd"/>
      <w:r>
        <w:rPr>
          <w:rFonts w:ascii="Rockwell" w:hAnsi="Rockwell"/>
          <w:szCs w:val="26"/>
        </w:rPr>
        <w:t xml:space="preserve"> radio pirate de Pouytenga ;</w:t>
      </w:r>
    </w:p>
    <w:p w14:paraId="5F132195" w14:textId="77777777" w:rsidR="00284822" w:rsidRDefault="00F77BF8">
      <w:pPr>
        <w:numPr>
          <w:ilvl w:val="0"/>
          <w:numId w:val="34"/>
        </w:numPr>
        <w:tabs>
          <w:tab w:val="left" w:pos="-13787"/>
        </w:tabs>
        <w:spacing w:before="120" w:after="120"/>
        <w:rPr>
          <w:rFonts w:ascii="Rockwell" w:hAnsi="Rockwell"/>
          <w:szCs w:val="26"/>
        </w:rPr>
      </w:pPr>
      <w:bookmarkStart w:id="222" w:name="_Hlk162349554"/>
      <w:proofErr w:type="gramStart"/>
      <w:r>
        <w:rPr>
          <w:rFonts w:ascii="Rockwell" w:hAnsi="Rockwell"/>
          <w:szCs w:val="26"/>
        </w:rPr>
        <w:t>l’affaire</w:t>
      </w:r>
      <w:proofErr w:type="gramEnd"/>
      <w:r>
        <w:rPr>
          <w:rFonts w:ascii="Rockwell" w:hAnsi="Rockwell"/>
          <w:szCs w:val="26"/>
        </w:rPr>
        <w:t xml:space="preserve"> Bank of </w:t>
      </w:r>
      <w:proofErr w:type="spellStart"/>
      <w:r>
        <w:rPr>
          <w:rFonts w:ascii="Rockwell" w:hAnsi="Rockwell"/>
          <w:szCs w:val="26"/>
        </w:rPr>
        <w:t>Africa</w:t>
      </w:r>
      <w:proofErr w:type="spellEnd"/>
      <w:r>
        <w:rPr>
          <w:rFonts w:ascii="Rockwell" w:hAnsi="Rockwell"/>
          <w:szCs w:val="26"/>
        </w:rPr>
        <w:t xml:space="preserve"> et ADF Charles KABORE contre le CSC </w:t>
      </w:r>
      <w:bookmarkEnd w:id="222"/>
      <w:r>
        <w:rPr>
          <w:rFonts w:ascii="Rockwell" w:hAnsi="Rockwell"/>
          <w:szCs w:val="26"/>
        </w:rPr>
        <w:t>;</w:t>
      </w:r>
    </w:p>
    <w:p w14:paraId="7BFC44F7" w14:textId="77777777" w:rsidR="00284822" w:rsidRDefault="00F77BF8">
      <w:pPr>
        <w:numPr>
          <w:ilvl w:val="0"/>
          <w:numId w:val="34"/>
        </w:numPr>
        <w:tabs>
          <w:tab w:val="left" w:pos="-13787"/>
        </w:tabs>
        <w:spacing w:before="120" w:after="120"/>
        <w:rPr>
          <w:rFonts w:ascii="Rockwell" w:hAnsi="Rockwell"/>
          <w:szCs w:val="26"/>
        </w:rPr>
      </w:pPr>
      <w:proofErr w:type="gramStart"/>
      <w:r>
        <w:rPr>
          <w:rFonts w:ascii="Rockwell" w:hAnsi="Rockwell"/>
          <w:szCs w:val="26"/>
        </w:rPr>
        <w:t>l’affaire</w:t>
      </w:r>
      <w:proofErr w:type="gramEnd"/>
      <w:r>
        <w:rPr>
          <w:rFonts w:ascii="Rockwell" w:hAnsi="Rockwell"/>
          <w:szCs w:val="26"/>
        </w:rPr>
        <w:t xml:space="preserve"> BOUGAIRE/ZANGREYANOGHO Marie Danielle contre le CSC et M. </w:t>
      </w:r>
      <w:proofErr w:type="spellStart"/>
      <w:r>
        <w:rPr>
          <w:rFonts w:ascii="Rockwell" w:hAnsi="Rockwell"/>
          <w:szCs w:val="26"/>
        </w:rPr>
        <w:t>Abdoulazize</w:t>
      </w:r>
      <w:proofErr w:type="spellEnd"/>
      <w:r>
        <w:rPr>
          <w:rFonts w:ascii="Rockwell" w:hAnsi="Rockwell"/>
          <w:szCs w:val="26"/>
        </w:rPr>
        <w:t xml:space="preserve"> BAMOGO ;</w:t>
      </w:r>
    </w:p>
    <w:p w14:paraId="17EEB0E4" w14:textId="77777777" w:rsidR="00284822" w:rsidRDefault="00F77BF8">
      <w:pPr>
        <w:numPr>
          <w:ilvl w:val="0"/>
          <w:numId w:val="34"/>
        </w:numPr>
        <w:tabs>
          <w:tab w:val="left" w:pos="-13787"/>
        </w:tabs>
        <w:spacing w:before="120" w:after="120"/>
        <w:rPr>
          <w:rFonts w:ascii="Rockwell" w:hAnsi="Rockwell"/>
          <w:szCs w:val="26"/>
        </w:rPr>
      </w:pPr>
      <w:proofErr w:type="gramStart"/>
      <w:r>
        <w:rPr>
          <w:rFonts w:ascii="Rockwell" w:hAnsi="Rockwell"/>
          <w:szCs w:val="26"/>
        </w:rPr>
        <w:t>l’affaire</w:t>
      </w:r>
      <w:proofErr w:type="gramEnd"/>
      <w:r>
        <w:rPr>
          <w:rFonts w:ascii="Rockwell" w:hAnsi="Rockwell"/>
          <w:szCs w:val="26"/>
        </w:rPr>
        <w:t xml:space="preserve"> relative à la suspension des fonctions de la présidente du CSC en 2018.</w:t>
      </w:r>
    </w:p>
    <w:p w14:paraId="3B04E9BA" w14:textId="77777777" w:rsidR="00284822" w:rsidRDefault="00284822">
      <w:pPr>
        <w:tabs>
          <w:tab w:val="left" w:pos="-13787"/>
        </w:tabs>
        <w:spacing w:before="120" w:after="120"/>
        <w:ind w:left="1140"/>
        <w:jc w:val="center"/>
        <w:rPr>
          <w:rFonts w:ascii="Rockwell" w:hAnsi="Rockwell"/>
          <w:sz w:val="10"/>
          <w:szCs w:val="10"/>
        </w:rPr>
      </w:pPr>
    </w:p>
    <w:p w14:paraId="468768AD" w14:textId="77777777" w:rsidR="00284822" w:rsidRDefault="00F77BF8">
      <w:pPr>
        <w:pStyle w:val="Titre4"/>
        <w:spacing w:before="120" w:after="120"/>
        <w:rPr>
          <w:rFonts w:ascii="Rockwell" w:hAnsi="Rockwell"/>
          <w:sz w:val="28"/>
          <w:szCs w:val="28"/>
        </w:rPr>
      </w:pPr>
      <w:bookmarkStart w:id="223" w:name="_Toc175048717"/>
      <w:r>
        <w:rPr>
          <w:rFonts w:ascii="Rockwell" w:hAnsi="Rockwell"/>
          <w:sz w:val="28"/>
          <w:szCs w:val="28"/>
        </w:rPr>
        <w:t>Paragraphe 1 : Affaire radio pirate de Pouytenga</w:t>
      </w:r>
      <w:bookmarkEnd w:id="223"/>
    </w:p>
    <w:p w14:paraId="53C78219" w14:textId="77777777" w:rsidR="00284822" w:rsidRDefault="00F77BF8">
      <w:pPr>
        <w:tabs>
          <w:tab w:val="left" w:pos="1033"/>
        </w:tabs>
        <w:spacing w:before="120" w:after="120"/>
        <w:rPr>
          <w:rFonts w:ascii="Rockwell" w:hAnsi="Rockwell"/>
          <w:szCs w:val="26"/>
        </w:rPr>
      </w:pPr>
      <w:r>
        <w:rPr>
          <w:rFonts w:ascii="Rockwell" w:hAnsi="Rockwell"/>
          <w:szCs w:val="26"/>
        </w:rPr>
        <w:t xml:space="preserve">Ce dossier a porté sur le constat de l’existence d’une radio pirate émettant sur la fréquence 107.5 Mhz. Le CSC avait saisi le Procureur du Faso près le TGI de Koupéla, par lettre en date du 12 décembre 2021, en vue de mettre hors service les installations de celle-ci. </w:t>
      </w:r>
    </w:p>
    <w:p w14:paraId="27D6DD56" w14:textId="77777777" w:rsidR="00284822" w:rsidRDefault="00F77BF8">
      <w:pPr>
        <w:tabs>
          <w:tab w:val="left" w:pos="1033"/>
        </w:tabs>
        <w:spacing w:before="120" w:after="120"/>
        <w:rPr>
          <w:rFonts w:ascii="Rockwell" w:hAnsi="Rockwell"/>
          <w:szCs w:val="26"/>
        </w:rPr>
      </w:pPr>
      <w:r>
        <w:rPr>
          <w:rFonts w:ascii="Rockwell" w:hAnsi="Rockwell"/>
          <w:szCs w:val="26"/>
        </w:rPr>
        <w:t>Lors de l’enquête préliminaire, le Représentant provincial du CSC à Tenkodogo a été entendu, le 31 décembre 2021, par la brigade territoriale de la Gendarmerie de Pouytenga. A l’issue de son audition, une plainte sera déposée par ses soins auprès de la brigade contre le promoteur de cette radio illégale. C’est dans le cadre de cette procédure que s’est tenue l’audience correctionnelle du 08 février 2022 au Tribunal de Grande Instance de Koupéla.</w:t>
      </w:r>
    </w:p>
    <w:p w14:paraId="78F6076D" w14:textId="77777777" w:rsidR="00284822" w:rsidRDefault="00F77BF8">
      <w:pPr>
        <w:tabs>
          <w:tab w:val="left" w:pos="1033"/>
        </w:tabs>
        <w:spacing w:before="120" w:after="120"/>
        <w:rPr>
          <w:rFonts w:ascii="Rockwell" w:hAnsi="Rockwell"/>
          <w:szCs w:val="26"/>
        </w:rPr>
      </w:pPr>
      <w:r>
        <w:rPr>
          <w:rFonts w:ascii="Rockwell" w:hAnsi="Rockwell"/>
          <w:szCs w:val="26"/>
        </w:rPr>
        <w:t>Une équipe du Conseil supérieur de la communication a pris part à cette audience.</w:t>
      </w:r>
    </w:p>
    <w:p w14:paraId="1187E2FA" w14:textId="77777777" w:rsidR="00284822" w:rsidRDefault="00F77BF8">
      <w:pPr>
        <w:tabs>
          <w:tab w:val="left" w:pos="1033"/>
        </w:tabs>
        <w:spacing w:before="120" w:after="120"/>
        <w:rPr>
          <w:rFonts w:ascii="Rockwell" w:hAnsi="Rockwell"/>
          <w:szCs w:val="26"/>
        </w:rPr>
      </w:pPr>
      <w:r>
        <w:rPr>
          <w:rFonts w:ascii="Rockwell" w:hAnsi="Rockwell"/>
          <w:szCs w:val="26"/>
        </w:rPr>
        <w:lastRenderedPageBreak/>
        <w:t>Le délibéré a été rendu le 22 février 2022. Le tribunal a reconnu l’accusé coupable d’utilisation frauduleuse de fréquence de radio sans autorisation préalable du CSC. De ce fait, il a été condamné à 12 mois d’emprisonnement et à une amende de 10 millions FCFA le tout avec sursis et au paiement des dépens.</w:t>
      </w:r>
    </w:p>
    <w:p w14:paraId="251B4665" w14:textId="77777777" w:rsidR="00284822" w:rsidRDefault="00284822">
      <w:pPr>
        <w:tabs>
          <w:tab w:val="left" w:pos="1033"/>
        </w:tabs>
        <w:spacing w:before="120" w:after="120"/>
        <w:rPr>
          <w:rFonts w:ascii="Rockwell" w:hAnsi="Rockwell"/>
          <w:sz w:val="10"/>
          <w:szCs w:val="10"/>
        </w:rPr>
      </w:pPr>
    </w:p>
    <w:p w14:paraId="226865AA" w14:textId="77777777" w:rsidR="00284822" w:rsidRDefault="00F77BF8">
      <w:pPr>
        <w:pStyle w:val="Titre4"/>
        <w:spacing w:before="120" w:after="120"/>
        <w:rPr>
          <w:rFonts w:ascii="Rockwell" w:hAnsi="Rockwell"/>
          <w:sz w:val="28"/>
          <w:szCs w:val="28"/>
        </w:rPr>
      </w:pPr>
      <w:bookmarkStart w:id="224" w:name="_Toc175048718"/>
      <w:r>
        <w:rPr>
          <w:rFonts w:ascii="Rockwell" w:hAnsi="Rockwell"/>
          <w:sz w:val="28"/>
          <w:szCs w:val="28"/>
        </w:rPr>
        <w:t xml:space="preserve">Paragraphe 2 : Affaire Bank of </w:t>
      </w:r>
      <w:proofErr w:type="spellStart"/>
      <w:r>
        <w:rPr>
          <w:rFonts w:ascii="Rockwell" w:hAnsi="Rockwell"/>
          <w:sz w:val="28"/>
          <w:szCs w:val="28"/>
        </w:rPr>
        <w:t>Africa</w:t>
      </w:r>
      <w:proofErr w:type="spellEnd"/>
      <w:r>
        <w:rPr>
          <w:rFonts w:ascii="Rockwell" w:hAnsi="Rockwell"/>
          <w:sz w:val="28"/>
          <w:szCs w:val="28"/>
        </w:rPr>
        <w:t xml:space="preserve"> et ADF Charles KABORE contre le CSC</w:t>
      </w:r>
      <w:bookmarkEnd w:id="224"/>
    </w:p>
    <w:p w14:paraId="1A10DD7D" w14:textId="77777777" w:rsidR="00284822" w:rsidRDefault="00F77BF8">
      <w:pPr>
        <w:tabs>
          <w:tab w:val="left" w:pos="1033"/>
        </w:tabs>
        <w:spacing w:before="120" w:after="120"/>
        <w:rPr>
          <w:rFonts w:ascii="Rockwell" w:hAnsi="Rockwell"/>
          <w:szCs w:val="26"/>
        </w:rPr>
      </w:pPr>
      <w:r>
        <w:rPr>
          <w:rFonts w:ascii="Rockwell" w:hAnsi="Rockwell"/>
          <w:szCs w:val="26"/>
        </w:rPr>
        <w:t xml:space="preserve">Ce dossier fait suite à la procédure de saisie attribution de créance initiée en août 2020 par la Bank of </w:t>
      </w:r>
      <w:proofErr w:type="spellStart"/>
      <w:r>
        <w:rPr>
          <w:rFonts w:ascii="Rockwell" w:hAnsi="Rockwell"/>
          <w:szCs w:val="26"/>
        </w:rPr>
        <w:t>Africa</w:t>
      </w:r>
      <w:proofErr w:type="spellEnd"/>
      <w:r>
        <w:rPr>
          <w:rFonts w:ascii="Rockwell" w:hAnsi="Rockwell"/>
          <w:szCs w:val="26"/>
        </w:rPr>
        <w:t xml:space="preserve"> (BOA) contre les ayants droit de Feu Charles KABORE (ECPI-TP) et leurs débiteurs dont le CSC. Après une première décision de référé, rendue par le Tribunal de Grande Instance de Ouagadougou, le 19 février 2021, le CSC avait interjeté appel.</w:t>
      </w:r>
    </w:p>
    <w:p w14:paraId="140DB6C4" w14:textId="77777777" w:rsidR="00284822" w:rsidRDefault="00F77BF8">
      <w:pPr>
        <w:tabs>
          <w:tab w:val="left" w:pos="1033"/>
        </w:tabs>
        <w:spacing w:before="120" w:after="120"/>
        <w:rPr>
          <w:rFonts w:ascii="Rockwell" w:hAnsi="Rockwell"/>
          <w:szCs w:val="26"/>
        </w:rPr>
      </w:pPr>
      <w:r>
        <w:rPr>
          <w:rFonts w:ascii="Rockwell" w:hAnsi="Rockwell"/>
          <w:szCs w:val="26"/>
        </w:rPr>
        <w:t>Le 13 janvier 2022, la Cour d’appel de Ouagadougou a vidé sa saisine. Statuant publiquement, contradictoirement en matière de référés et en dernier ressort, elle a :</w:t>
      </w:r>
    </w:p>
    <w:p w14:paraId="6D293313" w14:textId="77777777" w:rsidR="00284822" w:rsidRDefault="00F77BF8">
      <w:pPr>
        <w:pStyle w:val="Paragraphedeliste"/>
        <w:numPr>
          <w:ilvl w:val="0"/>
          <w:numId w:val="35"/>
        </w:numPr>
        <w:tabs>
          <w:tab w:val="left" w:pos="1033"/>
        </w:tabs>
        <w:rPr>
          <w:rFonts w:ascii="Rockwell" w:hAnsi="Rockwell"/>
        </w:rPr>
      </w:pPr>
      <w:proofErr w:type="gramStart"/>
      <w:r>
        <w:rPr>
          <w:rFonts w:ascii="Rockwell" w:hAnsi="Rockwell"/>
        </w:rPr>
        <w:t>déclaré</w:t>
      </w:r>
      <w:proofErr w:type="gramEnd"/>
      <w:r>
        <w:rPr>
          <w:rFonts w:ascii="Rockwell" w:hAnsi="Rockwell"/>
        </w:rPr>
        <w:t xml:space="preserve"> recevable l’appel du CSC ;</w:t>
      </w:r>
    </w:p>
    <w:p w14:paraId="609950BE" w14:textId="77777777" w:rsidR="00284822" w:rsidRDefault="00F77BF8">
      <w:pPr>
        <w:pStyle w:val="Paragraphedeliste"/>
        <w:numPr>
          <w:ilvl w:val="0"/>
          <w:numId w:val="35"/>
        </w:numPr>
        <w:tabs>
          <w:tab w:val="left" w:pos="1033"/>
        </w:tabs>
        <w:rPr>
          <w:rFonts w:ascii="Rockwell" w:hAnsi="Rockwell"/>
        </w:rPr>
      </w:pPr>
      <w:proofErr w:type="gramStart"/>
      <w:r>
        <w:rPr>
          <w:rFonts w:ascii="Rockwell" w:hAnsi="Rockwell"/>
        </w:rPr>
        <w:t>infirmé</w:t>
      </w:r>
      <w:proofErr w:type="gramEnd"/>
      <w:r>
        <w:rPr>
          <w:rFonts w:ascii="Rockwell" w:hAnsi="Rockwell"/>
        </w:rPr>
        <w:t xml:space="preserve"> partiellement l’ordonnance n°35-2 ;</w:t>
      </w:r>
    </w:p>
    <w:p w14:paraId="74BB7824" w14:textId="77777777" w:rsidR="00284822" w:rsidRDefault="00F77BF8">
      <w:pPr>
        <w:pStyle w:val="Paragraphedeliste"/>
        <w:numPr>
          <w:ilvl w:val="0"/>
          <w:numId w:val="35"/>
        </w:numPr>
        <w:tabs>
          <w:tab w:val="left" w:pos="1033"/>
        </w:tabs>
        <w:rPr>
          <w:rFonts w:ascii="Rockwell" w:hAnsi="Rockwell"/>
        </w:rPr>
      </w:pPr>
      <w:proofErr w:type="gramStart"/>
      <w:r>
        <w:rPr>
          <w:rFonts w:ascii="Rockwell" w:hAnsi="Rockwell"/>
        </w:rPr>
        <w:t>condamné</w:t>
      </w:r>
      <w:proofErr w:type="gramEnd"/>
      <w:r>
        <w:rPr>
          <w:rFonts w:ascii="Rockwell" w:hAnsi="Rockwell"/>
        </w:rPr>
        <w:t xml:space="preserve"> le CSC à payer quatre-vingt millions cent vingt-trois mille quatre cent trente-quatre virgule trente-quatre (80 123 434, 34) FCFA, représentant les causes de la saisie ;</w:t>
      </w:r>
    </w:p>
    <w:p w14:paraId="56FCE53A" w14:textId="77777777" w:rsidR="00284822" w:rsidRDefault="00F77BF8">
      <w:pPr>
        <w:pStyle w:val="Paragraphedeliste"/>
        <w:numPr>
          <w:ilvl w:val="0"/>
          <w:numId w:val="35"/>
        </w:numPr>
        <w:tabs>
          <w:tab w:val="left" w:pos="1033"/>
        </w:tabs>
        <w:rPr>
          <w:rFonts w:ascii="Rockwell" w:hAnsi="Rockwell"/>
        </w:rPr>
      </w:pPr>
      <w:r>
        <w:rPr>
          <w:rFonts w:ascii="Rockwell" w:hAnsi="Rockwell"/>
        </w:rPr>
        <w:t xml:space="preserve"> </w:t>
      </w:r>
      <w:proofErr w:type="gramStart"/>
      <w:r>
        <w:rPr>
          <w:rFonts w:ascii="Rockwell" w:hAnsi="Rockwell"/>
        </w:rPr>
        <w:t>confirmé</w:t>
      </w:r>
      <w:proofErr w:type="gramEnd"/>
      <w:r>
        <w:rPr>
          <w:rFonts w:ascii="Rockwell" w:hAnsi="Rockwell"/>
        </w:rPr>
        <w:t xml:space="preserve"> les autres dispositions de l’ordonnance ;</w:t>
      </w:r>
    </w:p>
    <w:p w14:paraId="3EF2CE7E" w14:textId="77777777" w:rsidR="00284822" w:rsidRDefault="00F77BF8">
      <w:pPr>
        <w:pStyle w:val="Paragraphedeliste"/>
        <w:numPr>
          <w:ilvl w:val="0"/>
          <w:numId w:val="35"/>
        </w:numPr>
        <w:tabs>
          <w:tab w:val="left" w:pos="1033"/>
        </w:tabs>
        <w:rPr>
          <w:rFonts w:ascii="Rockwell" w:hAnsi="Rockwell"/>
        </w:rPr>
      </w:pPr>
      <w:r>
        <w:rPr>
          <w:rFonts w:ascii="Rockwell" w:hAnsi="Rockwell"/>
        </w:rPr>
        <w:t xml:space="preserve"> </w:t>
      </w:r>
      <w:proofErr w:type="gramStart"/>
      <w:r>
        <w:rPr>
          <w:rFonts w:ascii="Rockwell" w:hAnsi="Rockwell"/>
        </w:rPr>
        <w:t>et</w:t>
      </w:r>
      <w:proofErr w:type="gramEnd"/>
      <w:r>
        <w:rPr>
          <w:rFonts w:ascii="Rockwell" w:hAnsi="Rockwell"/>
        </w:rPr>
        <w:t xml:space="preserve"> dit n’y avoir lieu au paiement de frais exposés et non compris dans les dépens</w:t>
      </w:r>
      <w:r>
        <w:rPr>
          <w:rFonts w:ascii="Rockwell" w:hAnsi="Rockwell"/>
          <w:i/>
        </w:rPr>
        <w:t>. </w:t>
      </w:r>
    </w:p>
    <w:p w14:paraId="03E88B3F" w14:textId="77777777" w:rsidR="00284822" w:rsidRDefault="00F77BF8">
      <w:pPr>
        <w:tabs>
          <w:tab w:val="left" w:pos="1033"/>
        </w:tabs>
        <w:spacing w:before="120" w:after="120"/>
        <w:rPr>
          <w:rFonts w:ascii="Rockwell" w:hAnsi="Rockwell"/>
          <w:szCs w:val="26"/>
        </w:rPr>
      </w:pPr>
      <w:r>
        <w:rPr>
          <w:rFonts w:ascii="Rockwell" w:hAnsi="Rockwell"/>
          <w:szCs w:val="26"/>
        </w:rPr>
        <w:t xml:space="preserve">Cette décision de la Cour d’appel a fait l’objet d’un pourvoi en cassation de la part de l’Agent Judicaire de l’Etat (AJE). </w:t>
      </w:r>
    </w:p>
    <w:p w14:paraId="0B32B0B4" w14:textId="77777777" w:rsidR="00284822" w:rsidRDefault="00284822">
      <w:pPr>
        <w:tabs>
          <w:tab w:val="left" w:pos="1033"/>
        </w:tabs>
        <w:spacing w:before="120" w:after="120"/>
        <w:rPr>
          <w:rFonts w:ascii="Rockwell" w:hAnsi="Rockwell"/>
          <w:sz w:val="10"/>
          <w:szCs w:val="10"/>
        </w:rPr>
      </w:pPr>
    </w:p>
    <w:p w14:paraId="32B1A170" w14:textId="77777777" w:rsidR="00284822" w:rsidRDefault="00F77BF8">
      <w:pPr>
        <w:pStyle w:val="Titre4"/>
        <w:spacing w:before="120" w:after="120"/>
        <w:rPr>
          <w:rFonts w:ascii="Rockwell" w:hAnsi="Rockwell"/>
          <w:sz w:val="28"/>
          <w:szCs w:val="28"/>
        </w:rPr>
      </w:pPr>
      <w:bookmarkStart w:id="225" w:name="_Toc175048719"/>
      <w:r>
        <w:rPr>
          <w:rFonts w:ascii="Rockwell" w:hAnsi="Rockwell"/>
          <w:sz w:val="28"/>
          <w:szCs w:val="28"/>
        </w:rPr>
        <w:lastRenderedPageBreak/>
        <w:t xml:space="preserve">Paragraphe 3 : Affaire BOUGAIRE /ZANGREYANOGHO Marie Danielle contre le CSC et M. </w:t>
      </w:r>
      <w:proofErr w:type="spellStart"/>
      <w:r>
        <w:rPr>
          <w:rFonts w:ascii="Rockwell" w:hAnsi="Rockwell"/>
          <w:sz w:val="28"/>
          <w:szCs w:val="28"/>
        </w:rPr>
        <w:t>Abdoulazize</w:t>
      </w:r>
      <w:proofErr w:type="spellEnd"/>
      <w:r>
        <w:rPr>
          <w:rFonts w:ascii="Rockwell" w:hAnsi="Rockwell"/>
          <w:sz w:val="28"/>
          <w:szCs w:val="28"/>
        </w:rPr>
        <w:t xml:space="preserve"> BAMOGO</w:t>
      </w:r>
      <w:bookmarkEnd w:id="225"/>
    </w:p>
    <w:p w14:paraId="638B1A6E" w14:textId="77777777" w:rsidR="00284822" w:rsidRDefault="00F77BF8">
      <w:pPr>
        <w:tabs>
          <w:tab w:val="left" w:pos="1033"/>
        </w:tabs>
        <w:spacing w:before="120" w:after="120"/>
        <w:rPr>
          <w:rFonts w:ascii="Rockwell" w:hAnsi="Rockwell"/>
          <w:szCs w:val="26"/>
        </w:rPr>
      </w:pPr>
      <w:r>
        <w:rPr>
          <w:rFonts w:ascii="Rockwell" w:hAnsi="Rockwell"/>
          <w:szCs w:val="26"/>
        </w:rPr>
        <w:t xml:space="preserve">Par requête enregistrée le 07 juin 2022 au greffe du Tribunal administratif de Ouagadougou, Madame Marie Danielle BOUGAIRE/ZANGREYANOGHO, membre du collège des conseillers, agissant par Maître Y. Armand BOUYAIN, a sollicité la suspension du procès-verbal d’élection du Président et du Vice-président du CSC en date du 31 mai 2022. Cette élection, tenue sous la supervision d’un huissier de justice, consacrait M. </w:t>
      </w:r>
      <w:proofErr w:type="spellStart"/>
      <w:r>
        <w:rPr>
          <w:rFonts w:ascii="Rockwell" w:hAnsi="Rockwell"/>
          <w:szCs w:val="26"/>
        </w:rPr>
        <w:t>Abdoulazize</w:t>
      </w:r>
      <w:proofErr w:type="spellEnd"/>
      <w:r>
        <w:rPr>
          <w:rFonts w:ascii="Rockwell" w:hAnsi="Rockwell"/>
          <w:szCs w:val="26"/>
        </w:rPr>
        <w:t xml:space="preserve"> BAMOGO, Président du CSC et Mme Séraphine YAMEOGO/OUATTARA, Vice-présidente.</w:t>
      </w:r>
    </w:p>
    <w:p w14:paraId="6A81D882" w14:textId="77777777" w:rsidR="00284822" w:rsidRDefault="00F77BF8">
      <w:pPr>
        <w:tabs>
          <w:tab w:val="left" w:pos="1033"/>
        </w:tabs>
        <w:spacing w:before="120" w:after="120"/>
        <w:rPr>
          <w:rFonts w:ascii="Rockwell" w:hAnsi="Rockwell"/>
          <w:szCs w:val="26"/>
        </w:rPr>
      </w:pPr>
      <w:r>
        <w:rPr>
          <w:rFonts w:ascii="Rockwell" w:hAnsi="Rockwell"/>
          <w:szCs w:val="26"/>
        </w:rPr>
        <w:t>La requérante a estimé que le procès-verbal de l’élection du Président et du Vice-président du CSC était entaché d’irrégularités. Elle a donc saisi le tribunal administratif d’un recours en annulation. Elle a également saisi la juridiction du Président du tribunal pour voir suspendre, en référé, le procès-verbal d’élection. L’audience de référé s’est tenue le 24 juin 2022. Il ressort de l’ordonnance n°24-1/2022 le dispositif suivant :</w:t>
      </w:r>
    </w:p>
    <w:p w14:paraId="125BD84F" w14:textId="77777777" w:rsidR="00284822" w:rsidRDefault="00F77BF8">
      <w:pPr>
        <w:tabs>
          <w:tab w:val="left" w:pos="1033"/>
        </w:tabs>
        <w:spacing w:before="120" w:after="120"/>
        <w:rPr>
          <w:rFonts w:ascii="Rockwell" w:hAnsi="Rockwell"/>
          <w:i/>
          <w:szCs w:val="26"/>
        </w:rPr>
      </w:pPr>
      <w:r>
        <w:rPr>
          <w:rFonts w:ascii="Rockwell" w:hAnsi="Rockwell"/>
          <w:i/>
          <w:szCs w:val="26"/>
        </w:rPr>
        <w:t xml:space="preserve">Statuant en référé contradictoirement en matière administrative et en premier ressort : </w:t>
      </w:r>
    </w:p>
    <w:p w14:paraId="68860372" w14:textId="77777777" w:rsidR="00284822" w:rsidRDefault="00F77BF8">
      <w:pPr>
        <w:tabs>
          <w:tab w:val="left" w:pos="1033"/>
        </w:tabs>
        <w:spacing w:before="120" w:after="120"/>
        <w:rPr>
          <w:rFonts w:ascii="Rockwell" w:hAnsi="Rockwell"/>
          <w:szCs w:val="26"/>
        </w:rPr>
      </w:pPr>
      <w:r>
        <w:rPr>
          <w:rFonts w:ascii="Rockwell" w:hAnsi="Rockwell"/>
          <w:b/>
          <w:i/>
          <w:szCs w:val="26"/>
          <w:u w:val="single"/>
        </w:rPr>
        <w:t>En la forme</w:t>
      </w:r>
      <w:r>
        <w:rPr>
          <w:rFonts w:ascii="Rockwell" w:hAnsi="Rockwell"/>
          <w:i/>
          <w:szCs w:val="26"/>
        </w:rPr>
        <w:t> : rejetons l’exception d’irrecevabilité tirée du caractère préparatoire de l’acte querellé ;</w:t>
      </w:r>
    </w:p>
    <w:p w14:paraId="783F27D1" w14:textId="77777777" w:rsidR="00284822" w:rsidRDefault="00F77BF8">
      <w:pPr>
        <w:tabs>
          <w:tab w:val="left" w:pos="1033"/>
        </w:tabs>
        <w:spacing w:before="120" w:after="120"/>
        <w:rPr>
          <w:rFonts w:ascii="Rockwell" w:hAnsi="Rockwell"/>
          <w:i/>
          <w:szCs w:val="26"/>
        </w:rPr>
      </w:pPr>
      <w:r>
        <w:rPr>
          <w:rFonts w:ascii="Rockwell" w:hAnsi="Rockwell"/>
          <w:i/>
          <w:szCs w:val="26"/>
        </w:rPr>
        <w:t>Déclarons recevable la requête aux fins de suspension introduite par Madame BOUGAIRE/Z. M. Danielle ;</w:t>
      </w:r>
    </w:p>
    <w:p w14:paraId="29E78359" w14:textId="77777777" w:rsidR="00284822" w:rsidRDefault="00F77BF8">
      <w:pPr>
        <w:tabs>
          <w:tab w:val="left" w:pos="1033"/>
        </w:tabs>
        <w:spacing w:before="120" w:after="120"/>
        <w:rPr>
          <w:rFonts w:ascii="Rockwell" w:hAnsi="Rockwell"/>
          <w:szCs w:val="26"/>
        </w:rPr>
      </w:pPr>
      <w:r>
        <w:rPr>
          <w:rFonts w:ascii="Rockwell" w:hAnsi="Rockwell"/>
          <w:i/>
          <w:szCs w:val="26"/>
          <w:u w:val="single"/>
        </w:rPr>
        <w:t>Au fond</w:t>
      </w:r>
      <w:r>
        <w:rPr>
          <w:rFonts w:ascii="Rockwell" w:hAnsi="Rockwell"/>
          <w:b/>
          <w:i/>
          <w:szCs w:val="26"/>
        </w:rPr>
        <w:t> </w:t>
      </w:r>
      <w:r>
        <w:rPr>
          <w:rFonts w:ascii="Rockwell" w:hAnsi="Rockwell"/>
          <w:i/>
          <w:szCs w:val="26"/>
        </w:rPr>
        <w:t xml:space="preserve">: Disons qu’il n’existe pas de doute sérieux quant à la légalité du procès-verbal en date du 31 mai 2022 relatif à l’élection de Monsieur </w:t>
      </w:r>
      <w:proofErr w:type="spellStart"/>
      <w:r>
        <w:rPr>
          <w:rFonts w:ascii="Rockwell" w:hAnsi="Rockwell"/>
          <w:i/>
          <w:szCs w:val="26"/>
        </w:rPr>
        <w:t>Abdoulazize</w:t>
      </w:r>
      <w:proofErr w:type="spellEnd"/>
      <w:r>
        <w:rPr>
          <w:rFonts w:ascii="Rockwell" w:hAnsi="Rockwell"/>
          <w:i/>
          <w:szCs w:val="26"/>
        </w:rPr>
        <w:t xml:space="preserve"> BAMOGO comme Président du CSC ;</w:t>
      </w:r>
    </w:p>
    <w:p w14:paraId="31A6C214" w14:textId="77777777" w:rsidR="00284822" w:rsidRDefault="00F77BF8">
      <w:pPr>
        <w:tabs>
          <w:tab w:val="left" w:pos="1033"/>
        </w:tabs>
        <w:spacing w:before="120" w:after="120"/>
        <w:rPr>
          <w:rFonts w:ascii="Rockwell" w:hAnsi="Rockwell"/>
          <w:i/>
          <w:szCs w:val="26"/>
        </w:rPr>
      </w:pPr>
      <w:r>
        <w:rPr>
          <w:rFonts w:ascii="Rockwell" w:hAnsi="Rockwell"/>
          <w:i/>
          <w:szCs w:val="26"/>
        </w:rPr>
        <w:t>Déboutons en conséquence Madame BOUGAIRE de sa demande de suspension ;</w:t>
      </w:r>
    </w:p>
    <w:p w14:paraId="65703D73" w14:textId="77777777" w:rsidR="00284822" w:rsidRDefault="00F77BF8">
      <w:pPr>
        <w:tabs>
          <w:tab w:val="left" w:pos="1033"/>
        </w:tabs>
        <w:spacing w:before="120" w:after="120"/>
        <w:rPr>
          <w:rFonts w:ascii="Rockwell" w:hAnsi="Rockwell"/>
          <w:i/>
          <w:szCs w:val="26"/>
        </w:rPr>
      </w:pPr>
      <w:r>
        <w:rPr>
          <w:rFonts w:ascii="Rockwell" w:hAnsi="Rockwell"/>
          <w:i/>
          <w:szCs w:val="26"/>
        </w:rPr>
        <w:lastRenderedPageBreak/>
        <w:t xml:space="preserve">Déboutons le CSC et M. </w:t>
      </w:r>
      <w:proofErr w:type="spellStart"/>
      <w:r>
        <w:rPr>
          <w:rFonts w:ascii="Rockwell" w:hAnsi="Rockwell"/>
          <w:i/>
          <w:szCs w:val="26"/>
        </w:rPr>
        <w:t>Abdoulazize</w:t>
      </w:r>
      <w:proofErr w:type="spellEnd"/>
      <w:r>
        <w:rPr>
          <w:rFonts w:ascii="Rockwell" w:hAnsi="Rockwell"/>
          <w:i/>
          <w:szCs w:val="26"/>
        </w:rPr>
        <w:t xml:space="preserve"> BAMOGO de leurs demandes de frais exposés non compris dans les dépens ;</w:t>
      </w:r>
    </w:p>
    <w:p w14:paraId="1DF249DC" w14:textId="77777777" w:rsidR="00284822" w:rsidRDefault="00F77BF8">
      <w:pPr>
        <w:tabs>
          <w:tab w:val="left" w:pos="1033"/>
        </w:tabs>
        <w:spacing w:before="120" w:after="120"/>
        <w:rPr>
          <w:rFonts w:ascii="Rockwell" w:hAnsi="Rockwell"/>
          <w:i/>
          <w:szCs w:val="26"/>
        </w:rPr>
      </w:pPr>
      <w:r>
        <w:rPr>
          <w:rFonts w:ascii="Rockwell" w:hAnsi="Rockwell"/>
          <w:i/>
          <w:szCs w:val="26"/>
        </w:rPr>
        <w:t>Mettons les dépens à la charge de la requérante.</w:t>
      </w:r>
    </w:p>
    <w:p w14:paraId="730831AB" w14:textId="77777777" w:rsidR="00284822" w:rsidRDefault="00F77BF8">
      <w:pPr>
        <w:tabs>
          <w:tab w:val="left" w:pos="1033"/>
        </w:tabs>
        <w:spacing w:before="120" w:after="120"/>
        <w:rPr>
          <w:rFonts w:ascii="Rockwell" w:hAnsi="Rockwell"/>
          <w:szCs w:val="26"/>
        </w:rPr>
      </w:pPr>
      <w:r>
        <w:rPr>
          <w:rFonts w:ascii="Rockwell" w:hAnsi="Rockwell"/>
          <w:szCs w:val="26"/>
        </w:rPr>
        <w:t>Dans cette affaire, le CSC a été assisté par l’AJE. Quant à M. BAMOGO, il a été défendu par le Cabinet KAM &amp; SOME.</w:t>
      </w:r>
    </w:p>
    <w:p w14:paraId="1C666888" w14:textId="77777777" w:rsidR="00284822" w:rsidRDefault="00284822">
      <w:pPr>
        <w:tabs>
          <w:tab w:val="left" w:pos="1033"/>
        </w:tabs>
        <w:spacing w:before="120" w:after="120"/>
        <w:rPr>
          <w:rFonts w:ascii="Rockwell" w:hAnsi="Rockwell"/>
          <w:sz w:val="10"/>
          <w:szCs w:val="10"/>
        </w:rPr>
      </w:pPr>
    </w:p>
    <w:p w14:paraId="1FC4E32E" w14:textId="77777777" w:rsidR="00284822" w:rsidRDefault="00F77BF8">
      <w:pPr>
        <w:pStyle w:val="Titre4"/>
        <w:spacing w:before="120" w:after="120"/>
        <w:rPr>
          <w:rFonts w:ascii="Rockwell" w:hAnsi="Rockwell"/>
          <w:sz w:val="28"/>
          <w:szCs w:val="28"/>
        </w:rPr>
      </w:pPr>
      <w:bookmarkStart w:id="226" w:name="_Toc175048720"/>
      <w:r>
        <w:rPr>
          <w:rFonts w:ascii="Rockwell" w:hAnsi="Rockwell"/>
          <w:sz w:val="28"/>
          <w:szCs w:val="28"/>
        </w:rPr>
        <w:t>Paragraphe 4 : Affaire suspension des fonctions de la Présidente du CSC en 2018</w:t>
      </w:r>
      <w:bookmarkEnd w:id="226"/>
    </w:p>
    <w:p w14:paraId="5F4C10E9" w14:textId="77777777" w:rsidR="00284822" w:rsidRDefault="00F77BF8">
      <w:pPr>
        <w:tabs>
          <w:tab w:val="left" w:pos="3525"/>
        </w:tabs>
        <w:spacing w:before="120" w:after="120"/>
        <w:rPr>
          <w:rFonts w:ascii="Rockwell" w:hAnsi="Rockwell"/>
          <w:sz w:val="10"/>
          <w:szCs w:val="10"/>
        </w:rPr>
      </w:pPr>
      <w:r>
        <w:rPr>
          <w:rFonts w:ascii="Rockwell" w:hAnsi="Rockwell"/>
          <w:szCs w:val="26"/>
        </w:rPr>
        <w:tab/>
      </w:r>
    </w:p>
    <w:p w14:paraId="04319324" w14:textId="77777777" w:rsidR="00284822" w:rsidRDefault="00F77BF8">
      <w:pPr>
        <w:spacing w:before="120" w:after="120"/>
        <w:rPr>
          <w:rFonts w:ascii="Rockwell" w:hAnsi="Rockwell"/>
          <w:szCs w:val="26"/>
        </w:rPr>
      </w:pPr>
      <w:r>
        <w:rPr>
          <w:rFonts w:ascii="Rockwell" w:hAnsi="Rockwell"/>
          <w:szCs w:val="26"/>
        </w:rPr>
        <w:t>Le 24 janvier 2023, le Tribunal Administratif de Ouagadougou (TAO) a examiné l’affaire susmentionnée dans laquelle Madame Nathalie SOME, ancienne Présidente du CSC, a exercé un recours en annulation de l’arrêté n°2018-008/CSC/CAB du 26 mars 2018 portant suspension de ses fonctions de Présidente du CSC (requête en date du 25 mai 2018).</w:t>
      </w:r>
    </w:p>
    <w:p w14:paraId="7CE66D0B" w14:textId="77777777" w:rsidR="00284822" w:rsidRDefault="00F77BF8">
      <w:pPr>
        <w:spacing w:before="120" w:after="120"/>
        <w:rPr>
          <w:rFonts w:ascii="Rockwell" w:hAnsi="Rockwell"/>
          <w:szCs w:val="26"/>
        </w:rPr>
      </w:pPr>
      <w:r>
        <w:rPr>
          <w:rFonts w:ascii="Rockwell" w:hAnsi="Rockwell"/>
          <w:szCs w:val="26"/>
        </w:rPr>
        <w:t>La requérante estime que ledit arrêté est illégal :</w:t>
      </w:r>
    </w:p>
    <w:p w14:paraId="2EF23C34" w14:textId="77777777" w:rsidR="00284822" w:rsidRDefault="00F77BF8">
      <w:pPr>
        <w:pStyle w:val="Paragraphedeliste"/>
        <w:numPr>
          <w:ilvl w:val="0"/>
          <w:numId w:val="36"/>
        </w:numPr>
        <w:textAlignment w:val="auto"/>
        <w:rPr>
          <w:rFonts w:ascii="Rockwell" w:hAnsi="Rockwell"/>
        </w:rPr>
      </w:pPr>
      <w:proofErr w:type="gramStart"/>
      <w:r>
        <w:rPr>
          <w:rFonts w:ascii="Rockwell" w:hAnsi="Rockwell"/>
        </w:rPr>
        <w:t>d’une</w:t>
      </w:r>
      <w:proofErr w:type="gramEnd"/>
      <w:r>
        <w:rPr>
          <w:rFonts w:ascii="Rockwell" w:hAnsi="Rockwell"/>
        </w:rPr>
        <w:t xml:space="preserve"> part en ce qu’il viole la loi organique n°015-2013/AN du 14 mai 2013 portant attributions, composition, organisation et fonctionnement du CSC, notamment en son article 37 qui prescrit que les fautes des membres du CSC, pouvant donner lieu à révocation, soient constatées par le Conseil Constitutionnel avant toute sanction ; </w:t>
      </w:r>
    </w:p>
    <w:p w14:paraId="1DFC5E73" w14:textId="77777777" w:rsidR="00284822" w:rsidRDefault="00F77BF8">
      <w:pPr>
        <w:pStyle w:val="Paragraphedeliste"/>
        <w:numPr>
          <w:ilvl w:val="0"/>
          <w:numId w:val="36"/>
        </w:numPr>
        <w:textAlignment w:val="auto"/>
        <w:rPr>
          <w:rFonts w:ascii="Rockwell" w:hAnsi="Rockwell"/>
        </w:rPr>
      </w:pPr>
      <w:proofErr w:type="gramStart"/>
      <w:r>
        <w:rPr>
          <w:rFonts w:ascii="Rockwell" w:hAnsi="Rockwell"/>
        </w:rPr>
        <w:t>et</w:t>
      </w:r>
      <w:proofErr w:type="gramEnd"/>
      <w:r>
        <w:rPr>
          <w:rFonts w:ascii="Rockwell" w:hAnsi="Rockwell"/>
        </w:rPr>
        <w:t xml:space="preserve"> d’autre part en ce que le Vice-président, signataire de l’acte, n’avait pas compétence à le prendre (article 28 de la loi organique).</w:t>
      </w:r>
    </w:p>
    <w:p w14:paraId="75C02728" w14:textId="77777777" w:rsidR="00284822" w:rsidRDefault="00F77BF8">
      <w:pPr>
        <w:spacing w:before="120" w:after="120"/>
        <w:rPr>
          <w:rFonts w:ascii="Rockwell" w:hAnsi="Rockwell"/>
          <w:szCs w:val="26"/>
        </w:rPr>
      </w:pPr>
      <w:r>
        <w:rPr>
          <w:rFonts w:ascii="Rockwell" w:hAnsi="Rockwell"/>
          <w:szCs w:val="26"/>
        </w:rPr>
        <w:t>Le dossier, initialement programmé pour le 20 décembre 2022, a été renvoyé au 24 janvier 2023 sur demande du Conseil de la requérante.</w:t>
      </w:r>
    </w:p>
    <w:p w14:paraId="2797BFD3" w14:textId="77777777" w:rsidR="00284822" w:rsidRDefault="00284822">
      <w:pPr>
        <w:spacing w:before="120" w:after="120"/>
        <w:rPr>
          <w:rFonts w:ascii="Rockwell" w:hAnsi="Rockwell"/>
          <w:szCs w:val="26"/>
        </w:rPr>
        <w:sectPr w:rsidR="00284822">
          <w:headerReference w:type="default" r:id="rId94"/>
          <w:footerReference w:type="default" r:id="rId95"/>
          <w:pgSz w:w="11906" w:h="16838"/>
          <w:pgMar w:top="1418" w:right="1418" w:bottom="1418" w:left="1418" w:header="720" w:footer="720" w:gutter="0"/>
          <w:cols w:space="720"/>
        </w:sectPr>
      </w:pPr>
    </w:p>
    <w:p w14:paraId="2D9215DB" w14:textId="77777777" w:rsidR="00284822" w:rsidRDefault="00F77BF8">
      <w:pPr>
        <w:pStyle w:val="Titre3"/>
        <w:spacing w:before="120" w:after="120"/>
        <w:rPr>
          <w:rFonts w:ascii="Rockwell" w:hAnsi="Rockwell"/>
        </w:rPr>
      </w:pPr>
      <w:bookmarkStart w:id="227" w:name="_Toc170304761"/>
      <w:bookmarkStart w:id="228" w:name="_Toc175048721"/>
      <w:r>
        <w:rPr>
          <w:rFonts w:ascii="Rockwell" w:hAnsi="Rockwell"/>
        </w:rPr>
        <w:lastRenderedPageBreak/>
        <w:t>SECTION 2 : ACTIVITES DE MEDIATION</w:t>
      </w:r>
      <w:bookmarkEnd w:id="227"/>
      <w:bookmarkEnd w:id="228"/>
    </w:p>
    <w:p w14:paraId="585D2E33" w14:textId="77777777" w:rsidR="00284822" w:rsidRDefault="00284822">
      <w:pPr>
        <w:spacing w:before="120" w:after="120"/>
      </w:pPr>
    </w:p>
    <w:p w14:paraId="09C24AD9" w14:textId="77777777" w:rsidR="00284822" w:rsidRDefault="00F77BF8">
      <w:pPr>
        <w:spacing w:before="120" w:after="120"/>
        <w:rPr>
          <w:rFonts w:ascii="Rockwell" w:hAnsi="Rockwell"/>
          <w:szCs w:val="26"/>
        </w:rPr>
      </w:pPr>
      <w:r>
        <w:rPr>
          <w:rFonts w:ascii="Rockwell" w:hAnsi="Rockwell"/>
          <w:szCs w:val="26"/>
        </w:rPr>
        <w:t>Contrairement aux années précédentes, le CSC n’a pas mené d’actions de médiation en 2022.</w:t>
      </w:r>
    </w:p>
    <w:p w14:paraId="7DBE2505" w14:textId="77777777" w:rsidR="00284822" w:rsidRDefault="00284822">
      <w:pPr>
        <w:spacing w:before="120" w:after="120"/>
        <w:rPr>
          <w:rFonts w:ascii="Rockwell" w:hAnsi="Rockwell"/>
          <w:szCs w:val="26"/>
        </w:rPr>
      </w:pPr>
    </w:p>
    <w:p w14:paraId="61DE13C0" w14:textId="77777777" w:rsidR="00284822" w:rsidRDefault="00284822">
      <w:pPr>
        <w:spacing w:before="120" w:after="120"/>
        <w:rPr>
          <w:rFonts w:ascii="Rockwell" w:hAnsi="Rockwell"/>
          <w:szCs w:val="26"/>
        </w:rPr>
        <w:sectPr w:rsidR="00284822">
          <w:pgSz w:w="11906" w:h="16838"/>
          <w:pgMar w:top="1418" w:right="1418" w:bottom="1418" w:left="1418" w:header="720" w:footer="720" w:gutter="0"/>
          <w:cols w:space="720"/>
        </w:sectPr>
      </w:pPr>
    </w:p>
    <w:p w14:paraId="2EC9AE58" w14:textId="77777777" w:rsidR="00284822" w:rsidRDefault="00284822">
      <w:pPr>
        <w:spacing w:before="120" w:after="120"/>
        <w:ind w:firstLine="708"/>
        <w:rPr>
          <w:rFonts w:ascii="Rockwell" w:hAnsi="Rockwell"/>
          <w:szCs w:val="26"/>
        </w:rPr>
      </w:pPr>
    </w:p>
    <w:p w14:paraId="0A322404" w14:textId="77777777" w:rsidR="00284822" w:rsidRDefault="00284822">
      <w:pPr>
        <w:spacing w:before="120" w:after="120"/>
        <w:ind w:firstLine="708"/>
        <w:rPr>
          <w:rFonts w:ascii="Rockwell" w:hAnsi="Rockwell"/>
          <w:szCs w:val="26"/>
        </w:rPr>
      </w:pPr>
    </w:p>
    <w:p w14:paraId="409C60DB" w14:textId="77777777" w:rsidR="00284822" w:rsidRDefault="00284822">
      <w:pPr>
        <w:spacing w:before="120" w:after="120"/>
        <w:rPr>
          <w:rFonts w:ascii="Rockwell" w:hAnsi="Rockwell"/>
          <w:szCs w:val="26"/>
        </w:rPr>
      </w:pPr>
    </w:p>
    <w:p w14:paraId="4A3C7C43" w14:textId="77777777" w:rsidR="00284822" w:rsidRDefault="00284822">
      <w:pPr>
        <w:spacing w:before="120" w:after="120"/>
        <w:rPr>
          <w:rFonts w:ascii="Rockwell" w:hAnsi="Rockwell"/>
          <w:szCs w:val="26"/>
        </w:rPr>
      </w:pPr>
    </w:p>
    <w:p w14:paraId="0D77F3DB" w14:textId="77777777" w:rsidR="00284822" w:rsidRDefault="00284822">
      <w:pPr>
        <w:spacing w:before="120" w:after="120"/>
        <w:rPr>
          <w:rFonts w:ascii="Rockwell" w:hAnsi="Rockwell"/>
          <w:szCs w:val="26"/>
        </w:rPr>
      </w:pPr>
    </w:p>
    <w:p w14:paraId="4DD2C00C" w14:textId="77777777" w:rsidR="00284822" w:rsidRDefault="00284822">
      <w:pPr>
        <w:spacing w:before="120" w:after="120"/>
        <w:rPr>
          <w:rFonts w:ascii="Rockwell" w:hAnsi="Rockwell"/>
          <w:szCs w:val="26"/>
        </w:rPr>
      </w:pPr>
    </w:p>
    <w:p w14:paraId="291E5BA3" w14:textId="77777777" w:rsidR="00284822" w:rsidRDefault="00284822">
      <w:pPr>
        <w:spacing w:before="120" w:after="120"/>
        <w:rPr>
          <w:rFonts w:ascii="Rockwell" w:hAnsi="Rockwell"/>
          <w:szCs w:val="26"/>
        </w:rPr>
      </w:pPr>
    </w:p>
    <w:p w14:paraId="0CAE3670" w14:textId="77777777" w:rsidR="00284822" w:rsidRDefault="00F77BF8">
      <w:pPr>
        <w:spacing w:before="120" w:after="120"/>
        <w:rPr>
          <w:rFonts w:ascii="Rockwell" w:hAnsi="Rockwell"/>
          <w:szCs w:val="26"/>
        </w:rPr>
      </w:pPr>
      <w:r>
        <w:rPr>
          <w:rFonts w:ascii="Rockwell" w:eastAsiaTheme="minorEastAsia" w:hAnsi="Rockwell" w:cstheme="minorBidi"/>
          <w:noProof/>
          <w:sz w:val="22"/>
          <w:szCs w:val="26"/>
        </w:rPr>
        <mc:AlternateContent>
          <mc:Choice Requires="wps">
            <w:drawing>
              <wp:anchor distT="0" distB="0" distL="114300" distR="114300" simplePos="0" relativeHeight="251668480" behindDoc="0" locked="0" layoutInCell="1" allowOverlap="1" wp14:anchorId="4F36CABA" wp14:editId="1D3ED085">
                <wp:simplePos x="0" y="0"/>
                <wp:positionH relativeFrom="margin">
                  <wp:posOffset>80645</wp:posOffset>
                </wp:positionH>
                <wp:positionV relativeFrom="paragraph">
                  <wp:posOffset>130810</wp:posOffset>
                </wp:positionV>
                <wp:extent cx="5591175" cy="2044065"/>
                <wp:effectExtent l="19050" t="19050" r="28575" b="13335"/>
                <wp:wrapNone/>
                <wp:docPr id="64" name="Rectangle à coins arrondis 64"/>
                <wp:cNvGraphicFramePr/>
                <a:graphic xmlns:a="http://schemas.openxmlformats.org/drawingml/2006/main">
                  <a:graphicData uri="http://schemas.microsoft.com/office/word/2010/wordprocessingShape">
                    <wps:wsp>
                      <wps:cNvSpPr/>
                      <wps:spPr>
                        <a:xfrm>
                          <a:off x="0" y="0"/>
                          <a:ext cx="5591175" cy="2044065"/>
                        </a:xfrm>
                        <a:prstGeom prst="roundRect">
                          <a:avLst/>
                        </a:prstGeom>
                        <a:gradFill flip="none" rotWithShape="1">
                          <a:gsLst>
                            <a:gs pos="0">
                              <a:srgbClr val="00B0F0">
                                <a:tint val="66000"/>
                                <a:satMod val="160000"/>
                              </a:srgbClr>
                            </a:gs>
                            <a:gs pos="50000">
                              <a:srgbClr val="00B0F0">
                                <a:tint val="44500"/>
                                <a:satMod val="160000"/>
                              </a:srgbClr>
                            </a:gs>
                            <a:gs pos="100000">
                              <a:srgbClr val="00B0F0">
                                <a:tint val="23500"/>
                                <a:satMod val="160000"/>
                              </a:srgbClr>
                            </a:gs>
                          </a:gsLst>
                          <a:lin ang="5400000" scaled="1"/>
                          <a:tileRect/>
                        </a:gradFill>
                        <a:ln w="28575" cap="flat" cmpd="sng" algn="ctr">
                          <a:solidFill>
                            <a:sysClr val="windowText" lastClr="000000"/>
                          </a:solidFill>
                          <a:prstDash val="solid"/>
                          <a:miter lim="800000"/>
                        </a:ln>
                        <a:effectLst/>
                      </wps:spPr>
                      <wps:txbx>
                        <w:txbxContent>
                          <w:p w14:paraId="4DD3F4A6" w14:textId="77777777" w:rsidR="003148F1" w:rsidRDefault="003148F1">
                            <w:pPr>
                              <w:pStyle w:val="Titre1"/>
                              <w:rPr>
                                <w:rFonts w:ascii="Rockwell" w:hAnsi="Rockwell"/>
                              </w:rPr>
                            </w:pPr>
                            <w:bookmarkStart w:id="229" w:name="_Toc175048722"/>
                            <w:bookmarkStart w:id="230" w:name="_Toc170304762"/>
                            <w:bookmarkStart w:id="231" w:name="_Toc122608700"/>
                            <w:bookmarkStart w:id="232" w:name="_Toc119511787"/>
                            <w:r>
                              <w:rPr>
                                <w:rFonts w:ascii="Rockwell" w:hAnsi="Rockwell"/>
                              </w:rPr>
                              <w:t>DEUXIEME PARTIE : RENCONTRES DE TRAVAIL</w:t>
                            </w:r>
                            <w:bookmarkEnd w:id="229"/>
                            <w:bookmarkEnd w:id="230"/>
                          </w:p>
                          <w:p w14:paraId="575D62A3" w14:textId="77777777" w:rsidR="003148F1" w:rsidRDefault="003148F1">
                            <w:pPr>
                              <w:pStyle w:val="Titre1"/>
                              <w:rPr>
                                <w:rFonts w:ascii="Rockwell" w:hAnsi="Rockwell"/>
                              </w:rPr>
                            </w:pPr>
                            <w:bookmarkStart w:id="233" w:name="_Toc170304763"/>
                            <w:bookmarkStart w:id="234" w:name="_Toc175048723"/>
                            <w:r>
                              <w:rPr>
                                <w:rFonts w:ascii="Rockwell" w:hAnsi="Rockwell"/>
                              </w:rPr>
                              <w:t>ET COOPERATION</w:t>
                            </w:r>
                            <w:bookmarkEnd w:id="231"/>
                            <w:bookmarkEnd w:id="232"/>
                            <w:bookmarkEnd w:id="233"/>
                            <w:bookmarkEnd w:id="234"/>
                          </w:p>
                          <w:p w14:paraId="349DFB5B" w14:textId="77777777" w:rsidR="003148F1" w:rsidRDefault="003148F1">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anchor>
            </w:drawing>
          </mc:Choice>
          <mc:Fallback>
            <w:pict>
              <v:roundrect w14:anchorId="4F36CABA" id="Rectangle à coins arrondis 64" o:spid="_x0000_s1040" style="position:absolute;left:0;text-align:left;margin-left:6.35pt;margin-top:10.3pt;width:440.25pt;height:160.9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" fillcolor="#83d3ff" strokecolor="windowText" strokeweight="2.25pt">
                <v:fill color2="#dbf0ff" rotate="t" colors="0 #83d3ff;.5 #b5e2ff;1 #dbf0ff" focus="100%" type="gradient"/>
                <v:stroke joinstyle="miter"/>
                <v:textbox>
                  <w:txbxContent>
                    <w:p w14:paraId="4DD3F4A6" w14:textId="77777777" w:rsidR="003148F1" w:rsidRDefault="003148F1">
                      <w:pPr>
                        <w:pStyle w:val="Titre1"/>
                        <w:rPr>
                          <w:rFonts w:ascii="Rockwell" w:hAnsi="Rockwell"/>
                        </w:rPr>
                      </w:pPr>
                      <w:bookmarkStart w:id="235" w:name="_Toc175048722"/>
                      <w:bookmarkStart w:id="236" w:name="_Toc170304762"/>
                      <w:bookmarkStart w:id="237" w:name="_Toc122608700"/>
                      <w:bookmarkStart w:id="238" w:name="_Toc119511787"/>
                      <w:r>
                        <w:rPr>
                          <w:rFonts w:ascii="Rockwell" w:hAnsi="Rockwell"/>
                        </w:rPr>
                        <w:t>DEUXIEME PARTIE : RENCONTRES DE TRAVAIL</w:t>
                      </w:r>
                      <w:bookmarkEnd w:id="235"/>
                      <w:bookmarkEnd w:id="236"/>
                    </w:p>
                    <w:p w14:paraId="575D62A3" w14:textId="77777777" w:rsidR="003148F1" w:rsidRDefault="003148F1">
                      <w:pPr>
                        <w:pStyle w:val="Titre1"/>
                        <w:rPr>
                          <w:rFonts w:ascii="Rockwell" w:hAnsi="Rockwell"/>
                        </w:rPr>
                      </w:pPr>
                      <w:bookmarkStart w:id="239" w:name="_Toc170304763"/>
                      <w:bookmarkStart w:id="240" w:name="_Toc175048723"/>
                      <w:r>
                        <w:rPr>
                          <w:rFonts w:ascii="Rockwell" w:hAnsi="Rockwell"/>
                        </w:rPr>
                        <w:t>ET COOPERATION</w:t>
                      </w:r>
                      <w:bookmarkEnd w:id="237"/>
                      <w:bookmarkEnd w:id="238"/>
                      <w:bookmarkEnd w:id="239"/>
                      <w:bookmarkEnd w:id="240"/>
                    </w:p>
                    <w:p w14:paraId="349DFB5B" w14:textId="77777777" w:rsidR="003148F1" w:rsidRDefault="003148F1">
                      <w:pPr>
                        <w:jc w:val="center"/>
                      </w:pPr>
                    </w:p>
                  </w:txbxContent>
                </v:textbox>
                <w10:wrap anchorx="margin"/>
              </v:roundrect>
            </w:pict>
          </mc:Fallback>
        </mc:AlternateContent>
      </w:r>
    </w:p>
    <w:p w14:paraId="126B1F56" w14:textId="77777777" w:rsidR="00284822" w:rsidRDefault="00284822">
      <w:pPr>
        <w:spacing w:before="120" w:after="120"/>
        <w:rPr>
          <w:rFonts w:ascii="Rockwell" w:hAnsi="Rockwell"/>
          <w:szCs w:val="26"/>
        </w:rPr>
      </w:pPr>
    </w:p>
    <w:p w14:paraId="329DE602" w14:textId="77777777" w:rsidR="00284822" w:rsidRDefault="00284822">
      <w:pPr>
        <w:spacing w:before="120" w:after="120"/>
        <w:rPr>
          <w:rFonts w:ascii="Rockwell" w:hAnsi="Rockwell"/>
          <w:szCs w:val="26"/>
        </w:rPr>
      </w:pPr>
    </w:p>
    <w:p w14:paraId="6E8DA44E" w14:textId="77777777" w:rsidR="00284822" w:rsidRDefault="00284822">
      <w:pPr>
        <w:spacing w:before="120" w:after="120"/>
        <w:rPr>
          <w:rFonts w:ascii="Rockwell" w:hAnsi="Rockwell"/>
          <w:szCs w:val="26"/>
        </w:rPr>
      </w:pPr>
    </w:p>
    <w:p w14:paraId="4AE52C69" w14:textId="77777777" w:rsidR="00284822" w:rsidRDefault="00284822">
      <w:pPr>
        <w:spacing w:before="120" w:after="120"/>
        <w:rPr>
          <w:rFonts w:ascii="Rockwell" w:hAnsi="Rockwell"/>
          <w:szCs w:val="26"/>
        </w:rPr>
      </w:pPr>
    </w:p>
    <w:p w14:paraId="54E59D86" w14:textId="77777777" w:rsidR="00284822" w:rsidRDefault="00284822">
      <w:pPr>
        <w:spacing w:before="120" w:after="120"/>
        <w:rPr>
          <w:rFonts w:ascii="Rockwell" w:hAnsi="Rockwell"/>
          <w:szCs w:val="26"/>
        </w:rPr>
      </w:pPr>
    </w:p>
    <w:p w14:paraId="07D8EE4E" w14:textId="77777777" w:rsidR="00284822" w:rsidRDefault="00284822">
      <w:pPr>
        <w:spacing w:before="120" w:after="120"/>
        <w:rPr>
          <w:rFonts w:ascii="Rockwell" w:hAnsi="Rockwell"/>
          <w:szCs w:val="26"/>
        </w:rPr>
      </w:pPr>
    </w:p>
    <w:p w14:paraId="283AEAE6" w14:textId="77777777" w:rsidR="00284822" w:rsidRDefault="00284822">
      <w:pPr>
        <w:spacing w:before="120" w:after="120"/>
        <w:rPr>
          <w:rFonts w:ascii="Rockwell" w:hAnsi="Rockwell"/>
          <w:szCs w:val="26"/>
        </w:rPr>
      </w:pPr>
    </w:p>
    <w:p w14:paraId="775234BF" w14:textId="77777777" w:rsidR="00284822" w:rsidRDefault="00284822">
      <w:pPr>
        <w:spacing w:before="120" w:after="120"/>
        <w:rPr>
          <w:rFonts w:ascii="Rockwell" w:hAnsi="Rockwell"/>
          <w:szCs w:val="26"/>
        </w:rPr>
      </w:pPr>
    </w:p>
    <w:p w14:paraId="27BE7042" w14:textId="77777777" w:rsidR="00284822" w:rsidRDefault="00284822">
      <w:pPr>
        <w:spacing w:before="120" w:after="120"/>
        <w:rPr>
          <w:rFonts w:ascii="Rockwell" w:hAnsi="Rockwell"/>
          <w:szCs w:val="26"/>
        </w:rPr>
      </w:pPr>
    </w:p>
    <w:p w14:paraId="4FE56AF8" w14:textId="77777777" w:rsidR="00284822" w:rsidRDefault="00284822">
      <w:pPr>
        <w:spacing w:before="120" w:after="120"/>
        <w:rPr>
          <w:rFonts w:ascii="Rockwell" w:hAnsi="Rockwell"/>
          <w:szCs w:val="26"/>
        </w:rPr>
      </w:pPr>
    </w:p>
    <w:p w14:paraId="6643BE0C" w14:textId="77777777" w:rsidR="00284822" w:rsidRDefault="00F77BF8">
      <w:pPr>
        <w:tabs>
          <w:tab w:val="left" w:pos="1139"/>
        </w:tabs>
        <w:spacing w:before="120" w:after="120"/>
        <w:rPr>
          <w:rFonts w:ascii="Rockwell" w:hAnsi="Rockwell"/>
          <w:szCs w:val="26"/>
        </w:rPr>
        <w:sectPr w:rsidR="00284822">
          <w:pgSz w:w="11906" w:h="16838"/>
          <w:pgMar w:top="1418" w:right="1418" w:bottom="1418" w:left="1418" w:header="720" w:footer="720" w:gutter="0"/>
          <w:cols w:space="720"/>
        </w:sectPr>
      </w:pPr>
      <w:r>
        <w:rPr>
          <w:rFonts w:ascii="Rockwell" w:hAnsi="Rockwell"/>
          <w:szCs w:val="26"/>
        </w:rPr>
        <w:tab/>
      </w:r>
    </w:p>
    <w:p w14:paraId="18865B21" w14:textId="77777777" w:rsidR="00284822" w:rsidRDefault="00F77BF8">
      <w:pPr>
        <w:pStyle w:val="Titre2"/>
        <w:spacing w:before="120" w:after="120"/>
        <w:rPr>
          <w:rFonts w:ascii="Rockwell" w:hAnsi="Rockwell"/>
          <w:sz w:val="30"/>
          <w:szCs w:val="30"/>
        </w:rPr>
      </w:pPr>
      <w:bookmarkStart w:id="241" w:name="_Toc175048724"/>
      <w:bookmarkStart w:id="242" w:name="_Toc170304764"/>
      <w:r>
        <w:rPr>
          <w:rFonts w:ascii="Rockwell" w:hAnsi="Rockwell"/>
          <w:sz w:val="30"/>
          <w:szCs w:val="30"/>
        </w:rPr>
        <w:lastRenderedPageBreak/>
        <w:t>CHAPITRE I : RENCONTRES DE TRAVAIL</w:t>
      </w:r>
      <w:bookmarkEnd w:id="241"/>
      <w:bookmarkEnd w:id="242"/>
    </w:p>
    <w:p w14:paraId="7562C0F9" w14:textId="77777777" w:rsidR="00284822" w:rsidRDefault="00284822">
      <w:pPr>
        <w:spacing w:before="120" w:after="120"/>
        <w:jc w:val="center"/>
        <w:rPr>
          <w:rFonts w:ascii="Rockwell" w:hAnsi="Rockwell"/>
          <w:b/>
          <w:sz w:val="30"/>
          <w:szCs w:val="30"/>
        </w:rPr>
      </w:pPr>
    </w:p>
    <w:p w14:paraId="6892154E" w14:textId="77777777" w:rsidR="00284822" w:rsidRDefault="00F77BF8">
      <w:pPr>
        <w:pStyle w:val="Titre3"/>
        <w:spacing w:before="120" w:after="120"/>
        <w:rPr>
          <w:rFonts w:ascii="Rockwell" w:hAnsi="Rockwell"/>
        </w:rPr>
      </w:pPr>
      <w:bookmarkStart w:id="243" w:name="_Toc175048725"/>
      <w:bookmarkStart w:id="244" w:name="_Toc170304765"/>
      <w:r>
        <w:rPr>
          <w:rFonts w:ascii="Rockwell" w:hAnsi="Rockwell"/>
        </w:rPr>
        <w:t>SECTION 1 : ATELIERS THEMATIQUES</w:t>
      </w:r>
      <w:bookmarkEnd w:id="243"/>
      <w:bookmarkEnd w:id="244"/>
    </w:p>
    <w:p w14:paraId="47482D1F" w14:textId="77777777" w:rsidR="00284822" w:rsidRDefault="00284822">
      <w:pPr>
        <w:spacing w:before="120" w:after="120"/>
        <w:jc w:val="center"/>
        <w:rPr>
          <w:rFonts w:ascii="Rockwell" w:hAnsi="Rockwell"/>
          <w:b/>
          <w:color w:val="000000" w:themeColor="text1"/>
          <w:sz w:val="10"/>
          <w:szCs w:val="10"/>
        </w:rPr>
      </w:pPr>
    </w:p>
    <w:p w14:paraId="36F7EBA8" w14:textId="77777777" w:rsidR="00284822" w:rsidRDefault="00F77BF8">
      <w:pPr>
        <w:pStyle w:val="Titre4"/>
        <w:spacing w:before="120" w:after="120"/>
        <w:rPr>
          <w:rFonts w:ascii="Rockwell" w:hAnsi="Rockwell"/>
          <w:sz w:val="28"/>
          <w:szCs w:val="28"/>
        </w:rPr>
      </w:pPr>
      <w:bookmarkStart w:id="245" w:name="_Toc175048726"/>
      <w:r>
        <w:rPr>
          <w:rFonts w:ascii="Rockwell" w:hAnsi="Rockwell"/>
          <w:sz w:val="28"/>
          <w:szCs w:val="28"/>
        </w:rPr>
        <w:t>Paragraphe 1 : Atelier de consultation et formation du Réseau Ouest Africain pour l’édification de la Paix au Burkina (WANEP/BURKINA)</w:t>
      </w:r>
      <w:bookmarkEnd w:id="245"/>
    </w:p>
    <w:p w14:paraId="60186D5D" w14:textId="77777777" w:rsidR="00284822" w:rsidRDefault="00F77BF8">
      <w:pPr>
        <w:spacing w:before="120" w:after="120"/>
        <w:textAlignment w:val="auto"/>
        <w:rPr>
          <w:rFonts w:ascii="Rockwell" w:hAnsi="Rockwell"/>
          <w:color w:val="000000" w:themeColor="text1"/>
          <w:szCs w:val="26"/>
        </w:rPr>
      </w:pPr>
      <w:r>
        <w:rPr>
          <w:rFonts w:ascii="Rockwell" w:hAnsi="Rockwell"/>
          <w:color w:val="000000" w:themeColor="text1"/>
          <w:szCs w:val="26"/>
        </w:rPr>
        <w:t>Le CSC a pris part à l’atelier du WANEP/BURKINA, tenu du 21 au 23 juin 2022, à Ouagadougou. Cette rencontre avait pour objet une consultation multipartite suivie d’une formation en matière de règlement extrajudiciaire des litiges entre les partis politiques en Afrique de l’Ouest. Il s’est agi d’outiller les acteurs politiques de moyens et stratégies de résolution alternative des différends avant tout recours à l’organe judiciaire.</w:t>
      </w:r>
    </w:p>
    <w:p w14:paraId="242860C1" w14:textId="77777777" w:rsidR="00284822" w:rsidRDefault="00284822">
      <w:pPr>
        <w:spacing w:before="120" w:after="120"/>
        <w:textAlignment w:val="auto"/>
        <w:rPr>
          <w:rFonts w:ascii="Rockwell" w:hAnsi="Rockwell"/>
          <w:color w:val="000000" w:themeColor="text1"/>
          <w:sz w:val="10"/>
          <w:szCs w:val="10"/>
        </w:rPr>
      </w:pPr>
    </w:p>
    <w:p w14:paraId="3C148908" w14:textId="77777777" w:rsidR="00284822" w:rsidRDefault="00F77BF8">
      <w:pPr>
        <w:pStyle w:val="Titre4"/>
        <w:spacing w:before="120" w:after="120"/>
        <w:rPr>
          <w:rFonts w:ascii="Rockwell" w:hAnsi="Rockwell"/>
          <w:sz w:val="28"/>
          <w:szCs w:val="28"/>
        </w:rPr>
      </w:pPr>
      <w:bookmarkStart w:id="246" w:name="_Toc175048727"/>
      <w:r>
        <w:rPr>
          <w:rFonts w:ascii="Rockwell" w:hAnsi="Rockwell"/>
          <w:sz w:val="28"/>
          <w:szCs w:val="28"/>
        </w:rPr>
        <w:t>Paragraphe 2 : Ateliers du Ministère de la Justice et des Droits Humains, chargé des relations avec les institutions</w:t>
      </w:r>
      <w:bookmarkEnd w:id="246"/>
    </w:p>
    <w:p w14:paraId="7AD9C53B" w14:textId="77777777" w:rsidR="00284822" w:rsidRDefault="00284822">
      <w:pPr>
        <w:pStyle w:val="Paragraphedeliste"/>
        <w:ind w:left="720"/>
        <w:textAlignment w:val="auto"/>
        <w:rPr>
          <w:rFonts w:ascii="Rockwell" w:hAnsi="Rockwell"/>
          <w:b/>
          <w:color w:val="000000" w:themeColor="text1"/>
          <w:sz w:val="6"/>
          <w:szCs w:val="6"/>
        </w:rPr>
      </w:pPr>
    </w:p>
    <w:p w14:paraId="0F7053A9" w14:textId="77777777" w:rsidR="00284822" w:rsidRDefault="00F77BF8">
      <w:pPr>
        <w:spacing w:before="120" w:after="120"/>
        <w:textAlignment w:val="auto"/>
        <w:rPr>
          <w:rFonts w:ascii="Rockwell" w:hAnsi="Rockwell"/>
          <w:color w:val="000000" w:themeColor="text1"/>
          <w:szCs w:val="26"/>
        </w:rPr>
      </w:pPr>
      <w:r>
        <w:rPr>
          <w:rFonts w:ascii="Rockwell" w:hAnsi="Rockwell"/>
          <w:color w:val="000000" w:themeColor="text1"/>
          <w:szCs w:val="26"/>
        </w:rPr>
        <w:t>Les 28 juillet et 25 août 2022, le CSC a pris part aux ateliers du Ministère de la Justice et des droits humains, chargé des relations avec les institutions. Il s’est agi respectivement d’un appui pour la validation du 2</w:t>
      </w:r>
      <w:r>
        <w:rPr>
          <w:rFonts w:ascii="Rockwell" w:hAnsi="Rockwell"/>
          <w:color w:val="000000" w:themeColor="text1"/>
          <w:szCs w:val="26"/>
          <w:vertAlign w:val="superscript"/>
        </w:rPr>
        <w:t>e</w:t>
      </w:r>
      <w:r>
        <w:rPr>
          <w:rFonts w:ascii="Rockwell" w:hAnsi="Rockwell"/>
          <w:color w:val="000000" w:themeColor="text1"/>
          <w:szCs w:val="26"/>
        </w:rPr>
        <w:t xml:space="preserve"> rapport périodique au titre de la convention pour la protection des personnes contre les disparitions forcées et de la validation du plan d’actions national 2022-2024 de promotion du civisme et de la participation citoyenne.</w:t>
      </w:r>
    </w:p>
    <w:p w14:paraId="63462B2C" w14:textId="77777777" w:rsidR="00284822" w:rsidRDefault="00284822">
      <w:pPr>
        <w:spacing w:before="120" w:after="120"/>
        <w:textAlignment w:val="auto"/>
        <w:rPr>
          <w:rFonts w:ascii="Rockwell" w:hAnsi="Rockwell"/>
          <w:color w:val="000000" w:themeColor="text1"/>
          <w:szCs w:val="26"/>
        </w:rPr>
      </w:pPr>
    </w:p>
    <w:p w14:paraId="15F31A58" w14:textId="77777777" w:rsidR="00284822" w:rsidRDefault="00F77BF8">
      <w:pPr>
        <w:pStyle w:val="Titre4"/>
        <w:spacing w:before="120" w:after="120"/>
        <w:rPr>
          <w:rFonts w:ascii="Rockwell" w:hAnsi="Rockwell"/>
          <w:sz w:val="28"/>
          <w:szCs w:val="28"/>
        </w:rPr>
      </w:pPr>
      <w:bookmarkStart w:id="247" w:name="_Toc175048728"/>
      <w:r>
        <w:rPr>
          <w:rFonts w:ascii="Rockwell" w:hAnsi="Rockwell"/>
          <w:sz w:val="28"/>
          <w:szCs w:val="28"/>
        </w:rPr>
        <w:t>Paragraphe 3 : Atelier de l’Agence de la Promotion de l’Expertise Nationale (APEN)</w:t>
      </w:r>
      <w:bookmarkEnd w:id="247"/>
    </w:p>
    <w:p w14:paraId="2A464FE7" w14:textId="77777777" w:rsidR="00284822" w:rsidRDefault="00F77BF8">
      <w:pPr>
        <w:spacing w:before="120" w:after="120"/>
        <w:textAlignment w:val="auto"/>
        <w:rPr>
          <w:rFonts w:ascii="Rockwell" w:hAnsi="Rockwell"/>
          <w:color w:val="000000" w:themeColor="text1"/>
          <w:szCs w:val="26"/>
        </w:rPr>
      </w:pPr>
      <w:r>
        <w:rPr>
          <w:rFonts w:ascii="Rockwell" w:hAnsi="Rockwell"/>
          <w:color w:val="000000" w:themeColor="text1"/>
          <w:szCs w:val="26"/>
        </w:rPr>
        <w:t xml:space="preserve">Le CSC a participé, le 15 septembre 2022, à l’atelier de l’Agence de la Promotion de l’Expertise Nationale (APEN). La rencontre avait pour objet de </w:t>
      </w:r>
      <w:r>
        <w:rPr>
          <w:rFonts w:ascii="Rockwell" w:hAnsi="Rockwell"/>
          <w:color w:val="000000" w:themeColor="text1"/>
          <w:szCs w:val="26"/>
        </w:rPr>
        <w:lastRenderedPageBreak/>
        <w:t>partager l’information sur la structure, ses missions et la vulgarisation de l’expertise nationale.</w:t>
      </w:r>
    </w:p>
    <w:p w14:paraId="667411A7" w14:textId="77777777" w:rsidR="00284822" w:rsidRDefault="00284822">
      <w:pPr>
        <w:spacing w:before="120" w:after="120"/>
        <w:textAlignment w:val="auto"/>
        <w:rPr>
          <w:rFonts w:ascii="Rockwell" w:hAnsi="Rockwell"/>
          <w:color w:val="000000" w:themeColor="text1"/>
          <w:sz w:val="10"/>
          <w:szCs w:val="10"/>
        </w:rPr>
      </w:pPr>
    </w:p>
    <w:p w14:paraId="0DD6317A" w14:textId="77777777" w:rsidR="00284822" w:rsidRDefault="00F77BF8">
      <w:pPr>
        <w:pStyle w:val="Titre4"/>
        <w:spacing w:before="120" w:after="120"/>
        <w:rPr>
          <w:rFonts w:ascii="Rockwell" w:hAnsi="Rockwell"/>
          <w:sz w:val="28"/>
          <w:szCs w:val="28"/>
        </w:rPr>
      </w:pPr>
      <w:bookmarkStart w:id="248" w:name="_Toc175048729"/>
      <w:r>
        <w:rPr>
          <w:rFonts w:ascii="Rockwell" w:hAnsi="Rockwell"/>
          <w:sz w:val="28"/>
          <w:szCs w:val="28"/>
        </w:rPr>
        <w:t>Paragraphe 4 : Atelier de relecture des textes relatifs aux médias</w:t>
      </w:r>
      <w:bookmarkEnd w:id="248"/>
    </w:p>
    <w:p w14:paraId="6D34C7D2" w14:textId="77777777" w:rsidR="00284822" w:rsidRDefault="00F77BF8">
      <w:pPr>
        <w:spacing w:before="120" w:after="120"/>
        <w:textAlignment w:val="auto"/>
        <w:rPr>
          <w:rFonts w:ascii="Rockwell" w:hAnsi="Rockwell"/>
          <w:color w:val="000000" w:themeColor="text1"/>
          <w:szCs w:val="26"/>
        </w:rPr>
      </w:pPr>
      <w:r>
        <w:rPr>
          <w:rFonts w:ascii="Rockwell" w:hAnsi="Rockwell"/>
          <w:color w:val="000000" w:themeColor="text1"/>
          <w:szCs w:val="26"/>
        </w:rPr>
        <w:t>Du 06 au 27 décembre 2022,</w:t>
      </w:r>
      <w:r>
        <w:rPr>
          <w:rFonts w:ascii="Rockwell" w:hAnsi="Rockwell"/>
          <w:b/>
          <w:color w:val="000000" w:themeColor="text1"/>
          <w:szCs w:val="26"/>
        </w:rPr>
        <w:t xml:space="preserve"> </w:t>
      </w:r>
      <w:r>
        <w:rPr>
          <w:rFonts w:ascii="Rockwell" w:hAnsi="Rockwell"/>
          <w:color w:val="000000" w:themeColor="text1"/>
          <w:szCs w:val="26"/>
        </w:rPr>
        <w:t>le CSC a pris part</w:t>
      </w:r>
      <w:r>
        <w:rPr>
          <w:rFonts w:ascii="Rockwell" w:hAnsi="Rockwell"/>
          <w:b/>
          <w:color w:val="000000" w:themeColor="text1"/>
          <w:szCs w:val="26"/>
        </w:rPr>
        <w:t xml:space="preserve"> </w:t>
      </w:r>
      <w:r>
        <w:rPr>
          <w:rFonts w:ascii="Rockwell" w:hAnsi="Rockwell"/>
          <w:color w:val="000000" w:themeColor="text1"/>
          <w:szCs w:val="26"/>
        </w:rPr>
        <w:t>aux travaux du comité de relecture des textes relatifs à la presse et la codification des textes juridiques du secteur des médias et de la communication. Cette activité a été initiée par le Ministère de la Communication, de la Culture, des Arts et du Tourisme (MCCAT). Les travaux ont porté sur l’avant-projet de code de l’information et de la communication.</w:t>
      </w:r>
    </w:p>
    <w:p w14:paraId="1CE2AD77" w14:textId="77777777" w:rsidR="00284822" w:rsidRDefault="00284822">
      <w:pPr>
        <w:spacing w:before="120" w:after="120"/>
        <w:textAlignment w:val="auto"/>
        <w:rPr>
          <w:rFonts w:ascii="Rockwell" w:hAnsi="Rockwell"/>
          <w:color w:val="000000" w:themeColor="text1"/>
          <w:szCs w:val="26"/>
        </w:rPr>
      </w:pPr>
    </w:p>
    <w:p w14:paraId="3F25708B" w14:textId="77777777" w:rsidR="00284822" w:rsidRDefault="00F77BF8">
      <w:pPr>
        <w:pStyle w:val="Titre3"/>
        <w:spacing w:before="120" w:after="120"/>
        <w:rPr>
          <w:rFonts w:ascii="Rockwell" w:hAnsi="Rockwell"/>
        </w:rPr>
      </w:pPr>
      <w:bookmarkStart w:id="249" w:name="_Toc170304766"/>
      <w:bookmarkStart w:id="250" w:name="_Toc175048730"/>
      <w:r>
        <w:rPr>
          <w:rFonts w:ascii="Rockwell" w:hAnsi="Rockwell"/>
        </w:rPr>
        <w:t>SECTION 2 : TRAVAUX EN COMMISSIONS</w:t>
      </w:r>
      <w:bookmarkEnd w:id="249"/>
      <w:bookmarkEnd w:id="250"/>
    </w:p>
    <w:p w14:paraId="1A5B54D2" w14:textId="77777777" w:rsidR="00284822" w:rsidRDefault="00284822">
      <w:pPr>
        <w:spacing w:before="120" w:after="120"/>
        <w:rPr>
          <w:rFonts w:ascii="Rockwell" w:hAnsi="Rockwell"/>
        </w:rPr>
      </w:pPr>
    </w:p>
    <w:p w14:paraId="3CD1CB57" w14:textId="77777777" w:rsidR="00284822" w:rsidRDefault="00F77BF8">
      <w:pPr>
        <w:pStyle w:val="Titre4"/>
        <w:spacing w:before="120" w:after="120"/>
        <w:rPr>
          <w:rFonts w:ascii="Rockwell" w:hAnsi="Rockwell"/>
          <w:sz w:val="28"/>
          <w:szCs w:val="28"/>
        </w:rPr>
      </w:pPr>
      <w:bookmarkStart w:id="251" w:name="_Toc175048731"/>
      <w:r>
        <w:rPr>
          <w:rFonts w:ascii="Rockwell" w:hAnsi="Rockwell"/>
          <w:sz w:val="28"/>
          <w:szCs w:val="28"/>
        </w:rPr>
        <w:t>Paragraphe 1 : Sessions du comité de suivi et d’orientation du projet multiplex de la TNT</w:t>
      </w:r>
      <w:bookmarkEnd w:id="251"/>
    </w:p>
    <w:p w14:paraId="57729448" w14:textId="77777777" w:rsidR="00284822" w:rsidRDefault="00F77BF8">
      <w:pPr>
        <w:spacing w:before="120" w:after="120"/>
        <w:textAlignment w:val="auto"/>
        <w:rPr>
          <w:rFonts w:ascii="Rockwell" w:hAnsi="Rockwell"/>
          <w:color w:val="000000" w:themeColor="text1"/>
          <w:szCs w:val="26"/>
        </w:rPr>
      </w:pPr>
      <w:r>
        <w:rPr>
          <w:rFonts w:ascii="Rockwell" w:hAnsi="Rockwell"/>
          <w:color w:val="000000" w:themeColor="text1"/>
          <w:szCs w:val="26"/>
        </w:rPr>
        <w:t>Le CSC a participé, le 21 juin 2022, à la première session du comité, initiée par la Société Burkinabè de Télédiffusion (SBT).  Les travaux ont porté sur la présentation des conclusions d’un atelier tenu à Koudougou, des missions et attributions du comité, de la feuille de route pour l’acquisition, l’installation, l’exploitation de nouveaux multiplex TNT et sur l’adoption d’un nouveau modèle économique pour la SBT.</w:t>
      </w:r>
    </w:p>
    <w:p w14:paraId="61AF7987" w14:textId="77777777" w:rsidR="00284822" w:rsidRDefault="00F77BF8">
      <w:pPr>
        <w:spacing w:before="120" w:after="120"/>
        <w:textAlignment w:val="auto"/>
        <w:rPr>
          <w:rFonts w:ascii="Rockwell" w:hAnsi="Rockwell"/>
          <w:color w:val="000000" w:themeColor="text1"/>
          <w:szCs w:val="26"/>
        </w:rPr>
      </w:pPr>
      <w:r>
        <w:rPr>
          <w:rFonts w:ascii="Rockwell" w:hAnsi="Rockwell"/>
          <w:color w:val="000000" w:themeColor="text1"/>
          <w:szCs w:val="26"/>
        </w:rPr>
        <w:t>A la suite de ces travaux, d’autres sessions se sont tenues, respectivement en juillet, août, octobre, novembre et décembre 2022.</w:t>
      </w:r>
    </w:p>
    <w:p w14:paraId="23D6150C" w14:textId="77777777" w:rsidR="00284822" w:rsidRDefault="00284822">
      <w:pPr>
        <w:spacing w:before="120" w:after="120"/>
        <w:textAlignment w:val="auto"/>
        <w:rPr>
          <w:rFonts w:ascii="Rockwell" w:hAnsi="Rockwell"/>
          <w:color w:val="000000" w:themeColor="text1"/>
          <w:sz w:val="10"/>
          <w:szCs w:val="10"/>
        </w:rPr>
      </w:pPr>
    </w:p>
    <w:p w14:paraId="66F24180" w14:textId="77777777" w:rsidR="00284822" w:rsidRDefault="00F77BF8">
      <w:pPr>
        <w:pStyle w:val="Titre4"/>
        <w:spacing w:before="120" w:after="120"/>
        <w:rPr>
          <w:rFonts w:ascii="Rockwell" w:hAnsi="Rockwell"/>
          <w:sz w:val="28"/>
          <w:szCs w:val="28"/>
        </w:rPr>
      </w:pPr>
      <w:bookmarkStart w:id="252" w:name="_Toc175048732"/>
      <w:r>
        <w:rPr>
          <w:rFonts w:ascii="Rockwell" w:hAnsi="Rockwell"/>
          <w:sz w:val="28"/>
          <w:szCs w:val="28"/>
        </w:rPr>
        <w:t>Paragraphe 2 : Session du Secrétariat Permanent du suivi des Réformes des Licences d’Affaires</w:t>
      </w:r>
      <w:bookmarkEnd w:id="252"/>
      <w:r>
        <w:rPr>
          <w:rFonts w:ascii="Rockwell" w:hAnsi="Rockwell"/>
          <w:sz w:val="28"/>
          <w:szCs w:val="28"/>
        </w:rPr>
        <w:t xml:space="preserve"> </w:t>
      </w:r>
    </w:p>
    <w:p w14:paraId="76C7CB06" w14:textId="77777777" w:rsidR="00284822" w:rsidRDefault="00F77BF8">
      <w:pPr>
        <w:spacing w:before="120" w:after="120"/>
        <w:textAlignment w:val="auto"/>
        <w:rPr>
          <w:rFonts w:ascii="Rockwell" w:hAnsi="Rockwell"/>
          <w:b/>
          <w:color w:val="000000" w:themeColor="text1"/>
          <w:szCs w:val="26"/>
        </w:rPr>
      </w:pPr>
      <w:r>
        <w:rPr>
          <w:rFonts w:ascii="Rockwell" w:hAnsi="Rockwell"/>
          <w:color w:val="000000" w:themeColor="text1"/>
          <w:szCs w:val="26"/>
        </w:rPr>
        <w:t xml:space="preserve">Le CSC a pris part à la première session de l’année 2022 du comité de pilotage des Réformes des licences d’Affaires au Burkina Faso, organisée par </w:t>
      </w:r>
      <w:r>
        <w:rPr>
          <w:rFonts w:ascii="Rockwell" w:hAnsi="Rockwell"/>
          <w:color w:val="000000" w:themeColor="text1"/>
          <w:szCs w:val="26"/>
        </w:rPr>
        <w:lastRenderedPageBreak/>
        <w:t>le Secrétariat permanent du Suivi des Réformes des Licences d’Affaires (SP-SRLA), le 22 juin 2022.</w:t>
      </w:r>
    </w:p>
    <w:p w14:paraId="69C4AB39" w14:textId="77777777" w:rsidR="00284822" w:rsidRDefault="00F77BF8">
      <w:pPr>
        <w:spacing w:before="120" w:after="120"/>
        <w:textAlignment w:val="auto"/>
        <w:rPr>
          <w:rFonts w:ascii="Rockwell" w:hAnsi="Rockwell"/>
          <w:color w:val="000000" w:themeColor="text1"/>
          <w:szCs w:val="26"/>
        </w:rPr>
      </w:pPr>
      <w:r>
        <w:rPr>
          <w:rFonts w:ascii="Rockwell" w:hAnsi="Rockwell"/>
          <w:color w:val="000000" w:themeColor="text1"/>
          <w:szCs w:val="26"/>
        </w:rPr>
        <w:t>Cette session avait pour objet de rappeler la procédure d’élaboration des licences d’Affaires et le projet de modernisation du Régime de Délivrance des licences (PMRDLA) et de poursuivre l’actualisation du répertoire sectoriel.</w:t>
      </w:r>
    </w:p>
    <w:p w14:paraId="38E9A843" w14:textId="77777777" w:rsidR="00284822" w:rsidRDefault="00284822">
      <w:pPr>
        <w:spacing w:before="120" w:after="120"/>
        <w:textAlignment w:val="auto"/>
        <w:rPr>
          <w:rFonts w:ascii="Rockwell" w:hAnsi="Rockwell"/>
          <w:color w:val="000000" w:themeColor="text1"/>
          <w:szCs w:val="26"/>
        </w:rPr>
      </w:pPr>
    </w:p>
    <w:p w14:paraId="76E8E429" w14:textId="77777777" w:rsidR="00284822" w:rsidRDefault="00F77BF8">
      <w:pPr>
        <w:tabs>
          <w:tab w:val="left" w:pos="6645"/>
        </w:tabs>
        <w:spacing w:before="120" w:after="120"/>
        <w:jc w:val="center"/>
        <w:textAlignment w:val="auto"/>
        <w:rPr>
          <w:rFonts w:ascii="Rockwell" w:hAnsi="Rockwell"/>
          <w:b/>
          <w:sz w:val="28"/>
          <w:szCs w:val="28"/>
        </w:rPr>
      </w:pPr>
      <w:r>
        <w:rPr>
          <w:rFonts w:ascii="Rockwell" w:hAnsi="Rockwell"/>
          <w:b/>
          <w:sz w:val="28"/>
          <w:szCs w:val="28"/>
        </w:rPr>
        <w:t>Paragraphe 3 : Session ordinaire 2022 du Conseil National de la Modernisation de l’Administration et de la Bonne Gouvernance</w:t>
      </w:r>
    </w:p>
    <w:p w14:paraId="5F85E038" w14:textId="77777777" w:rsidR="00284822" w:rsidRDefault="00284822">
      <w:pPr>
        <w:tabs>
          <w:tab w:val="left" w:pos="6645"/>
        </w:tabs>
        <w:spacing w:before="120" w:after="120"/>
        <w:jc w:val="center"/>
        <w:textAlignment w:val="auto"/>
        <w:rPr>
          <w:rFonts w:ascii="Rockwell" w:hAnsi="Rockwell"/>
          <w:b/>
          <w:sz w:val="10"/>
          <w:szCs w:val="10"/>
        </w:rPr>
      </w:pPr>
    </w:p>
    <w:p w14:paraId="2DF7B0C4" w14:textId="77777777" w:rsidR="00284822" w:rsidRDefault="00F77BF8">
      <w:pPr>
        <w:pStyle w:val="Paragraphedeliste"/>
        <w:tabs>
          <w:tab w:val="left" w:pos="6645"/>
        </w:tabs>
        <w:rPr>
          <w:rFonts w:ascii="Rockwell" w:hAnsi="Rockwell"/>
        </w:rPr>
      </w:pPr>
      <w:r>
        <w:rPr>
          <w:rFonts w:ascii="Rockwell" w:hAnsi="Rockwell"/>
        </w:rPr>
        <w:t>Dans le souci de doter l’Etat d’une administration capable d’assurer des services publics de qualité, accessibles et répondant aux attentes des populations, une stratégie nationale de modernisation de l’administration publique a été adoptée le 12 mars 2021.</w:t>
      </w:r>
    </w:p>
    <w:p w14:paraId="124522AD" w14:textId="77777777" w:rsidR="00284822" w:rsidRDefault="00F77BF8">
      <w:pPr>
        <w:pStyle w:val="Paragraphedeliste"/>
        <w:tabs>
          <w:tab w:val="left" w:pos="6645"/>
        </w:tabs>
        <w:rPr>
          <w:rFonts w:ascii="Rockwell" w:hAnsi="Rockwell"/>
        </w:rPr>
      </w:pPr>
      <w:r>
        <w:rPr>
          <w:rFonts w:ascii="Rockwell" w:hAnsi="Rockwell"/>
        </w:rPr>
        <w:t>En vue d’en assurer le suivi et l’évaluation, cette stratégie prévoit la tenue de sessions annuelles pour faire le bilan de la mise en œuvre des actions de modernisation et donner les directives nécessaires aux différents acteurs.</w:t>
      </w:r>
    </w:p>
    <w:p w14:paraId="015007AA" w14:textId="77777777" w:rsidR="00284822" w:rsidRDefault="00F77BF8">
      <w:pPr>
        <w:pStyle w:val="Paragraphedeliste"/>
        <w:tabs>
          <w:tab w:val="left" w:pos="6645"/>
        </w:tabs>
        <w:rPr>
          <w:rFonts w:ascii="Rockwell" w:hAnsi="Rockwell"/>
        </w:rPr>
      </w:pPr>
      <w:r>
        <w:rPr>
          <w:rFonts w:ascii="Rockwell" w:hAnsi="Rockwell"/>
        </w:rPr>
        <w:t xml:space="preserve">Le CSC a pris part à la session de 2022, placée sous le patronage du Premier ministre et qui s’est tenue dans la salle de conférences du ministère des Affaires étrangères et de la coopération. </w:t>
      </w:r>
    </w:p>
    <w:p w14:paraId="7642BCCD" w14:textId="77777777" w:rsidR="00284822" w:rsidRDefault="00284822">
      <w:pPr>
        <w:pStyle w:val="Paragraphedeliste"/>
        <w:tabs>
          <w:tab w:val="left" w:pos="6645"/>
        </w:tabs>
        <w:rPr>
          <w:rFonts w:ascii="Rockwell" w:hAnsi="Rockwell"/>
          <w:sz w:val="10"/>
          <w:szCs w:val="10"/>
        </w:rPr>
      </w:pPr>
    </w:p>
    <w:p w14:paraId="7951FF94" w14:textId="77777777" w:rsidR="00284822" w:rsidRDefault="00F77BF8">
      <w:pPr>
        <w:pStyle w:val="Titre4"/>
        <w:spacing w:before="120" w:after="120"/>
        <w:rPr>
          <w:rFonts w:ascii="Rockwell" w:hAnsi="Rockwell"/>
          <w:sz w:val="28"/>
          <w:szCs w:val="28"/>
        </w:rPr>
      </w:pPr>
      <w:bookmarkStart w:id="253" w:name="_Toc175048733"/>
      <w:r>
        <w:rPr>
          <w:rFonts w:ascii="Rockwell" w:hAnsi="Rockwell"/>
          <w:sz w:val="28"/>
          <w:szCs w:val="28"/>
        </w:rPr>
        <w:t>Paragraphe 4 : Assemblée générale de la Commission Nationale pour la Francophonie (AG/CNF)</w:t>
      </w:r>
      <w:bookmarkEnd w:id="253"/>
    </w:p>
    <w:p w14:paraId="59C6C6ED" w14:textId="77777777" w:rsidR="00284822" w:rsidRDefault="00F77BF8">
      <w:pPr>
        <w:spacing w:before="120" w:after="120"/>
        <w:rPr>
          <w:rFonts w:ascii="Rockwell" w:hAnsi="Rockwell"/>
          <w:color w:val="000000" w:themeColor="text1"/>
          <w:szCs w:val="26"/>
        </w:rPr>
      </w:pPr>
      <w:r>
        <w:rPr>
          <w:rFonts w:ascii="Rockwell" w:hAnsi="Rockwell"/>
          <w:color w:val="000000" w:themeColor="text1"/>
          <w:szCs w:val="26"/>
        </w:rPr>
        <w:t>Le CSC a pris part,</w:t>
      </w:r>
      <w:r>
        <w:rPr>
          <w:rFonts w:ascii="Rockwell" w:hAnsi="Rockwell"/>
          <w:b/>
          <w:color w:val="000000" w:themeColor="text1"/>
          <w:szCs w:val="26"/>
        </w:rPr>
        <w:t xml:space="preserve"> </w:t>
      </w:r>
      <w:r>
        <w:rPr>
          <w:rFonts w:ascii="Rockwell" w:hAnsi="Rockwell"/>
          <w:color w:val="000000" w:themeColor="text1"/>
          <w:szCs w:val="26"/>
        </w:rPr>
        <w:t>le</w:t>
      </w:r>
      <w:r>
        <w:rPr>
          <w:rFonts w:ascii="Rockwell" w:hAnsi="Rockwell"/>
          <w:b/>
          <w:color w:val="000000" w:themeColor="text1"/>
          <w:szCs w:val="26"/>
        </w:rPr>
        <w:t xml:space="preserve"> </w:t>
      </w:r>
      <w:r>
        <w:rPr>
          <w:rFonts w:ascii="Rockwell" w:hAnsi="Rockwell"/>
          <w:color w:val="000000" w:themeColor="text1"/>
          <w:szCs w:val="26"/>
        </w:rPr>
        <w:t>20 décembre 2022</w:t>
      </w:r>
      <w:r>
        <w:rPr>
          <w:rFonts w:ascii="Rockwell" w:hAnsi="Rockwell"/>
          <w:b/>
          <w:color w:val="000000" w:themeColor="text1"/>
          <w:szCs w:val="26"/>
        </w:rPr>
        <w:t xml:space="preserve">, </w:t>
      </w:r>
      <w:r>
        <w:rPr>
          <w:rFonts w:ascii="Rockwell" w:hAnsi="Rockwell"/>
          <w:color w:val="000000" w:themeColor="text1"/>
          <w:szCs w:val="26"/>
        </w:rPr>
        <w:t xml:space="preserve">à l’Assemblée Générale de la Commission Nationale pour la Francophonie (AG/CNF), tenue sur le thème : « la déclaration de Bamako du 03 novembre 2000 sur la démocratie et les droits de l’Homme et son régime de sanctions ». La rencontre avait pour objet de faire un bilan des activités de coopération de la Commission à </w:t>
      </w:r>
      <w:r>
        <w:rPr>
          <w:rFonts w:ascii="Rockwell" w:hAnsi="Rockwell"/>
          <w:color w:val="000000" w:themeColor="text1"/>
          <w:szCs w:val="26"/>
        </w:rPr>
        <w:lastRenderedPageBreak/>
        <w:t>travers son Secrétariat Permanent, de rappeler les idéaux portés par l’Organisation Internationale de la Francophonie (OIF) et de recueillir les expériences de chaque ministère, institution et structure dans le cadre de leur collaboration avec l’OIF.</w:t>
      </w:r>
    </w:p>
    <w:p w14:paraId="66540223" w14:textId="77777777" w:rsidR="00284822" w:rsidRDefault="00284822">
      <w:pPr>
        <w:pStyle w:val="Paragraphedeliste"/>
        <w:tabs>
          <w:tab w:val="left" w:pos="6645"/>
        </w:tabs>
        <w:rPr>
          <w:rFonts w:ascii="Rockwell" w:hAnsi="Rockwell"/>
          <w:color w:val="000000" w:themeColor="text1"/>
        </w:rPr>
        <w:sectPr w:rsidR="00284822">
          <w:pgSz w:w="11906" w:h="16838"/>
          <w:pgMar w:top="1418" w:right="1418" w:bottom="1418" w:left="1418" w:header="720" w:footer="720" w:gutter="0"/>
          <w:cols w:space="720"/>
        </w:sectPr>
      </w:pPr>
    </w:p>
    <w:p w14:paraId="23652A1E" w14:textId="77777777" w:rsidR="00284822" w:rsidRDefault="00F77BF8">
      <w:pPr>
        <w:pStyle w:val="Titre2"/>
        <w:spacing w:before="120" w:after="120"/>
        <w:rPr>
          <w:rFonts w:ascii="Rockwell" w:hAnsi="Rockwell"/>
          <w:color w:val="000000" w:themeColor="text1"/>
          <w:sz w:val="30"/>
          <w:szCs w:val="30"/>
        </w:rPr>
      </w:pPr>
      <w:bookmarkStart w:id="254" w:name="_Toc175048734"/>
      <w:bookmarkStart w:id="255" w:name="_Toc170304767"/>
      <w:r>
        <w:rPr>
          <w:rFonts w:ascii="Rockwell" w:hAnsi="Rockwell"/>
          <w:sz w:val="30"/>
          <w:szCs w:val="30"/>
        </w:rPr>
        <w:lastRenderedPageBreak/>
        <w:t xml:space="preserve">CHAPITRE II : </w:t>
      </w:r>
      <w:r>
        <w:rPr>
          <w:rFonts w:ascii="Rockwell" w:hAnsi="Rockwell"/>
          <w:color w:val="000000" w:themeColor="text1"/>
          <w:sz w:val="30"/>
          <w:szCs w:val="30"/>
        </w:rPr>
        <w:t>COOPERATION</w:t>
      </w:r>
      <w:bookmarkEnd w:id="254"/>
      <w:bookmarkEnd w:id="255"/>
    </w:p>
    <w:bookmarkEnd w:id="12"/>
    <w:bookmarkEnd w:id="13"/>
    <w:p w14:paraId="7B0D7F29" w14:textId="77777777" w:rsidR="00284822" w:rsidRDefault="00284822">
      <w:pPr>
        <w:pStyle w:val="Paragraphedeliste"/>
        <w:rPr>
          <w:rFonts w:ascii="Rockwell" w:hAnsi="Rockwell"/>
          <w:sz w:val="6"/>
          <w:szCs w:val="6"/>
        </w:rPr>
      </w:pPr>
    </w:p>
    <w:p w14:paraId="4FD445EC" w14:textId="77777777" w:rsidR="00284822" w:rsidRDefault="00F77BF8">
      <w:pPr>
        <w:pStyle w:val="Paragraphedeliste"/>
        <w:rPr>
          <w:rFonts w:ascii="Rockwell" w:hAnsi="Rockwell"/>
        </w:rPr>
      </w:pPr>
      <w:r>
        <w:rPr>
          <w:rFonts w:ascii="Rockwell" w:hAnsi="Rockwell"/>
        </w:rPr>
        <w:t xml:space="preserve">Les difficultés de fonctionnement du CSC ont impacté sa participation à la mise en œuvre des plans d’actions des réseaux de régulateurs (RIARC, REFRAM et PRA-UEMOA-GUINEE). En effet, plusieurs activités avaient été programmées. Toutefois, le CSC n’a participé qu’à deux d’entre elles. Il a également pris part à trois autres activités en dehors des réseaux. </w:t>
      </w:r>
    </w:p>
    <w:p w14:paraId="1D8B5CA8" w14:textId="77777777" w:rsidR="00284822" w:rsidRDefault="00284822">
      <w:pPr>
        <w:pStyle w:val="Titre3"/>
        <w:spacing w:before="120" w:after="120"/>
        <w:rPr>
          <w:rFonts w:ascii="Rockwell" w:hAnsi="Rockwell"/>
        </w:rPr>
      </w:pPr>
    </w:p>
    <w:p w14:paraId="066E5E6B" w14:textId="77777777" w:rsidR="00284822" w:rsidRDefault="00F77BF8">
      <w:pPr>
        <w:pStyle w:val="Titre3"/>
        <w:spacing w:before="120" w:after="120"/>
        <w:rPr>
          <w:rFonts w:ascii="Rockwell" w:hAnsi="Rockwell"/>
        </w:rPr>
      </w:pPr>
      <w:bookmarkStart w:id="256" w:name="_Toc170304768"/>
      <w:bookmarkStart w:id="257" w:name="_Toc175048735"/>
      <w:r>
        <w:rPr>
          <w:rFonts w:ascii="Rockwell" w:hAnsi="Rockwell"/>
        </w:rPr>
        <w:t>SECTION 1 : ACTIVITES DES RESEAUX DE REGULATEURS</w:t>
      </w:r>
      <w:bookmarkEnd w:id="256"/>
      <w:bookmarkEnd w:id="257"/>
    </w:p>
    <w:p w14:paraId="5328E9FD" w14:textId="77777777" w:rsidR="00284822" w:rsidRDefault="00284822">
      <w:pPr>
        <w:spacing w:before="120" w:after="120"/>
      </w:pPr>
    </w:p>
    <w:p w14:paraId="63A574D0" w14:textId="77777777" w:rsidR="00284822" w:rsidRDefault="00F77BF8">
      <w:pPr>
        <w:pStyle w:val="Titre4"/>
        <w:spacing w:before="120" w:after="120"/>
        <w:rPr>
          <w:rFonts w:ascii="Rockwell" w:hAnsi="Rockwell"/>
          <w:sz w:val="28"/>
          <w:szCs w:val="28"/>
        </w:rPr>
      </w:pPr>
      <w:bookmarkStart w:id="258" w:name="_Toc175048736"/>
      <w:r>
        <w:rPr>
          <w:rFonts w:ascii="Rockwell" w:hAnsi="Rockwell"/>
          <w:sz w:val="28"/>
          <w:szCs w:val="28"/>
        </w:rPr>
        <w:t>Paragraphe 1 : Atelier de réflexion des juristes experts de la Plateforme des Régulateurs de l’Audiovisuel des pays membres de l’UEMOA et de la Guinée</w:t>
      </w:r>
      <w:bookmarkEnd w:id="258"/>
    </w:p>
    <w:p w14:paraId="5D7F2A99" w14:textId="77777777" w:rsidR="00284822" w:rsidRDefault="00284822">
      <w:pPr>
        <w:spacing w:before="120" w:after="120"/>
        <w:rPr>
          <w:sz w:val="10"/>
          <w:szCs w:val="10"/>
        </w:rPr>
      </w:pPr>
    </w:p>
    <w:p w14:paraId="72922405" w14:textId="77777777" w:rsidR="00284822" w:rsidRDefault="00F77BF8">
      <w:pPr>
        <w:tabs>
          <w:tab w:val="left" w:pos="1033"/>
        </w:tabs>
        <w:spacing w:before="120" w:after="120"/>
        <w:rPr>
          <w:rFonts w:ascii="Rockwell" w:hAnsi="Rockwell"/>
          <w:color w:val="000000" w:themeColor="text1"/>
          <w:szCs w:val="26"/>
        </w:rPr>
      </w:pPr>
      <w:r>
        <w:rPr>
          <w:rFonts w:ascii="Rockwell" w:hAnsi="Rockwell"/>
          <w:color w:val="000000" w:themeColor="text1"/>
          <w:szCs w:val="26"/>
        </w:rPr>
        <w:t>La PRA-UEMOA-GUINEE a pour objectif, entre autres, de promouvoir le secteur de l’audiovisuel dans l’espace UEMOA et de la Guinée et de mutualiser les compétences afin de relever les défis d’ordre technologique, culturel, sociologique, politique et économique de ce secteur.</w:t>
      </w:r>
    </w:p>
    <w:p w14:paraId="6B7CB7FE" w14:textId="77777777" w:rsidR="00284822" w:rsidRDefault="00F77BF8">
      <w:pPr>
        <w:pStyle w:val="Paragraphedeliste"/>
        <w:rPr>
          <w:rFonts w:ascii="Rockwell" w:hAnsi="Rockwell"/>
          <w:color w:val="000000" w:themeColor="text1"/>
        </w:rPr>
      </w:pPr>
      <w:r>
        <w:rPr>
          <w:rFonts w:ascii="Rockwell" w:hAnsi="Rockwell"/>
          <w:color w:val="000000" w:themeColor="text1"/>
        </w:rPr>
        <w:t>Ainsi, du 29 août au 1</w:t>
      </w:r>
      <w:r>
        <w:rPr>
          <w:rFonts w:ascii="Rockwell" w:hAnsi="Rockwell"/>
          <w:color w:val="000000" w:themeColor="text1"/>
          <w:vertAlign w:val="superscript"/>
        </w:rPr>
        <w:t>er</w:t>
      </w:r>
      <w:r>
        <w:rPr>
          <w:rFonts w:ascii="Rockwell" w:hAnsi="Rockwell"/>
          <w:color w:val="000000" w:themeColor="text1"/>
        </w:rPr>
        <w:t xml:space="preserve"> septembre 2022, une délégation du CSC a pris part, à Niamey au Niger</w:t>
      </w:r>
      <w:r>
        <w:rPr>
          <w:rFonts w:ascii="Rockwell" w:hAnsi="Rockwell"/>
          <w:b/>
          <w:color w:val="000000" w:themeColor="text1"/>
        </w:rPr>
        <w:t>,</w:t>
      </w:r>
      <w:r>
        <w:rPr>
          <w:rFonts w:ascii="Rockwell" w:hAnsi="Rockwell"/>
          <w:color w:val="000000" w:themeColor="text1"/>
        </w:rPr>
        <w:t xml:space="preserve"> à l’atelier de réflexion des juristes experts de ladite plateforme autour du thème : « Harmonisation de la règlementation des redevances applicables au secteur de l’audiovisuel ».</w:t>
      </w:r>
    </w:p>
    <w:p w14:paraId="705EA84D" w14:textId="77777777" w:rsidR="00284822" w:rsidRDefault="00284822">
      <w:pPr>
        <w:pStyle w:val="Paragraphedeliste"/>
        <w:rPr>
          <w:rFonts w:ascii="Rockwell" w:hAnsi="Rockwell"/>
          <w:color w:val="000000" w:themeColor="text1"/>
        </w:rPr>
        <w:sectPr w:rsidR="00284822">
          <w:pgSz w:w="11906" w:h="16838"/>
          <w:pgMar w:top="1418" w:right="1418" w:bottom="1418" w:left="1418" w:header="720" w:footer="720" w:gutter="0"/>
          <w:cols w:space="720"/>
        </w:sectPr>
      </w:pPr>
    </w:p>
    <w:p w14:paraId="113DE2A4" w14:textId="77777777" w:rsidR="00284822" w:rsidRDefault="00F77BF8">
      <w:pPr>
        <w:pStyle w:val="Titre4"/>
        <w:spacing w:before="120" w:after="120"/>
        <w:rPr>
          <w:rFonts w:ascii="Rockwell" w:hAnsi="Rockwell"/>
          <w:sz w:val="28"/>
          <w:szCs w:val="28"/>
        </w:rPr>
      </w:pPr>
      <w:r>
        <w:rPr>
          <w:rFonts w:ascii="Rockwell" w:hAnsi="Rockwell"/>
        </w:rPr>
        <w:lastRenderedPageBreak/>
        <w:t xml:space="preserve"> </w:t>
      </w:r>
      <w:bookmarkStart w:id="259" w:name="_Toc175048737"/>
      <w:r>
        <w:rPr>
          <w:rFonts w:ascii="Rockwell" w:hAnsi="Rockwell"/>
          <w:sz w:val="28"/>
          <w:szCs w:val="28"/>
        </w:rPr>
        <w:t>Paragraphe 2 : Septième Conférence des présidents du Réseau francophone des régulateurs des médias (REFRAM)</w:t>
      </w:r>
      <w:bookmarkEnd w:id="259"/>
    </w:p>
    <w:p w14:paraId="0E2C65A1" w14:textId="77777777" w:rsidR="00284822" w:rsidRDefault="00284822">
      <w:pPr>
        <w:spacing w:before="120" w:after="120"/>
      </w:pPr>
    </w:p>
    <w:p w14:paraId="58437FDE" w14:textId="77777777" w:rsidR="00284822" w:rsidRDefault="00F77BF8">
      <w:pPr>
        <w:spacing w:before="120" w:after="120"/>
        <w:rPr>
          <w:rFonts w:ascii="Rockwell" w:hAnsi="Rockwell"/>
          <w:color w:val="000000" w:themeColor="text1"/>
          <w:szCs w:val="26"/>
        </w:rPr>
      </w:pPr>
      <w:r>
        <w:rPr>
          <w:rFonts w:ascii="Rockwell" w:hAnsi="Rockwell"/>
          <w:color w:val="000000" w:themeColor="text1"/>
          <w:szCs w:val="26"/>
        </w:rPr>
        <w:t>Le Conseil supérieur de la communication a participé, du 5 au 7 octobre 2022 à Paris, en France, à la 7</w:t>
      </w:r>
      <w:r>
        <w:rPr>
          <w:rFonts w:ascii="Rockwell" w:hAnsi="Rockwell"/>
          <w:color w:val="000000" w:themeColor="text1"/>
          <w:szCs w:val="26"/>
          <w:vertAlign w:val="superscript"/>
        </w:rPr>
        <w:t>ème</w:t>
      </w:r>
      <w:r>
        <w:rPr>
          <w:rFonts w:ascii="Rockwell" w:hAnsi="Rockwell"/>
          <w:color w:val="000000" w:themeColor="text1"/>
          <w:szCs w:val="26"/>
        </w:rPr>
        <w:t xml:space="preserve"> Conférence des présidents du Réseau francophone des régulateurs des médias. En honorant l’invitation du Président de l’Autorité de régulation de la communication audiovisuelle et numérique (ARCOM), par ailleurs Président du REFRAM, la délégation a pu porter la voix du CSC à cette instance qui a été créée à Ouagadougou, le 1</w:t>
      </w:r>
      <w:r>
        <w:rPr>
          <w:rFonts w:ascii="Rockwell" w:hAnsi="Rockwell"/>
          <w:color w:val="000000" w:themeColor="text1"/>
          <w:szCs w:val="26"/>
          <w:vertAlign w:val="superscript"/>
        </w:rPr>
        <w:t>er</w:t>
      </w:r>
      <w:r>
        <w:rPr>
          <w:rFonts w:ascii="Rockwell" w:hAnsi="Rockwell"/>
          <w:color w:val="000000" w:themeColor="text1"/>
          <w:szCs w:val="26"/>
        </w:rPr>
        <w:t xml:space="preserve"> juillet 2007.   </w:t>
      </w:r>
    </w:p>
    <w:p w14:paraId="308D5233" w14:textId="77777777" w:rsidR="00284822" w:rsidRDefault="00F77BF8">
      <w:pPr>
        <w:spacing w:before="120" w:after="120"/>
        <w:rPr>
          <w:rFonts w:ascii="Rockwell" w:hAnsi="Rockwell"/>
          <w:color w:val="000000" w:themeColor="text1"/>
          <w:szCs w:val="26"/>
        </w:rPr>
      </w:pPr>
      <w:r>
        <w:rPr>
          <w:rFonts w:ascii="Rockwell" w:hAnsi="Rockwell"/>
          <w:color w:val="000000" w:themeColor="text1"/>
          <w:szCs w:val="26"/>
        </w:rPr>
        <w:t>En rappel, l’ARCOM est née de la fusion du Conseil supérieur de l’audiovisuel (CSA) et de la Haute autorité pour la diffusion des œuvres et la protection des droits sur internet (HADOPI). Elle a été créée par la loi du 25 octobre 2021 relative à la régulation et à la protection de l’accès aux œuvres culturelles à l’ère du numérique et mise en place, en janvier 2022.</w:t>
      </w:r>
    </w:p>
    <w:p w14:paraId="2430EB16" w14:textId="77777777" w:rsidR="00284822" w:rsidRDefault="00284822">
      <w:pPr>
        <w:spacing w:before="120" w:after="120"/>
        <w:rPr>
          <w:rFonts w:ascii="Rockwell" w:hAnsi="Rockwell"/>
          <w:color w:val="000000" w:themeColor="text1"/>
          <w:szCs w:val="26"/>
        </w:rPr>
      </w:pPr>
    </w:p>
    <w:p w14:paraId="2B108158" w14:textId="77777777" w:rsidR="00284822" w:rsidRDefault="00284822">
      <w:pPr>
        <w:spacing w:before="120" w:after="120"/>
        <w:rPr>
          <w:rFonts w:ascii="Rockwell" w:hAnsi="Rockwell"/>
          <w:color w:val="000000" w:themeColor="text1"/>
          <w:szCs w:val="26"/>
        </w:rPr>
        <w:sectPr w:rsidR="00284822">
          <w:pgSz w:w="11906" w:h="16838"/>
          <w:pgMar w:top="1418" w:right="1418" w:bottom="1418" w:left="1418" w:header="720" w:footer="720" w:gutter="0"/>
          <w:cols w:space="720"/>
        </w:sectPr>
      </w:pPr>
    </w:p>
    <w:p w14:paraId="1AAF7EA4" w14:textId="77777777" w:rsidR="00284822" w:rsidRDefault="00F77BF8">
      <w:pPr>
        <w:pStyle w:val="Titre3"/>
        <w:spacing w:before="120" w:after="120"/>
        <w:rPr>
          <w:rFonts w:ascii="Rockwell" w:hAnsi="Rockwell"/>
        </w:rPr>
      </w:pPr>
      <w:bookmarkStart w:id="260" w:name="_Toc170304769"/>
      <w:bookmarkStart w:id="261" w:name="_Toc175048738"/>
      <w:r>
        <w:rPr>
          <w:rFonts w:ascii="Rockwell" w:hAnsi="Rockwell"/>
        </w:rPr>
        <w:lastRenderedPageBreak/>
        <w:t>SECTION 2 : AUTRES ACTIVITES</w:t>
      </w:r>
      <w:bookmarkEnd w:id="260"/>
      <w:bookmarkEnd w:id="261"/>
      <w:r>
        <w:rPr>
          <w:rFonts w:ascii="Rockwell" w:hAnsi="Rockwell"/>
        </w:rPr>
        <w:t xml:space="preserve">  </w:t>
      </w:r>
    </w:p>
    <w:p w14:paraId="599A0842" w14:textId="77777777" w:rsidR="00284822" w:rsidRDefault="00284822">
      <w:pPr>
        <w:pStyle w:val="Titre4"/>
        <w:spacing w:before="120" w:after="120"/>
        <w:rPr>
          <w:rFonts w:ascii="Rockwell" w:hAnsi="Rockwell"/>
          <w:sz w:val="28"/>
          <w:szCs w:val="28"/>
        </w:rPr>
      </w:pPr>
    </w:p>
    <w:p w14:paraId="053BAC0A" w14:textId="77777777" w:rsidR="00284822" w:rsidRDefault="00F77BF8">
      <w:pPr>
        <w:pStyle w:val="Titre4"/>
        <w:spacing w:before="120" w:after="120"/>
        <w:rPr>
          <w:rFonts w:ascii="Rockwell" w:hAnsi="Rockwell"/>
          <w:sz w:val="28"/>
          <w:szCs w:val="28"/>
        </w:rPr>
      </w:pPr>
      <w:bookmarkStart w:id="262" w:name="_Toc175048739"/>
      <w:r>
        <w:rPr>
          <w:rFonts w:ascii="Rockwell" w:hAnsi="Rockwell"/>
          <w:sz w:val="28"/>
          <w:szCs w:val="28"/>
        </w:rPr>
        <w:t>Paragraphe 1 : Séminaire régional d’information et de sensibilisation relatif aux comportements délictueux sur les réseaux sociaux</w:t>
      </w:r>
      <w:bookmarkEnd w:id="262"/>
    </w:p>
    <w:p w14:paraId="5D43A9DD" w14:textId="77777777" w:rsidR="00284822" w:rsidRDefault="00284822">
      <w:pPr>
        <w:spacing w:before="120" w:after="120"/>
        <w:rPr>
          <w:sz w:val="10"/>
          <w:szCs w:val="10"/>
        </w:rPr>
      </w:pPr>
    </w:p>
    <w:p w14:paraId="07D85FE6" w14:textId="77777777" w:rsidR="00284822" w:rsidRDefault="00F77BF8">
      <w:pPr>
        <w:spacing w:before="120" w:after="120"/>
        <w:rPr>
          <w:rFonts w:ascii="Rockwell" w:hAnsi="Rockwell"/>
          <w:color w:val="000000" w:themeColor="text1"/>
          <w:szCs w:val="26"/>
        </w:rPr>
      </w:pPr>
      <w:r>
        <w:rPr>
          <w:rFonts w:ascii="Rockwell" w:hAnsi="Rockwell"/>
          <w:color w:val="000000" w:themeColor="text1"/>
          <w:szCs w:val="26"/>
        </w:rPr>
        <w:t xml:space="preserve">Le CSC a participé au Séminaire régional d’information et de sensibilisation relatif aux comportements délictueux sur les réseaux sociaux, organisé par la Commission de l’UEMOA, tenu du 18 au 20 octobre 2022 par visioconférence. </w:t>
      </w:r>
    </w:p>
    <w:p w14:paraId="12E3C184" w14:textId="77777777" w:rsidR="00284822" w:rsidRDefault="00F77BF8">
      <w:pPr>
        <w:spacing w:before="120" w:after="120"/>
        <w:rPr>
          <w:rFonts w:ascii="Rockwell" w:hAnsi="Rockwell"/>
          <w:color w:val="000000" w:themeColor="text1"/>
          <w:szCs w:val="26"/>
        </w:rPr>
      </w:pPr>
      <w:r>
        <w:rPr>
          <w:rFonts w:ascii="Rockwell" w:hAnsi="Rockwell"/>
          <w:color w:val="000000" w:themeColor="text1"/>
          <w:szCs w:val="26"/>
        </w:rPr>
        <w:t xml:space="preserve">L’objectif du séminaire était d’informer les participants des principales infractions commises sur les réseaux sociaux, leurs sanctions, les moyens dont disposent les victimes de même que les moyens technologiques de lutte contre lesdites infractions. </w:t>
      </w:r>
    </w:p>
    <w:p w14:paraId="468398F4" w14:textId="77777777" w:rsidR="00284822" w:rsidRDefault="00284822">
      <w:pPr>
        <w:spacing w:before="120" w:after="120"/>
        <w:jc w:val="center"/>
        <w:rPr>
          <w:rFonts w:ascii="Rockwell" w:hAnsi="Rockwell"/>
          <w:color w:val="000000" w:themeColor="text1"/>
          <w:sz w:val="10"/>
          <w:szCs w:val="10"/>
        </w:rPr>
      </w:pPr>
    </w:p>
    <w:p w14:paraId="418FA4BA" w14:textId="77777777" w:rsidR="00284822" w:rsidRDefault="00F77BF8">
      <w:pPr>
        <w:pStyle w:val="Titre4"/>
        <w:spacing w:before="120" w:after="120"/>
        <w:rPr>
          <w:rFonts w:ascii="Rockwell" w:hAnsi="Rockwell"/>
          <w:sz w:val="28"/>
          <w:szCs w:val="28"/>
        </w:rPr>
      </w:pPr>
      <w:bookmarkStart w:id="263" w:name="_Toc175048740"/>
      <w:r>
        <w:rPr>
          <w:rFonts w:ascii="Rockwell" w:hAnsi="Rockwell"/>
          <w:sz w:val="28"/>
          <w:szCs w:val="28"/>
        </w:rPr>
        <w:t>Paragraphe 2 : Conférence du Réseau africain des Commissaires à l’information</w:t>
      </w:r>
      <w:bookmarkEnd w:id="263"/>
    </w:p>
    <w:p w14:paraId="3EAF567A" w14:textId="77777777" w:rsidR="00284822" w:rsidRDefault="00284822">
      <w:pPr>
        <w:spacing w:before="120" w:after="120"/>
        <w:rPr>
          <w:sz w:val="10"/>
          <w:szCs w:val="10"/>
        </w:rPr>
      </w:pPr>
    </w:p>
    <w:p w14:paraId="6795572A" w14:textId="77777777" w:rsidR="00284822" w:rsidRDefault="00F77BF8">
      <w:pPr>
        <w:spacing w:before="120" w:after="120"/>
        <w:rPr>
          <w:rFonts w:ascii="Rockwell" w:hAnsi="Rockwell"/>
          <w:color w:val="000000" w:themeColor="text1"/>
          <w:szCs w:val="26"/>
        </w:rPr>
      </w:pPr>
      <w:r>
        <w:rPr>
          <w:rFonts w:ascii="Rockwell" w:hAnsi="Rockwell"/>
          <w:color w:val="000000" w:themeColor="text1"/>
          <w:szCs w:val="26"/>
        </w:rPr>
        <w:t>Sur invitation du Président de l’instance de régulation de l’information de l’Afrique du Sud, le CSC a participé, les 7 et 8 avril 2022, à la Conférence virtuelle relative au projet de création d’une structure régionale d’autorité de régulation compétente en matière d’accès à l’information en Afrique.</w:t>
      </w:r>
    </w:p>
    <w:p w14:paraId="673DE615" w14:textId="77777777" w:rsidR="00284822" w:rsidRDefault="00284822">
      <w:pPr>
        <w:spacing w:before="120" w:after="120"/>
        <w:rPr>
          <w:rFonts w:ascii="Rockwell" w:hAnsi="Rockwell"/>
          <w:color w:val="000000" w:themeColor="text1"/>
          <w:szCs w:val="26"/>
        </w:rPr>
      </w:pPr>
    </w:p>
    <w:p w14:paraId="25B14E7D" w14:textId="77777777" w:rsidR="00284822" w:rsidRDefault="00284822">
      <w:pPr>
        <w:pStyle w:val="Paragraphedeliste"/>
        <w:rPr>
          <w:rFonts w:ascii="Rockwell" w:hAnsi="Rockwell"/>
        </w:rPr>
        <w:sectPr w:rsidR="00284822">
          <w:pgSz w:w="11906" w:h="16838"/>
          <w:pgMar w:top="1418" w:right="1418" w:bottom="1418" w:left="1418" w:header="720" w:footer="720" w:gutter="0"/>
          <w:cols w:space="720"/>
        </w:sectPr>
      </w:pPr>
    </w:p>
    <w:p w14:paraId="313D8C12" w14:textId="77777777" w:rsidR="00284822" w:rsidRDefault="00284822">
      <w:pPr>
        <w:spacing w:before="120" w:after="120"/>
        <w:rPr>
          <w:rFonts w:ascii="Rockwell" w:hAnsi="Rockwell"/>
          <w:szCs w:val="26"/>
        </w:rPr>
      </w:pPr>
    </w:p>
    <w:p w14:paraId="21335AE5" w14:textId="77777777" w:rsidR="00284822" w:rsidRDefault="00284822">
      <w:pPr>
        <w:spacing w:before="120" w:after="120"/>
        <w:rPr>
          <w:rFonts w:ascii="Rockwell" w:hAnsi="Rockwell"/>
          <w:szCs w:val="26"/>
        </w:rPr>
      </w:pPr>
    </w:p>
    <w:p w14:paraId="4A32BA30" w14:textId="77777777" w:rsidR="00284822" w:rsidRDefault="00284822">
      <w:pPr>
        <w:spacing w:before="120" w:after="120"/>
        <w:rPr>
          <w:rFonts w:ascii="Rockwell" w:hAnsi="Rockwell"/>
          <w:szCs w:val="26"/>
        </w:rPr>
      </w:pPr>
    </w:p>
    <w:p w14:paraId="171DA9B8" w14:textId="77777777" w:rsidR="00284822" w:rsidRDefault="00284822">
      <w:pPr>
        <w:spacing w:before="120" w:after="120"/>
        <w:rPr>
          <w:rFonts w:ascii="Rockwell" w:hAnsi="Rockwell"/>
          <w:szCs w:val="26"/>
        </w:rPr>
      </w:pPr>
    </w:p>
    <w:p w14:paraId="6804A8FF" w14:textId="77777777" w:rsidR="00284822" w:rsidRDefault="00284822">
      <w:pPr>
        <w:spacing w:before="120" w:after="120"/>
        <w:rPr>
          <w:rFonts w:ascii="Rockwell" w:hAnsi="Rockwell"/>
          <w:szCs w:val="26"/>
        </w:rPr>
      </w:pPr>
    </w:p>
    <w:p w14:paraId="15D41E79" w14:textId="77777777" w:rsidR="00284822" w:rsidRDefault="00284822">
      <w:pPr>
        <w:spacing w:before="120" w:after="120"/>
        <w:rPr>
          <w:rFonts w:ascii="Rockwell" w:hAnsi="Rockwell"/>
          <w:szCs w:val="26"/>
        </w:rPr>
      </w:pPr>
    </w:p>
    <w:p w14:paraId="05A1C7A6" w14:textId="77777777" w:rsidR="00284822" w:rsidRDefault="00F77BF8">
      <w:pPr>
        <w:spacing w:before="120" w:after="120"/>
        <w:rPr>
          <w:rFonts w:ascii="Rockwell" w:hAnsi="Rockwell"/>
          <w:szCs w:val="26"/>
        </w:rPr>
      </w:pPr>
      <w:r>
        <w:rPr>
          <w:rFonts w:ascii="Rockwell" w:hAnsi="Rockwell"/>
          <w:b/>
          <w:noProof/>
          <w:szCs w:val="26"/>
        </w:rPr>
        <mc:AlternateContent>
          <mc:Choice Requires="wps">
            <w:drawing>
              <wp:anchor distT="0" distB="0" distL="114300" distR="114300" simplePos="0" relativeHeight="251663360" behindDoc="0" locked="0" layoutInCell="1" allowOverlap="1" wp14:anchorId="040C1186" wp14:editId="4E34B169">
                <wp:simplePos x="0" y="0"/>
                <wp:positionH relativeFrom="margin">
                  <wp:posOffset>-13970</wp:posOffset>
                </wp:positionH>
                <wp:positionV relativeFrom="paragraph">
                  <wp:posOffset>290195</wp:posOffset>
                </wp:positionV>
                <wp:extent cx="5609590" cy="2152015"/>
                <wp:effectExtent l="19050" t="19050" r="10160" b="19685"/>
                <wp:wrapNone/>
                <wp:docPr id="66" name="Rectangle à coins arrondis 66"/>
                <wp:cNvGraphicFramePr/>
                <a:graphic xmlns:a="http://schemas.openxmlformats.org/drawingml/2006/main">
                  <a:graphicData uri="http://schemas.microsoft.com/office/word/2010/wordprocessingShape">
                    <wps:wsp>
                      <wps:cNvSpPr/>
                      <wps:spPr>
                        <a:xfrm>
                          <a:off x="0" y="0"/>
                          <a:ext cx="5609590" cy="2152015"/>
                        </a:xfrm>
                        <a:prstGeom prst="roundRect">
                          <a:avLst/>
                        </a:prstGeom>
                        <a:gradFill flip="none" rotWithShape="1">
                          <a:gsLst>
                            <a:gs pos="0">
                              <a:srgbClr val="00B0F0">
                                <a:tint val="66000"/>
                                <a:satMod val="160000"/>
                              </a:srgbClr>
                            </a:gs>
                            <a:gs pos="50000">
                              <a:srgbClr val="00B0F0">
                                <a:tint val="44500"/>
                                <a:satMod val="160000"/>
                              </a:srgbClr>
                            </a:gs>
                            <a:gs pos="100000">
                              <a:srgbClr val="00B0F0">
                                <a:tint val="23500"/>
                                <a:satMod val="160000"/>
                              </a:srgbClr>
                            </a:gs>
                          </a:gsLst>
                          <a:lin ang="5400000" scaled="1"/>
                          <a:tileRect/>
                        </a:gra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EEC67E" w14:textId="77777777" w:rsidR="003148F1" w:rsidRDefault="003148F1">
                            <w:pPr>
                              <w:pStyle w:val="Titre1"/>
                              <w:rPr>
                                <w:rFonts w:ascii="Rockwell" w:hAnsi="Rockwell"/>
                                <w:color w:val="000000" w:themeColor="text1"/>
                              </w:rPr>
                            </w:pPr>
                            <w:bookmarkStart w:id="264" w:name="_Toc175048741"/>
                            <w:bookmarkStart w:id="265" w:name="_Toc119511797"/>
                            <w:bookmarkStart w:id="266" w:name="_Toc122608710"/>
                            <w:bookmarkStart w:id="267" w:name="_Toc170304770"/>
                            <w:r>
                              <w:rPr>
                                <w:rFonts w:ascii="Rockwell" w:hAnsi="Rockwell"/>
                                <w:color w:val="000000" w:themeColor="text1"/>
                              </w:rPr>
                              <w:t>TROISIEME PARTIE : GESTION DES RESSOURCES HUMAINES, DES FINANCES ET DES MATIERES</w:t>
                            </w:r>
                            <w:bookmarkEnd w:id="264"/>
                            <w:bookmarkEnd w:id="265"/>
                            <w:bookmarkEnd w:id="266"/>
                            <w:bookmarkEnd w:id="267"/>
                          </w:p>
                          <w:p w14:paraId="6141880B" w14:textId="77777777" w:rsidR="003148F1" w:rsidRDefault="003148F1">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040C1186" id="Rectangle à coins arrondis 66" o:spid="_x0000_s1041" style="position:absolute;left:0;text-align:left;margin-left:-1.1pt;margin-top:22.85pt;width:441.7pt;height:169.45pt;z-index:251663360;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" fillcolor="#83d3ff" strokecolor="black [3213]" strokeweight="2.25pt">
                <v:fill color2="#dbf0ff" rotate="t" colors="0 #83d3ff;.5 #b5e2ff;1 #dbf0ff" focus="100%" type="gradient"/>
                <v:stroke joinstyle="miter"/>
                <v:textbox>
                  <w:txbxContent>
                    <w:p w14:paraId="16EEC67E" w14:textId="77777777" w:rsidR="003148F1" w:rsidRDefault="003148F1">
                      <w:pPr>
                        <w:pStyle w:val="Titre1"/>
                        <w:rPr>
                          <w:rFonts w:ascii="Rockwell" w:hAnsi="Rockwell"/>
                          <w:color w:val="000000" w:themeColor="text1"/>
                        </w:rPr>
                      </w:pPr>
                      <w:bookmarkStart w:id="268" w:name="_Toc175048741"/>
                      <w:bookmarkStart w:id="269" w:name="_Toc119511797"/>
                      <w:bookmarkStart w:id="270" w:name="_Toc122608710"/>
                      <w:bookmarkStart w:id="271" w:name="_Toc170304770"/>
                      <w:r>
                        <w:rPr>
                          <w:rFonts w:ascii="Rockwell" w:hAnsi="Rockwell"/>
                          <w:color w:val="000000" w:themeColor="text1"/>
                        </w:rPr>
                        <w:t>TROISIEME PARTIE : GESTION DES RESSOURCES HUMAINES, DES FINANCES ET DES MATIERES</w:t>
                      </w:r>
                      <w:bookmarkEnd w:id="268"/>
                      <w:bookmarkEnd w:id="269"/>
                      <w:bookmarkEnd w:id="270"/>
                      <w:bookmarkEnd w:id="271"/>
                    </w:p>
                    <w:p w14:paraId="6141880B" w14:textId="77777777" w:rsidR="003148F1" w:rsidRDefault="003148F1">
                      <w:pPr>
                        <w:jc w:val="center"/>
                      </w:pPr>
                    </w:p>
                  </w:txbxContent>
                </v:textbox>
                <w10:wrap anchorx="margin"/>
              </v:roundrect>
            </w:pict>
          </mc:Fallback>
        </mc:AlternateContent>
      </w:r>
    </w:p>
    <w:p w14:paraId="2A74EDEB" w14:textId="77777777" w:rsidR="00284822" w:rsidRDefault="00284822">
      <w:pPr>
        <w:spacing w:before="120" w:after="120"/>
        <w:rPr>
          <w:rFonts w:ascii="Rockwell" w:hAnsi="Rockwell"/>
          <w:szCs w:val="26"/>
        </w:rPr>
      </w:pPr>
    </w:p>
    <w:p w14:paraId="62D81634" w14:textId="77777777" w:rsidR="00284822" w:rsidRDefault="00284822">
      <w:pPr>
        <w:spacing w:before="120" w:after="120"/>
        <w:rPr>
          <w:rFonts w:ascii="Rockwell" w:hAnsi="Rockwell"/>
          <w:szCs w:val="26"/>
        </w:rPr>
      </w:pPr>
    </w:p>
    <w:p w14:paraId="16D8ADD2" w14:textId="77777777" w:rsidR="00284822" w:rsidRDefault="00284822">
      <w:pPr>
        <w:spacing w:before="120" w:after="120"/>
        <w:rPr>
          <w:rFonts w:ascii="Rockwell" w:hAnsi="Rockwell"/>
          <w:szCs w:val="26"/>
        </w:rPr>
      </w:pPr>
    </w:p>
    <w:p w14:paraId="11911E78" w14:textId="77777777" w:rsidR="00284822" w:rsidRDefault="00284822">
      <w:pPr>
        <w:spacing w:before="120" w:after="120"/>
        <w:rPr>
          <w:rFonts w:ascii="Rockwell" w:hAnsi="Rockwell"/>
          <w:szCs w:val="26"/>
        </w:rPr>
      </w:pPr>
    </w:p>
    <w:p w14:paraId="074A9885" w14:textId="77777777" w:rsidR="00284822" w:rsidRDefault="00284822">
      <w:pPr>
        <w:spacing w:before="120" w:after="120"/>
        <w:rPr>
          <w:rFonts w:ascii="Rockwell" w:hAnsi="Rockwell"/>
          <w:szCs w:val="26"/>
        </w:rPr>
      </w:pPr>
    </w:p>
    <w:p w14:paraId="53C9DF43" w14:textId="77777777" w:rsidR="00284822" w:rsidRDefault="00284822">
      <w:pPr>
        <w:spacing w:before="120" w:after="120"/>
        <w:rPr>
          <w:rFonts w:ascii="Rockwell" w:hAnsi="Rockwell"/>
          <w:szCs w:val="26"/>
        </w:rPr>
      </w:pPr>
    </w:p>
    <w:p w14:paraId="0286E8FB" w14:textId="77777777" w:rsidR="00284822" w:rsidRDefault="00284822">
      <w:pPr>
        <w:spacing w:before="120" w:after="120"/>
        <w:rPr>
          <w:rFonts w:ascii="Rockwell" w:hAnsi="Rockwell"/>
          <w:szCs w:val="26"/>
        </w:rPr>
      </w:pPr>
    </w:p>
    <w:p w14:paraId="0CA49E48" w14:textId="77777777" w:rsidR="00284822" w:rsidRDefault="00284822">
      <w:pPr>
        <w:spacing w:before="120" w:after="120"/>
        <w:rPr>
          <w:rFonts w:ascii="Rockwell" w:hAnsi="Rockwell"/>
          <w:b/>
          <w:szCs w:val="26"/>
        </w:rPr>
      </w:pPr>
      <w:bookmarkStart w:id="272" w:name="_Toc42536536"/>
      <w:bookmarkStart w:id="273" w:name="_Toc42536319"/>
      <w:bookmarkStart w:id="274" w:name="_Toc43238633"/>
      <w:bookmarkStart w:id="275" w:name="_Toc42535758"/>
      <w:bookmarkStart w:id="276" w:name="_Toc42529880"/>
      <w:bookmarkStart w:id="277" w:name="_Toc43239476"/>
    </w:p>
    <w:p w14:paraId="2258F35F" w14:textId="77777777" w:rsidR="00284822" w:rsidRDefault="00284822">
      <w:pPr>
        <w:spacing w:before="120" w:after="120"/>
        <w:rPr>
          <w:rFonts w:ascii="Rockwell" w:hAnsi="Rockwell"/>
          <w:b/>
          <w:szCs w:val="26"/>
        </w:rPr>
      </w:pPr>
    </w:p>
    <w:bookmarkEnd w:id="272"/>
    <w:bookmarkEnd w:id="273"/>
    <w:bookmarkEnd w:id="274"/>
    <w:bookmarkEnd w:id="275"/>
    <w:bookmarkEnd w:id="276"/>
    <w:bookmarkEnd w:id="277"/>
    <w:p w14:paraId="497D4B5C" w14:textId="77777777" w:rsidR="00284822" w:rsidRDefault="00284822">
      <w:pPr>
        <w:spacing w:before="120" w:after="120"/>
        <w:rPr>
          <w:rFonts w:ascii="Rockwell" w:hAnsi="Rockwell"/>
          <w:b/>
          <w:szCs w:val="26"/>
        </w:rPr>
      </w:pPr>
    </w:p>
    <w:p w14:paraId="66C0DA6E" w14:textId="77777777" w:rsidR="00284822" w:rsidRDefault="00284822">
      <w:pPr>
        <w:spacing w:before="120" w:after="120"/>
        <w:rPr>
          <w:rFonts w:ascii="Rockwell" w:hAnsi="Rockwell"/>
          <w:b/>
          <w:szCs w:val="26"/>
        </w:rPr>
      </w:pPr>
    </w:p>
    <w:p w14:paraId="0F889391" w14:textId="77777777" w:rsidR="00284822" w:rsidRDefault="00284822">
      <w:pPr>
        <w:spacing w:before="120" w:after="120"/>
        <w:rPr>
          <w:rFonts w:ascii="Rockwell" w:hAnsi="Rockwell"/>
          <w:szCs w:val="26"/>
        </w:rPr>
      </w:pPr>
    </w:p>
    <w:p w14:paraId="386FF2C1" w14:textId="77777777" w:rsidR="00284822" w:rsidRDefault="00284822">
      <w:pPr>
        <w:spacing w:before="120" w:after="120"/>
        <w:rPr>
          <w:rFonts w:ascii="Rockwell" w:hAnsi="Rockwell"/>
          <w:szCs w:val="26"/>
        </w:rPr>
      </w:pPr>
    </w:p>
    <w:p w14:paraId="352D0922" w14:textId="77777777" w:rsidR="00284822" w:rsidRDefault="00284822">
      <w:pPr>
        <w:spacing w:before="120" w:after="120"/>
        <w:rPr>
          <w:rFonts w:ascii="Rockwell" w:hAnsi="Rockwell"/>
          <w:szCs w:val="26"/>
        </w:rPr>
      </w:pPr>
    </w:p>
    <w:p w14:paraId="3A89A1F5" w14:textId="77777777" w:rsidR="00284822" w:rsidRDefault="00284822">
      <w:pPr>
        <w:spacing w:before="120" w:after="120"/>
        <w:rPr>
          <w:rFonts w:ascii="Rockwell" w:hAnsi="Rockwell"/>
          <w:szCs w:val="26"/>
        </w:rPr>
      </w:pPr>
    </w:p>
    <w:p w14:paraId="0591E0D8" w14:textId="77777777" w:rsidR="00284822" w:rsidRDefault="00284822">
      <w:pPr>
        <w:spacing w:before="120" w:after="120"/>
        <w:rPr>
          <w:rFonts w:ascii="Rockwell" w:hAnsi="Rockwell"/>
          <w:szCs w:val="26"/>
        </w:rPr>
      </w:pPr>
    </w:p>
    <w:p w14:paraId="486B76AA" w14:textId="77777777" w:rsidR="00284822" w:rsidRDefault="00F77BF8">
      <w:pPr>
        <w:pStyle w:val="Titre2"/>
        <w:spacing w:before="120" w:after="120"/>
        <w:rPr>
          <w:rFonts w:ascii="Rockwell" w:hAnsi="Rockwell"/>
          <w:sz w:val="30"/>
          <w:szCs w:val="30"/>
        </w:rPr>
      </w:pPr>
      <w:bookmarkStart w:id="278" w:name="_Toc72864378"/>
      <w:bookmarkStart w:id="279" w:name="_Toc119511798"/>
      <w:bookmarkStart w:id="280" w:name="_Toc122608711"/>
      <w:bookmarkStart w:id="281" w:name="_Toc73183959"/>
      <w:bookmarkStart w:id="282" w:name="_Toc175048742"/>
      <w:bookmarkStart w:id="283" w:name="_Toc73184143"/>
      <w:bookmarkStart w:id="284" w:name="_Toc170304771"/>
      <w:r>
        <w:rPr>
          <w:rFonts w:ascii="Rockwell" w:hAnsi="Rockwell"/>
          <w:sz w:val="30"/>
          <w:szCs w:val="30"/>
        </w:rPr>
        <w:lastRenderedPageBreak/>
        <w:t>CHAPITRE I : GESTION DES RESSOURCES HUMAINES</w:t>
      </w:r>
      <w:bookmarkEnd w:id="278"/>
      <w:bookmarkEnd w:id="279"/>
      <w:bookmarkEnd w:id="280"/>
      <w:bookmarkEnd w:id="281"/>
      <w:bookmarkEnd w:id="282"/>
      <w:bookmarkEnd w:id="283"/>
      <w:bookmarkEnd w:id="284"/>
    </w:p>
    <w:p w14:paraId="5DB43A70" w14:textId="77777777" w:rsidR="00284822" w:rsidRDefault="00284822">
      <w:pPr>
        <w:spacing w:before="120" w:after="120"/>
      </w:pPr>
    </w:p>
    <w:p w14:paraId="6632BCFE" w14:textId="77777777" w:rsidR="00284822" w:rsidRDefault="00F77BF8">
      <w:pPr>
        <w:spacing w:before="120" w:after="120"/>
        <w:ind w:right="-1"/>
        <w:rPr>
          <w:rFonts w:ascii="Rockwell" w:hAnsi="Rockwell"/>
          <w:szCs w:val="26"/>
        </w:rPr>
      </w:pPr>
      <w:r>
        <w:rPr>
          <w:rFonts w:ascii="Rockwell" w:hAnsi="Rockwell"/>
          <w:szCs w:val="26"/>
        </w:rPr>
        <w:t xml:space="preserve">En 2022, le CSC a poursuivi les actions de développement de ses ressources humaines à travers le renforcement de ses effectifs, la formation et la proposition de son personnel à des distinctions honorifiques. Il a également réalisé des œuvres sociales. </w:t>
      </w:r>
    </w:p>
    <w:p w14:paraId="4389421A" w14:textId="77777777" w:rsidR="00284822" w:rsidRDefault="00284822">
      <w:pPr>
        <w:pStyle w:val="Titre3"/>
        <w:spacing w:before="120" w:after="120"/>
        <w:rPr>
          <w:rFonts w:ascii="Rockwell" w:hAnsi="Rockwell"/>
          <w:sz w:val="30"/>
          <w:szCs w:val="30"/>
        </w:rPr>
      </w:pPr>
    </w:p>
    <w:p w14:paraId="03B9B385" w14:textId="77777777" w:rsidR="00284822" w:rsidRDefault="00F77BF8">
      <w:pPr>
        <w:pStyle w:val="Titre3"/>
        <w:spacing w:before="120" w:after="120"/>
        <w:rPr>
          <w:rFonts w:ascii="Rockwell" w:hAnsi="Rockwell"/>
          <w:sz w:val="30"/>
          <w:szCs w:val="30"/>
        </w:rPr>
      </w:pPr>
      <w:bookmarkStart w:id="285" w:name="_Toc175048743"/>
      <w:bookmarkStart w:id="286" w:name="_Toc170304772"/>
      <w:r>
        <w:rPr>
          <w:rFonts w:ascii="Rockwell" w:hAnsi="Rockwell"/>
          <w:sz w:val="30"/>
          <w:szCs w:val="30"/>
        </w:rPr>
        <w:t>SECTION 1 : GESTION ADMINISTRATIVE DES RESSOURCES HUMAINES</w:t>
      </w:r>
      <w:bookmarkEnd w:id="285"/>
      <w:bookmarkEnd w:id="286"/>
    </w:p>
    <w:p w14:paraId="0628A127" w14:textId="77777777" w:rsidR="00284822" w:rsidRDefault="00284822">
      <w:pPr>
        <w:spacing w:before="120" w:after="120"/>
        <w:rPr>
          <w:rFonts w:ascii="Rockwell" w:hAnsi="Rockwell"/>
          <w:sz w:val="16"/>
          <w:szCs w:val="16"/>
        </w:rPr>
      </w:pPr>
    </w:p>
    <w:p w14:paraId="5FBB129C" w14:textId="77777777" w:rsidR="00284822" w:rsidRDefault="00F77BF8">
      <w:pPr>
        <w:pStyle w:val="Titre4"/>
        <w:spacing w:before="120" w:after="120"/>
        <w:rPr>
          <w:rFonts w:ascii="Rockwell" w:hAnsi="Rockwell"/>
          <w:sz w:val="28"/>
          <w:szCs w:val="28"/>
        </w:rPr>
      </w:pPr>
      <w:bookmarkStart w:id="287" w:name="_Toc175048744"/>
      <w:r>
        <w:rPr>
          <w:rFonts w:ascii="Rockwell" w:hAnsi="Rockwell"/>
          <w:sz w:val="28"/>
          <w:szCs w:val="28"/>
        </w:rPr>
        <w:t xml:space="preserve">Paragraphe 1 : </w:t>
      </w:r>
      <w:r>
        <w:rPr>
          <w:rFonts w:ascii="Rockwell" w:hAnsi="Rockwell"/>
          <w:szCs w:val="26"/>
        </w:rPr>
        <w:t xml:space="preserve">Nomination de nouveaux </w:t>
      </w:r>
      <w:r>
        <w:rPr>
          <w:rFonts w:ascii="Rockwell" w:hAnsi="Rockwell"/>
          <w:sz w:val="28"/>
          <w:szCs w:val="28"/>
        </w:rPr>
        <w:t>conseillers</w:t>
      </w:r>
      <w:bookmarkEnd w:id="287"/>
      <w:r>
        <w:rPr>
          <w:rFonts w:ascii="Rockwell" w:hAnsi="Rockwell"/>
          <w:sz w:val="28"/>
          <w:szCs w:val="28"/>
        </w:rPr>
        <w:t xml:space="preserve"> </w:t>
      </w:r>
    </w:p>
    <w:p w14:paraId="26C5C26A" w14:textId="77777777" w:rsidR="00284822" w:rsidRDefault="00F77BF8">
      <w:pPr>
        <w:spacing w:before="120" w:after="120"/>
        <w:rPr>
          <w:rFonts w:ascii="Rockwell" w:hAnsi="Rockwell"/>
          <w:color w:val="000000" w:themeColor="text1"/>
          <w:szCs w:val="26"/>
        </w:rPr>
      </w:pPr>
      <w:r>
        <w:rPr>
          <w:rFonts w:ascii="Rockwell" w:hAnsi="Rockwell"/>
          <w:szCs w:val="26"/>
        </w:rPr>
        <w:t xml:space="preserve">En 2022, il a été procédé à la nomination de quatre (04) nouveaux membres pour combler les postes vacants du Collège des conseillers. Ceux-ci </w:t>
      </w:r>
      <w:r>
        <w:rPr>
          <w:rFonts w:ascii="Rockwell" w:hAnsi="Rockwell"/>
          <w:color w:val="000000" w:themeColor="text1"/>
          <w:szCs w:val="26"/>
        </w:rPr>
        <w:t xml:space="preserve">prêteront serment le 27 mai 2022 et une nouvelle élection du Président du Conseil supérieur de la communication, en vue d’achever le mandat en cours sera organisée le 30 mai 2022. </w:t>
      </w:r>
    </w:p>
    <w:p w14:paraId="0BC02AE3" w14:textId="77777777" w:rsidR="00284822" w:rsidRDefault="00F77BF8">
      <w:pPr>
        <w:spacing w:before="120" w:after="120"/>
        <w:jc w:val="center"/>
        <w:rPr>
          <w:rFonts w:ascii="Rockwell" w:hAnsi="Rockwell"/>
          <w:color w:val="000000" w:themeColor="text1"/>
          <w:szCs w:val="26"/>
        </w:rPr>
      </w:pPr>
      <w:r>
        <w:rPr>
          <w:rFonts w:ascii="Rockwell" w:hAnsi="Rockwell"/>
          <w:noProof/>
          <w:color w:val="000000" w:themeColor="text1"/>
          <w:szCs w:val="26"/>
        </w:rPr>
        <w:lastRenderedPageBreak/>
        <w:drawing>
          <wp:inline distT="0" distB="0" distL="0" distR="0" wp14:anchorId="5E08EDE3" wp14:editId="179AFDC0">
            <wp:extent cx="5759450" cy="3839845"/>
            <wp:effectExtent l="0" t="0" r="0" b="8255"/>
            <wp:docPr id="87" name="Imag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 87"/>
                    <pic:cNvPicPr>
                      <a:picLocks noChangeAspect="1"/>
                    </pic:cNvPicPr>
                  </pic:nvPicPr>
                  <pic:blipFill>
                    <a:blip r:embed="rId96" cstate="print">
                      <a:extLst>
                        <a:ext uri="{28A0092B-C50C-407E-A947-70E740481C1C}">
                          <a14:useLocalDpi xmlns:a14="http://schemas.microsoft.com/office/drawing/2010/main" val="0"/>
                        </a:ext>
                      </a:extLst>
                    </a:blip>
                    <a:stretch>
                      <a:fillRect/>
                    </a:stretch>
                  </pic:blipFill>
                  <pic:spPr>
                    <a:xfrm>
                      <a:off x="0" y="0"/>
                      <a:ext cx="5759450" cy="3839845"/>
                    </a:xfrm>
                    <a:prstGeom prst="rect">
                      <a:avLst/>
                    </a:prstGeom>
                  </pic:spPr>
                </pic:pic>
              </a:graphicData>
            </a:graphic>
          </wp:inline>
        </w:drawing>
      </w:r>
    </w:p>
    <w:p w14:paraId="6639F9CA" w14:textId="77777777" w:rsidR="00284822" w:rsidRDefault="00F77BF8">
      <w:pPr>
        <w:spacing w:before="120" w:after="120"/>
        <w:jc w:val="center"/>
        <w:rPr>
          <w:rFonts w:ascii="Rockwell" w:hAnsi="Rockwell"/>
          <w:b/>
          <w:i/>
          <w:sz w:val="20"/>
          <w:szCs w:val="20"/>
        </w:rPr>
      </w:pPr>
      <w:r>
        <w:rPr>
          <w:rFonts w:ascii="Rockwell" w:hAnsi="Rockwell"/>
          <w:b/>
          <w:i/>
          <w:sz w:val="20"/>
          <w:szCs w:val="20"/>
        </w:rPr>
        <w:t>Présidents d’institutions et membres du Gouvernement, avec à leur tête le Premier ministre, ont rehaussé de leur présence l’éclat de la cérémonie d’installation de monsieur BAMOGO</w:t>
      </w:r>
    </w:p>
    <w:p w14:paraId="5930A47B" w14:textId="77777777" w:rsidR="00284822" w:rsidRDefault="00284822">
      <w:pPr>
        <w:spacing w:before="120" w:after="120"/>
        <w:jc w:val="center"/>
        <w:rPr>
          <w:rFonts w:ascii="Rockwell" w:hAnsi="Rockwell"/>
          <w:b/>
          <w:i/>
          <w:sz w:val="20"/>
          <w:szCs w:val="20"/>
        </w:rPr>
      </w:pPr>
    </w:p>
    <w:p w14:paraId="3A22E451" w14:textId="77777777" w:rsidR="00284822" w:rsidRDefault="00F77BF8">
      <w:pPr>
        <w:spacing w:before="120" w:after="120"/>
        <w:jc w:val="center"/>
        <w:rPr>
          <w:rFonts w:ascii="Rockwell" w:hAnsi="Rockwell"/>
          <w:b/>
          <w:i/>
          <w:sz w:val="20"/>
          <w:szCs w:val="20"/>
        </w:rPr>
      </w:pPr>
      <w:r>
        <w:rPr>
          <w:rFonts w:ascii="Rockwell" w:hAnsi="Rockwell"/>
          <w:b/>
          <w:i/>
          <w:sz w:val="20"/>
          <w:szCs w:val="20"/>
        </w:rPr>
        <w:t xml:space="preserve"> </w:t>
      </w:r>
    </w:p>
    <w:p w14:paraId="679DC4E6" w14:textId="77777777" w:rsidR="00284822" w:rsidRDefault="00F77BF8">
      <w:pPr>
        <w:spacing w:before="120" w:after="120"/>
        <w:rPr>
          <w:rFonts w:ascii="Rockwell" w:hAnsi="Rockwell"/>
          <w:szCs w:val="26"/>
        </w:rPr>
      </w:pPr>
      <w:r>
        <w:rPr>
          <w:rFonts w:ascii="Rockwell" w:hAnsi="Rockwell"/>
          <w:szCs w:val="26"/>
        </w:rPr>
        <w:t>Ces quatre (04) nouveaux conseillers sont :</w:t>
      </w:r>
    </w:p>
    <w:p w14:paraId="2A97A4B7" w14:textId="77777777" w:rsidR="00284822" w:rsidRDefault="00F77BF8">
      <w:pPr>
        <w:pStyle w:val="Paragraphedeliste"/>
        <w:numPr>
          <w:ilvl w:val="0"/>
          <w:numId w:val="37"/>
        </w:numPr>
        <w:rPr>
          <w:rFonts w:ascii="Rockwell" w:hAnsi="Rockwell"/>
        </w:rPr>
      </w:pPr>
      <w:r>
        <w:rPr>
          <w:rFonts w:ascii="Rockwell" w:hAnsi="Rockwell"/>
        </w:rPr>
        <w:t xml:space="preserve">Monsieur Mamadou Ali COMPAORE, Conseiller de presse et technique de l’information ; </w:t>
      </w:r>
    </w:p>
    <w:p w14:paraId="1696CF4F" w14:textId="77777777" w:rsidR="00284822" w:rsidRDefault="00F77BF8">
      <w:pPr>
        <w:pStyle w:val="Paragraphedeliste"/>
        <w:numPr>
          <w:ilvl w:val="0"/>
          <w:numId w:val="37"/>
        </w:numPr>
        <w:rPr>
          <w:rFonts w:ascii="Rockwell" w:hAnsi="Rockwell"/>
        </w:rPr>
      </w:pPr>
      <w:r>
        <w:rPr>
          <w:rFonts w:ascii="Rockwell" w:hAnsi="Rockwell"/>
        </w:rPr>
        <w:t xml:space="preserve">Madame </w:t>
      </w:r>
      <w:proofErr w:type="spellStart"/>
      <w:r>
        <w:rPr>
          <w:rFonts w:ascii="Rockwell" w:hAnsi="Rockwell"/>
        </w:rPr>
        <w:t>Wendinmi</w:t>
      </w:r>
      <w:proofErr w:type="spellEnd"/>
      <w:r>
        <w:rPr>
          <w:rFonts w:ascii="Rockwell" w:hAnsi="Rockwell"/>
        </w:rPr>
        <w:t xml:space="preserve"> Valérie BONKOUNGOU/SAOUADOGO, Magistrat ; </w:t>
      </w:r>
    </w:p>
    <w:p w14:paraId="329BC079" w14:textId="77777777" w:rsidR="00284822" w:rsidRDefault="00F77BF8">
      <w:pPr>
        <w:pStyle w:val="Paragraphedeliste"/>
        <w:numPr>
          <w:ilvl w:val="0"/>
          <w:numId w:val="37"/>
        </w:numPr>
        <w:rPr>
          <w:rFonts w:ascii="Rockwell" w:hAnsi="Rockwell"/>
        </w:rPr>
      </w:pPr>
      <w:r>
        <w:rPr>
          <w:rFonts w:ascii="Rockwell" w:hAnsi="Rockwell"/>
        </w:rPr>
        <w:t xml:space="preserve">Monsieur </w:t>
      </w:r>
      <w:proofErr w:type="spellStart"/>
      <w:r>
        <w:rPr>
          <w:rFonts w:ascii="Rockwell" w:hAnsi="Rockwell"/>
        </w:rPr>
        <w:t>Bobar</w:t>
      </w:r>
      <w:proofErr w:type="spellEnd"/>
      <w:r>
        <w:rPr>
          <w:rFonts w:ascii="Rockwell" w:hAnsi="Rockwell"/>
        </w:rPr>
        <w:t xml:space="preserve"> Félix KAMBIRE, Communicateur ; </w:t>
      </w:r>
    </w:p>
    <w:p w14:paraId="1C33B355" w14:textId="77777777" w:rsidR="00284822" w:rsidRDefault="00F77BF8">
      <w:pPr>
        <w:pStyle w:val="Paragraphedeliste"/>
        <w:numPr>
          <w:ilvl w:val="0"/>
          <w:numId w:val="38"/>
        </w:numPr>
        <w:rPr>
          <w:rFonts w:ascii="Rockwell" w:hAnsi="Rockwell"/>
        </w:rPr>
      </w:pPr>
      <w:r>
        <w:rPr>
          <w:rFonts w:ascii="Rockwell" w:hAnsi="Rockwell"/>
        </w:rPr>
        <w:t>Madame Marie Danielle BOUGAIRE/ZANGREYANOGHO, Maître Assistant.</w:t>
      </w:r>
    </w:p>
    <w:p w14:paraId="06738166" w14:textId="77777777" w:rsidR="00284822" w:rsidRDefault="00F77BF8">
      <w:pPr>
        <w:pStyle w:val="Paragraphedeliste"/>
        <w:ind w:left="720"/>
        <w:jc w:val="center"/>
        <w:rPr>
          <w:rFonts w:ascii="Rockwell" w:hAnsi="Rockwell"/>
        </w:rPr>
      </w:pPr>
      <w:r>
        <w:rPr>
          <w:rFonts w:ascii="Rockwell" w:hAnsi="Rockwell"/>
          <w:noProof/>
        </w:rPr>
        <w:lastRenderedPageBreak/>
        <w:drawing>
          <wp:inline distT="0" distB="0" distL="0" distR="0" wp14:anchorId="300571E3" wp14:editId="5BEEE1B6">
            <wp:extent cx="5759450" cy="3839210"/>
            <wp:effectExtent l="0" t="0" r="0" b="8890"/>
            <wp:docPr id="83" name="Image 83" descr="E:\photos rapport public 2022\Photos cérémonies, audiences, réunions, rencontres et ateliers\Cérémonie de prestation des nouveaux Conseillers\DSC_74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 83" descr="E:\photos rapport public 2022\Photos cérémonies, audiences, réunions, rencontres et ateliers\Cérémonie de prestation des nouveaux Conseillers\DSC_7449.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a:xfrm>
                      <a:off x="0" y="0"/>
                      <a:ext cx="5759450" cy="3839633"/>
                    </a:xfrm>
                    <a:prstGeom prst="rect">
                      <a:avLst/>
                    </a:prstGeom>
                    <a:noFill/>
                    <a:ln>
                      <a:noFill/>
                    </a:ln>
                  </pic:spPr>
                </pic:pic>
              </a:graphicData>
            </a:graphic>
          </wp:inline>
        </w:drawing>
      </w:r>
    </w:p>
    <w:p w14:paraId="1837DE67" w14:textId="77777777" w:rsidR="00284822" w:rsidRDefault="00F77BF8">
      <w:pPr>
        <w:pStyle w:val="Paragraphedeliste"/>
        <w:ind w:left="720"/>
        <w:jc w:val="center"/>
        <w:rPr>
          <w:rFonts w:ascii="Rockwell" w:hAnsi="Rockwell"/>
          <w:b/>
          <w:i/>
          <w:sz w:val="20"/>
          <w:szCs w:val="20"/>
        </w:rPr>
      </w:pPr>
      <w:r>
        <w:rPr>
          <w:rFonts w:ascii="Rockwell" w:hAnsi="Rockwell"/>
          <w:b/>
          <w:i/>
          <w:sz w:val="20"/>
          <w:szCs w:val="20"/>
        </w:rPr>
        <w:t>A l’issue de la cérémonie de prestation de serment, les quatre nouveaux conseillers ont posé avec les Sages</w:t>
      </w:r>
    </w:p>
    <w:p w14:paraId="325BDFAC" w14:textId="77777777" w:rsidR="00284822" w:rsidRDefault="00284822">
      <w:pPr>
        <w:pStyle w:val="Titre4"/>
        <w:spacing w:before="120" w:after="120"/>
        <w:rPr>
          <w:rFonts w:ascii="Rockwell" w:hAnsi="Rockwell"/>
          <w:sz w:val="28"/>
          <w:szCs w:val="28"/>
        </w:rPr>
      </w:pPr>
    </w:p>
    <w:p w14:paraId="09A0A38D" w14:textId="77777777" w:rsidR="00284822" w:rsidRDefault="00F77BF8">
      <w:pPr>
        <w:pStyle w:val="Titre4"/>
        <w:spacing w:before="120" w:after="120"/>
        <w:rPr>
          <w:rFonts w:ascii="Rockwell" w:hAnsi="Rockwell"/>
          <w:sz w:val="28"/>
          <w:szCs w:val="28"/>
        </w:rPr>
      </w:pPr>
      <w:bookmarkStart w:id="288" w:name="_Toc175048745"/>
      <w:r>
        <w:rPr>
          <w:rFonts w:ascii="Rockwell" w:hAnsi="Rockwell"/>
          <w:sz w:val="28"/>
          <w:szCs w:val="28"/>
        </w:rPr>
        <w:t>Paragraphe 2 : Renforcement des effectifs du personnel administratif</w:t>
      </w:r>
      <w:bookmarkEnd w:id="288"/>
      <w:r>
        <w:rPr>
          <w:rFonts w:ascii="Rockwell" w:hAnsi="Rockwell"/>
          <w:sz w:val="28"/>
          <w:szCs w:val="28"/>
        </w:rPr>
        <w:t xml:space="preserve"> </w:t>
      </w:r>
    </w:p>
    <w:p w14:paraId="72AF186F" w14:textId="77777777" w:rsidR="00284822" w:rsidRDefault="00F77BF8">
      <w:pPr>
        <w:spacing w:before="120" w:after="120"/>
        <w:rPr>
          <w:rFonts w:ascii="Rockwell" w:hAnsi="Rockwell"/>
          <w:szCs w:val="26"/>
        </w:rPr>
      </w:pPr>
      <w:r>
        <w:rPr>
          <w:rFonts w:ascii="Rockwell" w:hAnsi="Rockwell"/>
          <w:szCs w:val="26"/>
        </w:rPr>
        <w:t>Au cours de l’année 2022, les effectifs du CSC ont été renforcés avec la mise à disposition de trois (03) agents fonctionnaires et la réintégration de deux (02) agents contractuels.</w:t>
      </w:r>
    </w:p>
    <w:p w14:paraId="42494DB7" w14:textId="77777777" w:rsidR="00284822" w:rsidRDefault="00F77BF8">
      <w:pPr>
        <w:spacing w:before="120" w:after="120"/>
        <w:rPr>
          <w:rFonts w:ascii="Rockwell" w:hAnsi="Rockwell"/>
          <w:szCs w:val="26"/>
        </w:rPr>
      </w:pPr>
      <w:r>
        <w:rPr>
          <w:rFonts w:ascii="Rockwell" w:hAnsi="Rockwell"/>
          <w:szCs w:val="26"/>
        </w:rPr>
        <w:t>Le récapitulatif des effectifs accueillis se présente comme suit :</w:t>
      </w:r>
    </w:p>
    <w:p w14:paraId="113734D5" w14:textId="77777777" w:rsidR="00284822" w:rsidRDefault="00F77BF8">
      <w:pPr>
        <w:numPr>
          <w:ilvl w:val="0"/>
          <w:numId w:val="38"/>
        </w:numPr>
        <w:spacing w:before="120" w:after="120"/>
        <w:rPr>
          <w:rFonts w:ascii="Rockwell" w:hAnsi="Rockwell"/>
          <w:szCs w:val="26"/>
        </w:rPr>
      </w:pPr>
      <w:r>
        <w:rPr>
          <w:rFonts w:ascii="Rockwell" w:hAnsi="Rockwell"/>
          <w:szCs w:val="26"/>
        </w:rPr>
        <w:t xml:space="preserve">Monsieur </w:t>
      </w:r>
      <w:proofErr w:type="spellStart"/>
      <w:r>
        <w:rPr>
          <w:rFonts w:ascii="Rockwell" w:hAnsi="Rockwell"/>
          <w:szCs w:val="26"/>
        </w:rPr>
        <w:t>Zafabiè</w:t>
      </w:r>
      <w:proofErr w:type="spellEnd"/>
      <w:r>
        <w:rPr>
          <w:rFonts w:ascii="Rockwell" w:hAnsi="Rockwell"/>
          <w:szCs w:val="26"/>
        </w:rPr>
        <w:t xml:space="preserve"> YE, Conseiller en GRH, mis à la disposition du CSC ;</w:t>
      </w:r>
    </w:p>
    <w:p w14:paraId="0DF29092" w14:textId="77777777" w:rsidR="00284822" w:rsidRDefault="00F77BF8">
      <w:pPr>
        <w:numPr>
          <w:ilvl w:val="0"/>
          <w:numId w:val="38"/>
        </w:numPr>
        <w:spacing w:before="120" w:after="120"/>
        <w:rPr>
          <w:rFonts w:ascii="Rockwell" w:hAnsi="Rockwell"/>
          <w:szCs w:val="26"/>
        </w:rPr>
      </w:pPr>
      <w:r>
        <w:rPr>
          <w:rFonts w:ascii="Rockwell" w:hAnsi="Rockwell"/>
          <w:szCs w:val="26"/>
        </w:rPr>
        <w:t>Monsieur Moussa SANON, Journaliste, mis à la disposition du CSC ;</w:t>
      </w:r>
    </w:p>
    <w:p w14:paraId="2DA0E591" w14:textId="77777777" w:rsidR="00284822" w:rsidRDefault="00F77BF8">
      <w:pPr>
        <w:numPr>
          <w:ilvl w:val="0"/>
          <w:numId w:val="38"/>
        </w:numPr>
        <w:spacing w:before="120" w:after="120"/>
        <w:rPr>
          <w:rFonts w:ascii="Rockwell" w:hAnsi="Rockwell"/>
          <w:szCs w:val="26"/>
        </w:rPr>
      </w:pPr>
      <w:r>
        <w:rPr>
          <w:rFonts w:ascii="Rockwell" w:hAnsi="Rockwell"/>
          <w:szCs w:val="26"/>
        </w:rPr>
        <w:t xml:space="preserve">Monsieur </w:t>
      </w:r>
      <w:proofErr w:type="spellStart"/>
      <w:r>
        <w:rPr>
          <w:rFonts w:ascii="Rockwell" w:hAnsi="Rockwell"/>
          <w:szCs w:val="26"/>
        </w:rPr>
        <w:t>Kafouniba</w:t>
      </w:r>
      <w:proofErr w:type="spellEnd"/>
      <w:r>
        <w:rPr>
          <w:rFonts w:ascii="Rockwell" w:hAnsi="Rockwell"/>
          <w:szCs w:val="26"/>
        </w:rPr>
        <w:t xml:space="preserve"> Christian SOME, Assistant en sciences et techniques de l’information et de la communication, mis à la disposition du CSC ;</w:t>
      </w:r>
    </w:p>
    <w:p w14:paraId="1093ABD1" w14:textId="77777777" w:rsidR="00284822" w:rsidRDefault="00F77BF8">
      <w:pPr>
        <w:numPr>
          <w:ilvl w:val="0"/>
          <w:numId w:val="38"/>
        </w:numPr>
        <w:spacing w:before="120" w:after="120"/>
        <w:rPr>
          <w:rFonts w:ascii="Rockwell" w:hAnsi="Rockwell"/>
          <w:szCs w:val="26"/>
        </w:rPr>
      </w:pPr>
      <w:r>
        <w:rPr>
          <w:rFonts w:ascii="Rockwell" w:hAnsi="Rockwell"/>
          <w:szCs w:val="26"/>
        </w:rPr>
        <w:lastRenderedPageBreak/>
        <w:t>Monsieur Yacouba LIDO, Assistant en régulation des médias en fin de suspension de contrat ;</w:t>
      </w:r>
    </w:p>
    <w:p w14:paraId="0C3336FD" w14:textId="77777777" w:rsidR="00284822" w:rsidRDefault="00F77BF8">
      <w:pPr>
        <w:numPr>
          <w:ilvl w:val="0"/>
          <w:numId w:val="38"/>
        </w:numPr>
        <w:spacing w:before="120" w:after="120"/>
        <w:rPr>
          <w:rFonts w:ascii="Rockwell" w:hAnsi="Rockwell"/>
          <w:szCs w:val="26"/>
        </w:rPr>
      </w:pPr>
      <w:r>
        <w:rPr>
          <w:rFonts w:ascii="Rockwell" w:hAnsi="Rockwell"/>
          <w:szCs w:val="26"/>
        </w:rPr>
        <w:t xml:space="preserve">Monsieur Emmanuel SOMDA, Gestionnaire des programmes, réintégré dans les effectifs des agents contractuels. </w:t>
      </w:r>
    </w:p>
    <w:p w14:paraId="23D13505" w14:textId="77777777" w:rsidR="00284822" w:rsidRDefault="00F77BF8">
      <w:pPr>
        <w:spacing w:before="120" w:after="120"/>
        <w:rPr>
          <w:rFonts w:ascii="Rockwell" w:hAnsi="Rockwell"/>
          <w:szCs w:val="26"/>
        </w:rPr>
      </w:pPr>
      <w:r>
        <w:rPr>
          <w:rFonts w:ascii="Rockwell" w:hAnsi="Rockwell"/>
          <w:szCs w:val="26"/>
        </w:rPr>
        <w:t xml:space="preserve">L’institution a également enregistré la sortie de huit (08) agents et trois (03) Conseillers. Ce sont : </w:t>
      </w:r>
    </w:p>
    <w:p w14:paraId="2BEBC1A2" w14:textId="77777777" w:rsidR="00284822" w:rsidRDefault="00F77BF8">
      <w:pPr>
        <w:pStyle w:val="Paragraphedeliste"/>
        <w:numPr>
          <w:ilvl w:val="0"/>
          <w:numId w:val="39"/>
        </w:numPr>
        <w:ind w:left="720"/>
        <w:rPr>
          <w:rFonts w:ascii="Rockwell" w:hAnsi="Rockwell"/>
        </w:rPr>
      </w:pPr>
      <w:r>
        <w:rPr>
          <w:rFonts w:ascii="Rockwell" w:hAnsi="Rockwell"/>
        </w:rPr>
        <w:t>Monsieur Parfait DABIRE, Comptable, précédemment Chef de service de la programmation budgétaire, mis en position de disponibilité ;</w:t>
      </w:r>
    </w:p>
    <w:p w14:paraId="0E701BE7" w14:textId="77777777" w:rsidR="00284822" w:rsidRDefault="00F77BF8">
      <w:pPr>
        <w:pStyle w:val="Paragraphedeliste"/>
        <w:numPr>
          <w:ilvl w:val="0"/>
          <w:numId w:val="39"/>
        </w:numPr>
        <w:ind w:left="720"/>
        <w:rPr>
          <w:rFonts w:ascii="Rockwell" w:hAnsi="Rockwell"/>
        </w:rPr>
      </w:pPr>
      <w:r>
        <w:rPr>
          <w:rFonts w:ascii="Rockwell" w:hAnsi="Rockwell"/>
        </w:rPr>
        <w:t>Madame Yasmine GUEYE, Attachée en études et analyses, précédemment Agent à la Délégation régionale de l’Ouest, mise en position de disponibilité ;</w:t>
      </w:r>
    </w:p>
    <w:p w14:paraId="7DEB1B4C" w14:textId="77777777" w:rsidR="00284822" w:rsidRDefault="00F77BF8">
      <w:pPr>
        <w:pStyle w:val="Paragraphedeliste"/>
        <w:numPr>
          <w:ilvl w:val="0"/>
          <w:numId w:val="39"/>
        </w:numPr>
        <w:ind w:left="720"/>
        <w:rPr>
          <w:rFonts w:ascii="Rockwell" w:hAnsi="Rockwell"/>
        </w:rPr>
      </w:pPr>
      <w:r>
        <w:rPr>
          <w:rFonts w:ascii="Rockwell" w:hAnsi="Rockwell"/>
        </w:rPr>
        <w:t xml:space="preserve">Madame </w:t>
      </w:r>
      <w:proofErr w:type="spellStart"/>
      <w:r>
        <w:rPr>
          <w:rFonts w:ascii="Rockwell" w:hAnsi="Rockwell"/>
        </w:rPr>
        <w:t>Massadalo</w:t>
      </w:r>
      <w:proofErr w:type="spellEnd"/>
      <w:r>
        <w:rPr>
          <w:rFonts w:ascii="Rockwell" w:hAnsi="Rockwell"/>
        </w:rPr>
        <w:t xml:space="preserve"> Yvette NACOULMA/SANOU, Administrateur civil, précédemment Secrétaire générale, nommée Gouverneur de la Région du Centre-Sud ;</w:t>
      </w:r>
    </w:p>
    <w:p w14:paraId="3F831D28" w14:textId="77777777" w:rsidR="00284822" w:rsidRDefault="00F77BF8">
      <w:pPr>
        <w:pStyle w:val="Paragraphedeliste"/>
        <w:numPr>
          <w:ilvl w:val="0"/>
          <w:numId w:val="39"/>
        </w:numPr>
        <w:ind w:left="720"/>
        <w:rPr>
          <w:rFonts w:ascii="Rockwell" w:hAnsi="Rockwell"/>
        </w:rPr>
      </w:pPr>
      <w:r>
        <w:rPr>
          <w:rFonts w:ascii="Rockwell" w:hAnsi="Rockwell"/>
        </w:rPr>
        <w:t>Monsieur Victor SANOU, Conseiller en sciences et techniques de l’information et de la communication, précédemment Conseiller du CSC, nommé Directeur exécutif du CAPES ;</w:t>
      </w:r>
    </w:p>
    <w:p w14:paraId="24026CC3" w14:textId="77777777" w:rsidR="00284822" w:rsidRDefault="00F77BF8">
      <w:pPr>
        <w:pStyle w:val="Paragraphedeliste"/>
        <w:numPr>
          <w:ilvl w:val="0"/>
          <w:numId w:val="39"/>
        </w:numPr>
        <w:ind w:left="720"/>
        <w:rPr>
          <w:rFonts w:ascii="Rockwell" w:hAnsi="Rockwell"/>
        </w:rPr>
      </w:pPr>
      <w:r>
        <w:rPr>
          <w:rFonts w:ascii="Rockwell" w:hAnsi="Rockwell"/>
        </w:rPr>
        <w:t>Monsieur Alexis KONKOBO, Conseiller en sciences et techniques de l’information et de la communication, précédemment Conseiller du CSC, démissionnaire de son poste ;</w:t>
      </w:r>
    </w:p>
    <w:p w14:paraId="0C133788" w14:textId="77777777" w:rsidR="00284822" w:rsidRDefault="00F77BF8">
      <w:pPr>
        <w:pStyle w:val="Paragraphedeliste"/>
        <w:numPr>
          <w:ilvl w:val="0"/>
          <w:numId w:val="39"/>
        </w:numPr>
        <w:ind w:left="720"/>
        <w:rPr>
          <w:rFonts w:ascii="Rockwell" w:hAnsi="Rockwell"/>
        </w:rPr>
      </w:pPr>
      <w:r>
        <w:rPr>
          <w:rFonts w:ascii="Rockwell" w:hAnsi="Rockwell"/>
        </w:rPr>
        <w:t>Monsieur S. Mathias TANKAONO, Avocat, précédemment Président du Conseil supérieur de la communication, démissionnaire de son poste ;</w:t>
      </w:r>
    </w:p>
    <w:p w14:paraId="584602D8" w14:textId="77777777" w:rsidR="00284822" w:rsidRDefault="00F77BF8">
      <w:pPr>
        <w:pStyle w:val="Paragraphedeliste"/>
        <w:numPr>
          <w:ilvl w:val="0"/>
          <w:numId w:val="39"/>
        </w:numPr>
        <w:ind w:left="720"/>
        <w:rPr>
          <w:rFonts w:ascii="Rockwell" w:hAnsi="Rockwell"/>
          <w:color w:val="000000" w:themeColor="text1"/>
        </w:rPr>
      </w:pPr>
      <w:r>
        <w:rPr>
          <w:rFonts w:ascii="Rockwell" w:hAnsi="Rockwell"/>
          <w:color w:val="000000" w:themeColor="text1"/>
        </w:rPr>
        <w:t xml:space="preserve">Monsieur </w:t>
      </w:r>
      <w:proofErr w:type="spellStart"/>
      <w:r>
        <w:rPr>
          <w:rFonts w:ascii="Rockwell" w:hAnsi="Rockwell"/>
          <w:color w:val="000000" w:themeColor="text1"/>
        </w:rPr>
        <w:t>Poko</w:t>
      </w:r>
      <w:proofErr w:type="spellEnd"/>
      <w:r>
        <w:rPr>
          <w:rFonts w:ascii="Rockwell" w:hAnsi="Rockwell"/>
          <w:color w:val="000000" w:themeColor="text1"/>
        </w:rPr>
        <w:t xml:space="preserve"> Pascal OUEDRAOGO, Adjoint de chancellerie du Ministère des Affaires étrangères, précédemment Chef de service du protocole, admis au concours professionnel des Secrétaires des Affaires étrangères ;</w:t>
      </w:r>
    </w:p>
    <w:p w14:paraId="10E7F948" w14:textId="77777777" w:rsidR="00284822" w:rsidRDefault="00F77BF8">
      <w:pPr>
        <w:pStyle w:val="Paragraphedeliste"/>
        <w:numPr>
          <w:ilvl w:val="0"/>
          <w:numId w:val="39"/>
        </w:numPr>
        <w:ind w:left="720"/>
        <w:rPr>
          <w:rFonts w:ascii="Rockwell" w:hAnsi="Rockwell"/>
          <w:color w:val="000000" w:themeColor="text1"/>
        </w:rPr>
      </w:pPr>
      <w:r>
        <w:rPr>
          <w:rFonts w:ascii="Rockwell" w:hAnsi="Rockwell"/>
          <w:color w:val="000000" w:themeColor="text1"/>
        </w:rPr>
        <w:lastRenderedPageBreak/>
        <w:t>Monsieur Idrissa KOME, Adjoint de chancellerie du Ministère des Affaires Etrangères, précédemment Agent au service du protocole, nommé au Consulat général du Burkina Faso à Lagos.</w:t>
      </w:r>
    </w:p>
    <w:p w14:paraId="2E52E658" w14:textId="77777777" w:rsidR="00284822" w:rsidRDefault="00F77BF8">
      <w:pPr>
        <w:pStyle w:val="Paragraphedeliste"/>
        <w:numPr>
          <w:ilvl w:val="0"/>
          <w:numId w:val="39"/>
        </w:numPr>
        <w:ind w:left="720"/>
        <w:rPr>
          <w:rFonts w:ascii="Rockwell" w:hAnsi="Rockwell"/>
        </w:rPr>
      </w:pPr>
      <w:r>
        <w:rPr>
          <w:rFonts w:ascii="Rockwell" w:hAnsi="Rockwell"/>
        </w:rPr>
        <w:t>Monsieur Boureima SORE, Technicien supérieur du cinéma et de l’audiovisuel, précédemment Agent à la Délégation régionale de l’Est, mis à la disposition du Ministère de la Communication, de la Culture, des Arts et du Tourisme ;</w:t>
      </w:r>
    </w:p>
    <w:p w14:paraId="3D5B97BC" w14:textId="77777777" w:rsidR="00284822" w:rsidRDefault="00F77BF8">
      <w:pPr>
        <w:pStyle w:val="Paragraphedeliste"/>
        <w:numPr>
          <w:ilvl w:val="0"/>
          <w:numId w:val="39"/>
        </w:numPr>
        <w:ind w:left="720"/>
        <w:rPr>
          <w:rFonts w:ascii="Rockwell" w:hAnsi="Rockwell"/>
        </w:rPr>
      </w:pPr>
      <w:r>
        <w:rPr>
          <w:rFonts w:ascii="Rockwell" w:hAnsi="Rockwell"/>
        </w:rPr>
        <w:t xml:space="preserve"> Monsieur </w:t>
      </w:r>
      <w:proofErr w:type="spellStart"/>
      <w:r>
        <w:rPr>
          <w:rFonts w:ascii="Rockwell" w:hAnsi="Rockwell"/>
        </w:rPr>
        <w:t>Arouna</w:t>
      </w:r>
      <w:proofErr w:type="spellEnd"/>
      <w:r>
        <w:rPr>
          <w:rFonts w:ascii="Rockwell" w:hAnsi="Rockwell"/>
        </w:rPr>
        <w:t xml:space="preserve"> OUEDRAOGO, Chauffeur, personnel domestique du Président du CSC, en fin d’engagement ;</w:t>
      </w:r>
    </w:p>
    <w:p w14:paraId="7DD8D1FF" w14:textId="77777777" w:rsidR="00284822" w:rsidRDefault="00F77BF8">
      <w:pPr>
        <w:pStyle w:val="Paragraphedeliste"/>
        <w:numPr>
          <w:ilvl w:val="0"/>
          <w:numId w:val="39"/>
        </w:numPr>
        <w:ind w:left="720"/>
        <w:rPr>
          <w:rFonts w:ascii="Rockwell" w:hAnsi="Rockwell"/>
        </w:rPr>
      </w:pPr>
      <w:r>
        <w:rPr>
          <w:rFonts w:ascii="Rockwell" w:hAnsi="Rockwell"/>
        </w:rPr>
        <w:t>Monsieur Issoufou SAWADOGO, Cuisinier, personnel domestique du Président du CSC, en fin d’engagement.</w:t>
      </w:r>
    </w:p>
    <w:p w14:paraId="01FD2784" w14:textId="77777777" w:rsidR="00284822" w:rsidRDefault="00F77BF8">
      <w:pPr>
        <w:spacing w:before="120" w:after="120"/>
        <w:rPr>
          <w:rFonts w:ascii="Rockwell" w:hAnsi="Rockwell"/>
          <w:szCs w:val="26"/>
        </w:rPr>
      </w:pPr>
      <w:r>
        <w:rPr>
          <w:rFonts w:ascii="Rockwell" w:hAnsi="Rockwell"/>
          <w:szCs w:val="26"/>
        </w:rPr>
        <w:t>L’effectif total du personnel, tous statuts confondus au 31 décembre 2022, était de cent vingt-huit (128) contre cent trente (130) en 2021, soit une baisse de 1,54 %. Cet effectif se présente comme suit :</w:t>
      </w:r>
    </w:p>
    <w:p w14:paraId="67E19A70" w14:textId="77777777" w:rsidR="00284822" w:rsidRDefault="00F77BF8">
      <w:pPr>
        <w:pStyle w:val="Paragraphedeliste"/>
        <w:numPr>
          <w:ilvl w:val="0"/>
          <w:numId w:val="39"/>
        </w:numPr>
        <w:ind w:left="720"/>
        <w:rPr>
          <w:rFonts w:ascii="Rockwell" w:hAnsi="Rockwell"/>
        </w:rPr>
      </w:pPr>
      <w:r>
        <w:rPr>
          <w:rFonts w:ascii="Rockwell" w:hAnsi="Rockwell"/>
        </w:rPr>
        <w:t>Conseillers : 09 ;</w:t>
      </w:r>
    </w:p>
    <w:p w14:paraId="54EEB054" w14:textId="77777777" w:rsidR="00284822" w:rsidRDefault="00F77BF8">
      <w:pPr>
        <w:pStyle w:val="Paragraphedeliste"/>
        <w:numPr>
          <w:ilvl w:val="0"/>
          <w:numId w:val="39"/>
        </w:numPr>
        <w:ind w:left="720"/>
        <w:rPr>
          <w:rFonts w:ascii="Rockwell" w:hAnsi="Rockwell"/>
        </w:rPr>
      </w:pPr>
      <w:r>
        <w:rPr>
          <w:rFonts w:ascii="Rockwell" w:hAnsi="Rockwell"/>
        </w:rPr>
        <w:t>Fonctionnaires : 80 ;</w:t>
      </w:r>
    </w:p>
    <w:p w14:paraId="63EF57BC" w14:textId="77777777" w:rsidR="00284822" w:rsidRDefault="00F77BF8">
      <w:pPr>
        <w:pStyle w:val="Paragraphedeliste"/>
        <w:numPr>
          <w:ilvl w:val="0"/>
          <w:numId w:val="39"/>
        </w:numPr>
        <w:ind w:left="720"/>
        <w:rPr>
          <w:rFonts w:ascii="Rockwell" w:hAnsi="Rockwell"/>
        </w:rPr>
      </w:pPr>
      <w:r>
        <w:rPr>
          <w:rFonts w:ascii="Rockwell" w:hAnsi="Rockwell"/>
        </w:rPr>
        <w:t>Contractuels : 39.</w:t>
      </w:r>
    </w:p>
    <w:p w14:paraId="7005C39A" w14:textId="77777777" w:rsidR="00284822" w:rsidRDefault="00F77BF8">
      <w:pPr>
        <w:spacing w:before="120" w:after="120"/>
        <w:rPr>
          <w:rFonts w:ascii="Rockwell" w:hAnsi="Rockwell"/>
          <w:szCs w:val="26"/>
        </w:rPr>
      </w:pPr>
      <w:r>
        <w:rPr>
          <w:rFonts w:ascii="Rockwell" w:hAnsi="Rockwell"/>
          <w:szCs w:val="26"/>
        </w:rPr>
        <w:t xml:space="preserve">La répartition du personnel, par structure, au 31 décembre 2022 se présente conformément au tableau suivant : </w:t>
      </w:r>
    </w:p>
    <w:p w14:paraId="5BEF0D69" w14:textId="77777777" w:rsidR="00284822" w:rsidRDefault="00284822">
      <w:pPr>
        <w:spacing w:before="120" w:after="120"/>
        <w:rPr>
          <w:rFonts w:ascii="Rockwell" w:hAnsi="Rockwell"/>
          <w:sz w:val="10"/>
          <w:szCs w:val="10"/>
        </w:rPr>
        <w:sectPr w:rsidR="00284822">
          <w:headerReference w:type="default" r:id="rId98"/>
          <w:footerReference w:type="default" r:id="rId99"/>
          <w:headerReference w:type="first" r:id="rId100"/>
          <w:footerReference w:type="first" r:id="rId101"/>
          <w:pgSz w:w="11906" w:h="16838"/>
          <w:pgMar w:top="1418" w:right="1418" w:bottom="1418" w:left="1418" w:header="708" w:footer="708" w:gutter="0"/>
          <w:cols w:space="720"/>
          <w:titlePg/>
        </w:sectPr>
      </w:pPr>
    </w:p>
    <w:p w14:paraId="00DA2E37" w14:textId="77777777" w:rsidR="00284822" w:rsidRDefault="00F77BF8">
      <w:pPr>
        <w:pStyle w:val="Titre7"/>
        <w:spacing w:before="120" w:after="120"/>
        <w:jc w:val="center"/>
        <w:rPr>
          <w:rFonts w:ascii="Rockwell" w:hAnsi="Rockwell"/>
          <w:sz w:val="20"/>
          <w:szCs w:val="20"/>
        </w:rPr>
      </w:pPr>
      <w:r>
        <w:rPr>
          <w:rFonts w:ascii="Rockwell" w:hAnsi="Rockwell"/>
          <w:color w:val="000000"/>
          <w:sz w:val="20"/>
          <w:szCs w:val="20"/>
          <w:u w:val="single"/>
        </w:rPr>
        <w:lastRenderedPageBreak/>
        <w:t xml:space="preserve">Tableau 26 </w:t>
      </w:r>
      <w:r>
        <w:rPr>
          <w:rFonts w:ascii="Rockwell" w:hAnsi="Rockwell"/>
          <w:color w:val="000000"/>
          <w:sz w:val="20"/>
          <w:szCs w:val="20"/>
        </w:rPr>
        <w:t>:</w:t>
      </w:r>
      <w:r>
        <w:rPr>
          <w:rFonts w:ascii="Rockwell" w:hAnsi="Rockwell"/>
          <w:bCs/>
          <w:color w:val="000000"/>
          <w:sz w:val="20"/>
          <w:szCs w:val="20"/>
        </w:rPr>
        <w:t xml:space="preserve"> Répartition du personnel par structure</w:t>
      </w:r>
    </w:p>
    <w:tbl>
      <w:tblPr>
        <w:tblW w:w="5586" w:type="pct"/>
        <w:jc w:val="center"/>
        <w:tblCellMar>
          <w:left w:w="10" w:type="dxa"/>
          <w:right w:w="10" w:type="dxa"/>
        </w:tblCellMar>
        <w:tblLook w:val="04A0" w:firstRow="1" w:lastRow="0" w:firstColumn="1" w:lastColumn="0" w:noHBand="0" w:noVBand="1"/>
      </w:tblPr>
      <w:tblGrid>
        <w:gridCol w:w="8006"/>
        <w:gridCol w:w="2116"/>
      </w:tblGrid>
      <w:tr w:rsidR="00284822" w14:paraId="3C0ABB3D" w14:textId="77777777">
        <w:trPr>
          <w:trHeight w:val="636"/>
          <w:jc w:val="center"/>
        </w:trPr>
        <w:tc>
          <w:tcPr>
            <w:tcW w:w="8006" w:type="dxa"/>
            <w:tcBorders>
              <w:top w:val="single" w:sz="4" w:space="0" w:color="000000"/>
              <w:left w:val="single" w:sz="4" w:space="0" w:color="000000"/>
              <w:bottom w:val="single" w:sz="4" w:space="0" w:color="000000"/>
              <w:right w:val="single" w:sz="4" w:space="0" w:color="000000"/>
            </w:tcBorders>
            <w:shd w:val="clear" w:color="auto" w:fill="BDD6EE" w:themeFill="accent1" w:themeFillTint="66"/>
            <w:tcMar>
              <w:top w:w="0" w:type="dxa"/>
              <w:left w:w="108" w:type="dxa"/>
              <w:bottom w:w="0" w:type="dxa"/>
              <w:right w:w="108" w:type="dxa"/>
            </w:tcMar>
          </w:tcPr>
          <w:p w14:paraId="4D2B964C" w14:textId="77777777" w:rsidR="00284822" w:rsidRDefault="00F77BF8">
            <w:pPr>
              <w:jc w:val="center"/>
              <w:rPr>
                <w:rFonts w:ascii="Rockwell" w:hAnsi="Rockwell"/>
                <w:b/>
                <w:bCs/>
                <w:szCs w:val="26"/>
              </w:rPr>
            </w:pPr>
            <w:r>
              <w:rPr>
                <w:rFonts w:ascii="Rockwell" w:hAnsi="Rockwell"/>
                <w:b/>
                <w:bCs/>
                <w:szCs w:val="26"/>
              </w:rPr>
              <w:t>Structures</w:t>
            </w:r>
          </w:p>
        </w:tc>
        <w:tc>
          <w:tcPr>
            <w:tcW w:w="2116" w:type="dxa"/>
            <w:tcBorders>
              <w:top w:val="single" w:sz="4" w:space="0" w:color="000000"/>
              <w:left w:val="single" w:sz="4" w:space="0" w:color="000000"/>
              <w:bottom w:val="single" w:sz="4" w:space="0" w:color="000000"/>
              <w:right w:val="single" w:sz="4" w:space="0" w:color="000000"/>
            </w:tcBorders>
            <w:shd w:val="clear" w:color="auto" w:fill="BDD6EE" w:themeFill="accent1" w:themeFillTint="66"/>
            <w:tcMar>
              <w:top w:w="0" w:type="dxa"/>
              <w:left w:w="108" w:type="dxa"/>
              <w:bottom w:w="0" w:type="dxa"/>
              <w:right w:w="108" w:type="dxa"/>
            </w:tcMar>
          </w:tcPr>
          <w:p w14:paraId="1C31C2CC" w14:textId="77777777" w:rsidR="00284822" w:rsidRDefault="00F77BF8">
            <w:pPr>
              <w:jc w:val="center"/>
              <w:rPr>
                <w:rFonts w:ascii="Rockwell" w:hAnsi="Rockwell"/>
                <w:b/>
                <w:bCs/>
                <w:szCs w:val="26"/>
              </w:rPr>
            </w:pPr>
            <w:r>
              <w:rPr>
                <w:rFonts w:ascii="Rockwell" w:hAnsi="Rockwell"/>
                <w:b/>
                <w:bCs/>
                <w:szCs w:val="26"/>
              </w:rPr>
              <w:t>Effectif</w:t>
            </w:r>
          </w:p>
        </w:tc>
      </w:tr>
      <w:tr w:rsidR="00284822" w14:paraId="1967FDC6" w14:textId="77777777">
        <w:trPr>
          <w:trHeight w:val="560"/>
          <w:jc w:val="center"/>
        </w:trPr>
        <w:tc>
          <w:tcPr>
            <w:tcW w:w="8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BDF6AB" w14:textId="63FE4B74" w:rsidR="00284822" w:rsidRDefault="00F77BF8">
            <w:pPr>
              <w:jc w:val="left"/>
              <w:rPr>
                <w:rFonts w:ascii="Rockwell" w:hAnsi="Rockwell"/>
                <w:szCs w:val="26"/>
              </w:rPr>
            </w:pPr>
            <w:r>
              <w:rPr>
                <w:rFonts w:ascii="Rockwell" w:hAnsi="Rockwell"/>
                <w:szCs w:val="26"/>
              </w:rPr>
              <w:t xml:space="preserve">Collège des conseillers </w:t>
            </w:r>
          </w:p>
        </w:tc>
        <w:tc>
          <w:tcPr>
            <w:tcW w:w="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CB9FD" w14:textId="77777777" w:rsidR="00284822" w:rsidRDefault="00F77BF8">
            <w:pPr>
              <w:jc w:val="center"/>
              <w:rPr>
                <w:rFonts w:ascii="Rockwell" w:hAnsi="Rockwell"/>
                <w:szCs w:val="26"/>
              </w:rPr>
            </w:pPr>
            <w:r>
              <w:rPr>
                <w:rFonts w:ascii="Rockwell" w:hAnsi="Rockwell"/>
                <w:szCs w:val="26"/>
              </w:rPr>
              <w:t>9</w:t>
            </w:r>
          </w:p>
        </w:tc>
      </w:tr>
      <w:tr w:rsidR="00284822" w14:paraId="3135115F" w14:textId="77777777">
        <w:trPr>
          <w:trHeight w:val="560"/>
          <w:jc w:val="center"/>
        </w:trPr>
        <w:tc>
          <w:tcPr>
            <w:tcW w:w="8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5DC3" w14:textId="2DA1870B" w:rsidR="00284822" w:rsidRDefault="00F77BF8">
            <w:pPr>
              <w:jc w:val="left"/>
              <w:rPr>
                <w:rFonts w:ascii="Rockwell" w:hAnsi="Rockwell"/>
                <w:szCs w:val="26"/>
              </w:rPr>
            </w:pPr>
            <w:r>
              <w:rPr>
                <w:rFonts w:ascii="Rockwell" w:hAnsi="Rockwell"/>
                <w:szCs w:val="26"/>
              </w:rPr>
              <w:t xml:space="preserve">Cabinet du Président </w:t>
            </w:r>
          </w:p>
        </w:tc>
        <w:tc>
          <w:tcPr>
            <w:tcW w:w="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CCA98" w14:textId="77777777" w:rsidR="00284822" w:rsidRDefault="00F77BF8">
            <w:pPr>
              <w:jc w:val="center"/>
              <w:rPr>
                <w:rFonts w:ascii="Rockwell" w:hAnsi="Rockwell"/>
                <w:szCs w:val="26"/>
              </w:rPr>
            </w:pPr>
            <w:r>
              <w:rPr>
                <w:rFonts w:ascii="Rockwell" w:hAnsi="Rockwell"/>
                <w:szCs w:val="26"/>
              </w:rPr>
              <w:t>18</w:t>
            </w:r>
          </w:p>
        </w:tc>
      </w:tr>
      <w:tr w:rsidR="00284822" w14:paraId="65E6D99F" w14:textId="77777777">
        <w:trPr>
          <w:trHeight w:val="560"/>
          <w:jc w:val="center"/>
        </w:trPr>
        <w:tc>
          <w:tcPr>
            <w:tcW w:w="8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E82F6B" w14:textId="77777777" w:rsidR="00284822" w:rsidRDefault="00F77BF8">
            <w:pPr>
              <w:jc w:val="left"/>
              <w:rPr>
                <w:rFonts w:ascii="Rockwell" w:hAnsi="Rockwell"/>
                <w:szCs w:val="26"/>
              </w:rPr>
            </w:pPr>
            <w:r>
              <w:rPr>
                <w:rFonts w:ascii="Rockwell" w:hAnsi="Rockwell"/>
                <w:szCs w:val="26"/>
              </w:rPr>
              <w:t>Direction de la communication et des relations publiques (DCRP)</w:t>
            </w:r>
          </w:p>
        </w:tc>
        <w:tc>
          <w:tcPr>
            <w:tcW w:w="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007C4" w14:textId="77777777" w:rsidR="00284822" w:rsidRDefault="00F77BF8">
            <w:pPr>
              <w:jc w:val="center"/>
              <w:rPr>
                <w:rFonts w:ascii="Rockwell" w:hAnsi="Rockwell"/>
                <w:szCs w:val="26"/>
              </w:rPr>
            </w:pPr>
            <w:r>
              <w:rPr>
                <w:rFonts w:ascii="Rockwell" w:hAnsi="Rockwell"/>
                <w:szCs w:val="26"/>
              </w:rPr>
              <w:t>5</w:t>
            </w:r>
          </w:p>
        </w:tc>
      </w:tr>
      <w:tr w:rsidR="00284822" w14:paraId="5A094C1A" w14:textId="77777777">
        <w:trPr>
          <w:trHeight w:val="560"/>
          <w:jc w:val="center"/>
        </w:trPr>
        <w:tc>
          <w:tcPr>
            <w:tcW w:w="8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7867F" w14:textId="77777777" w:rsidR="00284822" w:rsidRDefault="00F77BF8">
            <w:pPr>
              <w:jc w:val="left"/>
              <w:rPr>
                <w:rFonts w:ascii="Rockwell" w:hAnsi="Rockwell"/>
                <w:szCs w:val="26"/>
              </w:rPr>
            </w:pPr>
            <w:r>
              <w:rPr>
                <w:rFonts w:ascii="Rockwell" w:hAnsi="Rockwell"/>
                <w:szCs w:val="26"/>
              </w:rPr>
              <w:t>Secrétariat général (SG)</w:t>
            </w:r>
          </w:p>
        </w:tc>
        <w:tc>
          <w:tcPr>
            <w:tcW w:w="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F98E4" w14:textId="77777777" w:rsidR="00284822" w:rsidRDefault="00F77BF8">
            <w:pPr>
              <w:jc w:val="center"/>
              <w:rPr>
                <w:rFonts w:ascii="Rockwell" w:hAnsi="Rockwell"/>
                <w:szCs w:val="26"/>
              </w:rPr>
            </w:pPr>
            <w:r>
              <w:rPr>
                <w:rFonts w:ascii="Rockwell" w:hAnsi="Rockwell"/>
                <w:szCs w:val="26"/>
              </w:rPr>
              <w:t>8</w:t>
            </w:r>
          </w:p>
        </w:tc>
      </w:tr>
      <w:tr w:rsidR="00284822" w14:paraId="7C1A8CB5" w14:textId="77777777">
        <w:trPr>
          <w:trHeight w:val="529"/>
          <w:jc w:val="center"/>
        </w:trPr>
        <w:tc>
          <w:tcPr>
            <w:tcW w:w="8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B96327" w14:textId="77777777" w:rsidR="00284822" w:rsidRDefault="00F77BF8">
            <w:pPr>
              <w:jc w:val="left"/>
              <w:rPr>
                <w:rFonts w:ascii="Rockwell" w:hAnsi="Rockwell"/>
                <w:szCs w:val="26"/>
              </w:rPr>
            </w:pPr>
            <w:r>
              <w:rPr>
                <w:rFonts w:ascii="Rockwell" w:hAnsi="Rockwell"/>
                <w:szCs w:val="26"/>
              </w:rPr>
              <w:t>Direction de l’administration et des finances (DAF)</w:t>
            </w:r>
          </w:p>
        </w:tc>
        <w:tc>
          <w:tcPr>
            <w:tcW w:w="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DA39D" w14:textId="77777777" w:rsidR="00284822" w:rsidRDefault="00F77BF8">
            <w:pPr>
              <w:tabs>
                <w:tab w:val="left" w:pos="1635"/>
                <w:tab w:val="center" w:pos="1946"/>
              </w:tabs>
              <w:jc w:val="center"/>
              <w:rPr>
                <w:rFonts w:ascii="Rockwell" w:hAnsi="Rockwell"/>
                <w:szCs w:val="26"/>
              </w:rPr>
            </w:pPr>
            <w:r>
              <w:rPr>
                <w:rFonts w:ascii="Rockwell" w:hAnsi="Rockwell"/>
                <w:szCs w:val="26"/>
              </w:rPr>
              <w:t>11</w:t>
            </w:r>
          </w:p>
        </w:tc>
      </w:tr>
      <w:tr w:rsidR="00284822" w14:paraId="4B9164A2" w14:textId="77777777">
        <w:trPr>
          <w:trHeight w:val="758"/>
          <w:jc w:val="center"/>
        </w:trPr>
        <w:tc>
          <w:tcPr>
            <w:tcW w:w="8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4F152" w14:textId="77777777" w:rsidR="00284822" w:rsidRDefault="00F77BF8">
            <w:pPr>
              <w:jc w:val="left"/>
              <w:rPr>
                <w:rFonts w:ascii="Rockwell" w:hAnsi="Rockwell"/>
                <w:szCs w:val="26"/>
              </w:rPr>
            </w:pPr>
            <w:r>
              <w:rPr>
                <w:rFonts w:ascii="Rockwell" w:hAnsi="Rockwell"/>
                <w:szCs w:val="26"/>
              </w:rPr>
              <w:t>Direction de la règlementation, de la médiation et du contentieux (DRMC)</w:t>
            </w:r>
          </w:p>
        </w:tc>
        <w:tc>
          <w:tcPr>
            <w:tcW w:w="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A8A1D" w14:textId="77777777" w:rsidR="00284822" w:rsidRDefault="00F77BF8">
            <w:pPr>
              <w:jc w:val="center"/>
              <w:rPr>
                <w:rFonts w:ascii="Rockwell" w:hAnsi="Rockwell"/>
                <w:szCs w:val="26"/>
              </w:rPr>
            </w:pPr>
            <w:r>
              <w:rPr>
                <w:rFonts w:ascii="Rockwell" w:hAnsi="Rockwell"/>
                <w:szCs w:val="26"/>
              </w:rPr>
              <w:t>4</w:t>
            </w:r>
          </w:p>
        </w:tc>
      </w:tr>
      <w:tr w:rsidR="00284822" w14:paraId="30BEDD7A" w14:textId="77777777">
        <w:trPr>
          <w:trHeight w:val="560"/>
          <w:jc w:val="center"/>
        </w:trPr>
        <w:tc>
          <w:tcPr>
            <w:tcW w:w="8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E7C7C" w14:textId="77777777" w:rsidR="00284822" w:rsidRDefault="00F77BF8">
            <w:pPr>
              <w:jc w:val="left"/>
              <w:rPr>
                <w:rFonts w:ascii="Rockwell" w:hAnsi="Rockwell"/>
                <w:szCs w:val="26"/>
              </w:rPr>
            </w:pPr>
            <w:r>
              <w:rPr>
                <w:rFonts w:ascii="Rockwell" w:hAnsi="Rockwell"/>
                <w:szCs w:val="26"/>
              </w:rPr>
              <w:t>Direction des autorisations et des déclarations (DAD)</w:t>
            </w:r>
          </w:p>
        </w:tc>
        <w:tc>
          <w:tcPr>
            <w:tcW w:w="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8A6E86" w14:textId="77777777" w:rsidR="00284822" w:rsidRDefault="00F77BF8">
            <w:pPr>
              <w:jc w:val="center"/>
              <w:rPr>
                <w:rFonts w:ascii="Rockwell" w:hAnsi="Rockwell"/>
                <w:szCs w:val="26"/>
              </w:rPr>
            </w:pPr>
            <w:r>
              <w:rPr>
                <w:rFonts w:ascii="Rockwell" w:hAnsi="Rockwell"/>
                <w:szCs w:val="26"/>
              </w:rPr>
              <w:t>4</w:t>
            </w:r>
          </w:p>
        </w:tc>
      </w:tr>
      <w:tr w:rsidR="00284822" w14:paraId="4C092723" w14:textId="77777777">
        <w:trPr>
          <w:trHeight w:val="560"/>
          <w:jc w:val="center"/>
        </w:trPr>
        <w:tc>
          <w:tcPr>
            <w:tcW w:w="8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436026" w14:textId="77777777" w:rsidR="00284822" w:rsidRDefault="00F77BF8">
            <w:pPr>
              <w:jc w:val="left"/>
              <w:rPr>
                <w:rFonts w:ascii="Rockwell" w:hAnsi="Rockwell"/>
                <w:szCs w:val="26"/>
              </w:rPr>
            </w:pPr>
            <w:r>
              <w:rPr>
                <w:rFonts w:ascii="Rockwell" w:hAnsi="Rockwell"/>
                <w:szCs w:val="26"/>
              </w:rPr>
              <w:t>Direction de la publicité (DP)</w:t>
            </w:r>
          </w:p>
        </w:tc>
        <w:tc>
          <w:tcPr>
            <w:tcW w:w="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C4894" w14:textId="77777777" w:rsidR="00284822" w:rsidRDefault="00F77BF8">
            <w:pPr>
              <w:jc w:val="center"/>
              <w:rPr>
                <w:rFonts w:ascii="Rockwell" w:hAnsi="Rockwell"/>
                <w:szCs w:val="26"/>
              </w:rPr>
            </w:pPr>
            <w:r>
              <w:rPr>
                <w:rFonts w:ascii="Rockwell" w:hAnsi="Rockwell"/>
                <w:szCs w:val="26"/>
              </w:rPr>
              <w:t>3</w:t>
            </w:r>
          </w:p>
        </w:tc>
      </w:tr>
      <w:tr w:rsidR="00284822" w14:paraId="0B9DDAB8" w14:textId="77777777">
        <w:trPr>
          <w:trHeight w:val="560"/>
          <w:jc w:val="center"/>
        </w:trPr>
        <w:tc>
          <w:tcPr>
            <w:tcW w:w="8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2F4D99" w14:textId="77777777" w:rsidR="00284822" w:rsidRDefault="00F77BF8">
            <w:pPr>
              <w:jc w:val="left"/>
              <w:rPr>
                <w:rFonts w:ascii="Rockwell" w:hAnsi="Rockwell"/>
                <w:szCs w:val="26"/>
              </w:rPr>
            </w:pPr>
            <w:r>
              <w:rPr>
                <w:rFonts w:ascii="Rockwell" w:hAnsi="Rockwell"/>
                <w:szCs w:val="26"/>
              </w:rPr>
              <w:t>Direction du monitoring des médias (DMM)</w:t>
            </w:r>
          </w:p>
        </w:tc>
        <w:tc>
          <w:tcPr>
            <w:tcW w:w="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C09EEE" w14:textId="77777777" w:rsidR="00284822" w:rsidRDefault="00F77BF8">
            <w:pPr>
              <w:jc w:val="center"/>
              <w:rPr>
                <w:rFonts w:ascii="Rockwell" w:hAnsi="Rockwell"/>
                <w:szCs w:val="26"/>
              </w:rPr>
            </w:pPr>
            <w:r>
              <w:rPr>
                <w:rFonts w:ascii="Rockwell" w:hAnsi="Rockwell"/>
                <w:szCs w:val="26"/>
              </w:rPr>
              <w:t>14</w:t>
            </w:r>
          </w:p>
        </w:tc>
      </w:tr>
      <w:tr w:rsidR="00284822" w14:paraId="7AC4CCED" w14:textId="77777777">
        <w:trPr>
          <w:trHeight w:val="560"/>
          <w:jc w:val="center"/>
        </w:trPr>
        <w:tc>
          <w:tcPr>
            <w:tcW w:w="8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DC788B" w14:textId="77777777" w:rsidR="00284822" w:rsidRDefault="00F77BF8">
            <w:pPr>
              <w:jc w:val="left"/>
              <w:rPr>
                <w:rFonts w:ascii="Rockwell" w:hAnsi="Rockwell"/>
                <w:szCs w:val="26"/>
              </w:rPr>
            </w:pPr>
            <w:r>
              <w:rPr>
                <w:rFonts w:ascii="Rockwell" w:hAnsi="Rockwell"/>
                <w:szCs w:val="26"/>
              </w:rPr>
              <w:t>Direction de l’instruction des plaintes et des études (DIPE)</w:t>
            </w:r>
          </w:p>
        </w:tc>
        <w:tc>
          <w:tcPr>
            <w:tcW w:w="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95313" w14:textId="77777777" w:rsidR="00284822" w:rsidRDefault="00F77BF8">
            <w:pPr>
              <w:jc w:val="center"/>
              <w:rPr>
                <w:rFonts w:ascii="Rockwell" w:hAnsi="Rockwell"/>
                <w:szCs w:val="26"/>
              </w:rPr>
            </w:pPr>
            <w:r>
              <w:rPr>
                <w:rFonts w:ascii="Rockwell" w:hAnsi="Rockwell"/>
                <w:szCs w:val="26"/>
              </w:rPr>
              <w:t>3</w:t>
            </w:r>
          </w:p>
        </w:tc>
      </w:tr>
      <w:tr w:rsidR="00284822" w14:paraId="31C53996" w14:textId="77777777">
        <w:trPr>
          <w:trHeight w:val="560"/>
          <w:jc w:val="center"/>
        </w:trPr>
        <w:tc>
          <w:tcPr>
            <w:tcW w:w="8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695CF" w14:textId="77777777" w:rsidR="00284822" w:rsidRDefault="00F77BF8">
            <w:pPr>
              <w:jc w:val="left"/>
              <w:rPr>
                <w:rFonts w:ascii="Rockwell" w:hAnsi="Rockwell"/>
                <w:szCs w:val="26"/>
              </w:rPr>
            </w:pPr>
            <w:r>
              <w:rPr>
                <w:rFonts w:ascii="Rockwell" w:hAnsi="Rockwell"/>
                <w:szCs w:val="26"/>
              </w:rPr>
              <w:t>Direction de l’informatique et des technologies (DIT)</w:t>
            </w:r>
          </w:p>
        </w:tc>
        <w:tc>
          <w:tcPr>
            <w:tcW w:w="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E0DD4" w14:textId="77777777" w:rsidR="00284822" w:rsidRDefault="00F77BF8">
            <w:pPr>
              <w:jc w:val="center"/>
              <w:rPr>
                <w:rFonts w:ascii="Rockwell" w:hAnsi="Rockwell"/>
                <w:szCs w:val="26"/>
              </w:rPr>
            </w:pPr>
            <w:r>
              <w:rPr>
                <w:rFonts w:ascii="Rockwell" w:hAnsi="Rockwell"/>
                <w:szCs w:val="26"/>
              </w:rPr>
              <w:t>5</w:t>
            </w:r>
          </w:p>
        </w:tc>
      </w:tr>
      <w:tr w:rsidR="00284822" w14:paraId="74BD7908" w14:textId="77777777">
        <w:trPr>
          <w:trHeight w:val="560"/>
          <w:jc w:val="center"/>
        </w:trPr>
        <w:tc>
          <w:tcPr>
            <w:tcW w:w="8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EF27A" w14:textId="77777777" w:rsidR="00284822" w:rsidRDefault="00F77BF8">
            <w:pPr>
              <w:jc w:val="left"/>
              <w:rPr>
                <w:rFonts w:ascii="Rockwell" w:hAnsi="Rockwell"/>
                <w:szCs w:val="26"/>
              </w:rPr>
            </w:pPr>
            <w:r>
              <w:rPr>
                <w:rFonts w:ascii="Rockwell" w:hAnsi="Rockwell"/>
                <w:szCs w:val="26"/>
              </w:rPr>
              <w:t>Bureau du comptable principal des matières (BCPM)</w:t>
            </w:r>
          </w:p>
        </w:tc>
        <w:tc>
          <w:tcPr>
            <w:tcW w:w="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91AFE" w14:textId="77777777" w:rsidR="00284822" w:rsidRDefault="00F77BF8">
            <w:pPr>
              <w:jc w:val="center"/>
              <w:rPr>
                <w:rFonts w:ascii="Rockwell" w:hAnsi="Rockwell"/>
                <w:szCs w:val="26"/>
              </w:rPr>
            </w:pPr>
            <w:r>
              <w:rPr>
                <w:rFonts w:ascii="Rockwell" w:hAnsi="Rockwell"/>
                <w:szCs w:val="26"/>
              </w:rPr>
              <w:t>7</w:t>
            </w:r>
          </w:p>
        </w:tc>
      </w:tr>
      <w:tr w:rsidR="00284822" w14:paraId="4ECE9E6F" w14:textId="77777777">
        <w:trPr>
          <w:trHeight w:val="560"/>
          <w:jc w:val="center"/>
        </w:trPr>
        <w:tc>
          <w:tcPr>
            <w:tcW w:w="8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9244A" w14:textId="77777777" w:rsidR="00284822" w:rsidRDefault="00F77BF8">
            <w:pPr>
              <w:jc w:val="left"/>
              <w:rPr>
                <w:rFonts w:ascii="Rockwell" w:hAnsi="Rockwell"/>
                <w:szCs w:val="26"/>
              </w:rPr>
            </w:pPr>
            <w:r>
              <w:rPr>
                <w:rFonts w:ascii="Rockwell" w:hAnsi="Rockwell"/>
                <w:szCs w:val="26"/>
              </w:rPr>
              <w:t>Direction des ressources humaines (DRH)</w:t>
            </w:r>
          </w:p>
        </w:tc>
        <w:tc>
          <w:tcPr>
            <w:tcW w:w="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51F270" w14:textId="77777777" w:rsidR="00284822" w:rsidRDefault="00F77BF8">
            <w:pPr>
              <w:jc w:val="center"/>
              <w:rPr>
                <w:rFonts w:ascii="Rockwell" w:hAnsi="Rockwell"/>
                <w:szCs w:val="26"/>
              </w:rPr>
            </w:pPr>
            <w:r>
              <w:rPr>
                <w:rFonts w:ascii="Rockwell" w:hAnsi="Rockwell"/>
                <w:szCs w:val="26"/>
              </w:rPr>
              <w:t>6</w:t>
            </w:r>
          </w:p>
        </w:tc>
      </w:tr>
      <w:tr w:rsidR="00284822" w14:paraId="798352B2" w14:textId="77777777">
        <w:trPr>
          <w:trHeight w:val="560"/>
          <w:jc w:val="center"/>
        </w:trPr>
        <w:tc>
          <w:tcPr>
            <w:tcW w:w="8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0E9CE" w14:textId="77777777" w:rsidR="00284822" w:rsidRDefault="00F77BF8">
            <w:pPr>
              <w:jc w:val="left"/>
              <w:rPr>
                <w:rFonts w:ascii="Rockwell" w:hAnsi="Rockwell"/>
                <w:szCs w:val="26"/>
              </w:rPr>
            </w:pPr>
            <w:r>
              <w:rPr>
                <w:rFonts w:ascii="Rockwell" w:hAnsi="Rockwell"/>
                <w:szCs w:val="26"/>
              </w:rPr>
              <w:t>Direction des marchés publics (DMP)</w:t>
            </w:r>
          </w:p>
        </w:tc>
        <w:tc>
          <w:tcPr>
            <w:tcW w:w="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3669BE" w14:textId="77777777" w:rsidR="00284822" w:rsidRDefault="00F77BF8">
            <w:pPr>
              <w:jc w:val="center"/>
              <w:rPr>
                <w:rFonts w:ascii="Rockwell" w:hAnsi="Rockwell"/>
                <w:szCs w:val="26"/>
              </w:rPr>
            </w:pPr>
            <w:r>
              <w:rPr>
                <w:rFonts w:ascii="Rockwell" w:hAnsi="Rockwell"/>
                <w:szCs w:val="26"/>
              </w:rPr>
              <w:t>3</w:t>
            </w:r>
          </w:p>
        </w:tc>
      </w:tr>
      <w:tr w:rsidR="00284822" w14:paraId="2EB49616" w14:textId="77777777">
        <w:trPr>
          <w:trHeight w:val="560"/>
          <w:jc w:val="center"/>
        </w:trPr>
        <w:tc>
          <w:tcPr>
            <w:tcW w:w="8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86B1A" w14:textId="77777777" w:rsidR="00284822" w:rsidRDefault="00F77BF8">
            <w:pPr>
              <w:jc w:val="left"/>
              <w:rPr>
                <w:rFonts w:ascii="Rockwell" w:hAnsi="Rockwell"/>
                <w:szCs w:val="26"/>
              </w:rPr>
            </w:pPr>
            <w:r>
              <w:rPr>
                <w:rFonts w:ascii="Rockwell" w:hAnsi="Rockwell"/>
                <w:szCs w:val="26"/>
              </w:rPr>
              <w:t xml:space="preserve">Direction de la documentation et des archives (DDA) </w:t>
            </w:r>
          </w:p>
        </w:tc>
        <w:tc>
          <w:tcPr>
            <w:tcW w:w="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01A8C6" w14:textId="77777777" w:rsidR="00284822" w:rsidRDefault="00F77BF8">
            <w:pPr>
              <w:jc w:val="center"/>
              <w:rPr>
                <w:rFonts w:ascii="Rockwell" w:hAnsi="Rockwell"/>
                <w:szCs w:val="26"/>
              </w:rPr>
            </w:pPr>
            <w:r>
              <w:rPr>
                <w:rFonts w:ascii="Rockwell" w:hAnsi="Rockwell"/>
                <w:szCs w:val="26"/>
              </w:rPr>
              <w:t>3</w:t>
            </w:r>
          </w:p>
        </w:tc>
      </w:tr>
      <w:tr w:rsidR="00284822" w14:paraId="51EBAEF4" w14:textId="77777777">
        <w:trPr>
          <w:trHeight w:val="560"/>
          <w:jc w:val="center"/>
        </w:trPr>
        <w:tc>
          <w:tcPr>
            <w:tcW w:w="8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EA1E2" w14:textId="77777777" w:rsidR="00284822" w:rsidRDefault="00F77BF8">
            <w:pPr>
              <w:jc w:val="left"/>
              <w:rPr>
                <w:rFonts w:ascii="Rockwell" w:hAnsi="Rockwell"/>
                <w:szCs w:val="26"/>
              </w:rPr>
            </w:pPr>
            <w:r>
              <w:rPr>
                <w:rFonts w:ascii="Rockwell" w:hAnsi="Rockwell"/>
                <w:szCs w:val="26"/>
              </w:rPr>
              <w:t>Agence comptable (AC)</w:t>
            </w:r>
          </w:p>
        </w:tc>
        <w:tc>
          <w:tcPr>
            <w:tcW w:w="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C5376A" w14:textId="77777777" w:rsidR="00284822" w:rsidRDefault="00F77BF8">
            <w:pPr>
              <w:jc w:val="center"/>
              <w:rPr>
                <w:rFonts w:ascii="Rockwell" w:hAnsi="Rockwell"/>
                <w:szCs w:val="26"/>
              </w:rPr>
            </w:pPr>
            <w:r>
              <w:rPr>
                <w:rFonts w:ascii="Rockwell" w:hAnsi="Rockwell"/>
                <w:szCs w:val="26"/>
              </w:rPr>
              <w:t>4</w:t>
            </w:r>
          </w:p>
        </w:tc>
      </w:tr>
      <w:tr w:rsidR="00284822" w14:paraId="6FFD41A0" w14:textId="77777777">
        <w:trPr>
          <w:trHeight w:val="463"/>
          <w:jc w:val="center"/>
        </w:trPr>
        <w:tc>
          <w:tcPr>
            <w:tcW w:w="8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3B17D" w14:textId="77777777" w:rsidR="00284822" w:rsidRDefault="00F77BF8">
            <w:pPr>
              <w:jc w:val="left"/>
              <w:rPr>
                <w:rFonts w:ascii="Rockwell" w:hAnsi="Rockwell"/>
                <w:szCs w:val="26"/>
              </w:rPr>
            </w:pPr>
            <w:r>
              <w:rPr>
                <w:rFonts w:ascii="Rockwell" w:hAnsi="Rockwell"/>
                <w:szCs w:val="26"/>
              </w:rPr>
              <w:t>Délégation régionale de l’Ouest (DRO)</w:t>
            </w:r>
          </w:p>
        </w:tc>
        <w:tc>
          <w:tcPr>
            <w:tcW w:w="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CE2FF" w14:textId="77777777" w:rsidR="00284822" w:rsidRDefault="00F77BF8">
            <w:pPr>
              <w:jc w:val="center"/>
              <w:rPr>
                <w:rFonts w:ascii="Rockwell" w:hAnsi="Rockwell"/>
                <w:szCs w:val="26"/>
              </w:rPr>
            </w:pPr>
            <w:r>
              <w:rPr>
                <w:rFonts w:ascii="Rockwell" w:hAnsi="Rockwell"/>
                <w:szCs w:val="26"/>
              </w:rPr>
              <w:t>14</w:t>
            </w:r>
          </w:p>
        </w:tc>
      </w:tr>
      <w:tr w:rsidR="00284822" w14:paraId="04FC0E83" w14:textId="77777777">
        <w:trPr>
          <w:trHeight w:val="457"/>
          <w:jc w:val="center"/>
        </w:trPr>
        <w:tc>
          <w:tcPr>
            <w:tcW w:w="8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B9407" w14:textId="77777777" w:rsidR="00284822" w:rsidRDefault="00F77BF8">
            <w:pPr>
              <w:jc w:val="left"/>
              <w:rPr>
                <w:rFonts w:ascii="Rockwell" w:hAnsi="Rockwell"/>
                <w:szCs w:val="26"/>
              </w:rPr>
            </w:pPr>
            <w:r>
              <w:rPr>
                <w:rFonts w:ascii="Rockwell" w:hAnsi="Rockwell"/>
                <w:szCs w:val="26"/>
              </w:rPr>
              <w:t>Délégation régionale de l’Est (DRE)</w:t>
            </w:r>
          </w:p>
        </w:tc>
        <w:tc>
          <w:tcPr>
            <w:tcW w:w="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FAC8F4" w14:textId="77777777" w:rsidR="00284822" w:rsidRDefault="00F77BF8">
            <w:pPr>
              <w:jc w:val="center"/>
              <w:rPr>
                <w:rFonts w:ascii="Rockwell" w:hAnsi="Rockwell"/>
                <w:szCs w:val="26"/>
              </w:rPr>
            </w:pPr>
            <w:r>
              <w:rPr>
                <w:rFonts w:ascii="Rockwell" w:hAnsi="Rockwell"/>
                <w:szCs w:val="26"/>
              </w:rPr>
              <w:t>7</w:t>
            </w:r>
          </w:p>
        </w:tc>
      </w:tr>
      <w:tr w:rsidR="00284822" w14:paraId="2E1E1542" w14:textId="77777777">
        <w:trPr>
          <w:trHeight w:val="560"/>
          <w:jc w:val="center"/>
        </w:trPr>
        <w:tc>
          <w:tcPr>
            <w:tcW w:w="8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C57135" w14:textId="77777777" w:rsidR="00284822" w:rsidRDefault="00F77BF8">
            <w:pPr>
              <w:jc w:val="left"/>
              <w:rPr>
                <w:rFonts w:ascii="Rockwell" w:hAnsi="Rockwell"/>
                <w:b/>
                <w:szCs w:val="26"/>
              </w:rPr>
            </w:pPr>
            <w:r>
              <w:rPr>
                <w:rFonts w:ascii="Rockwell" w:hAnsi="Rockwell"/>
                <w:b/>
                <w:szCs w:val="26"/>
              </w:rPr>
              <w:t>Total effectif</w:t>
            </w:r>
          </w:p>
        </w:tc>
        <w:tc>
          <w:tcPr>
            <w:tcW w:w="2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4F23E" w14:textId="77777777" w:rsidR="00284822" w:rsidRDefault="00F77BF8">
            <w:pPr>
              <w:jc w:val="center"/>
              <w:rPr>
                <w:rFonts w:ascii="Rockwell" w:hAnsi="Rockwell"/>
                <w:b/>
                <w:szCs w:val="26"/>
              </w:rPr>
            </w:pPr>
            <w:r>
              <w:rPr>
                <w:rFonts w:ascii="Rockwell" w:hAnsi="Rockwell"/>
                <w:b/>
                <w:szCs w:val="26"/>
              </w:rPr>
              <w:t>128</w:t>
            </w:r>
          </w:p>
        </w:tc>
      </w:tr>
    </w:tbl>
    <w:p w14:paraId="53224B8F" w14:textId="77777777" w:rsidR="00284822" w:rsidRDefault="00F77BF8">
      <w:pPr>
        <w:spacing w:before="120" w:after="120"/>
        <w:rPr>
          <w:rFonts w:ascii="Rockwell" w:hAnsi="Rockwell"/>
          <w:bCs/>
          <w:i/>
          <w:sz w:val="22"/>
          <w:szCs w:val="22"/>
        </w:rPr>
      </w:pPr>
      <w:r>
        <w:rPr>
          <w:rFonts w:ascii="Rockwell" w:hAnsi="Rockwell"/>
          <w:b/>
          <w:bCs/>
          <w:i/>
          <w:sz w:val="22"/>
          <w:szCs w:val="22"/>
          <w:u w:val="single"/>
        </w:rPr>
        <w:t>Source</w:t>
      </w:r>
      <w:r>
        <w:rPr>
          <w:rFonts w:ascii="Rockwell" w:hAnsi="Rockwell"/>
          <w:bCs/>
          <w:i/>
          <w:sz w:val="22"/>
          <w:szCs w:val="22"/>
        </w:rPr>
        <w:t> : CSC</w:t>
      </w:r>
    </w:p>
    <w:p w14:paraId="65B98AD5" w14:textId="77777777" w:rsidR="00284822" w:rsidRDefault="00284822">
      <w:pPr>
        <w:spacing w:before="120" w:after="120"/>
        <w:rPr>
          <w:rFonts w:ascii="Rockwell" w:hAnsi="Rockwell"/>
          <w:sz w:val="22"/>
          <w:szCs w:val="22"/>
        </w:rPr>
      </w:pPr>
    </w:p>
    <w:p w14:paraId="1A0FFE13" w14:textId="77777777" w:rsidR="00284822" w:rsidRDefault="00F77BF8">
      <w:pPr>
        <w:pStyle w:val="Titre7"/>
        <w:spacing w:before="120" w:after="120"/>
        <w:jc w:val="center"/>
        <w:rPr>
          <w:rFonts w:ascii="Rockwell" w:hAnsi="Rockwell"/>
          <w:sz w:val="20"/>
          <w:szCs w:val="20"/>
        </w:rPr>
      </w:pPr>
      <w:r>
        <w:rPr>
          <w:rFonts w:ascii="Rockwell" w:hAnsi="Rockwell"/>
          <w:color w:val="000000"/>
          <w:sz w:val="20"/>
          <w:szCs w:val="20"/>
          <w:u w:val="single"/>
        </w:rPr>
        <w:lastRenderedPageBreak/>
        <w:t>Graphique</w:t>
      </w:r>
      <w:r>
        <w:rPr>
          <w:rFonts w:ascii="Rockwell" w:hAnsi="Rockwell"/>
          <w:color w:val="000000"/>
          <w:sz w:val="20"/>
          <w:szCs w:val="20"/>
        </w:rPr>
        <w:t xml:space="preserve"> : </w:t>
      </w:r>
      <w:r>
        <w:rPr>
          <w:rFonts w:ascii="Rockwell" w:hAnsi="Rockwell"/>
          <w:b/>
          <w:color w:val="000000"/>
          <w:sz w:val="20"/>
          <w:szCs w:val="20"/>
        </w:rPr>
        <w:t>Répartition du personnel par structure</w:t>
      </w:r>
    </w:p>
    <w:p w14:paraId="7292D992" w14:textId="77777777" w:rsidR="00284822" w:rsidRDefault="00F77BF8">
      <w:pPr>
        <w:spacing w:before="120" w:after="120"/>
        <w:rPr>
          <w:rFonts w:ascii="Rockwell" w:hAnsi="Rockwell"/>
          <w:szCs w:val="26"/>
        </w:rPr>
      </w:pPr>
      <w:r>
        <w:rPr>
          <w:rFonts w:ascii="Rockwell" w:hAnsi="Rockwell"/>
          <w:noProof/>
          <w:szCs w:val="26"/>
        </w:rPr>
        <w:drawing>
          <wp:inline distT="0" distB="0" distL="0" distR="0" wp14:anchorId="7655F18F" wp14:editId="5A20F11C">
            <wp:extent cx="6210300" cy="3190240"/>
            <wp:effectExtent l="0" t="0" r="0" b="10160"/>
            <wp:docPr id="42"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2"/>
              </a:graphicData>
            </a:graphic>
          </wp:inline>
        </w:drawing>
      </w:r>
    </w:p>
    <w:p w14:paraId="06B19880" w14:textId="77777777" w:rsidR="00284822" w:rsidRDefault="00F77BF8">
      <w:pPr>
        <w:spacing w:before="120" w:after="120"/>
        <w:rPr>
          <w:rFonts w:ascii="Rockwell" w:hAnsi="Rockwell"/>
          <w:szCs w:val="26"/>
        </w:rPr>
      </w:pPr>
      <w:r>
        <w:rPr>
          <w:rFonts w:ascii="Rockwell" w:hAnsi="Rockwell"/>
          <w:szCs w:val="26"/>
        </w:rPr>
        <w:t xml:space="preserve">De 2020 à 2022, l’évolution des effectifs se présente comme suit : </w:t>
      </w:r>
    </w:p>
    <w:p w14:paraId="66340DAF" w14:textId="77777777" w:rsidR="00284822" w:rsidRDefault="00F77BF8">
      <w:pPr>
        <w:pStyle w:val="Titre7"/>
        <w:spacing w:before="120" w:after="120"/>
        <w:jc w:val="center"/>
        <w:rPr>
          <w:rFonts w:ascii="Rockwell" w:hAnsi="Rockwell"/>
          <w:color w:val="FF0000"/>
          <w:sz w:val="20"/>
          <w:szCs w:val="20"/>
        </w:rPr>
      </w:pPr>
      <w:r>
        <w:rPr>
          <w:rFonts w:ascii="Rockwell" w:hAnsi="Rockwell"/>
          <w:b/>
          <w:color w:val="auto"/>
          <w:sz w:val="20"/>
          <w:szCs w:val="20"/>
          <w:u w:val="single"/>
        </w:rPr>
        <w:t>Tableau 27</w:t>
      </w:r>
      <w:r>
        <w:rPr>
          <w:rFonts w:ascii="Rockwell" w:hAnsi="Rockwell"/>
          <w:color w:val="auto"/>
          <w:sz w:val="20"/>
          <w:szCs w:val="20"/>
          <w:u w:val="single"/>
        </w:rPr>
        <w:t xml:space="preserve"> :</w:t>
      </w:r>
      <w:r>
        <w:rPr>
          <w:rFonts w:ascii="Rockwell" w:hAnsi="Rockwell"/>
          <w:bCs/>
          <w:color w:val="000000"/>
          <w:sz w:val="20"/>
          <w:szCs w:val="20"/>
        </w:rPr>
        <w:t xml:space="preserve">  Evolution des effectifs du CSC de 2020 à 2022 </w:t>
      </w:r>
    </w:p>
    <w:tbl>
      <w:tblPr>
        <w:tblW w:w="5000" w:type="pct"/>
        <w:jc w:val="center"/>
        <w:tblCellMar>
          <w:left w:w="10" w:type="dxa"/>
          <w:right w:w="10" w:type="dxa"/>
        </w:tblCellMar>
        <w:tblLook w:val="04A0" w:firstRow="1" w:lastRow="0" w:firstColumn="1" w:lastColumn="0" w:noHBand="0" w:noVBand="1"/>
      </w:tblPr>
      <w:tblGrid>
        <w:gridCol w:w="4248"/>
        <w:gridCol w:w="4812"/>
      </w:tblGrid>
      <w:tr w:rsidR="00284822" w14:paraId="0DA7AC4F" w14:textId="77777777">
        <w:trPr>
          <w:trHeight w:val="428"/>
          <w:jc w:val="center"/>
        </w:trPr>
        <w:tc>
          <w:tcPr>
            <w:tcW w:w="4248" w:type="dxa"/>
            <w:tcBorders>
              <w:top w:val="single" w:sz="4" w:space="0" w:color="000000"/>
              <w:left w:val="single" w:sz="4" w:space="0" w:color="000000"/>
              <w:bottom w:val="single" w:sz="4" w:space="0" w:color="000000"/>
              <w:right w:val="single" w:sz="4" w:space="0" w:color="000000"/>
            </w:tcBorders>
            <w:shd w:val="clear" w:color="auto" w:fill="BDD6EE" w:themeFill="accent1" w:themeFillTint="66"/>
            <w:tcMar>
              <w:top w:w="0" w:type="dxa"/>
              <w:left w:w="108" w:type="dxa"/>
              <w:bottom w:w="0" w:type="dxa"/>
              <w:right w:w="108" w:type="dxa"/>
            </w:tcMar>
          </w:tcPr>
          <w:p w14:paraId="75FDF2B3" w14:textId="77777777" w:rsidR="00284822" w:rsidRDefault="00F77BF8">
            <w:pPr>
              <w:spacing w:before="120" w:after="120"/>
              <w:jc w:val="center"/>
              <w:rPr>
                <w:rFonts w:ascii="Rockwell" w:hAnsi="Rockwell"/>
                <w:b/>
                <w:bCs/>
                <w:szCs w:val="26"/>
              </w:rPr>
            </w:pPr>
            <w:r>
              <w:rPr>
                <w:rFonts w:ascii="Rockwell" w:hAnsi="Rockwell"/>
                <w:b/>
                <w:bCs/>
                <w:szCs w:val="26"/>
              </w:rPr>
              <w:t>Année</w:t>
            </w:r>
          </w:p>
        </w:tc>
        <w:tc>
          <w:tcPr>
            <w:tcW w:w="4812" w:type="dxa"/>
            <w:tcBorders>
              <w:top w:val="single" w:sz="4" w:space="0" w:color="000000"/>
              <w:left w:val="single" w:sz="4" w:space="0" w:color="000000"/>
              <w:bottom w:val="single" w:sz="4" w:space="0" w:color="000000"/>
              <w:right w:val="single" w:sz="4" w:space="0" w:color="000000"/>
            </w:tcBorders>
            <w:shd w:val="clear" w:color="auto" w:fill="BDD6EE" w:themeFill="accent1" w:themeFillTint="66"/>
            <w:tcMar>
              <w:top w:w="0" w:type="dxa"/>
              <w:left w:w="108" w:type="dxa"/>
              <w:bottom w:w="0" w:type="dxa"/>
              <w:right w:w="108" w:type="dxa"/>
            </w:tcMar>
          </w:tcPr>
          <w:p w14:paraId="2A54AE19" w14:textId="77777777" w:rsidR="00284822" w:rsidRDefault="00F77BF8">
            <w:pPr>
              <w:spacing w:before="120" w:after="120"/>
              <w:jc w:val="center"/>
              <w:rPr>
                <w:rFonts w:ascii="Rockwell" w:hAnsi="Rockwell"/>
                <w:b/>
                <w:bCs/>
                <w:szCs w:val="26"/>
              </w:rPr>
            </w:pPr>
            <w:r>
              <w:rPr>
                <w:rFonts w:ascii="Rockwell" w:hAnsi="Rockwell"/>
                <w:b/>
                <w:bCs/>
                <w:szCs w:val="26"/>
              </w:rPr>
              <w:t>Effectif</w:t>
            </w:r>
          </w:p>
        </w:tc>
      </w:tr>
      <w:tr w:rsidR="00284822" w14:paraId="5CE7E89B" w14:textId="77777777">
        <w:trPr>
          <w:jc w:val="center"/>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A0127" w14:textId="77777777" w:rsidR="00284822" w:rsidRDefault="00F77BF8">
            <w:pPr>
              <w:spacing w:before="120" w:after="120"/>
              <w:jc w:val="left"/>
              <w:rPr>
                <w:rFonts w:ascii="Rockwell" w:hAnsi="Rockwell"/>
                <w:szCs w:val="26"/>
              </w:rPr>
            </w:pPr>
            <w:r>
              <w:rPr>
                <w:rFonts w:ascii="Rockwell" w:hAnsi="Rockwell"/>
                <w:szCs w:val="26"/>
              </w:rPr>
              <w:t>2020</w:t>
            </w:r>
          </w:p>
        </w:tc>
        <w:tc>
          <w:tcPr>
            <w:tcW w:w="4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5B26AF" w14:textId="77777777" w:rsidR="00284822" w:rsidRDefault="00F77BF8">
            <w:pPr>
              <w:spacing w:before="120" w:after="120"/>
              <w:jc w:val="center"/>
              <w:rPr>
                <w:rFonts w:ascii="Rockwell" w:hAnsi="Rockwell"/>
                <w:szCs w:val="26"/>
              </w:rPr>
            </w:pPr>
            <w:r>
              <w:rPr>
                <w:rFonts w:ascii="Rockwell" w:hAnsi="Rockwell"/>
                <w:szCs w:val="26"/>
              </w:rPr>
              <w:t>120</w:t>
            </w:r>
          </w:p>
        </w:tc>
      </w:tr>
      <w:tr w:rsidR="00284822" w14:paraId="3C11F007" w14:textId="77777777">
        <w:trPr>
          <w:jc w:val="center"/>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364D7" w14:textId="77777777" w:rsidR="00284822" w:rsidRDefault="00F77BF8">
            <w:pPr>
              <w:spacing w:before="120" w:after="120"/>
              <w:jc w:val="left"/>
              <w:rPr>
                <w:rFonts w:ascii="Rockwell" w:hAnsi="Rockwell"/>
                <w:szCs w:val="26"/>
              </w:rPr>
            </w:pPr>
            <w:r>
              <w:rPr>
                <w:rFonts w:ascii="Rockwell" w:hAnsi="Rockwell"/>
                <w:szCs w:val="26"/>
              </w:rPr>
              <w:t>2021</w:t>
            </w:r>
          </w:p>
        </w:tc>
        <w:tc>
          <w:tcPr>
            <w:tcW w:w="4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D0607A" w14:textId="77777777" w:rsidR="00284822" w:rsidRDefault="00F77BF8">
            <w:pPr>
              <w:spacing w:before="120" w:after="120"/>
              <w:jc w:val="center"/>
              <w:rPr>
                <w:rFonts w:ascii="Rockwell" w:hAnsi="Rockwell"/>
                <w:szCs w:val="26"/>
              </w:rPr>
            </w:pPr>
            <w:r>
              <w:rPr>
                <w:rFonts w:ascii="Rockwell" w:hAnsi="Rockwell"/>
                <w:szCs w:val="26"/>
              </w:rPr>
              <w:t>130</w:t>
            </w:r>
          </w:p>
        </w:tc>
      </w:tr>
      <w:tr w:rsidR="00284822" w14:paraId="29DE7D55" w14:textId="77777777">
        <w:trPr>
          <w:jc w:val="center"/>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20FDE" w14:textId="77777777" w:rsidR="00284822" w:rsidRDefault="00F77BF8">
            <w:pPr>
              <w:spacing w:before="120" w:after="120"/>
              <w:jc w:val="left"/>
              <w:rPr>
                <w:rFonts w:ascii="Rockwell" w:hAnsi="Rockwell"/>
                <w:szCs w:val="26"/>
              </w:rPr>
            </w:pPr>
            <w:r>
              <w:rPr>
                <w:rFonts w:ascii="Rockwell" w:hAnsi="Rockwell"/>
                <w:szCs w:val="26"/>
              </w:rPr>
              <w:t>2022</w:t>
            </w:r>
          </w:p>
        </w:tc>
        <w:tc>
          <w:tcPr>
            <w:tcW w:w="4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976A86" w14:textId="77777777" w:rsidR="00284822" w:rsidRDefault="00F77BF8">
            <w:pPr>
              <w:spacing w:before="120" w:after="120"/>
              <w:jc w:val="center"/>
              <w:rPr>
                <w:rFonts w:ascii="Rockwell" w:hAnsi="Rockwell"/>
                <w:szCs w:val="26"/>
              </w:rPr>
            </w:pPr>
            <w:r>
              <w:rPr>
                <w:rFonts w:ascii="Rockwell" w:hAnsi="Rockwell"/>
                <w:szCs w:val="26"/>
              </w:rPr>
              <w:t>128</w:t>
            </w:r>
          </w:p>
        </w:tc>
      </w:tr>
    </w:tbl>
    <w:p w14:paraId="26C457CF" w14:textId="77777777" w:rsidR="00284822" w:rsidRDefault="00F77BF8">
      <w:pPr>
        <w:spacing w:before="120" w:after="120"/>
        <w:ind w:left="142"/>
        <w:rPr>
          <w:rFonts w:ascii="Rockwell" w:hAnsi="Rockwell"/>
          <w:bCs/>
          <w:i/>
          <w:sz w:val="22"/>
          <w:szCs w:val="22"/>
        </w:rPr>
        <w:sectPr w:rsidR="00284822">
          <w:headerReference w:type="default" r:id="rId103"/>
          <w:footerReference w:type="default" r:id="rId104"/>
          <w:pgSz w:w="11906" w:h="16838"/>
          <w:pgMar w:top="1418" w:right="1418" w:bottom="1418" w:left="1418" w:header="720" w:footer="720" w:gutter="0"/>
          <w:cols w:space="720"/>
        </w:sectPr>
      </w:pPr>
      <w:r>
        <w:rPr>
          <w:rFonts w:ascii="Rockwell" w:hAnsi="Rockwell"/>
          <w:bCs/>
          <w:i/>
          <w:sz w:val="22"/>
          <w:szCs w:val="22"/>
          <w:u w:val="single"/>
        </w:rPr>
        <w:t>Source </w:t>
      </w:r>
      <w:r>
        <w:rPr>
          <w:rFonts w:ascii="Rockwell" w:hAnsi="Rockwell"/>
          <w:bCs/>
          <w:i/>
          <w:sz w:val="22"/>
          <w:szCs w:val="22"/>
        </w:rPr>
        <w:t>: CSC</w:t>
      </w:r>
    </w:p>
    <w:p w14:paraId="23D69159" w14:textId="77777777" w:rsidR="00284822" w:rsidRDefault="00284822">
      <w:pPr>
        <w:spacing w:before="120" w:after="120"/>
        <w:ind w:left="142"/>
        <w:rPr>
          <w:rFonts w:ascii="Rockwell" w:hAnsi="Rockwell"/>
          <w:bCs/>
          <w:i/>
          <w:sz w:val="22"/>
          <w:szCs w:val="22"/>
          <w:u w:val="single"/>
        </w:rPr>
      </w:pPr>
    </w:p>
    <w:p w14:paraId="7992BCA6" w14:textId="77777777" w:rsidR="00284822" w:rsidRDefault="00F77BF8">
      <w:pPr>
        <w:tabs>
          <w:tab w:val="left" w:pos="6165"/>
        </w:tabs>
        <w:spacing w:before="120" w:after="120"/>
        <w:jc w:val="center"/>
        <w:rPr>
          <w:rFonts w:ascii="Rockwell" w:hAnsi="Rockwell"/>
          <w:sz w:val="20"/>
          <w:szCs w:val="20"/>
        </w:rPr>
      </w:pPr>
      <w:r>
        <w:rPr>
          <w:rFonts w:ascii="Rockwell" w:hAnsi="Rockwell"/>
          <w:sz w:val="20"/>
          <w:szCs w:val="20"/>
          <w:u w:val="single"/>
        </w:rPr>
        <w:t xml:space="preserve">Graphique </w:t>
      </w:r>
      <w:r>
        <w:rPr>
          <w:rFonts w:ascii="Rockwell" w:hAnsi="Rockwell"/>
          <w:sz w:val="20"/>
          <w:szCs w:val="20"/>
        </w:rPr>
        <w:t>: Evolution des effectifs du CSC de 2020 à 2022</w:t>
      </w:r>
    </w:p>
    <w:p w14:paraId="0D5C2AC9" w14:textId="77777777" w:rsidR="00284822" w:rsidRDefault="00F77BF8">
      <w:pPr>
        <w:spacing w:before="120" w:after="120"/>
        <w:jc w:val="center"/>
        <w:rPr>
          <w:rFonts w:ascii="Rockwell" w:hAnsi="Rockwell"/>
          <w:szCs w:val="26"/>
        </w:rPr>
      </w:pPr>
      <w:r>
        <w:rPr>
          <w:rFonts w:ascii="Rockwell" w:hAnsi="Rockwell"/>
          <w:noProof/>
          <w:szCs w:val="26"/>
        </w:rPr>
        <w:drawing>
          <wp:inline distT="0" distB="0" distL="0" distR="0" wp14:anchorId="3CCEAA3F" wp14:editId="5F65FC04">
            <wp:extent cx="6143625" cy="1981200"/>
            <wp:effectExtent l="0" t="0" r="0" b="0"/>
            <wp:docPr id="43" name="Graphique 9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5"/>
              </a:graphicData>
            </a:graphic>
          </wp:inline>
        </w:drawing>
      </w:r>
    </w:p>
    <w:p w14:paraId="23E22BE0" w14:textId="77777777" w:rsidR="00284822" w:rsidRDefault="00284822">
      <w:pPr>
        <w:spacing w:before="120" w:after="120"/>
        <w:rPr>
          <w:rFonts w:ascii="Rockwell" w:hAnsi="Rockwell"/>
          <w:sz w:val="10"/>
          <w:szCs w:val="10"/>
        </w:rPr>
      </w:pPr>
    </w:p>
    <w:p w14:paraId="36B9F576" w14:textId="77777777" w:rsidR="00284822" w:rsidRDefault="00F77BF8">
      <w:pPr>
        <w:spacing w:before="120" w:after="120"/>
        <w:rPr>
          <w:rFonts w:ascii="Rockwell" w:hAnsi="Rockwell"/>
          <w:szCs w:val="26"/>
        </w:rPr>
      </w:pPr>
      <w:r>
        <w:rPr>
          <w:rFonts w:ascii="Rockwell" w:hAnsi="Rockwell"/>
          <w:szCs w:val="26"/>
        </w:rPr>
        <w:t xml:space="preserve">En plus du personnel administratif, le CSC mandate des Représentants provinciaux pour l’accompagner dans </w:t>
      </w:r>
      <w:r>
        <w:rPr>
          <w:rFonts w:ascii="Rockwell" w:eastAsia="Calibri" w:hAnsi="Rockwell"/>
          <w:szCs w:val="26"/>
          <w:lang w:eastAsia="en-US"/>
        </w:rPr>
        <w:t>le contrôle du contenu des médias dans leur ressort territorial. Ces Représentants provinciaux, au nombre de dix (10), sont les suivants :</w:t>
      </w:r>
      <w:r>
        <w:rPr>
          <w:rFonts w:ascii="Rockwell" w:hAnsi="Rockwell"/>
          <w:szCs w:val="26"/>
        </w:rPr>
        <w:t xml:space="preserve">   </w:t>
      </w:r>
    </w:p>
    <w:p w14:paraId="170A757A" w14:textId="77777777" w:rsidR="00284822" w:rsidRDefault="00F77BF8">
      <w:pPr>
        <w:pStyle w:val="Paragraphedeliste"/>
        <w:numPr>
          <w:ilvl w:val="0"/>
          <w:numId w:val="40"/>
        </w:numPr>
        <w:rPr>
          <w:rFonts w:ascii="Rockwell" w:hAnsi="Rockwell"/>
        </w:rPr>
      </w:pPr>
      <w:r>
        <w:rPr>
          <w:rFonts w:ascii="Rockwell" w:hAnsi="Rockwell"/>
        </w:rPr>
        <w:t>Monsieur Bertin Philibert NIKIEMA, Représentant provincial de Ouahigouya ;</w:t>
      </w:r>
    </w:p>
    <w:p w14:paraId="07499959" w14:textId="77777777" w:rsidR="00284822" w:rsidRDefault="00F77BF8">
      <w:pPr>
        <w:pStyle w:val="Paragraphedeliste"/>
        <w:numPr>
          <w:ilvl w:val="0"/>
          <w:numId w:val="40"/>
        </w:numPr>
        <w:rPr>
          <w:rFonts w:ascii="Rockwell" w:hAnsi="Rockwell"/>
        </w:rPr>
      </w:pPr>
      <w:r>
        <w:rPr>
          <w:rFonts w:ascii="Rockwell" w:hAnsi="Rockwell"/>
        </w:rPr>
        <w:t xml:space="preserve"> Madame </w:t>
      </w:r>
      <w:proofErr w:type="spellStart"/>
      <w:r>
        <w:rPr>
          <w:rFonts w:ascii="Rockwell" w:hAnsi="Rockwell"/>
        </w:rPr>
        <w:t>Kadidia</w:t>
      </w:r>
      <w:proofErr w:type="spellEnd"/>
      <w:r>
        <w:rPr>
          <w:rFonts w:ascii="Rockwell" w:hAnsi="Rockwell"/>
        </w:rPr>
        <w:t xml:space="preserve"> HIEN/FAHO, Représentant provincial de Gaoua ;</w:t>
      </w:r>
    </w:p>
    <w:p w14:paraId="2D8C9E82" w14:textId="77777777" w:rsidR="00284822" w:rsidRDefault="00F77BF8">
      <w:pPr>
        <w:pStyle w:val="Paragraphedeliste"/>
        <w:numPr>
          <w:ilvl w:val="0"/>
          <w:numId w:val="40"/>
        </w:numPr>
        <w:rPr>
          <w:rFonts w:ascii="Rockwell" w:hAnsi="Rockwell"/>
        </w:rPr>
      </w:pPr>
      <w:r>
        <w:rPr>
          <w:rFonts w:ascii="Rockwell" w:hAnsi="Rockwell"/>
        </w:rPr>
        <w:t xml:space="preserve"> Monsieur Boureima Jules KIENOU, Représentant provincial de Dédougou ;</w:t>
      </w:r>
    </w:p>
    <w:p w14:paraId="06A9BD64" w14:textId="77777777" w:rsidR="00284822" w:rsidRDefault="00F77BF8">
      <w:pPr>
        <w:pStyle w:val="Paragraphedeliste"/>
        <w:numPr>
          <w:ilvl w:val="0"/>
          <w:numId w:val="40"/>
        </w:numPr>
        <w:rPr>
          <w:rFonts w:ascii="Rockwell" w:hAnsi="Rockwell"/>
        </w:rPr>
      </w:pPr>
      <w:r>
        <w:rPr>
          <w:rFonts w:ascii="Rockwell" w:hAnsi="Rockwell"/>
        </w:rPr>
        <w:t>Monsieur K. Julien SAWADOGO, Représentant provincial de Kaya ;</w:t>
      </w:r>
    </w:p>
    <w:p w14:paraId="38D368D7" w14:textId="77777777" w:rsidR="00284822" w:rsidRDefault="00F77BF8">
      <w:pPr>
        <w:pStyle w:val="Paragraphedeliste"/>
        <w:numPr>
          <w:ilvl w:val="0"/>
          <w:numId w:val="40"/>
        </w:numPr>
        <w:rPr>
          <w:rFonts w:ascii="Rockwell" w:hAnsi="Rockwell"/>
        </w:rPr>
      </w:pPr>
      <w:r>
        <w:rPr>
          <w:rFonts w:ascii="Rockwell" w:hAnsi="Rockwell"/>
        </w:rPr>
        <w:t xml:space="preserve"> Monsieur </w:t>
      </w:r>
      <w:proofErr w:type="spellStart"/>
      <w:r>
        <w:rPr>
          <w:rFonts w:ascii="Rockwell" w:hAnsi="Rockwell"/>
        </w:rPr>
        <w:t>Bakari</w:t>
      </w:r>
      <w:proofErr w:type="spellEnd"/>
      <w:r>
        <w:rPr>
          <w:rFonts w:ascii="Rockwell" w:hAnsi="Rockwell"/>
        </w:rPr>
        <w:t xml:space="preserve"> Baba TOURE, Représentant provincial de Banfora ;</w:t>
      </w:r>
    </w:p>
    <w:p w14:paraId="2169CCD6" w14:textId="77777777" w:rsidR="00284822" w:rsidRDefault="00F77BF8">
      <w:pPr>
        <w:pStyle w:val="Paragraphedeliste"/>
        <w:numPr>
          <w:ilvl w:val="0"/>
          <w:numId w:val="40"/>
        </w:numPr>
        <w:rPr>
          <w:rFonts w:ascii="Rockwell" w:hAnsi="Rockwell"/>
        </w:rPr>
      </w:pPr>
      <w:r>
        <w:rPr>
          <w:rFonts w:ascii="Rockwell" w:hAnsi="Rockwell"/>
        </w:rPr>
        <w:t>Monsieur Y. Pascal BAKO, Représentant provincial de Koudougou ;</w:t>
      </w:r>
    </w:p>
    <w:p w14:paraId="72E3E137" w14:textId="77777777" w:rsidR="00284822" w:rsidRDefault="00F77BF8">
      <w:pPr>
        <w:pStyle w:val="Paragraphedeliste"/>
        <w:numPr>
          <w:ilvl w:val="0"/>
          <w:numId w:val="40"/>
        </w:numPr>
        <w:rPr>
          <w:rFonts w:ascii="Rockwell" w:hAnsi="Rockwell"/>
        </w:rPr>
      </w:pPr>
      <w:r>
        <w:rPr>
          <w:rFonts w:ascii="Rockwell" w:hAnsi="Rockwell"/>
        </w:rPr>
        <w:t>Monsieur Oumarou DICKO, Représentant provincial de Dori ;</w:t>
      </w:r>
    </w:p>
    <w:p w14:paraId="2B43F304" w14:textId="77777777" w:rsidR="00284822" w:rsidRDefault="00F77BF8">
      <w:pPr>
        <w:pStyle w:val="Paragraphedeliste"/>
        <w:numPr>
          <w:ilvl w:val="0"/>
          <w:numId w:val="40"/>
        </w:numPr>
        <w:rPr>
          <w:rFonts w:ascii="Rockwell" w:hAnsi="Rockwell"/>
        </w:rPr>
      </w:pPr>
      <w:r>
        <w:rPr>
          <w:rFonts w:ascii="Rockwell" w:hAnsi="Rockwell"/>
        </w:rPr>
        <w:t xml:space="preserve"> Madame </w:t>
      </w:r>
      <w:proofErr w:type="spellStart"/>
      <w:r>
        <w:rPr>
          <w:rFonts w:ascii="Rockwell" w:hAnsi="Rockwell"/>
        </w:rPr>
        <w:t>Oho</w:t>
      </w:r>
      <w:proofErr w:type="spellEnd"/>
      <w:r>
        <w:rPr>
          <w:rFonts w:ascii="Rockwell" w:hAnsi="Rockwell"/>
        </w:rPr>
        <w:t xml:space="preserve"> TIOYE, Représentant provincial de Ziniaré ;</w:t>
      </w:r>
    </w:p>
    <w:p w14:paraId="68CEB9FE" w14:textId="77777777" w:rsidR="00284822" w:rsidRDefault="00F77BF8">
      <w:pPr>
        <w:pStyle w:val="Paragraphedeliste"/>
        <w:numPr>
          <w:ilvl w:val="0"/>
          <w:numId w:val="40"/>
        </w:numPr>
        <w:rPr>
          <w:rFonts w:ascii="Rockwell" w:hAnsi="Rockwell"/>
        </w:rPr>
      </w:pPr>
      <w:r>
        <w:rPr>
          <w:rFonts w:ascii="Rockwell" w:hAnsi="Rockwell"/>
        </w:rPr>
        <w:t xml:space="preserve"> Monsieur Jean Théodore ZOUNGRANA, Représentant provincial de Tenkodogo ;</w:t>
      </w:r>
    </w:p>
    <w:p w14:paraId="5DC2216F" w14:textId="77777777" w:rsidR="00284822" w:rsidRDefault="00F77BF8">
      <w:pPr>
        <w:pStyle w:val="Paragraphedeliste"/>
        <w:numPr>
          <w:ilvl w:val="0"/>
          <w:numId w:val="40"/>
        </w:numPr>
        <w:rPr>
          <w:rFonts w:ascii="Rockwell" w:hAnsi="Rockwell"/>
        </w:rPr>
      </w:pPr>
      <w:r>
        <w:rPr>
          <w:rFonts w:ascii="Rockwell" w:hAnsi="Rockwell"/>
        </w:rPr>
        <w:t xml:space="preserve">Monsieur </w:t>
      </w:r>
      <w:proofErr w:type="spellStart"/>
      <w:r>
        <w:rPr>
          <w:rFonts w:ascii="Rockwell" w:hAnsi="Rockwell"/>
        </w:rPr>
        <w:t>Inoussa</w:t>
      </w:r>
      <w:proofErr w:type="spellEnd"/>
      <w:r>
        <w:rPr>
          <w:rFonts w:ascii="Rockwell" w:hAnsi="Rockwell"/>
        </w:rPr>
        <w:t xml:space="preserve"> OUEDRAOGO, Représentant provincial de Manga.</w:t>
      </w:r>
    </w:p>
    <w:p w14:paraId="66613640" w14:textId="77777777" w:rsidR="00284822" w:rsidRDefault="00F77BF8">
      <w:pPr>
        <w:pStyle w:val="Titre3"/>
        <w:spacing w:before="120" w:after="120"/>
        <w:rPr>
          <w:rFonts w:ascii="Rockwell" w:hAnsi="Rockwell"/>
          <w:sz w:val="30"/>
          <w:szCs w:val="30"/>
        </w:rPr>
      </w:pPr>
      <w:bookmarkStart w:id="289" w:name="_Toc72864380"/>
      <w:bookmarkStart w:id="290" w:name="_Toc73183961"/>
      <w:bookmarkStart w:id="291" w:name="_Toc170304773"/>
      <w:bookmarkStart w:id="292" w:name="_Toc175048746"/>
      <w:r>
        <w:rPr>
          <w:rFonts w:ascii="Rockwell" w:hAnsi="Rockwell"/>
          <w:sz w:val="30"/>
          <w:szCs w:val="30"/>
        </w:rPr>
        <w:lastRenderedPageBreak/>
        <w:t>SECTION 2 : DISTINCTIONS HONORIFIQUES</w:t>
      </w:r>
      <w:bookmarkEnd w:id="289"/>
      <w:bookmarkEnd w:id="290"/>
      <w:r>
        <w:rPr>
          <w:rFonts w:ascii="Rockwell" w:hAnsi="Rockwell"/>
          <w:sz w:val="30"/>
          <w:szCs w:val="30"/>
        </w:rPr>
        <w:t>, RENFORCEMENT DES CAPACITES ET ACTIVITES SOCIALES</w:t>
      </w:r>
      <w:bookmarkEnd w:id="291"/>
      <w:bookmarkEnd w:id="292"/>
    </w:p>
    <w:p w14:paraId="3A6B3574" w14:textId="77777777" w:rsidR="00284822" w:rsidRDefault="00284822">
      <w:pPr>
        <w:pStyle w:val="Titre4"/>
        <w:spacing w:before="120" w:after="120"/>
        <w:rPr>
          <w:rFonts w:ascii="Rockwell" w:hAnsi="Rockwell"/>
          <w:sz w:val="28"/>
          <w:szCs w:val="28"/>
        </w:rPr>
      </w:pPr>
    </w:p>
    <w:p w14:paraId="3DEE74D0" w14:textId="77777777" w:rsidR="00284822" w:rsidRDefault="00F77BF8">
      <w:pPr>
        <w:pStyle w:val="Titre4"/>
        <w:spacing w:before="120" w:after="120"/>
        <w:rPr>
          <w:rFonts w:ascii="Rockwell" w:hAnsi="Rockwell"/>
          <w:sz w:val="28"/>
          <w:szCs w:val="28"/>
        </w:rPr>
      </w:pPr>
      <w:bookmarkStart w:id="293" w:name="_Toc175048747"/>
      <w:r>
        <w:rPr>
          <w:rFonts w:ascii="Rockwell" w:hAnsi="Rockwell"/>
          <w:sz w:val="28"/>
          <w:szCs w:val="28"/>
        </w:rPr>
        <w:t>Paragraphe 1 : Distinctions honorifiques</w:t>
      </w:r>
      <w:bookmarkEnd w:id="293"/>
    </w:p>
    <w:p w14:paraId="000428F5" w14:textId="77777777" w:rsidR="00284822" w:rsidRDefault="00F77BF8">
      <w:pPr>
        <w:spacing w:before="120" w:after="120"/>
        <w:rPr>
          <w:rFonts w:ascii="Rockwell" w:hAnsi="Rockwell"/>
          <w:szCs w:val="26"/>
        </w:rPr>
      </w:pPr>
      <w:r>
        <w:rPr>
          <w:rFonts w:ascii="Rockwell" w:hAnsi="Rockwell"/>
          <w:szCs w:val="26"/>
        </w:rPr>
        <w:t>Au titre des distinctions honorifiques, quarante et une (41) médailles ont été décernées à des agents et partenaires du CSC dans plusieurs ordres et grades :</w:t>
      </w:r>
    </w:p>
    <w:p w14:paraId="3AA3E6DE" w14:textId="77777777" w:rsidR="00284822" w:rsidRDefault="00F77BF8">
      <w:pPr>
        <w:pStyle w:val="Titre5"/>
        <w:numPr>
          <w:ilvl w:val="4"/>
          <w:numId w:val="41"/>
        </w:numPr>
        <w:ind w:left="-567"/>
        <w:jc w:val="center"/>
        <w:rPr>
          <w:rFonts w:ascii="Rockwell" w:hAnsi="Rockwell"/>
        </w:rPr>
      </w:pPr>
      <w:bookmarkStart w:id="294" w:name="_Toc175048748"/>
      <w:r>
        <w:rPr>
          <w:rFonts w:ascii="Rockwell" w:hAnsi="Rockwell"/>
        </w:rPr>
        <w:t>Chevalier de l’Ordre de l’Etalon</w:t>
      </w:r>
      <w:bookmarkEnd w:id="294"/>
    </w:p>
    <w:p w14:paraId="3CDC9E67" w14:textId="77777777" w:rsidR="00284822" w:rsidRDefault="00F77BF8">
      <w:pPr>
        <w:pStyle w:val="Paragraphedeliste"/>
        <w:numPr>
          <w:ilvl w:val="0"/>
          <w:numId w:val="42"/>
        </w:numPr>
        <w:rPr>
          <w:rFonts w:ascii="Rockwell" w:hAnsi="Rockwell"/>
        </w:rPr>
      </w:pPr>
      <w:r>
        <w:rPr>
          <w:rFonts w:ascii="Rockwell" w:hAnsi="Rockwell"/>
        </w:rPr>
        <w:t>Alexis KONKOBO, Conseiller du CSC ;</w:t>
      </w:r>
    </w:p>
    <w:p w14:paraId="76B5AF41" w14:textId="77777777" w:rsidR="00284822" w:rsidRDefault="00F77BF8">
      <w:pPr>
        <w:pStyle w:val="Paragraphedeliste"/>
        <w:numPr>
          <w:ilvl w:val="0"/>
          <w:numId w:val="42"/>
        </w:numPr>
        <w:rPr>
          <w:rFonts w:ascii="Rockwell" w:hAnsi="Rockwell"/>
        </w:rPr>
      </w:pPr>
      <w:proofErr w:type="spellStart"/>
      <w:r>
        <w:rPr>
          <w:rFonts w:ascii="Rockwell" w:hAnsi="Rockwell"/>
        </w:rPr>
        <w:t>Bessolé</w:t>
      </w:r>
      <w:proofErr w:type="spellEnd"/>
      <w:r>
        <w:rPr>
          <w:rFonts w:ascii="Rockwell" w:hAnsi="Rockwell"/>
        </w:rPr>
        <w:t xml:space="preserve"> Jean-Pierre SOMDA, Directeur général de </w:t>
      </w:r>
      <w:r>
        <w:rPr>
          <w:rFonts w:ascii="Rockwell" w:hAnsi="Rockwell"/>
          <w:i/>
        </w:rPr>
        <w:t>Synergie </w:t>
      </w:r>
      <w:r>
        <w:rPr>
          <w:rFonts w:ascii="Rockwell" w:hAnsi="Rockwell"/>
        </w:rPr>
        <w:t>;</w:t>
      </w:r>
    </w:p>
    <w:p w14:paraId="331148A6" w14:textId="77777777" w:rsidR="00284822" w:rsidRDefault="00F77BF8">
      <w:pPr>
        <w:pStyle w:val="Paragraphedeliste"/>
        <w:numPr>
          <w:ilvl w:val="0"/>
          <w:numId w:val="42"/>
        </w:numPr>
        <w:rPr>
          <w:rFonts w:ascii="Rockwell" w:hAnsi="Rockwell"/>
        </w:rPr>
      </w:pPr>
      <w:proofErr w:type="spellStart"/>
      <w:r>
        <w:rPr>
          <w:rFonts w:ascii="Rockwell" w:hAnsi="Rockwell"/>
        </w:rPr>
        <w:t>Yelkpèfou</w:t>
      </w:r>
      <w:proofErr w:type="spellEnd"/>
      <w:r>
        <w:rPr>
          <w:rFonts w:ascii="Rockwell" w:hAnsi="Rockwell"/>
        </w:rPr>
        <w:t xml:space="preserve"> Firmin SOME, Directeur général adjoint </w:t>
      </w:r>
      <w:proofErr w:type="gramStart"/>
      <w:r>
        <w:rPr>
          <w:rFonts w:ascii="Rockwell" w:hAnsi="Rockwell"/>
        </w:rPr>
        <w:t xml:space="preserve">de </w:t>
      </w:r>
      <w:r>
        <w:rPr>
          <w:rFonts w:ascii="Rockwell" w:hAnsi="Rockwell"/>
          <w:i/>
        </w:rPr>
        <w:t>Impact TV</w:t>
      </w:r>
      <w:proofErr w:type="gramEnd"/>
      <w:r>
        <w:rPr>
          <w:rFonts w:ascii="Rockwell" w:hAnsi="Rockwell"/>
        </w:rPr>
        <w:t>.</w:t>
      </w:r>
    </w:p>
    <w:p w14:paraId="391CE1D8" w14:textId="77777777" w:rsidR="00284822" w:rsidRDefault="00284822">
      <w:pPr>
        <w:pStyle w:val="Paragraphedeliste"/>
        <w:ind w:left="786"/>
        <w:rPr>
          <w:rFonts w:ascii="Rockwell" w:hAnsi="Rockwell"/>
          <w:sz w:val="10"/>
          <w:szCs w:val="10"/>
        </w:rPr>
      </w:pPr>
    </w:p>
    <w:p w14:paraId="2410F7A2" w14:textId="77777777" w:rsidR="00284822" w:rsidRDefault="00F77BF8">
      <w:pPr>
        <w:pStyle w:val="Titre5"/>
        <w:numPr>
          <w:ilvl w:val="4"/>
          <w:numId w:val="41"/>
        </w:numPr>
        <w:ind w:left="-1058" w:firstLine="632"/>
        <w:jc w:val="center"/>
        <w:rPr>
          <w:rFonts w:ascii="Rockwell" w:hAnsi="Rockwell"/>
        </w:rPr>
      </w:pPr>
      <w:bookmarkStart w:id="295" w:name="_Toc175048749"/>
      <w:r>
        <w:rPr>
          <w:rFonts w:ascii="Rockwell" w:hAnsi="Rockwell"/>
        </w:rPr>
        <w:t>Officier de l’Ordre du mérite burkinabè</w:t>
      </w:r>
      <w:bookmarkEnd w:id="295"/>
    </w:p>
    <w:p w14:paraId="39F8C55D" w14:textId="77777777" w:rsidR="00284822" w:rsidRDefault="00F77BF8">
      <w:pPr>
        <w:pStyle w:val="Paragraphedeliste"/>
        <w:numPr>
          <w:ilvl w:val="0"/>
          <w:numId w:val="42"/>
        </w:numPr>
        <w:ind w:right="-143"/>
        <w:rPr>
          <w:rFonts w:ascii="Rockwell" w:hAnsi="Rockwell"/>
        </w:rPr>
      </w:pPr>
      <w:r>
        <w:rPr>
          <w:rFonts w:ascii="Rockwell" w:hAnsi="Rockwell"/>
        </w:rPr>
        <w:t>Ibrahim OUEDRAOGO, Agent de bureau au CSC ;</w:t>
      </w:r>
    </w:p>
    <w:p w14:paraId="17B84D84" w14:textId="77777777" w:rsidR="00284822" w:rsidRDefault="00F77BF8">
      <w:pPr>
        <w:pStyle w:val="Paragraphedeliste"/>
        <w:numPr>
          <w:ilvl w:val="0"/>
          <w:numId w:val="42"/>
        </w:numPr>
        <w:ind w:right="-143"/>
        <w:rPr>
          <w:rFonts w:ascii="Rockwell" w:hAnsi="Rockwell"/>
        </w:rPr>
      </w:pPr>
      <w:r>
        <w:rPr>
          <w:rFonts w:ascii="Rockwell" w:hAnsi="Rockwell"/>
        </w:rPr>
        <w:t>Idrissa DIALLO, Comptable au CSC ;</w:t>
      </w:r>
    </w:p>
    <w:p w14:paraId="1482746F" w14:textId="77777777" w:rsidR="00284822" w:rsidRDefault="00F77BF8">
      <w:pPr>
        <w:pStyle w:val="Paragraphedeliste"/>
        <w:numPr>
          <w:ilvl w:val="0"/>
          <w:numId w:val="42"/>
        </w:numPr>
        <w:ind w:right="-143"/>
        <w:rPr>
          <w:rFonts w:ascii="Rockwell" w:hAnsi="Rockwell"/>
        </w:rPr>
      </w:pPr>
      <w:r>
        <w:rPr>
          <w:rFonts w:ascii="Rockwell" w:hAnsi="Rockwell"/>
        </w:rPr>
        <w:t>Felix BADO, Aide comptable au CSC.</w:t>
      </w:r>
    </w:p>
    <w:p w14:paraId="6BB971A1" w14:textId="77777777" w:rsidR="00284822" w:rsidRDefault="00F77BF8">
      <w:pPr>
        <w:pStyle w:val="Titre5"/>
        <w:numPr>
          <w:ilvl w:val="4"/>
          <w:numId w:val="41"/>
        </w:numPr>
        <w:ind w:left="993"/>
        <w:jc w:val="center"/>
        <w:rPr>
          <w:rFonts w:ascii="Rockwell" w:hAnsi="Rockwell"/>
        </w:rPr>
      </w:pPr>
      <w:bookmarkStart w:id="296" w:name="_Toc175048750"/>
      <w:r>
        <w:rPr>
          <w:rFonts w:ascii="Rockwell" w:hAnsi="Rockwell"/>
        </w:rPr>
        <w:t>Chevalier de l’Ordre du mérite Burkinabè</w:t>
      </w:r>
      <w:bookmarkEnd w:id="296"/>
    </w:p>
    <w:p w14:paraId="44492D3E" w14:textId="77777777" w:rsidR="00284822" w:rsidRDefault="00F77BF8">
      <w:pPr>
        <w:pStyle w:val="Paragraphedeliste"/>
        <w:numPr>
          <w:ilvl w:val="0"/>
          <w:numId w:val="43"/>
        </w:numPr>
        <w:rPr>
          <w:rFonts w:ascii="Rockwell" w:hAnsi="Rockwell"/>
        </w:rPr>
      </w:pPr>
      <w:r>
        <w:rPr>
          <w:rFonts w:ascii="Rockwell" w:hAnsi="Rockwell"/>
        </w:rPr>
        <w:t xml:space="preserve">Adama LAGAMPEBO, Chef de service de la </w:t>
      </w:r>
      <w:r>
        <w:rPr>
          <w:rFonts w:ascii="Rockwell" w:hAnsi="Rockwell"/>
          <w:i/>
        </w:rPr>
        <w:t>Radio Hauts-Bassins</w:t>
      </w:r>
      <w:r>
        <w:rPr>
          <w:rFonts w:ascii="Rockwell" w:hAnsi="Rockwell"/>
        </w:rPr>
        <w:t>.</w:t>
      </w:r>
    </w:p>
    <w:p w14:paraId="465971D3" w14:textId="77777777" w:rsidR="00284822" w:rsidRDefault="00F77BF8">
      <w:pPr>
        <w:pStyle w:val="Titre5"/>
        <w:numPr>
          <w:ilvl w:val="4"/>
          <w:numId w:val="41"/>
        </w:numPr>
        <w:ind w:left="2127" w:hanging="567"/>
        <w:jc w:val="center"/>
        <w:rPr>
          <w:rFonts w:ascii="Rockwell" w:hAnsi="Rockwell"/>
        </w:rPr>
      </w:pPr>
      <w:bookmarkStart w:id="297" w:name="_Toc175048751"/>
      <w:r>
        <w:rPr>
          <w:rFonts w:ascii="Rockwell" w:hAnsi="Rockwell"/>
        </w:rPr>
        <w:t>Officier de l’Ordre du Mérite, des Arts, des Lettres et de la Communication</w:t>
      </w:r>
      <w:bookmarkEnd w:id="297"/>
    </w:p>
    <w:p w14:paraId="70707E5F" w14:textId="77777777" w:rsidR="00284822" w:rsidRDefault="00F77BF8">
      <w:pPr>
        <w:pStyle w:val="Paragraphedeliste"/>
        <w:numPr>
          <w:ilvl w:val="0"/>
          <w:numId w:val="44"/>
        </w:numPr>
        <w:rPr>
          <w:rFonts w:ascii="Rockwell" w:hAnsi="Rockwell"/>
        </w:rPr>
      </w:pPr>
      <w:proofErr w:type="spellStart"/>
      <w:r>
        <w:rPr>
          <w:rFonts w:ascii="Rockwell" w:hAnsi="Rockwell"/>
        </w:rPr>
        <w:t>Mahamadi</w:t>
      </w:r>
      <w:proofErr w:type="spellEnd"/>
      <w:r>
        <w:rPr>
          <w:rFonts w:ascii="Rockwell" w:hAnsi="Rockwell"/>
        </w:rPr>
        <w:t xml:space="preserve"> OUEDRAOGO, Chauffeur du CSC à la retraite ;</w:t>
      </w:r>
    </w:p>
    <w:p w14:paraId="26ACF0BC" w14:textId="77777777" w:rsidR="00284822" w:rsidRDefault="00F77BF8">
      <w:pPr>
        <w:pStyle w:val="Paragraphedeliste"/>
        <w:numPr>
          <w:ilvl w:val="0"/>
          <w:numId w:val="44"/>
        </w:numPr>
        <w:rPr>
          <w:rFonts w:ascii="Rockwell" w:hAnsi="Rockwell"/>
        </w:rPr>
      </w:pPr>
      <w:proofErr w:type="spellStart"/>
      <w:r>
        <w:rPr>
          <w:rFonts w:ascii="Rockwell" w:hAnsi="Rockwell"/>
        </w:rPr>
        <w:t>Servaire</w:t>
      </w:r>
      <w:proofErr w:type="spellEnd"/>
      <w:r>
        <w:rPr>
          <w:rFonts w:ascii="Rockwell" w:hAnsi="Rockwell"/>
        </w:rPr>
        <w:t xml:space="preserve"> COULIBALY, Directeur de l'informatique et des technologies du CSC ;</w:t>
      </w:r>
    </w:p>
    <w:p w14:paraId="539C1744" w14:textId="77777777" w:rsidR="00284822" w:rsidRDefault="00F77BF8">
      <w:pPr>
        <w:pStyle w:val="Paragraphedeliste"/>
        <w:numPr>
          <w:ilvl w:val="0"/>
          <w:numId w:val="44"/>
        </w:numPr>
        <w:rPr>
          <w:rFonts w:ascii="Rockwell" w:hAnsi="Rockwell"/>
        </w:rPr>
      </w:pPr>
      <w:r>
        <w:rPr>
          <w:rFonts w:ascii="Rockwell" w:hAnsi="Rockwell"/>
        </w:rPr>
        <w:t>Hamidou IDOGO, Directeur de la communication et des relations publiques à la retraite ;</w:t>
      </w:r>
    </w:p>
    <w:p w14:paraId="263563AC" w14:textId="77777777" w:rsidR="00284822" w:rsidRDefault="00F77BF8">
      <w:pPr>
        <w:pStyle w:val="Paragraphedeliste"/>
        <w:numPr>
          <w:ilvl w:val="0"/>
          <w:numId w:val="44"/>
        </w:numPr>
        <w:rPr>
          <w:rFonts w:ascii="Rockwell" w:hAnsi="Rockwell"/>
        </w:rPr>
      </w:pPr>
      <w:proofErr w:type="spellStart"/>
      <w:r>
        <w:rPr>
          <w:rFonts w:ascii="Rockwell" w:hAnsi="Rockwell"/>
        </w:rPr>
        <w:lastRenderedPageBreak/>
        <w:t>Pellega</w:t>
      </w:r>
      <w:proofErr w:type="spellEnd"/>
      <w:r>
        <w:rPr>
          <w:rFonts w:ascii="Rockwell" w:hAnsi="Rockwell"/>
        </w:rPr>
        <w:t xml:space="preserve"> ZAGRE, Agent de liaison au CSC.</w:t>
      </w:r>
    </w:p>
    <w:p w14:paraId="693D7A66" w14:textId="77777777" w:rsidR="00284822" w:rsidRDefault="00284822">
      <w:pPr>
        <w:pStyle w:val="Paragraphedeliste"/>
        <w:ind w:left="786"/>
        <w:rPr>
          <w:rFonts w:ascii="Rockwell" w:hAnsi="Rockwell"/>
          <w:sz w:val="10"/>
          <w:szCs w:val="10"/>
        </w:rPr>
      </w:pPr>
    </w:p>
    <w:p w14:paraId="768D8EBE" w14:textId="77777777" w:rsidR="00284822" w:rsidRDefault="00F77BF8">
      <w:pPr>
        <w:pStyle w:val="Titre5"/>
        <w:numPr>
          <w:ilvl w:val="4"/>
          <w:numId w:val="41"/>
        </w:numPr>
        <w:ind w:left="1560"/>
        <w:jc w:val="center"/>
        <w:rPr>
          <w:rFonts w:ascii="Rockwell" w:hAnsi="Rockwell"/>
        </w:rPr>
      </w:pPr>
      <w:bookmarkStart w:id="298" w:name="_Toc175048752"/>
      <w:r>
        <w:rPr>
          <w:rFonts w:ascii="Rockwell" w:hAnsi="Rockwell"/>
        </w:rPr>
        <w:t>Chevalier de l’Ordre du Mérite, des Arts, des Lettres et de la Communication</w:t>
      </w:r>
      <w:bookmarkEnd w:id="298"/>
    </w:p>
    <w:p w14:paraId="2FA9FA3F" w14:textId="77777777" w:rsidR="00284822" w:rsidRDefault="00F77BF8">
      <w:pPr>
        <w:pStyle w:val="Paragraphedeliste"/>
        <w:numPr>
          <w:ilvl w:val="0"/>
          <w:numId w:val="45"/>
        </w:numPr>
        <w:rPr>
          <w:rFonts w:ascii="Rockwell" w:hAnsi="Rockwell"/>
        </w:rPr>
      </w:pPr>
      <w:proofErr w:type="spellStart"/>
      <w:r>
        <w:rPr>
          <w:rFonts w:ascii="Rockwell" w:hAnsi="Rockwell"/>
        </w:rPr>
        <w:t>Lassané</w:t>
      </w:r>
      <w:proofErr w:type="spellEnd"/>
      <w:r>
        <w:rPr>
          <w:rFonts w:ascii="Rockwell" w:hAnsi="Rockwell"/>
        </w:rPr>
        <w:t xml:space="preserve"> NIKIEMA, Chauffeur au CSC ;</w:t>
      </w:r>
    </w:p>
    <w:p w14:paraId="26F21A08" w14:textId="77777777" w:rsidR="00284822" w:rsidRDefault="00F77BF8">
      <w:pPr>
        <w:pStyle w:val="Paragraphedeliste"/>
        <w:numPr>
          <w:ilvl w:val="0"/>
          <w:numId w:val="45"/>
        </w:numPr>
        <w:rPr>
          <w:rFonts w:ascii="Rockwell" w:hAnsi="Rockwell"/>
        </w:rPr>
      </w:pPr>
      <w:proofErr w:type="spellStart"/>
      <w:r>
        <w:rPr>
          <w:rFonts w:ascii="Rockwell" w:hAnsi="Rockwell"/>
        </w:rPr>
        <w:t>Tidiani</w:t>
      </w:r>
      <w:proofErr w:type="spellEnd"/>
      <w:r>
        <w:rPr>
          <w:rFonts w:ascii="Rockwell" w:hAnsi="Rockwell"/>
        </w:rPr>
        <w:t xml:space="preserve"> ZERBO, Agent de liaison au CSC ;</w:t>
      </w:r>
    </w:p>
    <w:p w14:paraId="30DD61E6" w14:textId="77777777" w:rsidR="00284822" w:rsidRDefault="00F77BF8">
      <w:pPr>
        <w:pStyle w:val="Paragraphedeliste"/>
        <w:numPr>
          <w:ilvl w:val="0"/>
          <w:numId w:val="45"/>
        </w:numPr>
        <w:rPr>
          <w:rFonts w:ascii="Rockwell" w:hAnsi="Rockwell"/>
        </w:rPr>
      </w:pPr>
      <w:proofErr w:type="spellStart"/>
      <w:r>
        <w:rPr>
          <w:rFonts w:ascii="Rockwell" w:hAnsi="Rockwell"/>
        </w:rPr>
        <w:t>Zafabiè</w:t>
      </w:r>
      <w:proofErr w:type="spellEnd"/>
      <w:r>
        <w:rPr>
          <w:rFonts w:ascii="Rockwell" w:hAnsi="Rockwell"/>
        </w:rPr>
        <w:t xml:space="preserve"> YE, Conseiller en GRH au CSC ;</w:t>
      </w:r>
    </w:p>
    <w:p w14:paraId="380188DA" w14:textId="77777777" w:rsidR="00284822" w:rsidRDefault="00F77BF8">
      <w:pPr>
        <w:pStyle w:val="Paragraphedeliste"/>
        <w:numPr>
          <w:ilvl w:val="0"/>
          <w:numId w:val="45"/>
        </w:numPr>
        <w:rPr>
          <w:rFonts w:ascii="Rockwell" w:hAnsi="Rockwell"/>
          <w:color w:val="000000" w:themeColor="text1"/>
        </w:rPr>
      </w:pPr>
      <w:r>
        <w:rPr>
          <w:rFonts w:ascii="Rockwell" w:hAnsi="Rockwell"/>
          <w:color w:val="000000" w:themeColor="text1"/>
        </w:rPr>
        <w:t>Ibrahim SAWADOGO, Chef de service du suivi des carrières et de la formation professionnelle au CSC ;</w:t>
      </w:r>
    </w:p>
    <w:p w14:paraId="2DEBD3EF" w14:textId="77777777" w:rsidR="00284822" w:rsidRDefault="00F77BF8">
      <w:pPr>
        <w:pStyle w:val="Paragraphedeliste"/>
        <w:numPr>
          <w:ilvl w:val="0"/>
          <w:numId w:val="45"/>
        </w:numPr>
        <w:rPr>
          <w:rFonts w:ascii="Rockwell" w:hAnsi="Rockwell"/>
        </w:rPr>
      </w:pPr>
      <w:r>
        <w:rPr>
          <w:rFonts w:ascii="Rockwell" w:hAnsi="Rockwell"/>
        </w:rPr>
        <w:t>Clément LANKOANDE, Chef de service de la recette au CSC ;</w:t>
      </w:r>
    </w:p>
    <w:p w14:paraId="4B2E4F44" w14:textId="77777777" w:rsidR="00284822" w:rsidRDefault="00F77BF8">
      <w:pPr>
        <w:pStyle w:val="Paragraphedeliste"/>
        <w:numPr>
          <w:ilvl w:val="0"/>
          <w:numId w:val="45"/>
        </w:numPr>
        <w:rPr>
          <w:rFonts w:ascii="Rockwell" w:hAnsi="Rockwell"/>
        </w:rPr>
      </w:pPr>
      <w:r>
        <w:rPr>
          <w:rFonts w:ascii="Rockwell" w:hAnsi="Rockwell"/>
        </w:rPr>
        <w:t xml:space="preserve">Assane SAWADOGO, Technicien supérieur en cinéma et de l’audiovisuel au CSC ; </w:t>
      </w:r>
    </w:p>
    <w:p w14:paraId="4AA3BC91" w14:textId="77777777" w:rsidR="00284822" w:rsidRDefault="00F77BF8">
      <w:pPr>
        <w:pStyle w:val="Paragraphedeliste"/>
        <w:numPr>
          <w:ilvl w:val="0"/>
          <w:numId w:val="45"/>
        </w:numPr>
        <w:rPr>
          <w:rFonts w:ascii="Rockwell" w:hAnsi="Rockwell"/>
        </w:rPr>
      </w:pPr>
      <w:proofErr w:type="spellStart"/>
      <w:r>
        <w:rPr>
          <w:rFonts w:ascii="Rockwell" w:hAnsi="Rockwell"/>
        </w:rPr>
        <w:t>Boukaré</w:t>
      </w:r>
      <w:proofErr w:type="spellEnd"/>
      <w:r>
        <w:rPr>
          <w:rFonts w:ascii="Rockwell" w:hAnsi="Rockwell"/>
        </w:rPr>
        <w:t xml:space="preserve"> OUEDRAOGO, Directeur des autorisations et des déclarations du CSC ;</w:t>
      </w:r>
    </w:p>
    <w:p w14:paraId="0685F0DA" w14:textId="77777777" w:rsidR="00284822" w:rsidRDefault="00F77BF8">
      <w:pPr>
        <w:pStyle w:val="Paragraphedeliste"/>
        <w:numPr>
          <w:ilvl w:val="0"/>
          <w:numId w:val="45"/>
        </w:numPr>
        <w:rPr>
          <w:rFonts w:ascii="Rockwell" w:hAnsi="Rockwell"/>
        </w:rPr>
      </w:pPr>
      <w:r>
        <w:rPr>
          <w:rFonts w:ascii="Rockwell" w:hAnsi="Rockwell"/>
        </w:rPr>
        <w:t>W. Hervé TAPSOBA, Directeur des ressources humaines du CSC ;</w:t>
      </w:r>
    </w:p>
    <w:p w14:paraId="5B759D6E" w14:textId="77777777" w:rsidR="00284822" w:rsidRDefault="00F77BF8">
      <w:pPr>
        <w:pStyle w:val="Paragraphedeliste"/>
        <w:numPr>
          <w:ilvl w:val="0"/>
          <w:numId w:val="45"/>
        </w:numPr>
        <w:rPr>
          <w:rFonts w:ascii="Rockwell" w:hAnsi="Rockwell"/>
        </w:rPr>
      </w:pPr>
      <w:r>
        <w:rPr>
          <w:rFonts w:ascii="Rockwell" w:hAnsi="Rockwell"/>
        </w:rPr>
        <w:t xml:space="preserve">Sabine SANOU, Chargée d’études du CSC ; </w:t>
      </w:r>
    </w:p>
    <w:p w14:paraId="4A2574AE" w14:textId="77777777" w:rsidR="00284822" w:rsidRDefault="00F77BF8">
      <w:pPr>
        <w:pStyle w:val="Paragraphedeliste"/>
        <w:numPr>
          <w:ilvl w:val="0"/>
          <w:numId w:val="45"/>
        </w:numPr>
        <w:rPr>
          <w:rFonts w:ascii="Rockwell" w:hAnsi="Rockwell"/>
        </w:rPr>
      </w:pPr>
      <w:proofErr w:type="spellStart"/>
      <w:r>
        <w:rPr>
          <w:rFonts w:ascii="Rockwell" w:hAnsi="Rockwell"/>
        </w:rPr>
        <w:t>Difaby</w:t>
      </w:r>
      <w:proofErr w:type="spellEnd"/>
      <w:r>
        <w:rPr>
          <w:rFonts w:ascii="Rockwell" w:hAnsi="Rockwell"/>
        </w:rPr>
        <w:t xml:space="preserve"> Christophe SOMBIE, Directeur général de </w:t>
      </w:r>
      <w:proofErr w:type="spellStart"/>
      <w:r>
        <w:rPr>
          <w:rFonts w:ascii="Rockwell" w:hAnsi="Rockwell"/>
          <w:i/>
        </w:rPr>
        <w:t>Oxy</w:t>
      </w:r>
      <w:proofErr w:type="spellEnd"/>
      <w:r>
        <w:rPr>
          <w:rFonts w:ascii="Rockwell" w:hAnsi="Rockwell"/>
          <w:i/>
        </w:rPr>
        <w:t xml:space="preserve"> Conseil</w:t>
      </w:r>
      <w:r>
        <w:rPr>
          <w:rFonts w:ascii="Rockwell" w:hAnsi="Rockwell"/>
        </w:rPr>
        <w:t> ;</w:t>
      </w:r>
    </w:p>
    <w:p w14:paraId="19FA0A62" w14:textId="77777777" w:rsidR="00284822" w:rsidRDefault="00F77BF8">
      <w:pPr>
        <w:pStyle w:val="Paragraphedeliste"/>
        <w:numPr>
          <w:ilvl w:val="0"/>
          <w:numId w:val="45"/>
        </w:numPr>
        <w:rPr>
          <w:rFonts w:ascii="Rockwell" w:hAnsi="Rockwell"/>
        </w:rPr>
      </w:pPr>
      <w:r>
        <w:rPr>
          <w:rFonts w:ascii="Rockwell" w:hAnsi="Rockwell"/>
        </w:rPr>
        <w:t xml:space="preserve">Kader Patrick KARANTAO, Journaliste aux </w:t>
      </w:r>
      <w:r>
        <w:rPr>
          <w:rFonts w:ascii="Rockwell" w:hAnsi="Rockwell"/>
          <w:i/>
        </w:rPr>
        <w:t xml:space="preserve">Editions </w:t>
      </w:r>
      <w:proofErr w:type="spellStart"/>
      <w:r>
        <w:rPr>
          <w:rFonts w:ascii="Rockwell" w:hAnsi="Rockwell"/>
          <w:i/>
        </w:rPr>
        <w:t>Sidwaya</w:t>
      </w:r>
      <w:proofErr w:type="spellEnd"/>
      <w:r>
        <w:rPr>
          <w:rFonts w:ascii="Rockwell" w:hAnsi="Rockwell"/>
        </w:rPr>
        <w:t> ;</w:t>
      </w:r>
    </w:p>
    <w:p w14:paraId="286D1CE8" w14:textId="77777777" w:rsidR="00284822" w:rsidRDefault="00F77BF8">
      <w:pPr>
        <w:pStyle w:val="Paragraphedeliste"/>
        <w:numPr>
          <w:ilvl w:val="0"/>
          <w:numId w:val="45"/>
        </w:numPr>
        <w:rPr>
          <w:rFonts w:ascii="Rockwell" w:hAnsi="Rockwell"/>
        </w:rPr>
      </w:pPr>
      <w:proofErr w:type="spellStart"/>
      <w:r>
        <w:rPr>
          <w:rFonts w:ascii="Rockwell" w:hAnsi="Rockwell"/>
        </w:rPr>
        <w:t>Mahamadi</w:t>
      </w:r>
      <w:proofErr w:type="spellEnd"/>
      <w:r>
        <w:rPr>
          <w:rFonts w:ascii="Rockwell" w:hAnsi="Rockwell"/>
        </w:rPr>
        <w:t xml:space="preserve"> SEBOGO, </w:t>
      </w:r>
      <w:bookmarkStart w:id="299" w:name="_Hlk162432211"/>
      <w:r>
        <w:rPr>
          <w:rFonts w:ascii="Rockwell" w:hAnsi="Rockwell"/>
        </w:rPr>
        <w:t xml:space="preserve">Journaliste aux </w:t>
      </w:r>
      <w:bookmarkEnd w:id="299"/>
      <w:r>
        <w:rPr>
          <w:rFonts w:ascii="Rockwell" w:hAnsi="Rockwell"/>
          <w:i/>
        </w:rPr>
        <w:t xml:space="preserve">Editions </w:t>
      </w:r>
      <w:proofErr w:type="spellStart"/>
      <w:r>
        <w:rPr>
          <w:rFonts w:ascii="Rockwell" w:hAnsi="Rockwell"/>
          <w:i/>
        </w:rPr>
        <w:t>Sidwaya</w:t>
      </w:r>
      <w:proofErr w:type="spellEnd"/>
      <w:r>
        <w:rPr>
          <w:rFonts w:ascii="Rockwell" w:hAnsi="Rockwell"/>
        </w:rPr>
        <w:t> ;</w:t>
      </w:r>
    </w:p>
    <w:p w14:paraId="7CFAB8CF" w14:textId="77777777" w:rsidR="00284822" w:rsidRDefault="00F77BF8">
      <w:pPr>
        <w:pStyle w:val="Paragraphedeliste"/>
        <w:numPr>
          <w:ilvl w:val="0"/>
          <w:numId w:val="45"/>
        </w:numPr>
        <w:rPr>
          <w:rFonts w:ascii="Rockwell" w:hAnsi="Rockwell"/>
          <w:i/>
        </w:rPr>
      </w:pPr>
      <w:r>
        <w:rPr>
          <w:rFonts w:ascii="Rockwell" w:hAnsi="Rockwell"/>
        </w:rPr>
        <w:t xml:space="preserve">Claire YAMEOGO/DEME, Agent de recouvrement </w:t>
      </w:r>
      <w:r>
        <w:rPr>
          <w:rFonts w:ascii="Rockwell" w:hAnsi="Rockwell"/>
          <w:i/>
        </w:rPr>
        <w:t xml:space="preserve">des Editions </w:t>
      </w:r>
      <w:proofErr w:type="spellStart"/>
      <w:r>
        <w:rPr>
          <w:rFonts w:ascii="Rockwell" w:hAnsi="Rockwell"/>
          <w:i/>
        </w:rPr>
        <w:t>Sidwaya</w:t>
      </w:r>
      <w:proofErr w:type="spellEnd"/>
      <w:r>
        <w:rPr>
          <w:rFonts w:ascii="Rockwell" w:eastAsia="Calibri" w:hAnsi="Rockwell"/>
          <w:i/>
          <w:lang w:eastAsia="en-US"/>
        </w:rPr>
        <w:t> ;</w:t>
      </w:r>
    </w:p>
    <w:p w14:paraId="3990D6CF" w14:textId="77777777" w:rsidR="00284822" w:rsidRDefault="00F77BF8">
      <w:pPr>
        <w:pStyle w:val="Paragraphedeliste"/>
        <w:numPr>
          <w:ilvl w:val="0"/>
          <w:numId w:val="45"/>
        </w:numPr>
        <w:rPr>
          <w:rFonts w:ascii="Rockwell" w:hAnsi="Rockwell"/>
        </w:rPr>
      </w:pPr>
      <w:r>
        <w:rPr>
          <w:rFonts w:ascii="Rockwell" w:hAnsi="Rockwell"/>
        </w:rPr>
        <w:t xml:space="preserve">Cyrille </w:t>
      </w:r>
      <w:proofErr w:type="spellStart"/>
      <w:r>
        <w:rPr>
          <w:rFonts w:ascii="Rockwell" w:hAnsi="Rockwell"/>
        </w:rPr>
        <w:t>Tégarim</w:t>
      </w:r>
      <w:proofErr w:type="spellEnd"/>
      <w:r>
        <w:rPr>
          <w:rFonts w:ascii="Rockwell" w:hAnsi="Rockwell"/>
        </w:rPr>
        <w:t xml:space="preserve"> NANEMA, Coordonnateur du département production </w:t>
      </w:r>
      <w:proofErr w:type="gramStart"/>
      <w:r>
        <w:rPr>
          <w:rFonts w:ascii="Rockwell" w:hAnsi="Rockwell"/>
        </w:rPr>
        <w:t xml:space="preserve">de </w:t>
      </w:r>
      <w:r>
        <w:rPr>
          <w:rFonts w:ascii="Rockwell" w:hAnsi="Rockwell"/>
          <w:i/>
        </w:rPr>
        <w:t>Impact TV</w:t>
      </w:r>
      <w:proofErr w:type="gramEnd"/>
      <w:r>
        <w:rPr>
          <w:rFonts w:ascii="Rockwell" w:hAnsi="Rockwell"/>
        </w:rPr>
        <w:t> ;</w:t>
      </w:r>
    </w:p>
    <w:p w14:paraId="048D958D" w14:textId="77777777" w:rsidR="00284822" w:rsidRDefault="00F77BF8">
      <w:pPr>
        <w:pStyle w:val="Paragraphedeliste"/>
        <w:numPr>
          <w:ilvl w:val="0"/>
          <w:numId w:val="45"/>
        </w:numPr>
        <w:rPr>
          <w:rFonts w:ascii="Rockwell" w:hAnsi="Rockwell"/>
        </w:rPr>
      </w:pPr>
      <w:proofErr w:type="spellStart"/>
      <w:r>
        <w:rPr>
          <w:rFonts w:ascii="Rockwell" w:hAnsi="Rockwell"/>
        </w:rPr>
        <w:t>Diataga</w:t>
      </w:r>
      <w:proofErr w:type="spellEnd"/>
      <w:r>
        <w:rPr>
          <w:rFonts w:ascii="Rockwell" w:hAnsi="Rockwell"/>
        </w:rPr>
        <w:t xml:space="preserve"> Rock DAMIBA, Directeur de la Radio </w:t>
      </w:r>
      <w:r>
        <w:rPr>
          <w:rFonts w:ascii="Rockwell" w:hAnsi="Rockwell"/>
          <w:i/>
        </w:rPr>
        <w:t>RED /Fada</w:t>
      </w:r>
      <w:r>
        <w:rPr>
          <w:rFonts w:ascii="Rockwell" w:hAnsi="Rockwell"/>
        </w:rPr>
        <w:t> ;</w:t>
      </w:r>
    </w:p>
    <w:p w14:paraId="46AEE73D" w14:textId="77777777" w:rsidR="00284822" w:rsidRDefault="00F77BF8">
      <w:pPr>
        <w:pStyle w:val="Paragraphedeliste"/>
        <w:numPr>
          <w:ilvl w:val="0"/>
          <w:numId w:val="45"/>
        </w:numPr>
        <w:rPr>
          <w:rFonts w:ascii="Rockwell" w:hAnsi="Rockwell"/>
        </w:rPr>
      </w:pPr>
      <w:r>
        <w:rPr>
          <w:rFonts w:ascii="Rockwell" w:hAnsi="Rockwell"/>
          <w:i/>
        </w:rPr>
        <w:t>Radio Dauphin</w:t>
      </w:r>
      <w:r>
        <w:rPr>
          <w:rFonts w:ascii="Rockwell" w:hAnsi="Rockwell"/>
        </w:rPr>
        <w:t xml:space="preserve"> de Koupéla ;</w:t>
      </w:r>
    </w:p>
    <w:p w14:paraId="3EE9DEA9" w14:textId="77777777" w:rsidR="00284822" w:rsidRDefault="00F77BF8">
      <w:pPr>
        <w:pStyle w:val="Paragraphedeliste"/>
        <w:numPr>
          <w:ilvl w:val="0"/>
          <w:numId w:val="45"/>
        </w:numPr>
        <w:rPr>
          <w:rFonts w:ascii="Rockwell" w:hAnsi="Rockwell"/>
        </w:rPr>
      </w:pPr>
      <w:proofErr w:type="spellStart"/>
      <w:r>
        <w:rPr>
          <w:rFonts w:ascii="Rockwell" w:hAnsi="Rockwell"/>
        </w:rPr>
        <w:t>Hamado</w:t>
      </w:r>
      <w:proofErr w:type="spellEnd"/>
      <w:r>
        <w:rPr>
          <w:rFonts w:ascii="Rockwell" w:hAnsi="Rockwell"/>
        </w:rPr>
        <w:t xml:space="preserve"> BALMA,</w:t>
      </w:r>
      <w:r>
        <w:rPr>
          <w:rFonts w:ascii="Rockwell" w:eastAsia="Calibri" w:hAnsi="Rockwell"/>
          <w:lang w:eastAsia="en-US"/>
        </w:rPr>
        <w:t xml:space="preserve"> </w:t>
      </w:r>
      <w:r>
        <w:rPr>
          <w:rFonts w:ascii="Rockwell" w:hAnsi="Rockwell"/>
        </w:rPr>
        <w:t xml:space="preserve">Chauffeur à la Direction générale de la </w:t>
      </w:r>
      <w:r>
        <w:rPr>
          <w:rFonts w:ascii="Rockwell" w:hAnsi="Rockwell"/>
          <w:i/>
        </w:rPr>
        <w:t>RTB</w:t>
      </w:r>
      <w:r>
        <w:rPr>
          <w:rFonts w:ascii="Rockwell" w:hAnsi="Rockwell"/>
        </w:rPr>
        <w:t xml:space="preserve"> ; </w:t>
      </w:r>
    </w:p>
    <w:p w14:paraId="2D0FC885" w14:textId="77777777" w:rsidR="00284822" w:rsidRDefault="00F77BF8">
      <w:pPr>
        <w:pStyle w:val="Paragraphedeliste"/>
        <w:numPr>
          <w:ilvl w:val="0"/>
          <w:numId w:val="45"/>
        </w:numPr>
        <w:rPr>
          <w:rFonts w:ascii="Rockwell" w:hAnsi="Rockwell"/>
        </w:rPr>
      </w:pPr>
      <w:r>
        <w:rPr>
          <w:rFonts w:ascii="Rockwell" w:hAnsi="Rockwell"/>
          <w:i/>
        </w:rPr>
        <w:lastRenderedPageBreak/>
        <w:t>QUEEN-MAFA</w:t>
      </w:r>
      <w:r>
        <w:rPr>
          <w:rFonts w:ascii="Rockwell" w:hAnsi="Rockwell"/>
        </w:rPr>
        <w:t> ;</w:t>
      </w:r>
    </w:p>
    <w:p w14:paraId="518C68F6" w14:textId="77777777" w:rsidR="00284822" w:rsidRDefault="00F77BF8">
      <w:pPr>
        <w:pStyle w:val="Paragraphedeliste"/>
        <w:numPr>
          <w:ilvl w:val="0"/>
          <w:numId w:val="45"/>
        </w:numPr>
        <w:rPr>
          <w:rFonts w:ascii="Rockwell" w:hAnsi="Rockwell"/>
          <w:i/>
        </w:rPr>
      </w:pPr>
      <w:r>
        <w:rPr>
          <w:rFonts w:ascii="Rockwell" w:hAnsi="Rockwell"/>
        </w:rPr>
        <w:t xml:space="preserve">Aristide OUEDRAOGO, Reporter-photographe aux </w:t>
      </w:r>
      <w:r>
        <w:rPr>
          <w:rFonts w:ascii="Rockwell" w:hAnsi="Rockwell"/>
          <w:i/>
        </w:rPr>
        <w:t xml:space="preserve">Editions Le Pays ; </w:t>
      </w:r>
    </w:p>
    <w:p w14:paraId="12A38C9F" w14:textId="77777777" w:rsidR="00284822" w:rsidRDefault="00F77BF8">
      <w:pPr>
        <w:pStyle w:val="Paragraphedeliste"/>
        <w:numPr>
          <w:ilvl w:val="0"/>
          <w:numId w:val="45"/>
        </w:numPr>
        <w:rPr>
          <w:rFonts w:ascii="Rockwell" w:hAnsi="Rockwell"/>
        </w:rPr>
      </w:pPr>
      <w:r>
        <w:rPr>
          <w:rFonts w:ascii="Rockwell" w:hAnsi="Rockwell"/>
        </w:rPr>
        <w:t xml:space="preserve">Antoine BATTIONO, Journaliste-reporter aux </w:t>
      </w:r>
      <w:r>
        <w:rPr>
          <w:rFonts w:ascii="Rockwell" w:hAnsi="Rockwell"/>
          <w:i/>
        </w:rPr>
        <w:t>Editions Le Pays</w:t>
      </w:r>
      <w:r>
        <w:rPr>
          <w:rFonts w:ascii="Rockwell" w:hAnsi="Rockwell"/>
        </w:rPr>
        <w:t> ;</w:t>
      </w:r>
    </w:p>
    <w:p w14:paraId="27566EC7" w14:textId="77777777" w:rsidR="00284822" w:rsidRDefault="00F77BF8">
      <w:pPr>
        <w:pStyle w:val="Paragraphedeliste"/>
        <w:numPr>
          <w:ilvl w:val="0"/>
          <w:numId w:val="45"/>
        </w:numPr>
        <w:rPr>
          <w:rFonts w:ascii="Rockwell" w:hAnsi="Rockwell"/>
        </w:rPr>
      </w:pPr>
      <w:r>
        <w:rPr>
          <w:rFonts w:ascii="Rockwell" w:hAnsi="Rockwell"/>
          <w:i/>
        </w:rPr>
        <w:t>Radio Etoile de Noël</w:t>
      </w:r>
      <w:r>
        <w:rPr>
          <w:rFonts w:ascii="Rockwell" w:hAnsi="Rockwell"/>
        </w:rPr>
        <w:t xml:space="preserve"> (Bobo-Dioulasso) ;</w:t>
      </w:r>
    </w:p>
    <w:p w14:paraId="39E498EB" w14:textId="77777777" w:rsidR="00284822" w:rsidRDefault="00F77BF8">
      <w:pPr>
        <w:pStyle w:val="Paragraphedeliste"/>
        <w:numPr>
          <w:ilvl w:val="0"/>
          <w:numId w:val="45"/>
        </w:numPr>
        <w:rPr>
          <w:rFonts w:ascii="Rockwell" w:hAnsi="Rockwell"/>
        </w:rPr>
      </w:pPr>
      <w:r>
        <w:rPr>
          <w:rFonts w:ascii="Rockwell" w:hAnsi="Rockwell"/>
          <w:i/>
        </w:rPr>
        <w:t xml:space="preserve">Radio la Voix des </w:t>
      </w:r>
      <w:proofErr w:type="spellStart"/>
      <w:r>
        <w:rPr>
          <w:rFonts w:ascii="Rockwell" w:hAnsi="Rockwell"/>
          <w:i/>
        </w:rPr>
        <w:t>Balé</w:t>
      </w:r>
      <w:proofErr w:type="spellEnd"/>
      <w:r>
        <w:rPr>
          <w:rFonts w:ascii="Rockwell" w:hAnsi="Rockwell"/>
        </w:rPr>
        <w:t> (Boromo) ;</w:t>
      </w:r>
    </w:p>
    <w:p w14:paraId="11CB33EF" w14:textId="77777777" w:rsidR="00284822" w:rsidRDefault="00F77BF8">
      <w:pPr>
        <w:pStyle w:val="Paragraphedeliste"/>
        <w:numPr>
          <w:ilvl w:val="0"/>
          <w:numId w:val="45"/>
        </w:numPr>
        <w:rPr>
          <w:rFonts w:ascii="Rockwell" w:hAnsi="Rockwell"/>
        </w:rPr>
      </w:pPr>
      <w:proofErr w:type="spellStart"/>
      <w:r>
        <w:rPr>
          <w:rFonts w:ascii="Rockwell" w:hAnsi="Rockwell"/>
        </w:rPr>
        <w:t>Inoussa</w:t>
      </w:r>
      <w:proofErr w:type="spellEnd"/>
      <w:r>
        <w:rPr>
          <w:rFonts w:ascii="Rockwell" w:hAnsi="Rockwell"/>
        </w:rPr>
        <w:t xml:space="preserve"> OUEDRAOGO, Directeur de publication du journal </w:t>
      </w:r>
      <w:proofErr w:type="spellStart"/>
      <w:r>
        <w:rPr>
          <w:rFonts w:ascii="Rockwell" w:hAnsi="Rockwell"/>
          <w:i/>
        </w:rPr>
        <w:t>Bendre</w:t>
      </w:r>
      <w:proofErr w:type="spellEnd"/>
      <w:r>
        <w:rPr>
          <w:rFonts w:ascii="Rockwell" w:hAnsi="Rockwell"/>
        </w:rPr>
        <w:t> ;</w:t>
      </w:r>
    </w:p>
    <w:p w14:paraId="3B941305" w14:textId="77777777" w:rsidR="00284822" w:rsidRDefault="00F77BF8">
      <w:pPr>
        <w:pStyle w:val="Paragraphedeliste"/>
        <w:numPr>
          <w:ilvl w:val="0"/>
          <w:numId w:val="45"/>
        </w:numPr>
        <w:rPr>
          <w:rFonts w:ascii="Rockwell" w:hAnsi="Rockwell"/>
        </w:rPr>
      </w:pPr>
      <w:r>
        <w:rPr>
          <w:rFonts w:ascii="Rockwell" w:hAnsi="Rockwell"/>
        </w:rPr>
        <w:t xml:space="preserve">N. Alain TRAORE, Animateur à </w:t>
      </w:r>
      <w:r>
        <w:rPr>
          <w:rFonts w:ascii="Rockwell" w:hAnsi="Rockwell"/>
          <w:i/>
        </w:rPr>
        <w:t>Omega Médias</w:t>
      </w:r>
      <w:r>
        <w:rPr>
          <w:rFonts w:ascii="Rockwell" w:hAnsi="Rockwell"/>
        </w:rPr>
        <w:t> ;</w:t>
      </w:r>
    </w:p>
    <w:p w14:paraId="3AAA6D53" w14:textId="77777777" w:rsidR="00284822" w:rsidRDefault="00F77BF8">
      <w:pPr>
        <w:pStyle w:val="Paragraphedeliste"/>
        <w:numPr>
          <w:ilvl w:val="0"/>
          <w:numId w:val="45"/>
        </w:numPr>
        <w:rPr>
          <w:rFonts w:ascii="Rockwell" w:hAnsi="Rockwell"/>
        </w:rPr>
      </w:pPr>
      <w:r>
        <w:rPr>
          <w:rFonts w:ascii="Rockwell" w:hAnsi="Rockwell"/>
        </w:rPr>
        <w:t xml:space="preserve">Yacouba LIDO, Animateur à la </w:t>
      </w:r>
      <w:r>
        <w:rPr>
          <w:rFonts w:ascii="Rockwell" w:hAnsi="Rockwell"/>
          <w:i/>
        </w:rPr>
        <w:t>Radio Pulsar</w:t>
      </w:r>
      <w:r>
        <w:rPr>
          <w:rFonts w:ascii="Rockwell" w:hAnsi="Rockwell"/>
        </w:rPr>
        <w:t> ;</w:t>
      </w:r>
    </w:p>
    <w:p w14:paraId="3730E012" w14:textId="77777777" w:rsidR="00284822" w:rsidRDefault="00F77BF8">
      <w:pPr>
        <w:pStyle w:val="Paragraphedeliste"/>
        <w:numPr>
          <w:ilvl w:val="0"/>
          <w:numId w:val="45"/>
        </w:numPr>
        <w:rPr>
          <w:rFonts w:ascii="Rockwell" w:hAnsi="Rockwell"/>
        </w:rPr>
      </w:pPr>
      <w:r>
        <w:rPr>
          <w:rFonts w:ascii="Rockwell" w:hAnsi="Rockwell"/>
        </w:rPr>
        <w:t xml:space="preserve">Albert NAGRENGO, Promoteur du journal en ligne </w:t>
      </w:r>
      <w:r>
        <w:rPr>
          <w:rFonts w:ascii="Rockwell" w:hAnsi="Rockwell"/>
          <w:i/>
        </w:rPr>
        <w:t>Libre info</w:t>
      </w:r>
      <w:r>
        <w:rPr>
          <w:rFonts w:ascii="Rockwell" w:hAnsi="Rockwell"/>
        </w:rPr>
        <w:t> ;</w:t>
      </w:r>
    </w:p>
    <w:p w14:paraId="6910E0FD" w14:textId="77777777" w:rsidR="00284822" w:rsidRDefault="00F77BF8">
      <w:pPr>
        <w:pStyle w:val="Paragraphedeliste"/>
        <w:numPr>
          <w:ilvl w:val="0"/>
          <w:numId w:val="45"/>
        </w:numPr>
        <w:rPr>
          <w:rFonts w:ascii="Rockwell" w:hAnsi="Rockwell"/>
        </w:rPr>
      </w:pPr>
      <w:proofErr w:type="spellStart"/>
      <w:r>
        <w:rPr>
          <w:rFonts w:ascii="Rockwell" w:hAnsi="Rockwell"/>
        </w:rPr>
        <w:t>Salia</w:t>
      </w:r>
      <w:proofErr w:type="spellEnd"/>
      <w:r>
        <w:rPr>
          <w:rFonts w:ascii="Rockwell" w:hAnsi="Rockwell"/>
        </w:rPr>
        <w:t xml:space="preserve"> Mamou GNIENHOUN, Journaliste à la </w:t>
      </w:r>
      <w:r>
        <w:rPr>
          <w:rFonts w:ascii="Rockwell" w:hAnsi="Rockwell"/>
          <w:i/>
        </w:rPr>
        <w:t xml:space="preserve">Radio Evangile et Développement (RED) </w:t>
      </w:r>
      <w:r>
        <w:rPr>
          <w:rFonts w:ascii="Rockwell" w:hAnsi="Rockwell"/>
        </w:rPr>
        <w:t>de Bobo-Dioulasso ;</w:t>
      </w:r>
    </w:p>
    <w:p w14:paraId="47942A91" w14:textId="77777777" w:rsidR="00284822" w:rsidRDefault="00F77BF8">
      <w:pPr>
        <w:pStyle w:val="Paragraphedeliste"/>
        <w:numPr>
          <w:ilvl w:val="0"/>
          <w:numId w:val="45"/>
        </w:numPr>
        <w:rPr>
          <w:rFonts w:ascii="Rockwell" w:hAnsi="Rockwell"/>
        </w:rPr>
      </w:pPr>
      <w:proofErr w:type="spellStart"/>
      <w:r>
        <w:rPr>
          <w:rFonts w:ascii="Rockwell" w:hAnsi="Rockwell"/>
        </w:rPr>
        <w:t>Hamado</w:t>
      </w:r>
      <w:proofErr w:type="spellEnd"/>
      <w:r>
        <w:rPr>
          <w:rFonts w:ascii="Rockwell" w:hAnsi="Rockwell"/>
        </w:rPr>
        <w:t xml:space="preserve"> OUANGRAWA, Président de l’OBM ;</w:t>
      </w:r>
    </w:p>
    <w:p w14:paraId="1A31E2A8" w14:textId="77777777" w:rsidR="00284822" w:rsidRDefault="00F77BF8">
      <w:pPr>
        <w:pStyle w:val="Paragraphedeliste"/>
        <w:numPr>
          <w:ilvl w:val="0"/>
          <w:numId w:val="46"/>
        </w:numPr>
        <w:rPr>
          <w:rFonts w:ascii="Rockwell" w:hAnsi="Rockwell"/>
        </w:rPr>
      </w:pPr>
      <w:r>
        <w:rPr>
          <w:rFonts w:ascii="Rockwell" w:hAnsi="Rockwell"/>
        </w:rPr>
        <w:t>Marcelline ILBOUDO/SAMA, Journaliste à la retraite ;</w:t>
      </w:r>
    </w:p>
    <w:p w14:paraId="06D102AE" w14:textId="77777777" w:rsidR="00284822" w:rsidRDefault="00F77BF8">
      <w:pPr>
        <w:pStyle w:val="Paragraphedeliste"/>
        <w:numPr>
          <w:ilvl w:val="0"/>
          <w:numId w:val="46"/>
        </w:numPr>
        <w:rPr>
          <w:rFonts w:ascii="Rockwell" w:hAnsi="Rockwell"/>
        </w:rPr>
      </w:pPr>
      <w:r>
        <w:rPr>
          <w:rFonts w:ascii="Rockwell" w:hAnsi="Rockwell"/>
        </w:rPr>
        <w:t>Charles NABA,</w:t>
      </w:r>
      <w:r>
        <w:rPr>
          <w:rFonts w:ascii="Rockwell" w:eastAsia="Calibri" w:hAnsi="Rockwell"/>
          <w:lang w:eastAsia="en-US"/>
        </w:rPr>
        <w:t xml:space="preserve"> </w:t>
      </w:r>
      <w:r>
        <w:rPr>
          <w:rFonts w:ascii="Rockwell" w:hAnsi="Rockwell"/>
        </w:rPr>
        <w:t xml:space="preserve">Animateur à la </w:t>
      </w:r>
      <w:r>
        <w:rPr>
          <w:rFonts w:ascii="Rockwell" w:hAnsi="Rockwell"/>
          <w:i/>
        </w:rPr>
        <w:t xml:space="preserve">Radio </w:t>
      </w:r>
      <w:proofErr w:type="spellStart"/>
      <w:r>
        <w:rPr>
          <w:rFonts w:ascii="Rockwell" w:hAnsi="Rockwell"/>
          <w:i/>
        </w:rPr>
        <w:t>Taanba</w:t>
      </w:r>
      <w:proofErr w:type="spellEnd"/>
      <w:r>
        <w:rPr>
          <w:rFonts w:ascii="Rockwell" w:hAnsi="Rockwell"/>
        </w:rPr>
        <w:t xml:space="preserve"> (Fada N’Gourma). </w:t>
      </w:r>
    </w:p>
    <w:p w14:paraId="1B6070CE" w14:textId="77777777" w:rsidR="00284822" w:rsidRDefault="00F77BF8">
      <w:pPr>
        <w:spacing w:before="120" w:after="120"/>
        <w:rPr>
          <w:rFonts w:ascii="Rockwell" w:hAnsi="Rockwell"/>
        </w:rPr>
      </w:pPr>
      <w:r>
        <w:rPr>
          <w:rFonts w:ascii="Rockwell" w:hAnsi="Rockwell"/>
          <w:noProof/>
        </w:rPr>
        <w:lastRenderedPageBreak/>
        <w:drawing>
          <wp:inline distT="0" distB="0" distL="0" distR="0" wp14:anchorId="66820A14" wp14:editId="25C99F4C">
            <wp:extent cx="5580380" cy="3719830"/>
            <wp:effectExtent l="0" t="0" r="1270" b="0"/>
            <wp:docPr id="82" name="Image 82" descr="E:\photos rapport public 2022\Photos cérémonies, audiences, réunions, rencontres et ateliers\Cérémonie de décoration des agents et partenaires du CSC\DSC_2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 82" descr="E:\photos rapport public 2022\Photos cérémonies, audiences, réunions, rencontres et ateliers\Cérémonie de décoration des agents et partenaires du CSC\DSC_2004.JP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a:xfrm>
                      <a:off x="0" y="0"/>
                      <a:ext cx="5580380" cy="3720253"/>
                    </a:xfrm>
                    <a:prstGeom prst="rect">
                      <a:avLst/>
                    </a:prstGeom>
                    <a:noFill/>
                    <a:ln>
                      <a:noFill/>
                    </a:ln>
                  </pic:spPr>
                </pic:pic>
              </a:graphicData>
            </a:graphic>
          </wp:inline>
        </w:drawing>
      </w:r>
    </w:p>
    <w:p w14:paraId="5DD44D06" w14:textId="77777777" w:rsidR="00284822" w:rsidRDefault="00F77BF8">
      <w:pPr>
        <w:spacing w:before="120" w:after="120"/>
        <w:jc w:val="center"/>
        <w:rPr>
          <w:rFonts w:ascii="Rockwell" w:hAnsi="Rockwell"/>
          <w:b/>
          <w:i/>
          <w:sz w:val="20"/>
          <w:szCs w:val="20"/>
        </w:rPr>
      </w:pPr>
      <w:r>
        <w:rPr>
          <w:rFonts w:ascii="Rockwell" w:hAnsi="Rockwell"/>
          <w:b/>
          <w:i/>
          <w:sz w:val="20"/>
          <w:szCs w:val="20"/>
        </w:rPr>
        <w:t xml:space="preserve">Les récipiendaires posant avec le président BAMOGO à l’issue </w:t>
      </w:r>
    </w:p>
    <w:p w14:paraId="349BD63E" w14:textId="77777777" w:rsidR="00284822" w:rsidRDefault="00F77BF8">
      <w:pPr>
        <w:spacing w:before="120" w:after="120"/>
        <w:jc w:val="center"/>
        <w:rPr>
          <w:rFonts w:ascii="Rockwell" w:hAnsi="Rockwell"/>
          <w:b/>
          <w:i/>
          <w:sz w:val="20"/>
          <w:szCs w:val="20"/>
        </w:rPr>
      </w:pPr>
      <w:proofErr w:type="gramStart"/>
      <w:r>
        <w:rPr>
          <w:rFonts w:ascii="Rockwell" w:hAnsi="Rockwell"/>
          <w:b/>
          <w:i/>
          <w:sz w:val="20"/>
          <w:szCs w:val="20"/>
        </w:rPr>
        <w:t>de</w:t>
      </w:r>
      <w:proofErr w:type="gramEnd"/>
      <w:r>
        <w:rPr>
          <w:rFonts w:ascii="Rockwell" w:hAnsi="Rockwell"/>
          <w:b/>
          <w:i/>
          <w:sz w:val="20"/>
          <w:szCs w:val="20"/>
        </w:rPr>
        <w:t xml:space="preserve"> la cérémonie de distinctions honorifiques</w:t>
      </w:r>
    </w:p>
    <w:p w14:paraId="5976D40D" w14:textId="77777777" w:rsidR="00284822" w:rsidRDefault="00284822">
      <w:pPr>
        <w:pStyle w:val="Titre4"/>
        <w:spacing w:before="120" w:after="120"/>
        <w:rPr>
          <w:rFonts w:ascii="Rockwell" w:hAnsi="Rockwell"/>
          <w:sz w:val="28"/>
          <w:szCs w:val="28"/>
        </w:rPr>
      </w:pPr>
    </w:p>
    <w:p w14:paraId="3EB1D429" w14:textId="77777777" w:rsidR="00284822" w:rsidRDefault="00F77BF8">
      <w:pPr>
        <w:pStyle w:val="Titre4"/>
        <w:spacing w:before="120" w:after="120"/>
        <w:rPr>
          <w:rFonts w:ascii="Rockwell" w:hAnsi="Rockwell"/>
          <w:sz w:val="28"/>
          <w:szCs w:val="28"/>
        </w:rPr>
      </w:pPr>
      <w:bookmarkStart w:id="300" w:name="_Toc175048753"/>
      <w:r>
        <w:rPr>
          <w:rFonts w:ascii="Rockwell" w:hAnsi="Rockwell"/>
          <w:sz w:val="28"/>
          <w:szCs w:val="28"/>
        </w:rPr>
        <w:t>Paragraphe 2 : Renforcement des capacités</w:t>
      </w:r>
      <w:bookmarkEnd w:id="300"/>
    </w:p>
    <w:p w14:paraId="4724EFC7" w14:textId="77777777" w:rsidR="00284822" w:rsidRDefault="00F77BF8">
      <w:pPr>
        <w:spacing w:before="120" w:after="120"/>
        <w:ind w:left="-284"/>
        <w:rPr>
          <w:rFonts w:ascii="Rockwell" w:hAnsi="Rockwell"/>
          <w:szCs w:val="26"/>
        </w:rPr>
      </w:pPr>
      <w:r>
        <w:rPr>
          <w:rFonts w:ascii="Rockwell" w:hAnsi="Rockwell"/>
          <w:szCs w:val="26"/>
        </w:rPr>
        <w:t>Dans le cadre du renforcement des capacités du personnel, plusieurs actions de formation ont été menées. Ce sont :</w:t>
      </w:r>
    </w:p>
    <w:p w14:paraId="6F0F78B0" w14:textId="77777777" w:rsidR="00284822" w:rsidRDefault="00F77BF8">
      <w:pPr>
        <w:pStyle w:val="Paragraphedeliste"/>
        <w:numPr>
          <w:ilvl w:val="0"/>
          <w:numId w:val="47"/>
        </w:numPr>
        <w:rPr>
          <w:rFonts w:ascii="Rockwell" w:hAnsi="Rockwell"/>
        </w:rPr>
      </w:pPr>
      <w:proofErr w:type="gramStart"/>
      <w:r>
        <w:rPr>
          <w:rFonts w:ascii="Rockwell" w:hAnsi="Rockwell"/>
        </w:rPr>
        <w:t>formation</w:t>
      </w:r>
      <w:proofErr w:type="gramEnd"/>
      <w:r>
        <w:rPr>
          <w:rFonts w:ascii="Rockwell" w:hAnsi="Rockwell"/>
        </w:rPr>
        <w:t xml:space="preserve"> de quatorze (14) secrétaires sur le thème : « </w:t>
      </w:r>
      <w:r>
        <w:rPr>
          <w:rFonts w:ascii="Rockwell" w:hAnsi="Rockwell"/>
          <w:i/>
          <w:color w:val="000000"/>
        </w:rPr>
        <w:t>Bureautique et gestion informatisée du courrier</w:t>
      </w:r>
      <w:r>
        <w:rPr>
          <w:rFonts w:ascii="Rockwell" w:hAnsi="Rockwell"/>
          <w:b/>
          <w:color w:val="000000"/>
        </w:rPr>
        <w:t> </w:t>
      </w:r>
      <w:r>
        <w:rPr>
          <w:rFonts w:ascii="Rockwell" w:hAnsi="Rockwell"/>
          <w:color w:val="000000"/>
        </w:rPr>
        <w:t>»</w:t>
      </w:r>
      <w:r>
        <w:rPr>
          <w:rFonts w:ascii="Rockwell" w:hAnsi="Rockwell"/>
          <w:b/>
          <w:color w:val="000000"/>
        </w:rPr>
        <w:t>,</w:t>
      </w:r>
      <w:r>
        <w:rPr>
          <w:rFonts w:ascii="Rockwell" w:hAnsi="Rockwell"/>
        </w:rPr>
        <w:t xml:space="preserve"> tenue du 09 au 11 mai 2022, à Ziniaré</w:t>
      </w:r>
      <w:r>
        <w:rPr>
          <w:rFonts w:ascii="Rockwell" w:hAnsi="Rockwell"/>
          <w:b/>
          <w:color w:val="000000"/>
        </w:rPr>
        <w:t>;</w:t>
      </w:r>
      <w:r>
        <w:rPr>
          <w:rFonts w:ascii="Rockwell" w:hAnsi="Rockwell"/>
        </w:rPr>
        <w:t xml:space="preserve"> </w:t>
      </w:r>
    </w:p>
    <w:p w14:paraId="3F95D825" w14:textId="77777777" w:rsidR="00284822" w:rsidRDefault="00F77BF8">
      <w:pPr>
        <w:pStyle w:val="Paragraphedeliste"/>
        <w:ind w:left="436"/>
        <w:rPr>
          <w:rFonts w:ascii="Rockwell" w:hAnsi="Rockwell"/>
        </w:rPr>
      </w:pPr>
      <w:r>
        <w:rPr>
          <w:rFonts w:ascii="Rockwell" w:hAnsi="Rockwell"/>
          <w:noProof/>
        </w:rPr>
        <w:lastRenderedPageBreak/>
        <w:drawing>
          <wp:inline distT="0" distB="0" distL="0" distR="0" wp14:anchorId="42F0EE04" wp14:editId="2FE7ED44">
            <wp:extent cx="5580380" cy="3719830"/>
            <wp:effectExtent l="0" t="0" r="1270" b="0"/>
            <wp:docPr id="81" name="Image 81" descr="E:\photos rapport public 2022\Photos formations personnel administratif du CSC\Formation des sécretaires à Ziniaré\DSC_66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 81" descr="E:\photos rapport public 2022\Photos formations personnel administratif du CSC\Formation des sécretaires à Ziniaré\DSC_6644.JPG"/>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a:xfrm>
                      <a:off x="0" y="0"/>
                      <a:ext cx="5580380" cy="3720253"/>
                    </a:xfrm>
                    <a:prstGeom prst="rect">
                      <a:avLst/>
                    </a:prstGeom>
                    <a:noFill/>
                    <a:ln>
                      <a:noFill/>
                    </a:ln>
                  </pic:spPr>
                </pic:pic>
              </a:graphicData>
            </a:graphic>
          </wp:inline>
        </w:drawing>
      </w:r>
    </w:p>
    <w:p w14:paraId="7291E5F8" w14:textId="77777777" w:rsidR="00284822" w:rsidRDefault="00F77BF8">
      <w:pPr>
        <w:spacing w:before="120" w:after="120"/>
        <w:jc w:val="center"/>
        <w:rPr>
          <w:rFonts w:ascii="Rockwell" w:hAnsi="Rockwell"/>
          <w:b/>
          <w:i/>
          <w:sz w:val="20"/>
          <w:szCs w:val="20"/>
        </w:rPr>
      </w:pPr>
      <w:r>
        <w:rPr>
          <w:rFonts w:ascii="Rockwell" w:hAnsi="Rockwell"/>
          <w:b/>
          <w:i/>
          <w:sz w:val="20"/>
          <w:szCs w:val="20"/>
        </w:rPr>
        <w:t>Les Secrétaires tenant fièrement leurs attestations à l’issue de la formation</w:t>
      </w:r>
    </w:p>
    <w:p w14:paraId="623055D3" w14:textId="77777777" w:rsidR="00284822" w:rsidRDefault="00284822">
      <w:pPr>
        <w:spacing w:before="120" w:after="120"/>
        <w:jc w:val="center"/>
        <w:rPr>
          <w:rFonts w:ascii="Rockwell" w:hAnsi="Rockwell"/>
          <w:b/>
          <w:i/>
          <w:sz w:val="20"/>
          <w:szCs w:val="20"/>
        </w:rPr>
      </w:pPr>
    </w:p>
    <w:p w14:paraId="73596DDE" w14:textId="77777777" w:rsidR="00284822" w:rsidRDefault="00F77BF8">
      <w:pPr>
        <w:pStyle w:val="Paragraphedeliste"/>
        <w:numPr>
          <w:ilvl w:val="0"/>
          <w:numId w:val="47"/>
        </w:numPr>
        <w:rPr>
          <w:rFonts w:ascii="Rockwell" w:hAnsi="Rockwell"/>
        </w:rPr>
      </w:pPr>
      <w:proofErr w:type="gramStart"/>
      <w:r>
        <w:rPr>
          <w:rFonts w:ascii="Rockwell" w:hAnsi="Rockwell"/>
        </w:rPr>
        <w:t>formation</w:t>
      </w:r>
      <w:proofErr w:type="gramEnd"/>
      <w:r>
        <w:rPr>
          <w:rFonts w:ascii="Rockwell" w:hAnsi="Rockwell"/>
        </w:rPr>
        <w:t xml:space="preserve"> de six (06) agents de liaison sur le thème : « </w:t>
      </w:r>
      <w:r>
        <w:rPr>
          <w:rFonts w:ascii="Rockwell" w:hAnsi="Rockwell"/>
          <w:i/>
        </w:rPr>
        <w:t>Ethique, déontologie et techniques de gestion optimale du courrier</w:t>
      </w:r>
      <w:r>
        <w:rPr>
          <w:rFonts w:ascii="Rockwell" w:hAnsi="Rockwell"/>
        </w:rPr>
        <w:t> », tenue du 16 au 18 mai 2022, à Ziniaré ;</w:t>
      </w:r>
    </w:p>
    <w:p w14:paraId="48D8E545" w14:textId="77777777" w:rsidR="00284822" w:rsidRDefault="00284822">
      <w:pPr>
        <w:spacing w:before="120" w:after="120"/>
        <w:rPr>
          <w:rFonts w:ascii="Rockwell" w:hAnsi="Rockwell"/>
          <w:sz w:val="10"/>
          <w:szCs w:val="10"/>
        </w:rPr>
      </w:pPr>
    </w:p>
    <w:p w14:paraId="43E05937" w14:textId="77777777" w:rsidR="00284822" w:rsidRDefault="00F77BF8">
      <w:pPr>
        <w:pStyle w:val="Paragraphedeliste"/>
        <w:numPr>
          <w:ilvl w:val="0"/>
          <w:numId w:val="47"/>
        </w:numPr>
        <w:rPr>
          <w:rFonts w:ascii="Rockwell" w:hAnsi="Rockwell"/>
        </w:rPr>
      </w:pPr>
      <w:proofErr w:type="gramStart"/>
      <w:r>
        <w:rPr>
          <w:rFonts w:ascii="Rockwell" w:hAnsi="Rockwell"/>
        </w:rPr>
        <w:t>formation</w:t>
      </w:r>
      <w:proofErr w:type="gramEnd"/>
      <w:r>
        <w:rPr>
          <w:rFonts w:ascii="Rockwell" w:hAnsi="Rockwell"/>
        </w:rPr>
        <w:t xml:space="preserve"> des cadres de l’institution sur le thème : « </w:t>
      </w:r>
      <w:r>
        <w:rPr>
          <w:rFonts w:ascii="Rockwell" w:hAnsi="Rockwell"/>
          <w:i/>
          <w:color w:val="000000"/>
        </w:rPr>
        <w:t>Gestion axée sur les résultats et planification stratégique</w:t>
      </w:r>
      <w:r>
        <w:rPr>
          <w:rFonts w:ascii="Rockwell" w:hAnsi="Rockwell"/>
          <w:color w:val="000000"/>
        </w:rPr>
        <w:t> ».</w:t>
      </w:r>
      <w:r>
        <w:rPr>
          <w:rFonts w:ascii="Rockwell" w:hAnsi="Rockwell"/>
        </w:rPr>
        <w:t xml:space="preserve"> Cette formation s’est déroulée en deux (02) sessions, du 31 mai au 02 juin et du 07 au 09 juin 2022, à Manga.</w:t>
      </w:r>
    </w:p>
    <w:p w14:paraId="10CB61F5" w14:textId="77777777" w:rsidR="00284822" w:rsidRDefault="00F77BF8">
      <w:pPr>
        <w:pStyle w:val="Paragraphedeliste"/>
        <w:ind w:left="436"/>
        <w:rPr>
          <w:rFonts w:ascii="Rockwell" w:hAnsi="Rockwell"/>
        </w:rPr>
      </w:pPr>
      <w:r>
        <w:rPr>
          <w:rFonts w:ascii="Rockwell" w:hAnsi="Rockwell"/>
          <w:noProof/>
        </w:rPr>
        <w:lastRenderedPageBreak/>
        <w:drawing>
          <wp:inline distT="0" distB="0" distL="0" distR="0" wp14:anchorId="6F860D10" wp14:editId="04B003F8">
            <wp:extent cx="5580380" cy="3719830"/>
            <wp:effectExtent l="0" t="0" r="1270" b="0"/>
            <wp:docPr id="80" name="Image 80" descr="E:\photos rapport public 2022\Photos formations personnel administratif du CSC\Formation des Directeurs à Manga\DSC_81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 80" descr="E:\photos rapport public 2022\Photos formations personnel administratif du CSC\Formation des Directeurs à Manga\DSC_8136.JP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a:xfrm>
                      <a:off x="0" y="0"/>
                      <a:ext cx="5580380" cy="3720253"/>
                    </a:xfrm>
                    <a:prstGeom prst="rect">
                      <a:avLst/>
                    </a:prstGeom>
                    <a:noFill/>
                    <a:ln>
                      <a:noFill/>
                    </a:ln>
                  </pic:spPr>
                </pic:pic>
              </a:graphicData>
            </a:graphic>
          </wp:inline>
        </w:drawing>
      </w:r>
    </w:p>
    <w:p w14:paraId="6579B8B6" w14:textId="77777777" w:rsidR="00284822" w:rsidRDefault="00F77BF8">
      <w:pPr>
        <w:spacing w:before="120" w:after="120"/>
        <w:jc w:val="center"/>
        <w:rPr>
          <w:rFonts w:ascii="Rockwell" w:hAnsi="Rockwell"/>
          <w:b/>
          <w:i/>
          <w:sz w:val="20"/>
          <w:szCs w:val="20"/>
        </w:rPr>
      </w:pPr>
      <w:r>
        <w:rPr>
          <w:rFonts w:ascii="Rockwell" w:hAnsi="Rockwell"/>
          <w:b/>
          <w:i/>
          <w:sz w:val="20"/>
          <w:szCs w:val="20"/>
        </w:rPr>
        <w:t>Les bénéficiaires de la formation posant</w:t>
      </w:r>
    </w:p>
    <w:p w14:paraId="09B00D9D" w14:textId="77777777" w:rsidR="00284822" w:rsidRDefault="00F77BF8">
      <w:pPr>
        <w:spacing w:before="120" w:after="120"/>
        <w:jc w:val="center"/>
        <w:rPr>
          <w:rFonts w:ascii="Rockwell" w:hAnsi="Rockwell"/>
          <w:b/>
          <w:i/>
          <w:sz w:val="20"/>
          <w:szCs w:val="20"/>
        </w:rPr>
      </w:pPr>
      <w:proofErr w:type="gramStart"/>
      <w:r>
        <w:rPr>
          <w:rFonts w:ascii="Rockwell" w:hAnsi="Rockwell"/>
          <w:b/>
          <w:i/>
          <w:sz w:val="20"/>
          <w:szCs w:val="20"/>
        </w:rPr>
        <w:t>avec</w:t>
      </w:r>
      <w:proofErr w:type="gramEnd"/>
      <w:r>
        <w:rPr>
          <w:rFonts w:ascii="Rockwell" w:hAnsi="Rockwell"/>
          <w:b/>
          <w:i/>
          <w:sz w:val="20"/>
          <w:szCs w:val="20"/>
        </w:rPr>
        <w:t xml:space="preserve"> la représentante de la Secrétaire générale du CSC</w:t>
      </w:r>
    </w:p>
    <w:p w14:paraId="4206FE4D" w14:textId="77777777" w:rsidR="00284822" w:rsidRDefault="00284822">
      <w:pPr>
        <w:pStyle w:val="Titre4"/>
        <w:spacing w:before="120" w:after="120"/>
        <w:rPr>
          <w:rFonts w:ascii="Rockwell" w:hAnsi="Rockwell"/>
          <w:i/>
          <w:sz w:val="28"/>
          <w:szCs w:val="28"/>
        </w:rPr>
      </w:pPr>
    </w:p>
    <w:p w14:paraId="2156A7A4" w14:textId="77777777" w:rsidR="00284822" w:rsidRDefault="00F77BF8">
      <w:pPr>
        <w:pStyle w:val="Titre4"/>
        <w:spacing w:before="120" w:after="120"/>
        <w:rPr>
          <w:rFonts w:ascii="Rockwell" w:hAnsi="Rockwell"/>
          <w:sz w:val="28"/>
          <w:szCs w:val="28"/>
        </w:rPr>
      </w:pPr>
      <w:bookmarkStart w:id="301" w:name="_Toc175048754"/>
      <w:r>
        <w:rPr>
          <w:rFonts w:ascii="Rockwell" w:hAnsi="Rockwell"/>
          <w:sz w:val="28"/>
          <w:szCs w:val="28"/>
        </w:rPr>
        <w:t>Paragraphe 3 : Activités sociales</w:t>
      </w:r>
      <w:bookmarkEnd w:id="301"/>
    </w:p>
    <w:p w14:paraId="146A05FD" w14:textId="77777777" w:rsidR="00284822" w:rsidRDefault="00F77BF8">
      <w:pPr>
        <w:spacing w:before="120" w:after="120"/>
        <w:ind w:left="-284"/>
        <w:rPr>
          <w:rFonts w:ascii="Rockwell" w:hAnsi="Rockwell"/>
          <w:szCs w:val="26"/>
        </w:rPr>
      </w:pPr>
      <w:r>
        <w:rPr>
          <w:rFonts w:ascii="Rockwell" w:hAnsi="Rockwell"/>
          <w:szCs w:val="26"/>
        </w:rPr>
        <w:t>Les principales activités sociales réalisées sont les suivantes :</w:t>
      </w:r>
    </w:p>
    <w:p w14:paraId="4274725B" w14:textId="77777777" w:rsidR="00284822" w:rsidRDefault="00F77BF8">
      <w:pPr>
        <w:pStyle w:val="Paragraphedeliste"/>
        <w:numPr>
          <w:ilvl w:val="0"/>
          <w:numId w:val="48"/>
        </w:numPr>
        <w:rPr>
          <w:rFonts w:ascii="Rockwell" w:hAnsi="Rockwell"/>
          <w:b/>
        </w:rPr>
      </w:pPr>
      <w:r>
        <w:rPr>
          <w:rFonts w:ascii="Rockwell" w:hAnsi="Rockwell"/>
          <w:b/>
        </w:rPr>
        <w:t xml:space="preserve">Journée de collecte de sang </w:t>
      </w:r>
    </w:p>
    <w:p w14:paraId="095136AC" w14:textId="77777777" w:rsidR="00284822" w:rsidRDefault="00F77BF8">
      <w:pPr>
        <w:spacing w:before="120" w:after="120"/>
        <w:ind w:left="-284"/>
        <w:rPr>
          <w:rFonts w:ascii="Rockwell" w:hAnsi="Rockwell"/>
          <w:szCs w:val="26"/>
        </w:rPr>
        <w:sectPr w:rsidR="00284822">
          <w:pgSz w:w="11906" w:h="16838"/>
          <w:pgMar w:top="1418" w:right="1418" w:bottom="1418" w:left="1418" w:header="720" w:footer="720" w:gutter="0"/>
          <w:cols w:space="720"/>
        </w:sectPr>
      </w:pPr>
      <w:r>
        <w:rPr>
          <w:rFonts w:ascii="Rockwell" w:hAnsi="Rockwell"/>
          <w:szCs w:val="26"/>
        </w:rPr>
        <w:t>Le 15 juillet 2022, le CSC a organisé, en collaboration avec le Centre National de Transfusion Sanguine (CNTS) et l’Association SOS Sang, une journée de collecte de sang. A cette occasion, trente-cinq (35) poches de sang ont été collectées.</w:t>
      </w:r>
    </w:p>
    <w:p w14:paraId="182F3BD0" w14:textId="77777777" w:rsidR="00284822" w:rsidRDefault="00F77BF8">
      <w:pPr>
        <w:pStyle w:val="Paragraphedeliste"/>
        <w:numPr>
          <w:ilvl w:val="0"/>
          <w:numId w:val="48"/>
        </w:numPr>
        <w:rPr>
          <w:rFonts w:ascii="Rockwell" w:hAnsi="Rockwell"/>
        </w:rPr>
      </w:pPr>
      <w:r>
        <w:rPr>
          <w:rFonts w:ascii="Rockwell" w:hAnsi="Rockwell"/>
          <w:b/>
        </w:rPr>
        <w:lastRenderedPageBreak/>
        <w:t xml:space="preserve">Visite des lieux de travail </w:t>
      </w:r>
    </w:p>
    <w:p w14:paraId="67165647" w14:textId="77777777" w:rsidR="00284822" w:rsidRDefault="00F77BF8">
      <w:pPr>
        <w:pStyle w:val="Paragraphedeliste"/>
        <w:ind w:left="-284"/>
        <w:rPr>
          <w:rFonts w:ascii="Rockwell" w:hAnsi="Rockwell"/>
        </w:rPr>
      </w:pPr>
      <w:r>
        <w:rPr>
          <w:rFonts w:ascii="Rockwell" w:hAnsi="Rockwell"/>
        </w:rPr>
        <w:t>En vue de s’assurer des conditions d’hygiène et de sécurité au travail, l’Office de Santé des Travailleurs (OST) a procédé à la visite des lieux de travail, le 09 février 2022. Cette activité entre dans le cadre de la visite médicale annuelle.</w:t>
      </w:r>
    </w:p>
    <w:p w14:paraId="5EF8D914" w14:textId="77777777" w:rsidR="00284822" w:rsidRDefault="00284822">
      <w:pPr>
        <w:pStyle w:val="Paragraphedeliste"/>
        <w:ind w:left="-284"/>
        <w:rPr>
          <w:rFonts w:ascii="Rockwell" w:hAnsi="Rockwell"/>
          <w:sz w:val="10"/>
          <w:szCs w:val="10"/>
        </w:rPr>
      </w:pPr>
    </w:p>
    <w:p w14:paraId="0BACB4B4" w14:textId="77777777" w:rsidR="00284822" w:rsidRDefault="00F77BF8">
      <w:pPr>
        <w:pStyle w:val="Paragraphedeliste"/>
        <w:numPr>
          <w:ilvl w:val="0"/>
          <w:numId w:val="48"/>
        </w:numPr>
        <w:rPr>
          <w:rFonts w:ascii="Rockwell" w:hAnsi="Rockwell"/>
        </w:rPr>
      </w:pPr>
      <w:r>
        <w:rPr>
          <w:rFonts w:ascii="Rockwell" w:hAnsi="Rockwell"/>
          <w:b/>
        </w:rPr>
        <w:t xml:space="preserve">Visite médicale annuelle </w:t>
      </w:r>
    </w:p>
    <w:p w14:paraId="7B9D0819" w14:textId="77777777" w:rsidR="00284822" w:rsidRDefault="00F77BF8">
      <w:pPr>
        <w:pStyle w:val="Paragraphedeliste"/>
        <w:ind w:left="-284"/>
        <w:rPr>
          <w:rFonts w:ascii="Rockwell" w:hAnsi="Rockwell"/>
        </w:rPr>
      </w:pPr>
      <w:r>
        <w:rPr>
          <w:rFonts w:ascii="Rockwell" w:hAnsi="Rockwell"/>
        </w:rPr>
        <w:t xml:space="preserve">Pour veiller à la bonne santé de ses travailleurs, le CSC organise annuellement la visite médicale à leur profit. L’édition de 2022 s’est déroulée du 14 au 18 février dans les locaux du CSC en collaboration avec </w:t>
      </w:r>
      <w:bookmarkStart w:id="302" w:name="_Hlk162436739"/>
      <w:r>
        <w:rPr>
          <w:rFonts w:ascii="Rockwell" w:hAnsi="Rockwell"/>
        </w:rPr>
        <w:t>l’Office de Santé des Travailleurs (OST).</w:t>
      </w:r>
      <w:bookmarkEnd w:id="302"/>
    </w:p>
    <w:p w14:paraId="524C9573" w14:textId="77777777" w:rsidR="00284822" w:rsidRDefault="00284822">
      <w:pPr>
        <w:pStyle w:val="Paragraphedeliste"/>
        <w:ind w:left="-284"/>
        <w:rPr>
          <w:rFonts w:ascii="Rockwell" w:hAnsi="Rockwell"/>
          <w:sz w:val="10"/>
          <w:szCs w:val="10"/>
        </w:rPr>
      </w:pPr>
    </w:p>
    <w:p w14:paraId="5F0E4C0B" w14:textId="77777777" w:rsidR="00284822" w:rsidRDefault="00F77BF8">
      <w:pPr>
        <w:pStyle w:val="Paragraphedeliste"/>
        <w:numPr>
          <w:ilvl w:val="0"/>
          <w:numId w:val="48"/>
        </w:numPr>
        <w:rPr>
          <w:rFonts w:ascii="Rockwell" w:hAnsi="Rockwell"/>
        </w:rPr>
      </w:pPr>
      <w:r>
        <w:rPr>
          <w:rFonts w:ascii="Rockwell" w:hAnsi="Rockwell"/>
          <w:b/>
        </w:rPr>
        <w:t>Sport pour tous</w:t>
      </w:r>
    </w:p>
    <w:p w14:paraId="42883815" w14:textId="77777777" w:rsidR="00284822" w:rsidRDefault="00F77BF8">
      <w:pPr>
        <w:spacing w:before="120" w:after="120"/>
        <w:ind w:left="-284"/>
        <w:rPr>
          <w:rFonts w:ascii="Rockwell" w:hAnsi="Rockwell"/>
          <w:szCs w:val="26"/>
        </w:rPr>
      </w:pPr>
      <w:r>
        <w:rPr>
          <w:rFonts w:ascii="Rockwell" w:hAnsi="Rockwell"/>
          <w:szCs w:val="26"/>
        </w:rPr>
        <w:t xml:space="preserve">Dans le cadre de la promotion du </w:t>
      </w:r>
      <w:r>
        <w:rPr>
          <w:rFonts w:ascii="Rockwell" w:hAnsi="Rockwell"/>
          <w:i/>
          <w:szCs w:val="26"/>
        </w:rPr>
        <w:t>Sport pour tous,</w:t>
      </w:r>
      <w:r>
        <w:rPr>
          <w:rFonts w:ascii="Rockwell" w:hAnsi="Rockwell"/>
          <w:szCs w:val="26"/>
        </w:rPr>
        <w:t xml:space="preserve"> le CSC a organisé des séances hebdomadaires d’aérobic au profit de son personnel. </w:t>
      </w:r>
    </w:p>
    <w:p w14:paraId="7EDC61A8" w14:textId="77777777" w:rsidR="00284822" w:rsidRDefault="00284822">
      <w:pPr>
        <w:tabs>
          <w:tab w:val="left" w:pos="3000"/>
        </w:tabs>
        <w:spacing w:before="120" w:after="120"/>
        <w:rPr>
          <w:rFonts w:ascii="Rockwell" w:hAnsi="Rockwell"/>
          <w:b/>
          <w:i/>
          <w:sz w:val="20"/>
          <w:szCs w:val="20"/>
          <w:u w:val="single"/>
        </w:rPr>
      </w:pPr>
    </w:p>
    <w:p w14:paraId="679B56AD" w14:textId="77777777" w:rsidR="00284822" w:rsidRDefault="00F77BF8">
      <w:pPr>
        <w:pStyle w:val="Titre2"/>
        <w:pageBreakBefore/>
        <w:spacing w:before="120" w:after="120"/>
        <w:rPr>
          <w:rFonts w:ascii="Rockwell" w:hAnsi="Rockwell"/>
          <w:bCs/>
          <w:sz w:val="30"/>
          <w:szCs w:val="30"/>
        </w:rPr>
      </w:pPr>
      <w:bookmarkStart w:id="303" w:name="_Toc170304774"/>
      <w:bookmarkStart w:id="304" w:name="_Toc73183963"/>
      <w:bookmarkStart w:id="305" w:name="_Toc122608719"/>
      <w:bookmarkStart w:id="306" w:name="_Toc175048755"/>
      <w:bookmarkStart w:id="307" w:name="_Toc119511801"/>
      <w:bookmarkStart w:id="308" w:name="_Toc73184149"/>
      <w:bookmarkStart w:id="309" w:name="_Toc72864382"/>
      <w:bookmarkStart w:id="310" w:name="_Toc42670218"/>
      <w:bookmarkStart w:id="311" w:name="_Toc42539342"/>
      <w:r>
        <w:rPr>
          <w:rFonts w:ascii="Rockwell" w:hAnsi="Rockwell"/>
          <w:sz w:val="30"/>
          <w:szCs w:val="30"/>
        </w:rPr>
        <w:lastRenderedPageBreak/>
        <w:t>CHAPITRE II : GESTION DES FINANCES ET DES MATIERES</w:t>
      </w:r>
      <w:bookmarkEnd w:id="303"/>
      <w:bookmarkEnd w:id="304"/>
      <w:bookmarkEnd w:id="305"/>
      <w:bookmarkEnd w:id="306"/>
      <w:bookmarkEnd w:id="307"/>
      <w:bookmarkEnd w:id="308"/>
      <w:bookmarkEnd w:id="309"/>
    </w:p>
    <w:p w14:paraId="4D59135F" w14:textId="77777777" w:rsidR="00284822" w:rsidRDefault="00284822">
      <w:pPr>
        <w:spacing w:before="120" w:after="120"/>
        <w:rPr>
          <w:rFonts w:ascii="Rockwell" w:hAnsi="Rockwell"/>
          <w:sz w:val="4"/>
          <w:szCs w:val="4"/>
        </w:rPr>
      </w:pPr>
    </w:p>
    <w:p w14:paraId="6D490C42" w14:textId="77777777" w:rsidR="00284822" w:rsidRDefault="00F77BF8">
      <w:pPr>
        <w:spacing w:before="120" w:after="120"/>
        <w:rPr>
          <w:rFonts w:ascii="Rockwell" w:hAnsi="Rockwell"/>
          <w:szCs w:val="26"/>
        </w:rPr>
      </w:pPr>
      <w:r>
        <w:rPr>
          <w:rFonts w:ascii="Rockwell" w:hAnsi="Rockwell"/>
          <w:szCs w:val="26"/>
        </w:rPr>
        <w:t xml:space="preserve">Au titre de la gestion financière et des matières, de l’année 2022, le CSC a mené des activités de recouvrement de recettes, d’exécution des dépenses, d’élaboration de l’avant-projet de budget 2023-2025 et assuré la gestion des biens mobiliers et immobiliers de l’institution. </w:t>
      </w:r>
    </w:p>
    <w:p w14:paraId="26683DA2" w14:textId="77777777" w:rsidR="00284822" w:rsidRDefault="00284822">
      <w:pPr>
        <w:spacing w:before="120" w:after="120"/>
        <w:jc w:val="center"/>
        <w:rPr>
          <w:rFonts w:ascii="Rockwell" w:hAnsi="Rockwell"/>
          <w:sz w:val="10"/>
          <w:szCs w:val="10"/>
        </w:rPr>
      </w:pPr>
    </w:p>
    <w:p w14:paraId="08113ADC" w14:textId="77777777" w:rsidR="00284822" w:rsidRDefault="00F77BF8">
      <w:pPr>
        <w:keepNext/>
        <w:keepLines/>
        <w:spacing w:before="120" w:after="120"/>
        <w:jc w:val="center"/>
        <w:outlineLvl w:val="2"/>
        <w:rPr>
          <w:rFonts w:ascii="Rockwell" w:hAnsi="Rockwell"/>
          <w:b/>
          <w:i/>
          <w:sz w:val="28"/>
          <w:szCs w:val="28"/>
        </w:rPr>
      </w:pPr>
      <w:bookmarkStart w:id="312" w:name="_Toc175048756"/>
      <w:bookmarkStart w:id="313" w:name="_Toc170304775"/>
      <w:r>
        <w:rPr>
          <w:rFonts w:ascii="Rockwell" w:hAnsi="Rockwell"/>
          <w:b/>
          <w:i/>
          <w:sz w:val="28"/>
          <w:szCs w:val="28"/>
        </w:rPr>
        <w:t>SECTION 1 : GESTION FINANCIERE</w:t>
      </w:r>
      <w:bookmarkEnd w:id="312"/>
      <w:bookmarkEnd w:id="313"/>
    </w:p>
    <w:p w14:paraId="180BB695" w14:textId="77777777" w:rsidR="00284822" w:rsidRDefault="00284822">
      <w:pPr>
        <w:keepNext/>
        <w:keepLines/>
        <w:spacing w:before="120" w:after="120"/>
        <w:jc w:val="center"/>
        <w:outlineLvl w:val="2"/>
        <w:rPr>
          <w:rFonts w:ascii="Rockwell" w:hAnsi="Rockwell"/>
          <w:b/>
          <w:i/>
          <w:sz w:val="28"/>
          <w:szCs w:val="28"/>
        </w:rPr>
      </w:pPr>
    </w:p>
    <w:p w14:paraId="14682F80" w14:textId="77777777" w:rsidR="00284822" w:rsidRDefault="00F77BF8">
      <w:pPr>
        <w:pStyle w:val="Titre4"/>
        <w:spacing w:before="120" w:after="120"/>
        <w:rPr>
          <w:rFonts w:ascii="Rockwell" w:hAnsi="Rockwell"/>
          <w:sz w:val="28"/>
          <w:szCs w:val="28"/>
        </w:rPr>
      </w:pPr>
      <w:bookmarkStart w:id="314" w:name="_Toc175048757"/>
      <w:r>
        <w:rPr>
          <w:rFonts w:ascii="Rockwell" w:hAnsi="Rockwell"/>
          <w:sz w:val="28"/>
          <w:szCs w:val="28"/>
        </w:rPr>
        <w:t>Paragraphe 1 : Recouvrement des recettes</w:t>
      </w:r>
      <w:bookmarkEnd w:id="314"/>
    </w:p>
    <w:p w14:paraId="7BF2EBE8" w14:textId="77777777" w:rsidR="00284822" w:rsidRDefault="00284822">
      <w:pPr>
        <w:spacing w:before="120" w:after="120"/>
      </w:pPr>
    </w:p>
    <w:p w14:paraId="31511C24" w14:textId="77777777" w:rsidR="00284822" w:rsidRDefault="00F77BF8">
      <w:pPr>
        <w:tabs>
          <w:tab w:val="left" w:pos="5421"/>
        </w:tabs>
        <w:spacing w:before="120" w:after="120"/>
        <w:jc w:val="center"/>
        <w:rPr>
          <w:rFonts w:ascii="Rockwell" w:hAnsi="Rockwell"/>
          <w:b/>
          <w:bCs/>
          <w:i/>
          <w:sz w:val="20"/>
          <w:szCs w:val="20"/>
        </w:rPr>
      </w:pPr>
      <w:r>
        <w:rPr>
          <w:rFonts w:ascii="Rockwell" w:hAnsi="Rockwell"/>
          <w:b/>
          <w:bCs/>
          <w:i/>
          <w:color w:val="000000" w:themeColor="text1"/>
          <w:sz w:val="20"/>
          <w:szCs w:val="20"/>
          <w:u w:val="single"/>
        </w:rPr>
        <w:t>Tableau 28</w:t>
      </w:r>
      <w:r>
        <w:rPr>
          <w:rFonts w:ascii="Rockwell" w:hAnsi="Rockwell"/>
          <w:bCs/>
          <w:i/>
          <w:color w:val="000000" w:themeColor="text1"/>
          <w:sz w:val="20"/>
          <w:szCs w:val="20"/>
        </w:rPr>
        <w:t xml:space="preserve"> : Etat de recouvrement </w:t>
      </w:r>
      <w:r>
        <w:rPr>
          <w:rFonts w:ascii="Rockwell" w:hAnsi="Rockwell"/>
          <w:bCs/>
          <w:i/>
          <w:sz w:val="20"/>
          <w:szCs w:val="20"/>
        </w:rPr>
        <w:t>2022</w:t>
      </w:r>
    </w:p>
    <w:tbl>
      <w:tblPr>
        <w:tblW w:w="5326" w:type="pct"/>
        <w:jc w:val="center"/>
        <w:tblCellMar>
          <w:left w:w="10" w:type="dxa"/>
          <w:right w:w="10" w:type="dxa"/>
        </w:tblCellMar>
        <w:tblLook w:val="04A0" w:firstRow="1" w:lastRow="0" w:firstColumn="1" w:lastColumn="0" w:noHBand="0" w:noVBand="1"/>
      </w:tblPr>
      <w:tblGrid>
        <w:gridCol w:w="4969"/>
        <w:gridCol w:w="2018"/>
        <w:gridCol w:w="2664"/>
      </w:tblGrid>
      <w:tr w:rsidR="00284822" w14:paraId="501308F9" w14:textId="77777777">
        <w:trPr>
          <w:trHeight w:val="653"/>
          <w:jc w:val="center"/>
        </w:trPr>
        <w:tc>
          <w:tcPr>
            <w:tcW w:w="4815" w:type="dxa"/>
            <w:tcBorders>
              <w:top w:val="single" w:sz="4" w:space="0" w:color="000000"/>
              <w:left w:val="single" w:sz="4" w:space="0" w:color="000000"/>
              <w:bottom w:val="single" w:sz="4" w:space="0" w:color="000000"/>
              <w:right w:val="single" w:sz="4" w:space="0" w:color="000000"/>
            </w:tcBorders>
            <w:shd w:val="clear" w:color="auto" w:fill="BDD6EE"/>
            <w:tcMar>
              <w:top w:w="0" w:type="dxa"/>
              <w:left w:w="108" w:type="dxa"/>
              <w:bottom w:w="0" w:type="dxa"/>
              <w:right w:w="108" w:type="dxa"/>
            </w:tcMar>
            <w:vAlign w:val="center"/>
          </w:tcPr>
          <w:p w14:paraId="0FB16A79" w14:textId="77777777" w:rsidR="00284822" w:rsidRDefault="00F77BF8">
            <w:pPr>
              <w:tabs>
                <w:tab w:val="left" w:pos="2084"/>
              </w:tabs>
              <w:spacing w:before="120" w:after="120"/>
              <w:jc w:val="center"/>
              <w:rPr>
                <w:rFonts w:ascii="Rockwell" w:hAnsi="Rockwell"/>
                <w:szCs w:val="26"/>
              </w:rPr>
            </w:pPr>
            <w:r>
              <w:rPr>
                <w:rFonts w:ascii="Rockwell" w:hAnsi="Rockwell"/>
                <w:szCs w:val="26"/>
              </w:rPr>
              <w:t>LIBELLE</w:t>
            </w:r>
          </w:p>
        </w:tc>
        <w:tc>
          <w:tcPr>
            <w:tcW w:w="1955" w:type="dxa"/>
            <w:tcBorders>
              <w:top w:val="single" w:sz="4" w:space="0" w:color="000000"/>
              <w:left w:val="single" w:sz="4" w:space="0" w:color="000000"/>
              <w:bottom w:val="single" w:sz="4" w:space="0" w:color="000000"/>
              <w:right w:val="single" w:sz="4" w:space="0" w:color="000000"/>
            </w:tcBorders>
            <w:shd w:val="clear" w:color="auto" w:fill="BDD6EE"/>
            <w:tcMar>
              <w:top w:w="0" w:type="dxa"/>
              <w:left w:w="108" w:type="dxa"/>
              <w:bottom w:w="0" w:type="dxa"/>
              <w:right w:w="108" w:type="dxa"/>
            </w:tcMar>
            <w:vAlign w:val="center"/>
          </w:tcPr>
          <w:p w14:paraId="244E4BD2" w14:textId="77777777" w:rsidR="00284822" w:rsidRDefault="00F77BF8">
            <w:pPr>
              <w:tabs>
                <w:tab w:val="left" w:pos="2084"/>
              </w:tabs>
              <w:spacing w:before="120" w:after="120"/>
              <w:jc w:val="center"/>
              <w:rPr>
                <w:rFonts w:ascii="Rockwell" w:hAnsi="Rockwell"/>
                <w:szCs w:val="26"/>
              </w:rPr>
            </w:pPr>
            <w:r>
              <w:rPr>
                <w:rFonts w:ascii="Rockwell" w:hAnsi="Rockwell"/>
                <w:szCs w:val="26"/>
              </w:rPr>
              <w:t>MONTANT</w:t>
            </w:r>
          </w:p>
        </w:tc>
        <w:tc>
          <w:tcPr>
            <w:tcW w:w="2581" w:type="dxa"/>
            <w:tcBorders>
              <w:top w:val="single" w:sz="4" w:space="0" w:color="000000"/>
              <w:left w:val="single" w:sz="4" w:space="0" w:color="000000"/>
              <w:bottom w:val="single" w:sz="4" w:space="0" w:color="000000"/>
              <w:right w:val="single" w:sz="4" w:space="0" w:color="000000"/>
            </w:tcBorders>
            <w:shd w:val="clear" w:color="auto" w:fill="BDD6EE"/>
            <w:tcMar>
              <w:top w:w="0" w:type="dxa"/>
              <w:left w:w="108" w:type="dxa"/>
              <w:bottom w:w="0" w:type="dxa"/>
              <w:right w:w="108" w:type="dxa"/>
            </w:tcMar>
            <w:vAlign w:val="center"/>
          </w:tcPr>
          <w:p w14:paraId="6ABF830A" w14:textId="77777777" w:rsidR="00284822" w:rsidRDefault="00F77BF8">
            <w:pPr>
              <w:tabs>
                <w:tab w:val="left" w:pos="2084"/>
              </w:tabs>
              <w:spacing w:before="120" w:after="120"/>
              <w:jc w:val="center"/>
              <w:rPr>
                <w:rFonts w:ascii="Rockwell" w:hAnsi="Rockwell"/>
                <w:szCs w:val="26"/>
              </w:rPr>
            </w:pPr>
            <w:r>
              <w:rPr>
                <w:rFonts w:ascii="Rockwell" w:hAnsi="Rockwell"/>
                <w:szCs w:val="26"/>
              </w:rPr>
              <w:t>OBSERVATIONS</w:t>
            </w:r>
          </w:p>
        </w:tc>
      </w:tr>
      <w:tr w:rsidR="00284822" w14:paraId="399E6A25" w14:textId="77777777">
        <w:trPr>
          <w:jc w:val="center"/>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4C1958" w14:textId="77777777" w:rsidR="00284822" w:rsidRDefault="00F77BF8">
            <w:pPr>
              <w:tabs>
                <w:tab w:val="left" w:pos="2084"/>
              </w:tabs>
              <w:spacing w:before="120" w:after="120"/>
              <w:rPr>
                <w:rFonts w:ascii="Rockwell" w:hAnsi="Rockwell"/>
                <w:szCs w:val="26"/>
              </w:rPr>
            </w:pPr>
            <w:r>
              <w:rPr>
                <w:rFonts w:ascii="Rockwell" w:hAnsi="Rockwell"/>
                <w:szCs w:val="26"/>
              </w:rPr>
              <w:t>1</w:t>
            </w:r>
            <w:r>
              <w:rPr>
                <w:rFonts w:ascii="Rockwell" w:hAnsi="Rockwell"/>
                <w:szCs w:val="26"/>
                <w:vertAlign w:val="superscript"/>
              </w:rPr>
              <w:t>ER</w:t>
            </w:r>
            <w:r>
              <w:rPr>
                <w:rFonts w:ascii="Rockwell" w:hAnsi="Rockwell"/>
                <w:szCs w:val="26"/>
              </w:rPr>
              <w:t xml:space="preserve"> acompte Canal+ international</w:t>
            </w:r>
          </w:p>
        </w:tc>
        <w:tc>
          <w:tcPr>
            <w:tcW w:w="1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74F320" w14:textId="77777777" w:rsidR="00284822" w:rsidRDefault="00F77BF8">
            <w:pPr>
              <w:tabs>
                <w:tab w:val="left" w:pos="2084"/>
              </w:tabs>
              <w:spacing w:before="120" w:after="120"/>
              <w:rPr>
                <w:rFonts w:ascii="Rockwell" w:hAnsi="Rockwell"/>
                <w:szCs w:val="26"/>
              </w:rPr>
            </w:pPr>
            <w:r>
              <w:rPr>
                <w:rFonts w:ascii="Rockwell" w:hAnsi="Rockwell"/>
                <w:szCs w:val="26"/>
              </w:rPr>
              <w:t>100 000 000</w:t>
            </w:r>
          </w:p>
        </w:tc>
        <w:tc>
          <w:tcPr>
            <w:tcW w:w="2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9FE845" w14:textId="77777777" w:rsidR="00284822" w:rsidRDefault="00284822">
            <w:pPr>
              <w:tabs>
                <w:tab w:val="left" w:pos="2084"/>
              </w:tabs>
              <w:spacing w:before="120" w:after="120"/>
              <w:rPr>
                <w:rFonts w:ascii="Rockwell" w:hAnsi="Rockwell"/>
                <w:color w:val="FF0000"/>
                <w:szCs w:val="26"/>
              </w:rPr>
            </w:pPr>
          </w:p>
        </w:tc>
      </w:tr>
      <w:tr w:rsidR="00284822" w14:paraId="2494A07D" w14:textId="77777777">
        <w:trPr>
          <w:jc w:val="center"/>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5AE76F" w14:textId="77777777" w:rsidR="00284822" w:rsidRDefault="00F77BF8">
            <w:pPr>
              <w:tabs>
                <w:tab w:val="left" w:pos="2084"/>
              </w:tabs>
              <w:spacing w:before="120" w:after="120"/>
              <w:rPr>
                <w:rFonts w:ascii="Rockwell" w:hAnsi="Rockwell"/>
                <w:szCs w:val="26"/>
              </w:rPr>
            </w:pPr>
            <w:r>
              <w:rPr>
                <w:rFonts w:ascii="Rockwell" w:hAnsi="Rockwell"/>
                <w:szCs w:val="26"/>
              </w:rPr>
              <w:t>Redevance Canal+ international Exercices 2020, 2021 et 2022</w:t>
            </w:r>
          </w:p>
        </w:tc>
        <w:tc>
          <w:tcPr>
            <w:tcW w:w="1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6D4691" w14:textId="77777777" w:rsidR="00284822" w:rsidRDefault="00F77BF8">
            <w:pPr>
              <w:tabs>
                <w:tab w:val="left" w:pos="2084"/>
              </w:tabs>
              <w:spacing w:before="120" w:after="120"/>
              <w:rPr>
                <w:rFonts w:ascii="Rockwell" w:hAnsi="Rockwell"/>
                <w:szCs w:val="26"/>
              </w:rPr>
            </w:pPr>
            <w:r>
              <w:rPr>
                <w:rFonts w:ascii="Rockwell" w:hAnsi="Rockwell"/>
                <w:szCs w:val="26"/>
              </w:rPr>
              <w:t>449 965 503</w:t>
            </w:r>
          </w:p>
        </w:tc>
        <w:tc>
          <w:tcPr>
            <w:tcW w:w="2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392030" w14:textId="77777777" w:rsidR="00284822" w:rsidRDefault="00F77BF8">
            <w:pPr>
              <w:tabs>
                <w:tab w:val="left" w:pos="2084"/>
              </w:tabs>
              <w:spacing w:before="120" w:after="120"/>
              <w:rPr>
                <w:rFonts w:ascii="Rockwell" w:hAnsi="Rockwell"/>
                <w:szCs w:val="26"/>
              </w:rPr>
            </w:pPr>
            <w:r>
              <w:rPr>
                <w:rFonts w:ascii="Rockwell" w:hAnsi="Rockwell"/>
                <w:szCs w:val="26"/>
              </w:rPr>
              <w:t>OV 2022-30</w:t>
            </w:r>
          </w:p>
        </w:tc>
      </w:tr>
      <w:tr w:rsidR="00284822" w14:paraId="48876F79" w14:textId="77777777">
        <w:trPr>
          <w:trHeight w:val="755"/>
          <w:jc w:val="center"/>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DDA716" w14:textId="77777777" w:rsidR="00284822" w:rsidRDefault="00F77BF8">
            <w:pPr>
              <w:tabs>
                <w:tab w:val="left" w:pos="2084"/>
              </w:tabs>
              <w:spacing w:before="120" w:after="120"/>
              <w:rPr>
                <w:rFonts w:ascii="Rockwell" w:hAnsi="Rockwell"/>
                <w:szCs w:val="26"/>
              </w:rPr>
            </w:pPr>
            <w:r>
              <w:rPr>
                <w:rFonts w:ascii="Rockwell" w:hAnsi="Rockwell"/>
                <w:szCs w:val="26"/>
              </w:rPr>
              <w:t>Redevance RFI Exercice 2020</w:t>
            </w:r>
          </w:p>
        </w:tc>
        <w:tc>
          <w:tcPr>
            <w:tcW w:w="1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5FE25D" w14:textId="77777777" w:rsidR="00284822" w:rsidRDefault="00F77BF8">
            <w:pPr>
              <w:tabs>
                <w:tab w:val="left" w:pos="2084"/>
              </w:tabs>
              <w:spacing w:before="120" w:after="120"/>
              <w:rPr>
                <w:rFonts w:ascii="Rockwell" w:hAnsi="Rockwell"/>
                <w:szCs w:val="26"/>
              </w:rPr>
            </w:pPr>
            <w:r>
              <w:rPr>
                <w:rFonts w:ascii="Rockwell" w:hAnsi="Rockwell"/>
                <w:szCs w:val="26"/>
              </w:rPr>
              <w:t>49 999 994</w:t>
            </w:r>
          </w:p>
        </w:tc>
        <w:tc>
          <w:tcPr>
            <w:tcW w:w="2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7BEEDD" w14:textId="77777777" w:rsidR="00284822" w:rsidRDefault="00F77BF8">
            <w:pPr>
              <w:tabs>
                <w:tab w:val="left" w:pos="2084"/>
              </w:tabs>
              <w:spacing w:before="120" w:after="120"/>
              <w:rPr>
                <w:rFonts w:ascii="Rockwell" w:hAnsi="Rockwell"/>
                <w:szCs w:val="26"/>
              </w:rPr>
            </w:pPr>
            <w:r>
              <w:rPr>
                <w:rFonts w:ascii="Rockwell" w:hAnsi="Rockwell"/>
                <w:szCs w:val="26"/>
              </w:rPr>
              <w:t>OV 2022-11</w:t>
            </w:r>
          </w:p>
        </w:tc>
      </w:tr>
      <w:tr w:rsidR="00284822" w14:paraId="1F833B78" w14:textId="77777777">
        <w:trPr>
          <w:trHeight w:val="1153"/>
          <w:jc w:val="center"/>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CC50F9" w14:textId="77777777" w:rsidR="00284822" w:rsidRDefault="00F77BF8">
            <w:pPr>
              <w:tabs>
                <w:tab w:val="left" w:pos="2084"/>
              </w:tabs>
              <w:spacing w:before="120" w:after="120"/>
              <w:rPr>
                <w:rFonts w:ascii="Rockwell" w:hAnsi="Rockwell"/>
                <w:szCs w:val="26"/>
              </w:rPr>
            </w:pPr>
            <w:proofErr w:type="spellStart"/>
            <w:r>
              <w:rPr>
                <w:rFonts w:ascii="Rockwell" w:hAnsi="Rockwell"/>
                <w:szCs w:val="26"/>
              </w:rPr>
              <w:t>Neerwaya</w:t>
            </w:r>
            <w:proofErr w:type="spellEnd"/>
            <w:r>
              <w:rPr>
                <w:rFonts w:ascii="Rockwell" w:hAnsi="Rockwell"/>
                <w:szCs w:val="26"/>
              </w:rPr>
              <w:t xml:space="preserve"> </w:t>
            </w:r>
            <w:proofErr w:type="spellStart"/>
            <w:r>
              <w:rPr>
                <w:rFonts w:ascii="Rockwell" w:hAnsi="Rockwell"/>
                <w:szCs w:val="26"/>
              </w:rPr>
              <w:t>Multivision</w:t>
            </w:r>
            <w:proofErr w:type="spellEnd"/>
            <w:r>
              <w:rPr>
                <w:rFonts w:ascii="Rockwell" w:hAnsi="Rockwell"/>
                <w:szCs w:val="26"/>
              </w:rPr>
              <w:t xml:space="preserve"> Acompte de 2020</w:t>
            </w:r>
          </w:p>
        </w:tc>
        <w:tc>
          <w:tcPr>
            <w:tcW w:w="1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4B1608" w14:textId="77777777" w:rsidR="00284822" w:rsidRDefault="00F77BF8">
            <w:pPr>
              <w:tabs>
                <w:tab w:val="left" w:pos="2084"/>
              </w:tabs>
              <w:spacing w:before="120" w:after="120"/>
              <w:rPr>
                <w:rFonts w:ascii="Rockwell" w:hAnsi="Rockwell"/>
                <w:szCs w:val="26"/>
              </w:rPr>
            </w:pPr>
            <w:r>
              <w:rPr>
                <w:rFonts w:ascii="Rockwell" w:hAnsi="Rockwell"/>
                <w:szCs w:val="26"/>
              </w:rPr>
              <w:t>3 000 000</w:t>
            </w:r>
          </w:p>
        </w:tc>
        <w:tc>
          <w:tcPr>
            <w:tcW w:w="2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9905E1" w14:textId="77777777" w:rsidR="00284822" w:rsidRDefault="00F77BF8">
            <w:pPr>
              <w:tabs>
                <w:tab w:val="left" w:pos="2084"/>
              </w:tabs>
              <w:spacing w:before="120" w:after="120"/>
              <w:rPr>
                <w:rFonts w:ascii="Rockwell" w:hAnsi="Rockwell"/>
                <w:szCs w:val="26"/>
              </w:rPr>
            </w:pPr>
            <w:r>
              <w:rPr>
                <w:rFonts w:ascii="Rockwell" w:hAnsi="Rockwell"/>
                <w:szCs w:val="26"/>
              </w:rPr>
              <w:t>QCE 9267 du 23/05/2022</w:t>
            </w:r>
          </w:p>
        </w:tc>
      </w:tr>
      <w:tr w:rsidR="00284822" w14:paraId="2FCA2EE9" w14:textId="77777777">
        <w:trPr>
          <w:trHeight w:val="942"/>
          <w:jc w:val="center"/>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8D1CF3" w14:textId="77777777" w:rsidR="00284822" w:rsidRDefault="00F77BF8">
            <w:pPr>
              <w:tabs>
                <w:tab w:val="left" w:pos="2084"/>
              </w:tabs>
              <w:spacing w:before="120" w:after="120"/>
              <w:rPr>
                <w:rFonts w:ascii="Rockwell" w:hAnsi="Rockwell"/>
                <w:szCs w:val="26"/>
              </w:rPr>
            </w:pPr>
            <w:proofErr w:type="spellStart"/>
            <w:r>
              <w:rPr>
                <w:rFonts w:ascii="Rockwell" w:hAnsi="Rockwell"/>
                <w:szCs w:val="26"/>
              </w:rPr>
              <w:t>Neerwaya</w:t>
            </w:r>
            <w:proofErr w:type="spellEnd"/>
            <w:r>
              <w:rPr>
                <w:rFonts w:ascii="Rockwell" w:hAnsi="Rockwell"/>
                <w:szCs w:val="26"/>
              </w:rPr>
              <w:t xml:space="preserve"> </w:t>
            </w:r>
            <w:proofErr w:type="spellStart"/>
            <w:r>
              <w:rPr>
                <w:rFonts w:ascii="Rockwell" w:hAnsi="Rockwell"/>
                <w:szCs w:val="26"/>
              </w:rPr>
              <w:t>Multivision</w:t>
            </w:r>
            <w:proofErr w:type="spellEnd"/>
            <w:r>
              <w:rPr>
                <w:rFonts w:ascii="Rockwell" w:hAnsi="Rockwell"/>
                <w:szCs w:val="26"/>
              </w:rPr>
              <w:t xml:space="preserve"> Acompte de 2021</w:t>
            </w:r>
          </w:p>
        </w:tc>
        <w:tc>
          <w:tcPr>
            <w:tcW w:w="1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9C4C27" w14:textId="77777777" w:rsidR="00284822" w:rsidRDefault="00F77BF8">
            <w:pPr>
              <w:tabs>
                <w:tab w:val="left" w:pos="2084"/>
              </w:tabs>
              <w:spacing w:before="120" w:after="120"/>
              <w:rPr>
                <w:rFonts w:ascii="Rockwell" w:hAnsi="Rockwell"/>
                <w:szCs w:val="26"/>
              </w:rPr>
            </w:pPr>
            <w:r>
              <w:rPr>
                <w:rFonts w:ascii="Rockwell" w:hAnsi="Rockwell"/>
                <w:szCs w:val="26"/>
              </w:rPr>
              <w:t>3 000 000</w:t>
            </w:r>
          </w:p>
        </w:tc>
        <w:tc>
          <w:tcPr>
            <w:tcW w:w="2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223EA6" w14:textId="77777777" w:rsidR="00284822" w:rsidRDefault="00F77BF8">
            <w:pPr>
              <w:tabs>
                <w:tab w:val="left" w:pos="2084"/>
              </w:tabs>
              <w:spacing w:before="120" w:after="120"/>
              <w:rPr>
                <w:rFonts w:ascii="Rockwell" w:hAnsi="Rockwell"/>
                <w:szCs w:val="26"/>
              </w:rPr>
            </w:pPr>
            <w:r>
              <w:rPr>
                <w:rFonts w:ascii="Rockwell" w:hAnsi="Rockwell"/>
                <w:szCs w:val="26"/>
              </w:rPr>
              <w:t>QCE 12115 du 06/07/2022</w:t>
            </w:r>
          </w:p>
        </w:tc>
      </w:tr>
      <w:tr w:rsidR="00284822" w14:paraId="1EE2F0E9" w14:textId="77777777">
        <w:trPr>
          <w:trHeight w:val="580"/>
          <w:jc w:val="center"/>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767ADB" w14:textId="77777777" w:rsidR="00284822" w:rsidRDefault="00F77BF8">
            <w:pPr>
              <w:tabs>
                <w:tab w:val="left" w:pos="2084"/>
              </w:tabs>
              <w:spacing w:before="120" w:after="120"/>
              <w:rPr>
                <w:rFonts w:ascii="Rockwell" w:hAnsi="Rockwell"/>
                <w:szCs w:val="26"/>
              </w:rPr>
            </w:pPr>
            <w:r>
              <w:rPr>
                <w:rFonts w:ascii="Rockwell" w:hAnsi="Rockwell"/>
                <w:b/>
                <w:bCs/>
                <w:szCs w:val="26"/>
              </w:rPr>
              <w:t>Total général</w:t>
            </w:r>
          </w:p>
        </w:tc>
        <w:tc>
          <w:tcPr>
            <w:tcW w:w="1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541813" w14:textId="77777777" w:rsidR="00284822" w:rsidRDefault="00F77BF8">
            <w:pPr>
              <w:tabs>
                <w:tab w:val="left" w:pos="2084"/>
              </w:tabs>
              <w:spacing w:before="120" w:after="120"/>
              <w:rPr>
                <w:rFonts w:ascii="Rockwell" w:hAnsi="Rockwell"/>
                <w:szCs w:val="26"/>
              </w:rPr>
            </w:pPr>
            <w:r>
              <w:rPr>
                <w:rFonts w:ascii="Rockwell" w:hAnsi="Rockwell"/>
                <w:b/>
                <w:bCs/>
                <w:szCs w:val="26"/>
              </w:rPr>
              <w:t>605 965 497</w:t>
            </w:r>
          </w:p>
        </w:tc>
        <w:tc>
          <w:tcPr>
            <w:tcW w:w="2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2C55C2" w14:textId="77777777" w:rsidR="00284822" w:rsidRDefault="00284822">
            <w:pPr>
              <w:tabs>
                <w:tab w:val="left" w:pos="2084"/>
              </w:tabs>
              <w:spacing w:before="120" w:after="120"/>
              <w:rPr>
                <w:rFonts w:ascii="Rockwell" w:hAnsi="Rockwell"/>
                <w:szCs w:val="26"/>
              </w:rPr>
            </w:pPr>
          </w:p>
        </w:tc>
      </w:tr>
    </w:tbl>
    <w:p w14:paraId="14C5B975" w14:textId="77777777" w:rsidR="00284822" w:rsidRDefault="00284822">
      <w:pPr>
        <w:spacing w:before="120" w:after="120"/>
        <w:rPr>
          <w:rFonts w:ascii="Rockwell" w:hAnsi="Rockwell"/>
          <w:szCs w:val="26"/>
        </w:rPr>
      </w:pPr>
    </w:p>
    <w:p w14:paraId="0340D0D2" w14:textId="77777777" w:rsidR="00284822" w:rsidRDefault="00F77BF8">
      <w:pPr>
        <w:spacing w:before="120" w:after="120"/>
        <w:rPr>
          <w:rFonts w:ascii="Rockwell" w:hAnsi="Rockwell"/>
          <w:szCs w:val="26"/>
        </w:rPr>
      </w:pPr>
      <w:r>
        <w:rPr>
          <w:rFonts w:ascii="Rockwell" w:hAnsi="Rockwell"/>
          <w:szCs w:val="26"/>
        </w:rPr>
        <w:lastRenderedPageBreak/>
        <w:t xml:space="preserve">Sur une prévision de cent millions (100 000 000) de F CFA, la mobilisation des recettes, en 2022, se chiffre à </w:t>
      </w:r>
      <w:r>
        <w:rPr>
          <w:rFonts w:ascii="Rockwell" w:hAnsi="Rockwell"/>
          <w:bCs/>
          <w:szCs w:val="26"/>
        </w:rPr>
        <w:t>six cent cinq millions neuf</w:t>
      </w:r>
      <w:r>
        <w:rPr>
          <w:rFonts w:ascii="Rockwell" w:hAnsi="Rockwell"/>
          <w:b/>
          <w:bCs/>
          <w:szCs w:val="26"/>
        </w:rPr>
        <w:t xml:space="preserve"> </w:t>
      </w:r>
      <w:r>
        <w:rPr>
          <w:rFonts w:ascii="Rockwell" w:hAnsi="Rockwell"/>
          <w:bCs/>
          <w:szCs w:val="26"/>
        </w:rPr>
        <w:t>cent soixante-cinq mille quatre cent quatre-vingt-dix-sept (605 965 497) F CFA soit un taux de réalisation de 605,965%.</w:t>
      </w:r>
      <w:r>
        <w:rPr>
          <w:rFonts w:ascii="Rockwell" w:hAnsi="Rockwell"/>
          <w:szCs w:val="26"/>
        </w:rPr>
        <w:t xml:space="preserve"> Cette performance s’explique, entre autres, par l’opérationnalisation du service de recouvrement du CSC.</w:t>
      </w:r>
    </w:p>
    <w:p w14:paraId="6897C847" w14:textId="77777777" w:rsidR="00284822" w:rsidRDefault="00284822">
      <w:pPr>
        <w:pStyle w:val="Titre4"/>
        <w:spacing w:before="120" w:after="120"/>
        <w:rPr>
          <w:rFonts w:ascii="Rockwell" w:hAnsi="Rockwell"/>
          <w:sz w:val="28"/>
          <w:szCs w:val="28"/>
        </w:rPr>
      </w:pPr>
    </w:p>
    <w:p w14:paraId="21EB2A48" w14:textId="77777777" w:rsidR="00284822" w:rsidRDefault="00F77BF8">
      <w:pPr>
        <w:pStyle w:val="Titre4"/>
        <w:spacing w:before="120" w:after="120"/>
        <w:rPr>
          <w:rFonts w:ascii="Rockwell" w:hAnsi="Rockwell"/>
          <w:sz w:val="28"/>
          <w:szCs w:val="28"/>
        </w:rPr>
      </w:pPr>
      <w:bookmarkStart w:id="315" w:name="_Toc175048758"/>
      <w:r>
        <w:rPr>
          <w:rFonts w:ascii="Rockwell" w:hAnsi="Rockwell"/>
          <w:sz w:val="28"/>
          <w:szCs w:val="28"/>
        </w:rPr>
        <w:t>Paragraphe 2 : Exécution des dépenses</w:t>
      </w:r>
      <w:bookmarkEnd w:id="315"/>
    </w:p>
    <w:p w14:paraId="55C1D882" w14:textId="77777777" w:rsidR="00284822" w:rsidRDefault="00F77BF8">
      <w:pPr>
        <w:spacing w:before="120" w:after="120"/>
        <w:rPr>
          <w:rFonts w:ascii="Rockwell" w:hAnsi="Rockwell"/>
          <w:szCs w:val="26"/>
        </w:rPr>
      </w:pPr>
      <w:r>
        <w:rPr>
          <w:rFonts w:ascii="Rockwell" w:hAnsi="Rockwell"/>
          <w:szCs w:val="26"/>
        </w:rPr>
        <w:t xml:space="preserve">Au titre de l’exercice 2022, le budget prévisionnel, d’un montant initial </w:t>
      </w:r>
      <w:proofErr w:type="gramStart"/>
      <w:r>
        <w:rPr>
          <w:rFonts w:ascii="Rockwell" w:hAnsi="Rockwell"/>
          <w:szCs w:val="26"/>
        </w:rPr>
        <w:t>de un</w:t>
      </w:r>
      <w:proofErr w:type="gramEnd"/>
      <w:r>
        <w:rPr>
          <w:rFonts w:ascii="Rockwell" w:hAnsi="Rockwell"/>
          <w:szCs w:val="26"/>
        </w:rPr>
        <w:t xml:space="preserve"> milliard cent quatre-vingt-deux millions quatre-vingt-deux mille (1 182 082 000) F CFA, a connu une régulation en cours d’exercice pour s’établir à la somme de un milliard cent vingt-quatre millions sept cent six mille vingt-sept (1 124 706 027) francs CFA. </w:t>
      </w:r>
    </w:p>
    <w:p w14:paraId="089BD097" w14:textId="77777777" w:rsidR="00284822" w:rsidRDefault="00F77BF8">
      <w:pPr>
        <w:spacing w:before="120" w:after="120"/>
        <w:rPr>
          <w:rFonts w:ascii="Rockwell" w:hAnsi="Rockwell"/>
          <w:szCs w:val="26"/>
        </w:rPr>
      </w:pPr>
      <w:r>
        <w:rPr>
          <w:rFonts w:ascii="Rockwell" w:hAnsi="Rockwell"/>
          <w:szCs w:val="26"/>
        </w:rPr>
        <w:t>En rappel, le budget de l’institution s’exécute suivant deux procédures : la procédure simplifiée (déblocage) et celle dite normale.</w:t>
      </w:r>
    </w:p>
    <w:p w14:paraId="5C9DF0C5" w14:textId="77777777" w:rsidR="00284822" w:rsidRDefault="00284822">
      <w:pPr>
        <w:spacing w:before="120" w:after="120"/>
        <w:rPr>
          <w:rFonts w:ascii="Rockwell" w:hAnsi="Rockwell"/>
          <w:sz w:val="10"/>
          <w:szCs w:val="10"/>
        </w:rPr>
      </w:pPr>
    </w:p>
    <w:p w14:paraId="322A8D15" w14:textId="77777777" w:rsidR="00284822" w:rsidRDefault="00F77BF8">
      <w:pPr>
        <w:spacing w:before="120" w:after="120"/>
        <w:jc w:val="center"/>
        <w:rPr>
          <w:rFonts w:ascii="Rockwell" w:hAnsi="Rockwell"/>
          <w:sz w:val="20"/>
          <w:szCs w:val="20"/>
        </w:rPr>
      </w:pPr>
      <w:r>
        <w:rPr>
          <w:rFonts w:ascii="Rockwell" w:hAnsi="Rockwell"/>
          <w:b/>
          <w:sz w:val="20"/>
          <w:szCs w:val="20"/>
          <w:u w:val="single"/>
        </w:rPr>
        <w:t>Tableau 29</w:t>
      </w:r>
      <w:r>
        <w:rPr>
          <w:rFonts w:ascii="Rockwell" w:hAnsi="Rockwell"/>
          <w:b/>
          <w:i/>
          <w:sz w:val="20"/>
          <w:szCs w:val="20"/>
        </w:rPr>
        <w:t xml:space="preserve"> : </w:t>
      </w:r>
      <w:r>
        <w:rPr>
          <w:rFonts w:ascii="Rockwell" w:hAnsi="Rockwell"/>
          <w:i/>
          <w:sz w:val="20"/>
          <w:szCs w:val="20"/>
        </w:rPr>
        <w:t>Budget du CSC 2022-par nature des dépenses</w:t>
      </w:r>
    </w:p>
    <w:tbl>
      <w:tblPr>
        <w:tblW w:w="6023" w:type="pct"/>
        <w:jc w:val="center"/>
        <w:tblCellMar>
          <w:left w:w="10" w:type="dxa"/>
          <w:right w:w="10" w:type="dxa"/>
        </w:tblCellMar>
        <w:tblLook w:val="04A0" w:firstRow="1" w:lastRow="0" w:firstColumn="1" w:lastColumn="0" w:noHBand="0" w:noVBand="1"/>
      </w:tblPr>
      <w:tblGrid>
        <w:gridCol w:w="6091"/>
        <w:gridCol w:w="4823"/>
      </w:tblGrid>
      <w:tr w:rsidR="00284822" w14:paraId="3D859259" w14:textId="77777777">
        <w:trPr>
          <w:trHeight w:val="645"/>
          <w:jc w:val="center"/>
        </w:trPr>
        <w:tc>
          <w:tcPr>
            <w:tcW w:w="6091" w:type="dxa"/>
            <w:tcBorders>
              <w:top w:val="single" w:sz="4" w:space="0" w:color="000000"/>
              <w:left w:val="single" w:sz="4" w:space="0" w:color="000000"/>
              <w:bottom w:val="single" w:sz="4" w:space="0" w:color="000000"/>
              <w:right w:val="single" w:sz="4" w:space="0" w:color="000000"/>
            </w:tcBorders>
            <w:shd w:val="clear" w:color="auto" w:fill="BDD6EE" w:themeFill="accent1" w:themeFillTint="66"/>
            <w:tcMar>
              <w:top w:w="0" w:type="dxa"/>
              <w:left w:w="108" w:type="dxa"/>
              <w:bottom w:w="0" w:type="dxa"/>
              <w:right w:w="108" w:type="dxa"/>
            </w:tcMar>
          </w:tcPr>
          <w:p w14:paraId="25733E77" w14:textId="77777777" w:rsidR="00284822" w:rsidRDefault="00F77BF8">
            <w:pPr>
              <w:spacing w:before="120" w:after="120"/>
              <w:jc w:val="center"/>
              <w:rPr>
                <w:rFonts w:ascii="Rockwell" w:hAnsi="Rockwell"/>
                <w:szCs w:val="26"/>
              </w:rPr>
            </w:pPr>
            <w:r>
              <w:rPr>
                <w:rFonts w:ascii="Rockwell" w:hAnsi="Rockwell"/>
                <w:szCs w:val="26"/>
              </w:rPr>
              <w:t>Nature</w:t>
            </w:r>
          </w:p>
        </w:tc>
        <w:tc>
          <w:tcPr>
            <w:tcW w:w="4823" w:type="dxa"/>
            <w:tcBorders>
              <w:top w:val="single" w:sz="4" w:space="0" w:color="000000"/>
              <w:left w:val="single" w:sz="4" w:space="0" w:color="000000"/>
              <w:bottom w:val="single" w:sz="4" w:space="0" w:color="000000"/>
              <w:right w:val="single" w:sz="4" w:space="0" w:color="000000"/>
            </w:tcBorders>
            <w:shd w:val="clear" w:color="auto" w:fill="BDD6EE" w:themeFill="accent1" w:themeFillTint="66"/>
            <w:tcMar>
              <w:top w:w="0" w:type="dxa"/>
              <w:left w:w="108" w:type="dxa"/>
              <w:bottom w:w="0" w:type="dxa"/>
              <w:right w:w="108" w:type="dxa"/>
            </w:tcMar>
          </w:tcPr>
          <w:p w14:paraId="51301AEB" w14:textId="77777777" w:rsidR="00284822" w:rsidRDefault="00F77BF8">
            <w:pPr>
              <w:spacing w:before="120" w:after="120"/>
              <w:jc w:val="center"/>
              <w:rPr>
                <w:rFonts w:ascii="Rockwell" w:hAnsi="Rockwell"/>
                <w:szCs w:val="26"/>
              </w:rPr>
            </w:pPr>
            <w:r>
              <w:rPr>
                <w:rFonts w:ascii="Rockwell" w:hAnsi="Rockwell"/>
                <w:szCs w:val="26"/>
              </w:rPr>
              <w:t>Montant</w:t>
            </w:r>
          </w:p>
        </w:tc>
      </w:tr>
      <w:tr w:rsidR="00284822" w14:paraId="2004449E" w14:textId="77777777">
        <w:trPr>
          <w:trHeight w:val="921"/>
          <w:jc w:val="center"/>
        </w:trPr>
        <w:tc>
          <w:tcPr>
            <w:tcW w:w="6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C262A" w14:textId="77777777" w:rsidR="00284822" w:rsidRDefault="00F77BF8">
            <w:pPr>
              <w:spacing w:before="120" w:after="120"/>
              <w:rPr>
                <w:rFonts w:ascii="Rockwell" w:hAnsi="Rockwell"/>
                <w:szCs w:val="26"/>
              </w:rPr>
            </w:pPr>
            <w:r>
              <w:rPr>
                <w:rFonts w:ascii="Rockwell" w:hAnsi="Rockwell"/>
                <w:szCs w:val="26"/>
              </w:rPr>
              <w:t>Dépenses de personnel </w:t>
            </w:r>
          </w:p>
        </w:tc>
        <w:tc>
          <w:tcPr>
            <w:tcW w:w="4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0FE30" w14:textId="77777777" w:rsidR="00284822" w:rsidRDefault="00F77BF8">
            <w:pPr>
              <w:spacing w:before="120" w:after="120"/>
              <w:jc w:val="center"/>
              <w:rPr>
                <w:rFonts w:ascii="Rockwell" w:hAnsi="Rockwell"/>
                <w:szCs w:val="26"/>
              </w:rPr>
            </w:pPr>
            <w:r>
              <w:rPr>
                <w:rFonts w:ascii="Rockwell" w:hAnsi="Rockwell"/>
                <w:szCs w:val="26"/>
              </w:rPr>
              <w:t>418 893 000</w:t>
            </w:r>
          </w:p>
        </w:tc>
      </w:tr>
      <w:tr w:rsidR="00284822" w14:paraId="79E657B7" w14:textId="77777777">
        <w:trPr>
          <w:trHeight w:val="905"/>
          <w:jc w:val="center"/>
        </w:trPr>
        <w:tc>
          <w:tcPr>
            <w:tcW w:w="6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91852" w14:textId="77777777" w:rsidR="00284822" w:rsidRDefault="00F77BF8">
            <w:pPr>
              <w:spacing w:before="120" w:after="120"/>
              <w:rPr>
                <w:rFonts w:ascii="Rockwell" w:hAnsi="Rockwell"/>
                <w:szCs w:val="26"/>
              </w:rPr>
            </w:pPr>
            <w:r>
              <w:rPr>
                <w:rFonts w:ascii="Rockwell" w:hAnsi="Rockwell"/>
                <w:szCs w:val="26"/>
              </w:rPr>
              <w:t>Dépenses d’acquisition de biens et services</w:t>
            </w:r>
          </w:p>
        </w:tc>
        <w:tc>
          <w:tcPr>
            <w:tcW w:w="4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6E119" w14:textId="77777777" w:rsidR="00284822" w:rsidRDefault="00F77BF8">
            <w:pPr>
              <w:spacing w:before="120" w:after="120"/>
              <w:jc w:val="center"/>
              <w:rPr>
                <w:rFonts w:ascii="Rockwell" w:hAnsi="Rockwell"/>
                <w:szCs w:val="26"/>
              </w:rPr>
            </w:pPr>
            <w:r>
              <w:rPr>
                <w:rFonts w:ascii="Rockwell" w:hAnsi="Rockwell"/>
                <w:szCs w:val="26"/>
              </w:rPr>
              <w:t>591 140 027</w:t>
            </w:r>
          </w:p>
        </w:tc>
      </w:tr>
      <w:tr w:rsidR="00284822" w14:paraId="5B7E8DD1" w14:textId="77777777">
        <w:trPr>
          <w:trHeight w:val="921"/>
          <w:jc w:val="center"/>
        </w:trPr>
        <w:tc>
          <w:tcPr>
            <w:tcW w:w="6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00D4E" w14:textId="77777777" w:rsidR="00284822" w:rsidRDefault="00F77BF8">
            <w:pPr>
              <w:spacing w:before="120" w:after="120"/>
              <w:rPr>
                <w:rFonts w:ascii="Rockwell" w:hAnsi="Rockwell"/>
                <w:szCs w:val="26"/>
              </w:rPr>
            </w:pPr>
            <w:r>
              <w:rPr>
                <w:rFonts w:ascii="Rockwell" w:hAnsi="Rockwell"/>
                <w:szCs w:val="26"/>
              </w:rPr>
              <w:t>Transferts courants</w:t>
            </w:r>
          </w:p>
        </w:tc>
        <w:tc>
          <w:tcPr>
            <w:tcW w:w="4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B2CB3" w14:textId="77777777" w:rsidR="00284822" w:rsidRDefault="00F77BF8">
            <w:pPr>
              <w:spacing w:before="120" w:after="120"/>
              <w:jc w:val="center"/>
              <w:rPr>
                <w:rFonts w:ascii="Rockwell" w:hAnsi="Rockwell"/>
                <w:szCs w:val="26"/>
              </w:rPr>
            </w:pPr>
            <w:r>
              <w:rPr>
                <w:rFonts w:ascii="Rockwell" w:hAnsi="Rockwell"/>
                <w:szCs w:val="26"/>
              </w:rPr>
              <w:t>114 673 000</w:t>
            </w:r>
          </w:p>
        </w:tc>
      </w:tr>
      <w:tr w:rsidR="00284822" w14:paraId="03F0DEBE" w14:textId="77777777">
        <w:trPr>
          <w:trHeight w:val="513"/>
          <w:jc w:val="center"/>
        </w:trPr>
        <w:tc>
          <w:tcPr>
            <w:tcW w:w="6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36D02" w14:textId="77777777" w:rsidR="00284822" w:rsidRDefault="00F77BF8">
            <w:pPr>
              <w:spacing w:before="120" w:after="120"/>
              <w:rPr>
                <w:rFonts w:ascii="Rockwell" w:hAnsi="Rockwell"/>
                <w:b/>
                <w:szCs w:val="26"/>
              </w:rPr>
            </w:pPr>
            <w:r>
              <w:rPr>
                <w:rFonts w:ascii="Rockwell" w:hAnsi="Rockwell"/>
                <w:b/>
                <w:szCs w:val="26"/>
              </w:rPr>
              <w:t>TOTAL</w:t>
            </w:r>
          </w:p>
        </w:tc>
        <w:tc>
          <w:tcPr>
            <w:tcW w:w="4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9B6A7" w14:textId="77777777" w:rsidR="00284822" w:rsidRDefault="00F77BF8">
            <w:pPr>
              <w:spacing w:before="120" w:after="120"/>
              <w:jc w:val="center"/>
              <w:rPr>
                <w:rFonts w:ascii="Rockwell" w:hAnsi="Rockwell"/>
                <w:b/>
                <w:szCs w:val="26"/>
              </w:rPr>
            </w:pPr>
            <w:r>
              <w:rPr>
                <w:rFonts w:ascii="Rockwell" w:hAnsi="Rockwell"/>
                <w:b/>
                <w:szCs w:val="26"/>
              </w:rPr>
              <w:t>1 124 706 027</w:t>
            </w:r>
          </w:p>
        </w:tc>
      </w:tr>
    </w:tbl>
    <w:p w14:paraId="4A9DC9BC" w14:textId="77777777" w:rsidR="00284822" w:rsidRDefault="00F77BF8">
      <w:pPr>
        <w:spacing w:before="120" w:after="120"/>
        <w:ind w:left="-567" w:hanging="142"/>
        <w:rPr>
          <w:rFonts w:ascii="Rockwell" w:hAnsi="Rockwell"/>
          <w:i/>
          <w:sz w:val="20"/>
          <w:szCs w:val="20"/>
        </w:rPr>
      </w:pPr>
      <w:r>
        <w:rPr>
          <w:rFonts w:ascii="Rockwell" w:hAnsi="Rockwell"/>
          <w:i/>
          <w:sz w:val="20"/>
          <w:szCs w:val="20"/>
          <w:u w:val="single"/>
        </w:rPr>
        <w:t>Source :</w:t>
      </w:r>
      <w:r>
        <w:rPr>
          <w:rFonts w:ascii="Rockwell" w:hAnsi="Rockwell"/>
          <w:i/>
          <w:sz w:val="20"/>
          <w:szCs w:val="20"/>
        </w:rPr>
        <w:t xml:space="preserve">  DPBEP 2021-2023</w:t>
      </w:r>
    </w:p>
    <w:p w14:paraId="4BECBB73" w14:textId="77777777" w:rsidR="00284822" w:rsidRDefault="00284822">
      <w:pPr>
        <w:spacing w:before="120" w:after="120"/>
        <w:ind w:left="-567" w:hanging="142"/>
        <w:rPr>
          <w:rFonts w:ascii="Rockwell" w:hAnsi="Rockwell"/>
          <w:i/>
          <w:sz w:val="20"/>
          <w:szCs w:val="20"/>
        </w:rPr>
        <w:sectPr w:rsidR="00284822">
          <w:pgSz w:w="11906" w:h="16838"/>
          <w:pgMar w:top="1418" w:right="1418" w:bottom="1418" w:left="1418" w:header="720" w:footer="720" w:gutter="0"/>
          <w:cols w:space="720"/>
        </w:sectPr>
      </w:pPr>
    </w:p>
    <w:p w14:paraId="1931FC59" w14:textId="77777777" w:rsidR="00284822" w:rsidRDefault="00F77BF8">
      <w:pPr>
        <w:spacing w:before="120" w:after="120"/>
        <w:jc w:val="center"/>
        <w:rPr>
          <w:rFonts w:ascii="Rockwell" w:hAnsi="Rockwell"/>
          <w:bCs/>
          <w:i/>
          <w:sz w:val="20"/>
          <w:szCs w:val="20"/>
        </w:rPr>
      </w:pPr>
      <w:r>
        <w:rPr>
          <w:rFonts w:ascii="Rockwell" w:hAnsi="Rockwell"/>
          <w:b/>
          <w:bCs/>
          <w:i/>
          <w:sz w:val="20"/>
          <w:szCs w:val="20"/>
          <w:u w:val="single"/>
        </w:rPr>
        <w:lastRenderedPageBreak/>
        <w:t>Tableau 30</w:t>
      </w:r>
      <w:r>
        <w:rPr>
          <w:rFonts w:ascii="Rockwell" w:hAnsi="Rockwell"/>
          <w:bCs/>
          <w:i/>
          <w:sz w:val="20"/>
          <w:szCs w:val="20"/>
        </w:rPr>
        <w:t xml:space="preserve"> : Etat d’exécution du programme « Régulation du secteur de la communication »</w:t>
      </w:r>
    </w:p>
    <w:tbl>
      <w:tblPr>
        <w:tblStyle w:val="Grilledutableau5"/>
        <w:tblW w:w="9652" w:type="dxa"/>
        <w:jc w:val="center"/>
        <w:tblLook w:val="04A0" w:firstRow="1" w:lastRow="0" w:firstColumn="1" w:lastColumn="0" w:noHBand="0" w:noVBand="1"/>
      </w:tblPr>
      <w:tblGrid>
        <w:gridCol w:w="3403"/>
        <w:gridCol w:w="2268"/>
        <w:gridCol w:w="1985"/>
        <w:gridCol w:w="1996"/>
      </w:tblGrid>
      <w:tr w:rsidR="00284822" w14:paraId="5325C1EF" w14:textId="77777777">
        <w:trPr>
          <w:trHeight w:val="579"/>
          <w:jc w:val="center"/>
        </w:trPr>
        <w:tc>
          <w:tcPr>
            <w:tcW w:w="3403" w:type="dxa"/>
            <w:vMerge w:val="restart"/>
            <w:shd w:val="clear" w:color="auto" w:fill="BDD6EE" w:themeFill="accent1" w:themeFillTint="66"/>
            <w:vAlign w:val="center"/>
          </w:tcPr>
          <w:p w14:paraId="07DF8E3B" w14:textId="77777777" w:rsidR="00284822" w:rsidRDefault="00F77BF8">
            <w:pPr>
              <w:autoSpaceDN/>
              <w:spacing w:before="120" w:after="120"/>
              <w:jc w:val="center"/>
              <w:textAlignment w:val="auto"/>
              <w:rPr>
                <w:rFonts w:ascii="Rockwell" w:hAnsi="Rockwell"/>
                <w:szCs w:val="26"/>
              </w:rPr>
            </w:pPr>
            <w:r>
              <w:rPr>
                <w:rFonts w:ascii="Rockwell" w:hAnsi="Rockwell"/>
                <w:szCs w:val="26"/>
              </w:rPr>
              <w:t>Programme 115</w:t>
            </w:r>
          </w:p>
        </w:tc>
        <w:tc>
          <w:tcPr>
            <w:tcW w:w="6249" w:type="dxa"/>
            <w:gridSpan w:val="3"/>
            <w:shd w:val="clear" w:color="auto" w:fill="BDD6EE" w:themeFill="accent1" w:themeFillTint="66"/>
            <w:vAlign w:val="center"/>
          </w:tcPr>
          <w:p w14:paraId="26603032" w14:textId="77777777" w:rsidR="00284822" w:rsidRDefault="00F77BF8">
            <w:pPr>
              <w:autoSpaceDN/>
              <w:spacing w:before="120" w:after="120"/>
              <w:jc w:val="center"/>
              <w:textAlignment w:val="auto"/>
              <w:rPr>
                <w:rFonts w:ascii="Rockwell" w:hAnsi="Rockwell"/>
                <w:szCs w:val="26"/>
              </w:rPr>
            </w:pPr>
            <w:r>
              <w:rPr>
                <w:rFonts w:ascii="Rockwell" w:hAnsi="Rockwell"/>
                <w:szCs w:val="26"/>
              </w:rPr>
              <w:t>Exercice 2022</w:t>
            </w:r>
          </w:p>
        </w:tc>
      </w:tr>
      <w:tr w:rsidR="00284822" w14:paraId="5F89AE82" w14:textId="77777777">
        <w:trPr>
          <w:trHeight w:val="438"/>
          <w:jc w:val="center"/>
        </w:trPr>
        <w:tc>
          <w:tcPr>
            <w:tcW w:w="3403" w:type="dxa"/>
            <w:vMerge/>
            <w:shd w:val="clear" w:color="auto" w:fill="BDD6EE" w:themeFill="accent1" w:themeFillTint="66"/>
            <w:vAlign w:val="center"/>
          </w:tcPr>
          <w:p w14:paraId="6A8DCA82" w14:textId="77777777" w:rsidR="00284822" w:rsidRDefault="00284822">
            <w:pPr>
              <w:autoSpaceDN/>
              <w:spacing w:before="120" w:after="120"/>
              <w:textAlignment w:val="auto"/>
              <w:rPr>
                <w:rFonts w:ascii="Rockwell" w:hAnsi="Rockwell"/>
                <w:szCs w:val="26"/>
              </w:rPr>
            </w:pPr>
          </w:p>
        </w:tc>
        <w:tc>
          <w:tcPr>
            <w:tcW w:w="2268" w:type="dxa"/>
            <w:shd w:val="clear" w:color="auto" w:fill="BDD6EE" w:themeFill="accent1" w:themeFillTint="66"/>
            <w:vAlign w:val="center"/>
          </w:tcPr>
          <w:p w14:paraId="5C9ED184" w14:textId="77777777" w:rsidR="00284822" w:rsidRDefault="00F77BF8">
            <w:pPr>
              <w:autoSpaceDN/>
              <w:spacing w:before="120" w:after="120"/>
              <w:jc w:val="center"/>
              <w:textAlignment w:val="auto"/>
              <w:rPr>
                <w:rFonts w:ascii="Rockwell" w:hAnsi="Rockwell"/>
                <w:szCs w:val="26"/>
              </w:rPr>
            </w:pPr>
            <w:r>
              <w:rPr>
                <w:rFonts w:ascii="Rockwell" w:hAnsi="Rockwell"/>
                <w:szCs w:val="26"/>
              </w:rPr>
              <w:t>Prévision</w:t>
            </w:r>
          </w:p>
        </w:tc>
        <w:tc>
          <w:tcPr>
            <w:tcW w:w="1985" w:type="dxa"/>
            <w:shd w:val="clear" w:color="auto" w:fill="BDD6EE" w:themeFill="accent1" w:themeFillTint="66"/>
            <w:vAlign w:val="center"/>
          </w:tcPr>
          <w:p w14:paraId="53D88B32" w14:textId="77777777" w:rsidR="00284822" w:rsidRDefault="00F77BF8">
            <w:pPr>
              <w:autoSpaceDN/>
              <w:spacing w:before="120" w:after="120"/>
              <w:jc w:val="center"/>
              <w:textAlignment w:val="auto"/>
              <w:rPr>
                <w:rFonts w:ascii="Rockwell" w:hAnsi="Rockwell"/>
                <w:szCs w:val="26"/>
              </w:rPr>
            </w:pPr>
            <w:r>
              <w:rPr>
                <w:rFonts w:ascii="Rockwell" w:hAnsi="Rockwell"/>
                <w:szCs w:val="26"/>
              </w:rPr>
              <w:t>Exécution</w:t>
            </w:r>
          </w:p>
        </w:tc>
        <w:tc>
          <w:tcPr>
            <w:tcW w:w="1996" w:type="dxa"/>
            <w:shd w:val="clear" w:color="auto" w:fill="BDD6EE" w:themeFill="accent1" w:themeFillTint="66"/>
            <w:vAlign w:val="center"/>
          </w:tcPr>
          <w:p w14:paraId="3560D9A0" w14:textId="77777777" w:rsidR="00284822" w:rsidRDefault="00F77BF8">
            <w:pPr>
              <w:autoSpaceDN/>
              <w:spacing w:before="120" w:after="120"/>
              <w:jc w:val="center"/>
              <w:textAlignment w:val="auto"/>
              <w:rPr>
                <w:rFonts w:ascii="Rockwell" w:hAnsi="Rockwell"/>
                <w:szCs w:val="26"/>
              </w:rPr>
            </w:pPr>
            <w:r>
              <w:rPr>
                <w:rFonts w:ascii="Rockwell" w:hAnsi="Rockwell"/>
                <w:szCs w:val="26"/>
              </w:rPr>
              <w:t xml:space="preserve">Taux </w:t>
            </w:r>
          </w:p>
        </w:tc>
      </w:tr>
      <w:tr w:rsidR="00284822" w14:paraId="64541CBF" w14:textId="77777777">
        <w:trPr>
          <w:trHeight w:val="812"/>
          <w:jc w:val="center"/>
        </w:trPr>
        <w:tc>
          <w:tcPr>
            <w:tcW w:w="3403" w:type="dxa"/>
            <w:vAlign w:val="center"/>
          </w:tcPr>
          <w:p w14:paraId="3FF893D5" w14:textId="77777777" w:rsidR="00284822" w:rsidRDefault="00F77BF8">
            <w:pPr>
              <w:autoSpaceDN/>
              <w:spacing w:before="120" w:after="120"/>
              <w:textAlignment w:val="auto"/>
              <w:rPr>
                <w:rFonts w:ascii="Rockwell" w:hAnsi="Rockwell"/>
                <w:szCs w:val="26"/>
              </w:rPr>
            </w:pPr>
            <w:r>
              <w:rPr>
                <w:rFonts w:ascii="Rockwell" w:hAnsi="Rockwell"/>
                <w:szCs w:val="26"/>
              </w:rPr>
              <w:t>Régulation du secteur de la communication</w:t>
            </w:r>
          </w:p>
        </w:tc>
        <w:tc>
          <w:tcPr>
            <w:tcW w:w="2268" w:type="dxa"/>
            <w:vAlign w:val="center"/>
          </w:tcPr>
          <w:p w14:paraId="3E4C2DB8" w14:textId="77777777" w:rsidR="00284822" w:rsidRDefault="00F77BF8">
            <w:pPr>
              <w:autoSpaceDN/>
              <w:spacing w:before="120" w:after="120"/>
              <w:textAlignment w:val="auto"/>
              <w:rPr>
                <w:rFonts w:ascii="Rockwell" w:hAnsi="Rockwell"/>
              </w:rPr>
            </w:pPr>
            <w:r>
              <w:rPr>
                <w:rFonts w:ascii="Rockwell" w:hAnsi="Rockwell"/>
                <w:szCs w:val="26"/>
              </w:rPr>
              <w:t>1 124 706 027</w:t>
            </w:r>
          </w:p>
        </w:tc>
        <w:tc>
          <w:tcPr>
            <w:tcW w:w="1985" w:type="dxa"/>
            <w:vAlign w:val="center"/>
          </w:tcPr>
          <w:p w14:paraId="0B82AF6F" w14:textId="77777777" w:rsidR="00284822" w:rsidRDefault="00F77BF8">
            <w:pPr>
              <w:autoSpaceDN/>
              <w:spacing w:before="120" w:after="120"/>
              <w:jc w:val="center"/>
              <w:textAlignment w:val="auto"/>
              <w:rPr>
                <w:rFonts w:ascii="Rockwell" w:hAnsi="Rockwell"/>
                <w:szCs w:val="26"/>
              </w:rPr>
            </w:pPr>
            <w:r>
              <w:rPr>
                <w:rFonts w:ascii="Rockwell" w:hAnsi="Rockwell"/>
                <w:szCs w:val="26"/>
              </w:rPr>
              <w:t>1 110 774 027</w:t>
            </w:r>
          </w:p>
        </w:tc>
        <w:tc>
          <w:tcPr>
            <w:tcW w:w="1996" w:type="dxa"/>
            <w:vAlign w:val="center"/>
          </w:tcPr>
          <w:p w14:paraId="2F90E2A8" w14:textId="77777777" w:rsidR="00284822" w:rsidRDefault="00F77BF8">
            <w:pPr>
              <w:autoSpaceDN/>
              <w:spacing w:before="120" w:after="120"/>
              <w:jc w:val="center"/>
              <w:textAlignment w:val="auto"/>
              <w:rPr>
                <w:rFonts w:ascii="Rockwell" w:hAnsi="Rockwell"/>
                <w:szCs w:val="26"/>
              </w:rPr>
            </w:pPr>
            <w:r>
              <w:rPr>
                <w:rFonts w:ascii="Rockwell" w:hAnsi="Rockwell"/>
                <w:szCs w:val="26"/>
              </w:rPr>
              <w:t>98,76%</w:t>
            </w:r>
          </w:p>
        </w:tc>
      </w:tr>
      <w:tr w:rsidR="00284822" w14:paraId="6FFBC799" w14:textId="77777777">
        <w:trPr>
          <w:trHeight w:val="606"/>
          <w:jc w:val="center"/>
        </w:trPr>
        <w:tc>
          <w:tcPr>
            <w:tcW w:w="3403" w:type="dxa"/>
            <w:vAlign w:val="center"/>
          </w:tcPr>
          <w:p w14:paraId="09DFC3CD" w14:textId="77777777" w:rsidR="00284822" w:rsidRDefault="00F77BF8">
            <w:pPr>
              <w:autoSpaceDN/>
              <w:spacing w:before="120" w:after="120"/>
              <w:textAlignment w:val="auto"/>
              <w:rPr>
                <w:rFonts w:ascii="Rockwell" w:hAnsi="Rockwell"/>
                <w:b/>
                <w:szCs w:val="26"/>
              </w:rPr>
            </w:pPr>
            <w:r>
              <w:rPr>
                <w:rFonts w:ascii="Rockwell" w:hAnsi="Rockwell"/>
                <w:b/>
                <w:szCs w:val="26"/>
              </w:rPr>
              <w:t xml:space="preserve">Total </w:t>
            </w:r>
          </w:p>
        </w:tc>
        <w:tc>
          <w:tcPr>
            <w:tcW w:w="2268" w:type="dxa"/>
            <w:vAlign w:val="center"/>
          </w:tcPr>
          <w:p w14:paraId="68673EFA" w14:textId="77777777" w:rsidR="00284822" w:rsidRDefault="00F77BF8">
            <w:pPr>
              <w:autoSpaceDN/>
              <w:spacing w:before="120" w:after="120"/>
              <w:textAlignment w:val="auto"/>
              <w:rPr>
                <w:rFonts w:ascii="Rockwell" w:hAnsi="Rockwell"/>
              </w:rPr>
            </w:pPr>
            <w:r>
              <w:rPr>
                <w:rFonts w:ascii="Rockwell" w:hAnsi="Rockwell"/>
                <w:b/>
                <w:szCs w:val="26"/>
              </w:rPr>
              <w:t>1 124 706 027</w:t>
            </w:r>
          </w:p>
        </w:tc>
        <w:tc>
          <w:tcPr>
            <w:tcW w:w="1985" w:type="dxa"/>
            <w:vAlign w:val="center"/>
          </w:tcPr>
          <w:p w14:paraId="5BE7DCCD" w14:textId="77777777" w:rsidR="00284822" w:rsidRDefault="00F77BF8">
            <w:pPr>
              <w:autoSpaceDN/>
              <w:spacing w:before="120" w:after="120"/>
              <w:jc w:val="center"/>
              <w:textAlignment w:val="auto"/>
              <w:rPr>
                <w:rFonts w:ascii="Rockwell" w:hAnsi="Rockwell"/>
                <w:b/>
                <w:szCs w:val="26"/>
              </w:rPr>
            </w:pPr>
            <w:r>
              <w:rPr>
                <w:rFonts w:ascii="Rockwell" w:hAnsi="Rockwell"/>
                <w:b/>
                <w:szCs w:val="26"/>
              </w:rPr>
              <w:t>1 110 774 027</w:t>
            </w:r>
          </w:p>
        </w:tc>
        <w:tc>
          <w:tcPr>
            <w:tcW w:w="1996" w:type="dxa"/>
            <w:vAlign w:val="center"/>
          </w:tcPr>
          <w:p w14:paraId="690E9876" w14:textId="77777777" w:rsidR="00284822" w:rsidRDefault="00F77BF8">
            <w:pPr>
              <w:autoSpaceDN/>
              <w:spacing w:before="120" w:after="120"/>
              <w:jc w:val="center"/>
              <w:textAlignment w:val="auto"/>
              <w:rPr>
                <w:rFonts w:ascii="Rockwell" w:hAnsi="Rockwell"/>
                <w:b/>
                <w:szCs w:val="26"/>
              </w:rPr>
            </w:pPr>
            <w:r>
              <w:rPr>
                <w:rFonts w:ascii="Rockwell" w:hAnsi="Rockwell"/>
                <w:b/>
                <w:szCs w:val="26"/>
              </w:rPr>
              <w:t>98,76%</w:t>
            </w:r>
          </w:p>
        </w:tc>
      </w:tr>
    </w:tbl>
    <w:p w14:paraId="29252588" w14:textId="77777777" w:rsidR="00284822" w:rsidRDefault="00F77BF8">
      <w:pPr>
        <w:spacing w:before="120" w:after="120"/>
        <w:ind w:hanging="284"/>
        <w:rPr>
          <w:rFonts w:ascii="Rockwell" w:hAnsi="Rockwell"/>
          <w:i/>
          <w:sz w:val="16"/>
          <w:szCs w:val="16"/>
        </w:rPr>
      </w:pPr>
      <w:r>
        <w:rPr>
          <w:rFonts w:ascii="Rockwell" w:hAnsi="Rockwell"/>
          <w:i/>
          <w:sz w:val="16"/>
          <w:szCs w:val="16"/>
          <w:u w:val="single"/>
        </w:rPr>
        <w:t>Source</w:t>
      </w:r>
      <w:r>
        <w:rPr>
          <w:rFonts w:ascii="Rockwell" w:hAnsi="Rockwell"/>
          <w:i/>
          <w:sz w:val="16"/>
          <w:szCs w:val="16"/>
        </w:rPr>
        <w:t> :SI NFOLO, SIGASPE &amp; Rapport annuel de performances 2022</w:t>
      </w:r>
    </w:p>
    <w:p w14:paraId="111D8A15" w14:textId="77777777" w:rsidR="00284822" w:rsidRDefault="00284822">
      <w:pPr>
        <w:spacing w:before="120" w:after="120"/>
        <w:ind w:hanging="284"/>
        <w:rPr>
          <w:rFonts w:ascii="Rockwell" w:hAnsi="Rockwell"/>
          <w:i/>
          <w:sz w:val="16"/>
          <w:szCs w:val="16"/>
        </w:rPr>
      </w:pPr>
    </w:p>
    <w:p w14:paraId="3546F988" w14:textId="77777777" w:rsidR="00284822" w:rsidRDefault="00F77BF8">
      <w:pPr>
        <w:spacing w:before="120" w:after="120"/>
        <w:jc w:val="center"/>
        <w:rPr>
          <w:rFonts w:ascii="Rockwell" w:hAnsi="Rockwell"/>
          <w:b/>
          <w:i/>
          <w:sz w:val="20"/>
          <w:szCs w:val="20"/>
          <w:u w:val="single"/>
        </w:rPr>
      </w:pPr>
      <w:r>
        <w:rPr>
          <w:rFonts w:ascii="Rockwell" w:hAnsi="Rockwell"/>
          <w:b/>
          <w:i/>
          <w:sz w:val="20"/>
          <w:szCs w:val="20"/>
          <w:u w:val="single"/>
        </w:rPr>
        <w:t>Tableau 31</w:t>
      </w:r>
      <w:r>
        <w:rPr>
          <w:rFonts w:ascii="Rockwell" w:hAnsi="Rockwell"/>
          <w:b/>
          <w:i/>
          <w:sz w:val="20"/>
          <w:szCs w:val="20"/>
        </w:rPr>
        <w:t xml:space="preserve"> : </w:t>
      </w:r>
      <w:r>
        <w:rPr>
          <w:rFonts w:ascii="Rockwell" w:hAnsi="Rockwell"/>
          <w:i/>
          <w:sz w:val="20"/>
          <w:szCs w:val="20"/>
        </w:rPr>
        <w:t>Situation d’exécution des déblocages par nature</w:t>
      </w:r>
    </w:p>
    <w:tbl>
      <w:tblPr>
        <w:tblStyle w:val="Grilledutableau6"/>
        <w:tblW w:w="9696" w:type="dxa"/>
        <w:jc w:val="center"/>
        <w:tblLook w:val="04A0" w:firstRow="1" w:lastRow="0" w:firstColumn="1" w:lastColumn="0" w:noHBand="0" w:noVBand="1"/>
      </w:tblPr>
      <w:tblGrid>
        <w:gridCol w:w="4254"/>
        <w:gridCol w:w="2126"/>
        <w:gridCol w:w="1872"/>
        <w:gridCol w:w="1444"/>
      </w:tblGrid>
      <w:tr w:rsidR="00284822" w14:paraId="4ABBA6DE" w14:textId="77777777">
        <w:trPr>
          <w:trHeight w:val="500"/>
          <w:jc w:val="center"/>
        </w:trPr>
        <w:tc>
          <w:tcPr>
            <w:tcW w:w="4254" w:type="dxa"/>
            <w:vMerge w:val="restart"/>
            <w:shd w:val="clear" w:color="auto" w:fill="BDD6EE" w:themeFill="accent1" w:themeFillTint="66"/>
            <w:vAlign w:val="center"/>
          </w:tcPr>
          <w:p w14:paraId="7EDFAF31" w14:textId="77777777" w:rsidR="00284822" w:rsidRDefault="00F77BF8">
            <w:pPr>
              <w:autoSpaceDN/>
              <w:spacing w:before="120" w:after="120"/>
              <w:jc w:val="center"/>
              <w:textAlignment w:val="auto"/>
              <w:rPr>
                <w:rFonts w:ascii="Rockwell" w:hAnsi="Rockwell"/>
                <w:szCs w:val="26"/>
              </w:rPr>
            </w:pPr>
            <w:r>
              <w:rPr>
                <w:rFonts w:ascii="Rockwell" w:hAnsi="Rockwell"/>
                <w:szCs w:val="26"/>
              </w:rPr>
              <w:t>Nature des dépenses</w:t>
            </w:r>
          </w:p>
        </w:tc>
        <w:tc>
          <w:tcPr>
            <w:tcW w:w="5442" w:type="dxa"/>
            <w:gridSpan w:val="3"/>
            <w:shd w:val="clear" w:color="auto" w:fill="BDD6EE" w:themeFill="accent1" w:themeFillTint="66"/>
            <w:vAlign w:val="center"/>
          </w:tcPr>
          <w:p w14:paraId="6650F45E" w14:textId="77777777" w:rsidR="00284822" w:rsidRDefault="00F77BF8">
            <w:pPr>
              <w:autoSpaceDN/>
              <w:spacing w:before="120" w:after="120"/>
              <w:jc w:val="center"/>
              <w:textAlignment w:val="auto"/>
              <w:rPr>
                <w:rFonts w:ascii="Rockwell" w:hAnsi="Rockwell"/>
                <w:szCs w:val="26"/>
              </w:rPr>
            </w:pPr>
            <w:r>
              <w:rPr>
                <w:rFonts w:ascii="Rockwell" w:hAnsi="Rockwell"/>
                <w:szCs w:val="26"/>
              </w:rPr>
              <w:t>Exercice 2022</w:t>
            </w:r>
          </w:p>
        </w:tc>
      </w:tr>
      <w:tr w:rsidR="00284822" w14:paraId="65519EB9" w14:textId="77777777">
        <w:trPr>
          <w:trHeight w:val="70"/>
          <w:jc w:val="center"/>
        </w:trPr>
        <w:tc>
          <w:tcPr>
            <w:tcW w:w="4254" w:type="dxa"/>
            <w:vMerge/>
            <w:shd w:val="clear" w:color="auto" w:fill="BDD6EE" w:themeFill="accent1" w:themeFillTint="66"/>
            <w:vAlign w:val="center"/>
          </w:tcPr>
          <w:p w14:paraId="1BFD81FF" w14:textId="77777777" w:rsidR="00284822" w:rsidRDefault="00284822">
            <w:pPr>
              <w:autoSpaceDN/>
              <w:spacing w:before="120" w:after="120"/>
              <w:textAlignment w:val="auto"/>
              <w:rPr>
                <w:rFonts w:ascii="Rockwell" w:hAnsi="Rockwell"/>
                <w:szCs w:val="26"/>
              </w:rPr>
            </w:pPr>
          </w:p>
        </w:tc>
        <w:tc>
          <w:tcPr>
            <w:tcW w:w="2126" w:type="dxa"/>
            <w:shd w:val="clear" w:color="auto" w:fill="BDD6EE" w:themeFill="accent1" w:themeFillTint="66"/>
            <w:vAlign w:val="center"/>
          </w:tcPr>
          <w:p w14:paraId="6770C3F7" w14:textId="77777777" w:rsidR="00284822" w:rsidRDefault="00F77BF8">
            <w:pPr>
              <w:autoSpaceDN/>
              <w:spacing w:before="120" w:after="120"/>
              <w:jc w:val="center"/>
              <w:textAlignment w:val="auto"/>
              <w:rPr>
                <w:rFonts w:ascii="Rockwell" w:hAnsi="Rockwell"/>
                <w:szCs w:val="26"/>
              </w:rPr>
            </w:pPr>
            <w:r>
              <w:rPr>
                <w:rFonts w:ascii="Rockwell" w:hAnsi="Rockwell"/>
                <w:szCs w:val="26"/>
              </w:rPr>
              <w:t>Prévision</w:t>
            </w:r>
          </w:p>
        </w:tc>
        <w:tc>
          <w:tcPr>
            <w:tcW w:w="1872" w:type="dxa"/>
            <w:shd w:val="clear" w:color="auto" w:fill="BDD6EE" w:themeFill="accent1" w:themeFillTint="66"/>
            <w:vAlign w:val="center"/>
          </w:tcPr>
          <w:p w14:paraId="6C1ABAA3" w14:textId="77777777" w:rsidR="00284822" w:rsidRDefault="00F77BF8">
            <w:pPr>
              <w:autoSpaceDN/>
              <w:spacing w:before="120" w:after="120"/>
              <w:jc w:val="center"/>
              <w:textAlignment w:val="auto"/>
              <w:rPr>
                <w:rFonts w:ascii="Rockwell" w:hAnsi="Rockwell"/>
                <w:szCs w:val="26"/>
              </w:rPr>
            </w:pPr>
            <w:r>
              <w:rPr>
                <w:rFonts w:ascii="Rockwell" w:hAnsi="Rockwell"/>
                <w:szCs w:val="26"/>
              </w:rPr>
              <w:t>Exécution</w:t>
            </w:r>
          </w:p>
        </w:tc>
        <w:tc>
          <w:tcPr>
            <w:tcW w:w="1444" w:type="dxa"/>
            <w:shd w:val="clear" w:color="auto" w:fill="BDD6EE" w:themeFill="accent1" w:themeFillTint="66"/>
            <w:vAlign w:val="center"/>
          </w:tcPr>
          <w:p w14:paraId="5876EC3C" w14:textId="77777777" w:rsidR="00284822" w:rsidRDefault="00F77BF8">
            <w:pPr>
              <w:autoSpaceDN/>
              <w:spacing w:before="120" w:after="120"/>
              <w:jc w:val="center"/>
              <w:textAlignment w:val="auto"/>
              <w:rPr>
                <w:rFonts w:ascii="Rockwell" w:hAnsi="Rockwell"/>
                <w:szCs w:val="26"/>
              </w:rPr>
            </w:pPr>
            <w:r>
              <w:rPr>
                <w:rFonts w:ascii="Rockwell" w:hAnsi="Rockwell"/>
                <w:szCs w:val="26"/>
              </w:rPr>
              <w:t xml:space="preserve">Taux </w:t>
            </w:r>
          </w:p>
        </w:tc>
      </w:tr>
      <w:tr w:rsidR="00284822" w14:paraId="29360510" w14:textId="77777777">
        <w:trPr>
          <w:trHeight w:val="513"/>
          <w:jc w:val="center"/>
        </w:trPr>
        <w:tc>
          <w:tcPr>
            <w:tcW w:w="4254" w:type="dxa"/>
            <w:vAlign w:val="center"/>
          </w:tcPr>
          <w:p w14:paraId="074312C0" w14:textId="77777777" w:rsidR="00284822" w:rsidRDefault="00F77BF8">
            <w:pPr>
              <w:autoSpaceDN/>
              <w:spacing w:before="120" w:after="120"/>
              <w:textAlignment w:val="auto"/>
              <w:rPr>
                <w:rFonts w:ascii="Rockwell" w:hAnsi="Rockwell"/>
                <w:b/>
                <w:szCs w:val="26"/>
              </w:rPr>
            </w:pPr>
            <w:r>
              <w:rPr>
                <w:rFonts w:ascii="Rockwell" w:hAnsi="Rockwell"/>
                <w:b/>
                <w:szCs w:val="26"/>
              </w:rPr>
              <w:t>DEPENSES COURANTES</w:t>
            </w:r>
          </w:p>
        </w:tc>
        <w:tc>
          <w:tcPr>
            <w:tcW w:w="2126" w:type="dxa"/>
          </w:tcPr>
          <w:p w14:paraId="333306AC" w14:textId="77777777" w:rsidR="00284822" w:rsidRDefault="00F77BF8">
            <w:pPr>
              <w:autoSpaceDN/>
              <w:spacing w:before="120" w:after="120"/>
              <w:jc w:val="center"/>
              <w:textAlignment w:val="auto"/>
              <w:rPr>
                <w:rFonts w:ascii="Rockwell" w:hAnsi="Rockwell"/>
                <w:szCs w:val="26"/>
              </w:rPr>
            </w:pPr>
            <w:r>
              <w:rPr>
                <w:rFonts w:ascii="Rockwell" w:hAnsi="Rockwell"/>
                <w:b/>
                <w:szCs w:val="26"/>
              </w:rPr>
              <w:t>1 124 706 027</w:t>
            </w:r>
          </w:p>
        </w:tc>
        <w:tc>
          <w:tcPr>
            <w:tcW w:w="1872" w:type="dxa"/>
          </w:tcPr>
          <w:p w14:paraId="4793D3CB" w14:textId="77777777" w:rsidR="00284822" w:rsidRDefault="00F77BF8">
            <w:pPr>
              <w:autoSpaceDN/>
              <w:spacing w:before="120" w:after="120"/>
              <w:jc w:val="center"/>
              <w:textAlignment w:val="auto"/>
              <w:rPr>
                <w:rFonts w:ascii="Rockwell" w:hAnsi="Rockwell"/>
                <w:b/>
                <w:szCs w:val="26"/>
              </w:rPr>
            </w:pPr>
            <w:r>
              <w:rPr>
                <w:rFonts w:ascii="Rockwell" w:hAnsi="Rockwell"/>
                <w:b/>
                <w:szCs w:val="26"/>
              </w:rPr>
              <w:t>1 110 774 027</w:t>
            </w:r>
          </w:p>
        </w:tc>
        <w:tc>
          <w:tcPr>
            <w:tcW w:w="1444" w:type="dxa"/>
          </w:tcPr>
          <w:p w14:paraId="0D30EE63" w14:textId="77777777" w:rsidR="00284822" w:rsidRDefault="00F77BF8">
            <w:pPr>
              <w:autoSpaceDN/>
              <w:spacing w:before="120" w:after="120"/>
              <w:jc w:val="center"/>
              <w:textAlignment w:val="auto"/>
              <w:rPr>
                <w:rFonts w:ascii="Rockwell" w:hAnsi="Rockwell"/>
                <w:b/>
                <w:szCs w:val="26"/>
              </w:rPr>
            </w:pPr>
            <w:r>
              <w:rPr>
                <w:rFonts w:ascii="Rockwell" w:hAnsi="Rockwell"/>
                <w:b/>
                <w:szCs w:val="26"/>
              </w:rPr>
              <w:t>98,76%</w:t>
            </w:r>
          </w:p>
        </w:tc>
      </w:tr>
      <w:tr w:rsidR="00284822" w14:paraId="31B4069A" w14:textId="77777777">
        <w:trPr>
          <w:trHeight w:val="548"/>
          <w:jc w:val="center"/>
        </w:trPr>
        <w:tc>
          <w:tcPr>
            <w:tcW w:w="4254" w:type="dxa"/>
            <w:vAlign w:val="center"/>
          </w:tcPr>
          <w:p w14:paraId="186CFA07" w14:textId="77777777" w:rsidR="00284822" w:rsidRDefault="00F77BF8">
            <w:pPr>
              <w:suppressAutoHyphens w:val="0"/>
              <w:autoSpaceDN/>
              <w:spacing w:before="120" w:after="120"/>
              <w:contextualSpacing/>
              <w:textAlignment w:val="auto"/>
              <w:rPr>
                <w:rFonts w:ascii="Rockwell" w:hAnsi="Rockwell"/>
              </w:rPr>
            </w:pPr>
            <w:r>
              <w:rPr>
                <w:rFonts w:ascii="Rockwell" w:hAnsi="Rockwell"/>
              </w:rPr>
              <w:t>Dépenses de personnel</w:t>
            </w:r>
          </w:p>
        </w:tc>
        <w:tc>
          <w:tcPr>
            <w:tcW w:w="2126" w:type="dxa"/>
          </w:tcPr>
          <w:p w14:paraId="27C08F66" w14:textId="77777777" w:rsidR="00284822" w:rsidRDefault="00F77BF8">
            <w:pPr>
              <w:autoSpaceDN/>
              <w:spacing w:before="120" w:after="120"/>
              <w:jc w:val="center"/>
              <w:textAlignment w:val="auto"/>
              <w:rPr>
                <w:rFonts w:ascii="Rockwell" w:hAnsi="Rockwell"/>
                <w:szCs w:val="26"/>
              </w:rPr>
            </w:pPr>
            <w:r>
              <w:rPr>
                <w:rFonts w:ascii="Rockwell" w:hAnsi="Rockwell"/>
                <w:szCs w:val="26"/>
              </w:rPr>
              <w:t>418 893 000</w:t>
            </w:r>
          </w:p>
        </w:tc>
        <w:tc>
          <w:tcPr>
            <w:tcW w:w="1872" w:type="dxa"/>
          </w:tcPr>
          <w:p w14:paraId="214A0004" w14:textId="77777777" w:rsidR="00284822" w:rsidRDefault="00F77BF8">
            <w:pPr>
              <w:autoSpaceDN/>
              <w:spacing w:before="120" w:after="120"/>
              <w:jc w:val="center"/>
              <w:textAlignment w:val="auto"/>
              <w:rPr>
                <w:rFonts w:ascii="Rockwell" w:hAnsi="Rockwell"/>
                <w:szCs w:val="26"/>
              </w:rPr>
            </w:pPr>
            <w:r>
              <w:rPr>
                <w:rFonts w:ascii="Rockwell" w:hAnsi="Rockwell"/>
                <w:szCs w:val="26"/>
              </w:rPr>
              <w:t>404 961 000</w:t>
            </w:r>
          </w:p>
        </w:tc>
        <w:tc>
          <w:tcPr>
            <w:tcW w:w="1444" w:type="dxa"/>
          </w:tcPr>
          <w:p w14:paraId="2EEF69A1" w14:textId="77777777" w:rsidR="00284822" w:rsidRDefault="00F77BF8">
            <w:pPr>
              <w:autoSpaceDN/>
              <w:spacing w:before="120" w:after="120"/>
              <w:jc w:val="center"/>
              <w:textAlignment w:val="auto"/>
              <w:rPr>
                <w:rFonts w:ascii="Rockwell" w:hAnsi="Rockwell"/>
                <w:szCs w:val="26"/>
              </w:rPr>
            </w:pPr>
            <w:r>
              <w:rPr>
                <w:rFonts w:ascii="Rockwell" w:hAnsi="Rockwell"/>
                <w:szCs w:val="26"/>
              </w:rPr>
              <w:t>96,67%</w:t>
            </w:r>
          </w:p>
        </w:tc>
      </w:tr>
      <w:tr w:rsidR="00284822" w14:paraId="736466A4" w14:textId="77777777">
        <w:trPr>
          <w:trHeight w:val="548"/>
          <w:jc w:val="center"/>
        </w:trPr>
        <w:tc>
          <w:tcPr>
            <w:tcW w:w="4254" w:type="dxa"/>
            <w:vAlign w:val="center"/>
          </w:tcPr>
          <w:p w14:paraId="626E15DD" w14:textId="77777777" w:rsidR="00284822" w:rsidRDefault="00F77BF8">
            <w:pPr>
              <w:suppressAutoHyphens w:val="0"/>
              <w:autoSpaceDN/>
              <w:spacing w:before="120" w:after="120"/>
              <w:contextualSpacing/>
              <w:textAlignment w:val="auto"/>
              <w:rPr>
                <w:rFonts w:ascii="Rockwell" w:hAnsi="Rockwell"/>
              </w:rPr>
            </w:pPr>
            <w:r>
              <w:rPr>
                <w:rFonts w:ascii="Rockwell" w:hAnsi="Rockwell"/>
              </w:rPr>
              <w:t>Acquisition de biens et services</w:t>
            </w:r>
          </w:p>
        </w:tc>
        <w:tc>
          <w:tcPr>
            <w:tcW w:w="2126" w:type="dxa"/>
          </w:tcPr>
          <w:p w14:paraId="3449A9E9" w14:textId="77777777" w:rsidR="00284822" w:rsidRDefault="00F77BF8">
            <w:pPr>
              <w:autoSpaceDN/>
              <w:spacing w:before="120" w:after="120"/>
              <w:jc w:val="center"/>
              <w:textAlignment w:val="auto"/>
              <w:rPr>
                <w:rFonts w:ascii="Rockwell" w:hAnsi="Rockwell"/>
                <w:szCs w:val="26"/>
              </w:rPr>
            </w:pPr>
            <w:r>
              <w:rPr>
                <w:rFonts w:ascii="Rockwell" w:hAnsi="Rockwell"/>
                <w:szCs w:val="26"/>
              </w:rPr>
              <w:t>593 140 027</w:t>
            </w:r>
          </w:p>
        </w:tc>
        <w:tc>
          <w:tcPr>
            <w:tcW w:w="1872" w:type="dxa"/>
          </w:tcPr>
          <w:p w14:paraId="09081555" w14:textId="77777777" w:rsidR="00284822" w:rsidRDefault="00F77BF8">
            <w:pPr>
              <w:autoSpaceDN/>
              <w:spacing w:before="120" w:after="120"/>
              <w:jc w:val="center"/>
              <w:textAlignment w:val="auto"/>
              <w:rPr>
                <w:rFonts w:ascii="Rockwell" w:hAnsi="Rockwell"/>
                <w:szCs w:val="26"/>
              </w:rPr>
            </w:pPr>
            <w:r>
              <w:rPr>
                <w:rFonts w:ascii="Rockwell" w:hAnsi="Rockwell"/>
                <w:szCs w:val="26"/>
              </w:rPr>
              <w:t>593 140 027</w:t>
            </w:r>
          </w:p>
        </w:tc>
        <w:tc>
          <w:tcPr>
            <w:tcW w:w="1444" w:type="dxa"/>
          </w:tcPr>
          <w:p w14:paraId="16270E83" w14:textId="77777777" w:rsidR="00284822" w:rsidRDefault="00F77BF8">
            <w:pPr>
              <w:autoSpaceDN/>
              <w:spacing w:before="120" w:after="120"/>
              <w:jc w:val="center"/>
              <w:textAlignment w:val="auto"/>
              <w:rPr>
                <w:rFonts w:ascii="Rockwell" w:hAnsi="Rockwell"/>
                <w:szCs w:val="26"/>
              </w:rPr>
            </w:pPr>
            <w:r>
              <w:rPr>
                <w:rFonts w:ascii="Rockwell" w:hAnsi="Rockwell"/>
                <w:szCs w:val="26"/>
              </w:rPr>
              <w:t>100%</w:t>
            </w:r>
          </w:p>
        </w:tc>
      </w:tr>
      <w:tr w:rsidR="00284822" w14:paraId="4882DE5B" w14:textId="77777777">
        <w:trPr>
          <w:trHeight w:val="556"/>
          <w:jc w:val="center"/>
        </w:trPr>
        <w:tc>
          <w:tcPr>
            <w:tcW w:w="4254" w:type="dxa"/>
            <w:vAlign w:val="center"/>
          </w:tcPr>
          <w:p w14:paraId="6DC2A47A" w14:textId="77777777" w:rsidR="00284822" w:rsidRDefault="00F77BF8">
            <w:pPr>
              <w:suppressAutoHyphens w:val="0"/>
              <w:autoSpaceDN/>
              <w:spacing w:before="120" w:after="120"/>
              <w:contextualSpacing/>
              <w:textAlignment w:val="auto"/>
              <w:rPr>
                <w:rFonts w:ascii="Rockwell" w:hAnsi="Rockwell"/>
              </w:rPr>
            </w:pPr>
            <w:r>
              <w:rPr>
                <w:rFonts w:ascii="Rockwell" w:hAnsi="Rockwell"/>
              </w:rPr>
              <w:t>Transferts courants</w:t>
            </w:r>
          </w:p>
        </w:tc>
        <w:tc>
          <w:tcPr>
            <w:tcW w:w="2126" w:type="dxa"/>
          </w:tcPr>
          <w:p w14:paraId="5F2CC2BF" w14:textId="77777777" w:rsidR="00284822" w:rsidRDefault="00F77BF8">
            <w:pPr>
              <w:autoSpaceDN/>
              <w:spacing w:before="120" w:after="120"/>
              <w:jc w:val="center"/>
              <w:textAlignment w:val="auto"/>
              <w:rPr>
                <w:rFonts w:ascii="Rockwell" w:hAnsi="Rockwell"/>
                <w:szCs w:val="26"/>
              </w:rPr>
            </w:pPr>
            <w:r>
              <w:rPr>
                <w:rFonts w:ascii="Rockwell" w:hAnsi="Rockwell"/>
                <w:szCs w:val="26"/>
              </w:rPr>
              <w:t>112 673 000</w:t>
            </w:r>
          </w:p>
        </w:tc>
        <w:tc>
          <w:tcPr>
            <w:tcW w:w="1872" w:type="dxa"/>
          </w:tcPr>
          <w:p w14:paraId="5337FEEA" w14:textId="77777777" w:rsidR="00284822" w:rsidRDefault="00F77BF8">
            <w:pPr>
              <w:autoSpaceDN/>
              <w:spacing w:before="120" w:after="120"/>
              <w:jc w:val="center"/>
              <w:textAlignment w:val="auto"/>
              <w:rPr>
                <w:rFonts w:ascii="Rockwell" w:hAnsi="Rockwell"/>
                <w:szCs w:val="26"/>
              </w:rPr>
            </w:pPr>
            <w:r>
              <w:rPr>
                <w:rFonts w:ascii="Rockwell" w:hAnsi="Rockwell"/>
                <w:szCs w:val="26"/>
              </w:rPr>
              <w:t>112 673 000</w:t>
            </w:r>
          </w:p>
        </w:tc>
        <w:tc>
          <w:tcPr>
            <w:tcW w:w="1444" w:type="dxa"/>
          </w:tcPr>
          <w:p w14:paraId="263B3592" w14:textId="77777777" w:rsidR="00284822" w:rsidRDefault="00F77BF8">
            <w:pPr>
              <w:autoSpaceDN/>
              <w:spacing w:before="120" w:after="120"/>
              <w:jc w:val="center"/>
              <w:textAlignment w:val="auto"/>
              <w:rPr>
                <w:rFonts w:ascii="Rockwell" w:hAnsi="Rockwell"/>
                <w:szCs w:val="26"/>
              </w:rPr>
            </w:pPr>
            <w:r>
              <w:rPr>
                <w:rFonts w:ascii="Rockwell" w:hAnsi="Rockwell"/>
                <w:szCs w:val="26"/>
              </w:rPr>
              <w:t>100%</w:t>
            </w:r>
          </w:p>
        </w:tc>
      </w:tr>
      <w:tr w:rsidR="00284822" w14:paraId="1623672C" w14:textId="77777777">
        <w:trPr>
          <w:trHeight w:val="565"/>
          <w:jc w:val="center"/>
        </w:trPr>
        <w:tc>
          <w:tcPr>
            <w:tcW w:w="4254" w:type="dxa"/>
            <w:vAlign w:val="center"/>
          </w:tcPr>
          <w:p w14:paraId="5F992B5D" w14:textId="77777777" w:rsidR="00284822" w:rsidRDefault="00F77BF8">
            <w:pPr>
              <w:autoSpaceDN/>
              <w:spacing w:before="120" w:after="120"/>
              <w:textAlignment w:val="auto"/>
              <w:rPr>
                <w:rFonts w:ascii="Rockwell" w:hAnsi="Rockwell"/>
                <w:szCs w:val="26"/>
              </w:rPr>
            </w:pPr>
            <w:r>
              <w:rPr>
                <w:rFonts w:ascii="Rockwell" w:hAnsi="Rockwell"/>
                <w:b/>
                <w:szCs w:val="26"/>
              </w:rPr>
              <w:t>DEPENSES EN CAPITAL</w:t>
            </w:r>
          </w:p>
        </w:tc>
        <w:tc>
          <w:tcPr>
            <w:tcW w:w="2126" w:type="dxa"/>
          </w:tcPr>
          <w:p w14:paraId="1221749E" w14:textId="77777777" w:rsidR="00284822" w:rsidRDefault="00F77BF8">
            <w:pPr>
              <w:autoSpaceDN/>
              <w:spacing w:before="120" w:after="120"/>
              <w:jc w:val="center"/>
              <w:textAlignment w:val="auto"/>
              <w:rPr>
                <w:rFonts w:ascii="Rockwell" w:hAnsi="Rockwell"/>
                <w:szCs w:val="26"/>
              </w:rPr>
            </w:pPr>
            <w:r>
              <w:rPr>
                <w:rFonts w:ascii="Rockwell" w:hAnsi="Rockwell"/>
                <w:szCs w:val="26"/>
              </w:rPr>
              <w:t>0</w:t>
            </w:r>
          </w:p>
        </w:tc>
        <w:tc>
          <w:tcPr>
            <w:tcW w:w="1872" w:type="dxa"/>
          </w:tcPr>
          <w:p w14:paraId="28837F1B" w14:textId="77777777" w:rsidR="00284822" w:rsidRDefault="00F77BF8">
            <w:pPr>
              <w:autoSpaceDN/>
              <w:spacing w:before="120" w:after="120"/>
              <w:jc w:val="center"/>
              <w:textAlignment w:val="auto"/>
              <w:rPr>
                <w:rFonts w:ascii="Rockwell" w:hAnsi="Rockwell"/>
                <w:szCs w:val="26"/>
              </w:rPr>
            </w:pPr>
            <w:r>
              <w:rPr>
                <w:rFonts w:ascii="Rockwell" w:hAnsi="Rockwell"/>
                <w:szCs w:val="26"/>
              </w:rPr>
              <w:t>0</w:t>
            </w:r>
          </w:p>
        </w:tc>
        <w:tc>
          <w:tcPr>
            <w:tcW w:w="1444" w:type="dxa"/>
          </w:tcPr>
          <w:p w14:paraId="57B00101" w14:textId="77777777" w:rsidR="00284822" w:rsidRDefault="00F77BF8">
            <w:pPr>
              <w:autoSpaceDN/>
              <w:spacing w:before="120" w:after="120"/>
              <w:jc w:val="center"/>
              <w:textAlignment w:val="auto"/>
              <w:rPr>
                <w:rFonts w:ascii="Rockwell" w:hAnsi="Rockwell"/>
                <w:szCs w:val="26"/>
              </w:rPr>
            </w:pPr>
            <w:r>
              <w:rPr>
                <w:rFonts w:ascii="Rockwell" w:hAnsi="Rockwell"/>
                <w:szCs w:val="26"/>
              </w:rPr>
              <w:t>0</w:t>
            </w:r>
          </w:p>
        </w:tc>
      </w:tr>
      <w:tr w:rsidR="00284822" w14:paraId="7F0430B3" w14:textId="77777777">
        <w:trPr>
          <w:trHeight w:val="566"/>
          <w:jc w:val="center"/>
        </w:trPr>
        <w:tc>
          <w:tcPr>
            <w:tcW w:w="4254" w:type="dxa"/>
            <w:vAlign w:val="center"/>
          </w:tcPr>
          <w:p w14:paraId="6739B45C" w14:textId="77777777" w:rsidR="00284822" w:rsidRDefault="00F77BF8">
            <w:pPr>
              <w:suppressAutoHyphens w:val="0"/>
              <w:autoSpaceDN/>
              <w:spacing w:before="120" w:after="120"/>
              <w:contextualSpacing/>
              <w:textAlignment w:val="auto"/>
              <w:rPr>
                <w:rFonts w:ascii="Rockwell" w:hAnsi="Rockwell"/>
              </w:rPr>
            </w:pPr>
            <w:r>
              <w:rPr>
                <w:rFonts w:ascii="Rockwell" w:hAnsi="Rockwell"/>
              </w:rPr>
              <w:t>Dépenses d’investissement</w:t>
            </w:r>
          </w:p>
        </w:tc>
        <w:tc>
          <w:tcPr>
            <w:tcW w:w="2126" w:type="dxa"/>
          </w:tcPr>
          <w:p w14:paraId="2BC92229" w14:textId="77777777" w:rsidR="00284822" w:rsidRDefault="00F77BF8">
            <w:pPr>
              <w:autoSpaceDN/>
              <w:spacing w:before="120" w:after="120"/>
              <w:jc w:val="center"/>
              <w:textAlignment w:val="auto"/>
              <w:rPr>
                <w:rFonts w:ascii="Rockwell" w:hAnsi="Rockwell"/>
                <w:szCs w:val="26"/>
              </w:rPr>
            </w:pPr>
            <w:r>
              <w:rPr>
                <w:rFonts w:ascii="Rockwell" w:hAnsi="Rockwell"/>
                <w:szCs w:val="26"/>
              </w:rPr>
              <w:t>0</w:t>
            </w:r>
          </w:p>
        </w:tc>
        <w:tc>
          <w:tcPr>
            <w:tcW w:w="1872" w:type="dxa"/>
          </w:tcPr>
          <w:p w14:paraId="5E305895" w14:textId="77777777" w:rsidR="00284822" w:rsidRDefault="00F77BF8">
            <w:pPr>
              <w:autoSpaceDN/>
              <w:spacing w:before="120" w:after="120"/>
              <w:jc w:val="center"/>
              <w:textAlignment w:val="auto"/>
              <w:rPr>
                <w:rFonts w:ascii="Rockwell" w:hAnsi="Rockwell"/>
                <w:szCs w:val="26"/>
              </w:rPr>
            </w:pPr>
            <w:r>
              <w:rPr>
                <w:rFonts w:ascii="Rockwell" w:hAnsi="Rockwell"/>
                <w:szCs w:val="26"/>
              </w:rPr>
              <w:t>0</w:t>
            </w:r>
          </w:p>
        </w:tc>
        <w:tc>
          <w:tcPr>
            <w:tcW w:w="1444" w:type="dxa"/>
          </w:tcPr>
          <w:p w14:paraId="7FC33639" w14:textId="77777777" w:rsidR="00284822" w:rsidRDefault="00F77BF8">
            <w:pPr>
              <w:autoSpaceDN/>
              <w:spacing w:before="120" w:after="120"/>
              <w:jc w:val="center"/>
              <w:textAlignment w:val="auto"/>
              <w:rPr>
                <w:rFonts w:ascii="Rockwell" w:hAnsi="Rockwell"/>
                <w:szCs w:val="26"/>
              </w:rPr>
            </w:pPr>
            <w:r>
              <w:rPr>
                <w:rFonts w:ascii="Rockwell" w:hAnsi="Rockwell"/>
                <w:szCs w:val="26"/>
              </w:rPr>
              <w:t>0</w:t>
            </w:r>
          </w:p>
        </w:tc>
      </w:tr>
      <w:tr w:rsidR="00284822" w14:paraId="6D175D8E" w14:textId="77777777">
        <w:trPr>
          <w:trHeight w:val="546"/>
          <w:jc w:val="center"/>
        </w:trPr>
        <w:tc>
          <w:tcPr>
            <w:tcW w:w="4254" w:type="dxa"/>
            <w:vAlign w:val="center"/>
          </w:tcPr>
          <w:p w14:paraId="5ECD36F1" w14:textId="77777777" w:rsidR="00284822" w:rsidRDefault="00F77BF8">
            <w:pPr>
              <w:autoSpaceDN/>
              <w:spacing w:before="120" w:after="120"/>
              <w:textAlignment w:val="auto"/>
              <w:rPr>
                <w:rFonts w:ascii="Rockwell" w:hAnsi="Rockwell"/>
                <w:b/>
                <w:szCs w:val="26"/>
              </w:rPr>
            </w:pPr>
            <w:r>
              <w:rPr>
                <w:rFonts w:ascii="Rockwell" w:hAnsi="Rockwell"/>
                <w:b/>
                <w:szCs w:val="26"/>
              </w:rPr>
              <w:t>Total Général</w:t>
            </w:r>
          </w:p>
        </w:tc>
        <w:tc>
          <w:tcPr>
            <w:tcW w:w="2126" w:type="dxa"/>
          </w:tcPr>
          <w:p w14:paraId="01C19565" w14:textId="77777777" w:rsidR="00284822" w:rsidRDefault="00F77BF8">
            <w:pPr>
              <w:autoSpaceDN/>
              <w:spacing w:before="120" w:after="120"/>
              <w:jc w:val="center"/>
              <w:textAlignment w:val="auto"/>
              <w:rPr>
                <w:rFonts w:ascii="Rockwell" w:hAnsi="Rockwell"/>
                <w:szCs w:val="26"/>
              </w:rPr>
            </w:pPr>
            <w:r>
              <w:rPr>
                <w:rFonts w:ascii="Rockwell" w:hAnsi="Rockwell"/>
                <w:b/>
                <w:szCs w:val="26"/>
              </w:rPr>
              <w:t>1 124 706 027</w:t>
            </w:r>
          </w:p>
        </w:tc>
        <w:tc>
          <w:tcPr>
            <w:tcW w:w="1872" w:type="dxa"/>
          </w:tcPr>
          <w:p w14:paraId="7A8CEEFF" w14:textId="77777777" w:rsidR="00284822" w:rsidRDefault="00F77BF8">
            <w:pPr>
              <w:autoSpaceDN/>
              <w:spacing w:before="120" w:after="120"/>
              <w:jc w:val="center"/>
              <w:textAlignment w:val="auto"/>
              <w:rPr>
                <w:rFonts w:ascii="Rockwell" w:hAnsi="Rockwell"/>
                <w:b/>
                <w:szCs w:val="26"/>
              </w:rPr>
            </w:pPr>
            <w:r>
              <w:rPr>
                <w:rFonts w:ascii="Rockwell" w:hAnsi="Rockwell"/>
                <w:b/>
                <w:szCs w:val="26"/>
              </w:rPr>
              <w:t>1 110 774 027</w:t>
            </w:r>
          </w:p>
        </w:tc>
        <w:tc>
          <w:tcPr>
            <w:tcW w:w="1444" w:type="dxa"/>
          </w:tcPr>
          <w:p w14:paraId="0BB9AC65" w14:textId="77777777" w:rsidR="00284822" w:rsidRDefault="00F77BF8">
            <w:pPr>
              <w:autoSpaceDN/>
              <w:spacing w:before="120" w:after="120"/>
              <w:jc w:val="center"/>
              <w:textAlignment w:val="auto"/>
              <w:rPr>
                <w:rFonts w:ascii="Rockwell" w:hAnsi="Rockwell"/>
                <w:b/>
                <w:szCs w:val="26"/>
              </w:rPr>
            </w:pPr>
            <w:r>
              <w:rPr>
                <w:rFonts w:ascii="Rockwell" w:hAnsi="Rockwell"/>
                <w:b/>
                <w:szCs w:val="26"/>
              </w:rPr>
              <w:t>98,76%</w:t>
            </w:r>
          </w:p>
        </w:tc>
      </w:tr>
    </w:tbl>
    <w:p w14:paraId="346CF9A3" w14:textId="77777777" w:rsidR="00284822" w:rsidRDefault="00F77BF8">
      <w:pPr>
        <w:spacing w:before="120" w:after="120"/>
        <w:rPr>
          <w:rFonts w:ascii="Rockwell" w:hAnsi="Rockwell"/>
          <w:i/>
          <w:sz w:val="16"/>
          <w:szCs w:val="16"/>
        </w:rPr>
      </w:pPr>
      <w:r>
        <w:rPr>
          <w:rFonts w:ascii="Rockwell" w:hAnsi="Rockwell"/>
          <w:b/>
          <w:i/>
          <w:sz w:val="16"/>
          <w:szCs w:val="16"/>
          <w:u w:val="single"/>
        </w:rPr>
        <w:t>Source</w:t>
      </w:r>
      <w:r>
        <w:rPr>
          <w:rFonts w:ascii="Rockwell" w:hAnsi="Rockwell"/>
          <w:b/>
          <w:i/>
          <w:sz w:val="16"/>
          <w:szCs w:val="16"/>
        </w:rPr>
        <w:t> </w:t>
      </w:r>
      <w:r>
        <w:rPr>
          <w:rFonts w:ascii="Rockwell" w:hAnsi="Rockwell"/>
          <w:i/>
          <w:sz w:val="16"/>
          <w:szCs w:val="16"/>
        </w:rPr>
        <w:t>: SI NAFOLO, SIGASPE &amp; Rapport annuel de performances 2022</w:t>
      </w:r>
    </w:p>
    <w:p w14:paraId="53B1AF2A" w14:textId="77777777" w:rsidR="00284822" w:rsidRDefault="00284822">
      <w:pPr>
        <w:spacing w:before="120" w:after="120"/>
        <w:rPr>
          <w:rFonts w:ascii="Rockwell" w:hAnsi="Rockwell"/>
          <w:sz w:val="10"/>
          <w:szCs w:val="10"/>
        </w:rPr>
      </w:pPr>
    </w:p>
    <w:p w14:paraId="6299CD00" w14:textId="77777777" w:rsidR="00284822" w:rsidRDefault="00284822">
      <w:pPr>
        <w:spacing w:before="120" w:after="120"/>
        <w:rPr>
          <w:rFonts w:ascii="Rockwell" w:hAnsi="Rockwell"/>
          <w:sz w:val="10"/>
          <w:szCs w:val="10"/>
        </w:rPr>
      </w:pPr>
    </w:p>
    <w:p w14:paraId="415A64AC" w14:textId="77777777" w:rsidR="00284822" w:rsidRDefault="00284822">
      <w:pPr>
        <w:spacing w:before="120" w:after="120"/>
        <w:jc w:val="center"/>
        <w:rPr>
          <w:rFonts w:ascii="Rockwell" w:hAnsi="Rockwell"/>
          <w:sz w:val="22"/>
          <w:szCs w:val="22"/>
        </w:rPr>
      </w:pPr>
    </w:p>
    <w:p w14:paraId="0BF66F7E" w14:textId="77777777" w:rsidR="00284822" w:rsidRDefault="00284822">
      <w:pPr>
        <w:spacing w:before="120" w:after="120"/>
        <w:rPr>
          <w:rFonts w:ascii="Rockwell" w:hAnsi="Rockwell"/>
          <w:i/>
          <w:szCs w:val="26"/>
          <w:u w:val="single"/>
        </w:rPr>
        <w:sectPr w:rsidR="00284822">
          <w:pgSz w:w="11906" w:h="16838"/>
          <w:pgMar w:top="1418" w:right="1418" w:bottom="1418" w:left="1418" w:header="720" w:footer="720" w:gutter="0"/>
          <w:cols w:space="720"/>
        </w:sectPr>
      </w:pPr>
    </w:p>
    <w:p w14:paraId="5BC7C4A9" w14:textId="77777777" w:rsidR="00284822" w:rsidRDefault="00F77BF8">
      <w:pPr>
        <w:spacing w:before="120" w:after="120"/>
        <w:jc w:val="center"/>
        <w:rPr>
          <w:rFonts w:ascii="Rockwell" w:hAnsi="Rockwell"/>
          <w:i/>
          <w:sz w:val="20"/>
          <w:szCs w:val="20"/>
          <w:u w:val="single"/>
        </w:rPr>
      </w:pPr>
      <w:r>
        <w:rPr>
          <w:rFonts w:ascii="Rockwell" w:hAnsi="Rockwell"/>
          <w:b/>
          <w:i/>
          <w:sz w:val="20"/>
          <w:szCs w:val="20"/>
          <w:u w:val="single"/>
        </w:rPr>
        <w:lastRenderedPageBreak/>
        <w:t>Tableau 32</w:t>
      </w:r>
      <w:r>
        <w:rPr>
          <w:rFonts w:ascii="Rockwell" w:hAnsi="Rockwell"/>
          <w:i/>
          <w:sz w:val="20"/>
          <w:szCs w:val="20"/>
        </w:rPr>
        <w:t> : Situation d’exécution des déblocages par action.</w:t>
      </w:r>
    </w:p>
    <w:tbl>
      <w:tblPr>
        <w:tblStyle w:val="Grilledutableau7"/>
        <w:tblW w:w="10076" w:type="dxa"/>
        <w:jc w:val="center"/>
        <w:tblLook w:val="04A0" w:firstRow="1" w:lastRow="0" w:firstColumn="1" w:lastColumn="0" w:noHBand="0" w:noVBand="1"/>
      </w:tblPr>
      <w:tblGrid>
        <w:gridCol w:w="4690"/>
        <w:gridCol w:w="1984"/>
        <w:gridCol w:w="1985"/>
        <w:gridCol w:w="1417"/>
      </w:tblGrid>
      <w:tr w:rsidR="00284822" w14:paraId="6704BDC7" w14:textId="77777777">
        <w:trPr>
          <w:trHeight w:val="425"/>
          <w:jc w:val="center"/>
        </w:trPr>
        <w:tc>
          <w:tcPr>
            <w:tcW w:w="4690" w:type="dxa"/>
            <w:vMerge w:val="restart"/>
            <w:shd w:val="clear" w:color="auto" w:fill="BDD6EE" w:themeFill="accent1" w:themeFillTint="66"/>
            <w:vAlign w:val="center"/>
          </w:tcPr>
          <w:p w14:paraId="19D0620F" w14:textId="77777777" w:rsidR="00284822" w:rsidRDefault="00F77BF8">
            <w:pPr>
              <w:autoSpaceDN/>
              <w:spacing w:before="120" w:after="120"/>
              <w:jc w:val="center"/>
              <w:textAlignment w:val="auto"/>
              <w:rPr>
                <w:rFonts w:ascii="Rockwell" w:hAnsi="Rockwell"/>
                <w:szCs w:val="26"/>
              </w:rPr>
            </w:pPr>
            <w:r>
              <w:rPr>
                <w:rFonts w:ascii="Rockwell" w:hAnsi="Rockwell"/>
                <w:szCs w:val="26"/>
              </w:rPr>
              <w:t>Actions</w:t>
            </w:r>
          </w:p>
        </w:tc>
        <w:tc>
          <w:tcPr>
            <w:tcW w:w="5386" w:type="dxa"/>
            <w:gridSpan w:val="3"/>
            <w:shd w:val="clear" w:color="auto" w:fill="BDD6EE" w:themeFill="accent1" w:themeFillTint="66"/>
            <w:vAlign w:val="center"/>
          </w:tcPr>
          <w:p w14:paraId="6A4EAB0B" w14:textId="77777777" w:rsidR="00284822" w:rsidRDefault="00F77BF8">
            <w:pPr>
              <w:autoSpaceDN/>
              <w:spacing w:before="120" w:after="120"/>
              <w:jc w:val="center"/>
              <w:textAlignment w:val="auto"/>
              <w:rPr>
                <w:rFonts w:ascii="Rockwell" w:hAnsi="Rockwell"/>
                <w:szCs w:val="26"/>
              </w:rPr>
            </w:pPr>
            <w:r>
              <w:rPr>
                <w:rFonts w:ascii="Rockwell" w:hAnsi="Rockwell"/>
                <w:szCs w:val="26"/>
              </w:rPr>
              <w:t>Exercice 2022</w:t>
            </w:r>
          </w:p>
        </w:tc>
      </w:tr>
      <w:tr w:rsidR="00284822" w14:paraId="39B6197C" w14:textId="77777777">
        <w:trPr>
          <w:trHeight w:val="345"/>
          <w:jc w:val="center"/>
        </w:trPr>
        <w:tc>
          <w:tcPr>
            <w:tcW w:w="4690" w:type="dxa"/>
            <w:vMerge/>
            <w:shd w:val="clear" w:color="auto" w:fill="BDD6EE" w:themeFill="accent1" w:themeFillTint="66"/>
            <w:vAlign w:val="center"/>
          </w:tcPr>
          <w:p w14:paraId="3BF17401" w14:textId="77777777" w:rsidR="00284822" w:rsidRDefault="00284822">
            <w:pPr>
              <w:autoSpaceDN/>
              <w:spacing w:before="120" w:after="120"/>
              <w:textAlignment w:val="auto"/>
              <w:rPr>
                <w:rFonts w:ascii="Rockwell" w:hAnsi="Rockwell"/>
                <w:szCs w:val="26"/>
              </w:rPr>
            </w:pPr>
          </w:p>
        </w:tc>
        <w:tc>
          <w:tcPr>
            <w:tcW w:w="1984" w:type="dxa"/>
            <w:shd w:val="clear" w:color="auto" w:fill="BDD6EE" w:themeFill="accent1" w:themeFillTint="66"/>
            <w:vAlign w:val="center"/>
          </w:tcPr>
          <w:p w14:paraId="38FC15BE" w14:textId="77777777" w:rsidR="00284822" w:rsidRDefault="00F77BF8">
            <w:pPr>
              <w:autoSpaceDN/>
              <w:spacing w:before="120" w:after="120"/>
              <w:jc w:val="center"/>
              <w:textAlignment w:val="auto"/>
              <w:rPr>
                <w:rFonts w:ascii="Rockwell" w:hAnsi="Rockwell"/>
                <w:szCs w:val="26"/>
              </w:rPr>
            </w:pPr>
            <w:r>
              <w:rPr>
                <w:rFonts w:ascii="Rockwell" w:hAnsi="Rockwell"/>
                <w:szCs w:val="26"/>
              </w:rPr>
              <w:t>Prévision</w:t>
            </w:r>
          </w:p>
        </w:tc>
        <w:tc>
          <w:tcPr>
            <w:tcW w:w="1985" w:type="dxa"/>
            <w:shd w:val="clear" w:color="auto" w:fill="BDD6EE" w:themeFill="accent1" w:themeFillTint="66"/>
            <w:vAlign w:val="center"/>
          </w:tcPr>
          <w:p w14:paraId="39DAE986" w14:textId="77777777" w:rsidR="00284822" w:rsidRDefault="00F77BF8">
            <w:pPr>
              <w:autoSpaceDN/>
              <w:spacing w:before="120" w:after="120"/>
              <w:jc w:val="center"/>
              <w:textAlignment w:val="auto"/>
              <w:rPr>
                <w:rFonts w:ascii="Rockwell" w:hAnsi="Rockwell"/>
                <w:szCs w:val="26"/>
              </w:rPr>
            </w:pPr>
            <w:r>
              <w:rPr>
                <w:rFonts w:ascii="Rockwell" w:hAnsi="Rockwell"/>
                <w:szCs w:val="26"/>
              </w:rPr>
              <w:t>Exécution</w:t>
            </w:r>
          </w:p>
        </w:tc>
        <w:tc>
          <w:tcPr>
            <w:tcW w:w="1417" w:type="dxa"/>
            <w:shd w:val="clear" w:color="auto" w:fill="BDD6EE" w:themeFill="accent1" w:themeFillTint="66"/>
            <w:vAlign w:val="center"/>
          </w:tcPr>
          <w:p w14:paraId="1E3D88CE" w14:textId="77777777" w:rsidR="00284822" w:rsidRDefault="00F77BF8">
            <w:pPr>
              <w:autoSpaceDN/>
              <w:spacing w:before="120" w:after="120"/>
              <w:jc w:val="center"/>
              <w:textAlignment w:val="auto"/>
              <w:rPr>
                <w:rFonts w:ascii="Rockwell" w:hAnsi="Rockwell"/>
                <w:szCs w:val="26"/>
              </w:rPr>
            </w:pPr>
            <w:r>
              <w:rPr>
                <w:rFonts w:ascii="Rockwell" w:hAnsi="Rockwell"/>
                <w:szCs w:val="26"/>
              </w:rPr>
              <w:t xml:space="preserve">Taux </w:t>
            </w:r>
          </w:p>
        </w:tc>
      </w:tr>
      <w:tr w:rsidR="00284822" w14:paraId="7741BA4F" w14:textId="77777777">
        <w:trPr>
          <w:trHeight w:val="880"/>
          <w:jc w:val="center"/>
        </w:trPr>
        <w:tc>
          <w:tcPr>
            <w:tcW w:w="4690" w:type="dxa"/>
            <w:vAlign w:val="center"/>
          </w:tcPr>
          <w:p w14:paraId="19FC6AF0" w14:textId="77777777" w:rsidR="00284822" w:rsidRDefault="00F77BF8">
            <w:pPr>
              <w:autoSpaceDN/>
              <w:spacing w:before="120" w:after="120"/>
              <w:textAlignment w:val="auto"/>
              <w:rPr>
                <w:rFonts w:ascii="Rockwell" w:hAnsi="Rockwell"/>
                <w:szCs w:val="26"/>
              </w:rPr>
            </w:pPr>
            <w:r>
              <w:rPr>
                <w:rFonts w:ascii="Rockwell" w:hAnsi="Rockwell"/>
                <w:b/>
                <w:szCs w:val="26"/>
              </w:rPr>
              <w:t>115</w:t>
            </w:r>
            <w:r>
              <w:rPr>
                <w:rFonts w:ascii="Rockwell" w:hAnsi="Rockwell"/>
                <w:szCs w:val="26"/>
              </w:rPr>
              <w:t xml:space="preserve"> Régulation du secteur de la</w:t>
            </w:r>
          </w:p>
          <w:p w14:paraId="039F3835" w14:textId="77777777" w:rsidR="00284822" w:rsidRDefault="00F77BF8">
            <w:pPr>
              <w:autoSpaceDN/>
              <w:spacing w:before="120" w:after="120"/>
              <w:textAlignment w:val="auto"/>
              <w:rPr>
                <w:rFonts w:ascii="Rockwell" w:hAnsi="Rockwell"/>
                <w:szCs w:val="26"/>
              </w:rPr>
            </w:pPr>
            <w:r>
              <w:rPr>
                <w:rFonts w:ascii="Rockwell" w:hAnsi="Rockwell"/>
                <w:szCs w:val="26"/>
              </w:rPr>
              <w:t xml:space="preserve">       Communication</w:t>
            </w:r>
          </w:p>
        </w:tc>
        <w:tc>
          <w:tcPr>
            <w:tcW w:w="1984" w:type="dxa"/>
          </w:tcPr>
          <w:p w14:paraId="0E3BF384" w14:textId="77777777" w:rsidR="00284822" w:rsidRDefault="00F77BF8">
            <w:pPr>
              <w:autoSpaceDN/>
              <w:spacing w:before="120" w:after="120"/>
              <w:jc w:val="center"/>
              <w:textAlignment w:val="auto"/>
              <w:rPr>
                <w:rFonts w:ascii="Rockwell" w:hAnsi="Rockwell"/>
                <w:szCs w:val="26"/>
              </w:rPr>
            </w:pPr>
            <w:r>
              <w:rPr>
                <w:rFonts w:ascii="Rockwell" w:hAnsi="Rockwell"/>
                <w:b/>
                <w:szCs w:val="26"/>
              </w:rPr>
              <w:t>1 124 706 027</w:t>
            </w:r>
          </w:p>
        </w:tc>
        <w:tc>
          <w:tcPr>
            <w:tcW w:w="1985" w:type="dxa"/>
          </w:tcPr>
          <w:p w14:paraId="2CF9D384" w14:textId="77777777" w:rsidR="00284822" w:rsidRDefault="00F77BF8">
            <w:pPr>
              <w:autoSpaceDN/>
              <w:spacing w:before="120" w:after="120"/>
              <w:jc w:val="center"/>
              <w:textAlignment w:val="auto"/>
              <w:rPr>
                <w:rFonts w:ascii="Rockwell" w:hAnsi="Rockwell"/>
                <w:b/>
                <w:szCs w:val="26"/>
              </w:rPr>
            </w:pPr>
            <w:r>
              <w:rPr>
                <w:rFonts w:ascii="Rockwell" w:hAnsi="Rockwell"/>
                <w:b/>
                <w:szCs w:val="26"/>
              </w:rPr>
              <w:t>1 110 774 027</w:t>
            </w:r>
          </w:p>
        </w:tc>
        <w:tc>
          <w:tcPr>
            <w:tcW w:w="1417" w:type="dxa"/>
          </w:tcPr>
          <w:p w14:paraId="07342A26" w14:textId="77777777" w:rsidR="00284822" w:rsidRDefault="00F77BF8">
            <w:pPr>
              <w:autoSpaceDN/>
              <w:spacing w:before="120" w:after="120"/>
              <w:jc w:val="center"/>
              <w:textAlignment w:val="auto"/>
              <w:rPr>
                <w:rFonts w:ascii="Rockwell" w:hAnsi="Rockwell"/>
                <w:b/>
                <w:szCs w:val="26"/>
              </w:rPr>
            </w:pPr>
            <w:r>
              <w:rPr>
                <w:rFonts w:ascii="Rockwell" w:hAnsi="Rockwell"/>
                <w:b/>
                <w:szCs w:val="26"/>
              </w:rPr>
              <w:t>98,76%</w:t>
            </w:r>
          </w:p>
        </w:tc>
      </w:tr>
      <w:tr w:rsidR="00284822" w14:paraId="4C6314F9" w14:textId="77777777">
        <w:trPr>
          <w:trHeight w:val="880"/>
          <w:jc w:val="center"/>
        </w:trPr>
        <w:tc>
          <w:tcPr>
            <w:tcW w:w="4690" w:type="dxa"/>
            <w:vAlign w:val="center"/>
          </w:tcPr>
          <w:p w14:paraId="2F9565FB" w14:textId="77777777" w:rsidR="00284822" w:rsidRDefault="00F77BF8">
            <w:pPr>
              <w:autoSpaceDN/>
              <w:spacing w:before="120" w:after="120"/>
              <w:textAlignment w:val="auto"/>
              <w:rPr>
                <w:rFonts w:ascii="Rockwell" w:hAnsi="Rockwell"/>
                <w:szCs w:val="26"/>
              </w:rPr>
            </w:pPr>
            <w:r>
              <w:rPr>
                <w:rFonts w:ascii="Rockwell" w:hAnsi="Rockwell"/>
                <w:b/>
                <w:szCs w:val="26"/>
              </w:rPr>
              <w:t>11501</w:t>
            </w:r>
            <w:r>
              <w:rPr>
                <w:rFonts w:ascii="Rockwell" w:hAnsi="Rockwell"/>
                <w:szCs w:val="26"/>
              </w:rPr>
              <w:t xml:space="preserve"> Régulation de l'offre médiatique Audiovisuelle</w:t>
            </w:r>
          </w:p>
        </w:tc>
        <w:tc>
          <w:tcPr>
            <w:tcW w:w="1984" w:type="dxa"/>
          </w:tcPr>
          <w:p w14:paraId="11761CA3" w14:textId="77777777" w:rsidR="00284822" w:rsidRDefault="00F77BF8">
            <w:pPr>
              <w:suppressAutoHyphens w:val="0"/>
              <w:autoSpaceDN/>
              <w:spacing w:before="120" w:after="120"/>
              <w:jc w:val="center"/>
              <w:textAlignment w:val="auto"/>
              <w:rPr>
                <w:rFonts w:ascii="Rockwell" w:hAnsi="Rockwell"/>
                <w:szCs w:val="26"/>
              </w:rPr>
            </w:pPr>
            <w:r>
              <w:rPr>
                <w:rFonts w:ascii="Rockwell" w:hAnsi="Rockwell"/>
                <w:szCs w:val="26"/>
              </w:rPr>
              <w:t>203 026 000</w:t>
            </w:r>
          </w:p>
        </w:tc>
        <w:tc>
          <w:tcPr>
            <w:tcW w:w="1985" w:type="dxa"/>
          </w:tcPr>
          <w:p w14:paraId="7B355381" w14:textId="77777777" w:rsidR="00284822" w:rsidRDefault="00F77BF8">
            <w:pPr>
              <w:suppressAutoHyphens w:val="0"/>
              <w:autoSpaceDN/>
              <w:spacing w:before="120" w:after="120"/>
              <w:jc w:val="center"/>
              <w:textAlignment w:val="auto"/>
              <w:rPr>
                <w:rFonts w:ascii="Rockwell" w:hAnsi="Rockwell"/>
                <w:szCs w:val="26"/>
              </w:rPr>
            </w:pPr>
            <w:r>
              <w:rPr>
                <w:rFonts w:ascii="Rockwell" w:hAnsi="Rockwell"/>
                <w:szCs w:val="26"/>
              </w:rPr>
              <w:t>200 126 000</w:t>
            </w:r>
          </w:p>
        </w:tc>
        <w:tc>
          <w:tcPr>
            <w:tcW w:w="1417" w:type="dxa"/>
          </w:tcPr>
          <w:p w14:paraId="47D18834" w14:textId="77777777" w:rsidR="00284822" w:rsidRDefault="00F77BF8">
            <w:pPr>
              <w:autoSpaceDN/>
              <w:spacing w:before="120" w:after="120"/>
              <w:jc w:val="center"/>
              <w:textAlignment w:val="auto"/>
              <w:rPr>
                <w:rFonts w:ascii="Rockwell" w:hAnsi="Rockwell"/>
                <w:szCs w:val="26"/>
              </w:rPr>
            </w:pPr>
            <w:r>
              <w:rPr>
                <w:rFonts w:ascii="Rockwell" w:hAnsi="Rockwell"/>
                <w:szCs w:val="26"/>
              </w:rPr>
              <w:t>98,57%</w:t>
            </w:r>
          </w:p>
        </w:tc>
      </w:tr>
      <w:tr w:rsidR="00284822" w14:paraId="10789194" w14:textId="77777777">
        <w:trPr>
          <w:trHeight w:val="807"/>
          <w:jc w:val="center"/>
        </w:trPr>
        <w:tc>
          <w:tcPr>
            <w:tcW w:w="4690" w:type="dxa"/>
            <w:vAlign w:val="center"/>
          </w:tcPr>
          <w:p w14:paraId="10286562" w14:textId="77777777" w:rsidR="00284822" w:rsidRDefault="00F77BF8">
            <w:pPr>
              <w:autoSpaceDN/>
              <w:spacing w:before="120" w:after="120"/>
              <w:textAlignment w:val="auto"/>
              <w:rPr>
                <w:rFonts w:ascii="Rockwell" w:hAnsi="Rockwell"/>
                <w:szCs w:val="26"/>
              </w:rPr>
            </w:pPr>
            <w:r>
              <w:rPr>
                <w:rFonts w:ascii="Rockwell" w:hAnsi="Rockwell"/>
                <w:b/>
                <w:szCs w:val="26"/>
              </w:rPr>
              <w:t>11502</w:t>
            </w:r>
            <w:r>
              <w:rPr>
                <w:rFonts w:ascii="Rockwell" w:hAnsi="Rockwell"/>
                <w:szCs w:val="26"/>
              </w:rPr>
              <w:t xml:space="preserve"> Observation du contenu des médias</w:t>
            </w:r>
          </w:p>
        </w:tc>
        <w:tc>
          <w:tcPr>
            <w:tcW w:w="1984" w:type="dxa"/>
          </w:tcPr>
          <w:p w14:paraId="78C61AAB" w14:textId="77777777" w:rsidR="00284822" w:rsidRDefault="00F77BF8">
            <w:pPr>
              <w:autoSpaceDN/>
              <w:spacing w:before="120" w:after="120"/>
              <w:jc w:val="center"/>
              <w:textAlignment w:val="auto"/>
              <w:rPr>
                <w:rFonts w:ascii="Rockwell" w:hAnsi="Rockwell"/>
                <w:szCs w:val="26"/>
              </w:rPr>
            </w:pPr>
            <w:r>
              <w:rPr>
                <w:rFonts w:ascii="Rockwell" w:hAnsi="Rockwell"/>
                <w:szCs w:val="26"/>
              </w:rPr>
              <w:t>400 770 027</w:t>
            </w:r>
          </w:p>
        </w:tc>
        <w:tc>
          <w:tcPr>
            <w:tcW w:w="1985" w:type="dxa"/>
          </w:tcPr>
          <w:p w14:paraId="62FA098E" w14:textId="77777777" w:rsidR="00284822" w:rsidRDefault="00F77BF8">
            <w:pPr>
              <w:autoSpaceDN/>
              <w:spacing w:before="120" w:after="120"/>
              <w:jc w:val="center"/>
              <w:textAlignment w:val="auto"/>
              <w:rPr>
                <w:rFonts w:ascii="Rockwell" w:hAnsi="Rockwell"/>
                <w:szCs w:val="26"/>
              </w:rPr>
            </w:pPr>
            <w:r>
              <w:rPr>
                <w:rFonts w:ascii="Rockwell" w:hAnsi="Rockwell"/>
                <w:szCs w:val="26"/>
              </w:rPr>
              <w:t>395 420 027</w:t>
            </w:r>
          </w:p>
        </w:tc>
        <w:tc>
          <w:tcPr>
            <w:tcW w:w="1417" w:type="dxa"/>
          </w:tcPr>
          <w:p w14:paraId="2D4D7B1B" w14:textId="77777777" w:rsidR="00284822" w:rsidRDefault="00F77BF8">
            <w:pPr>
              <w:autoSpaceDN/>
              <w:spacing w:before="120" w:after="120"/>
              <w:jc w:val="center"/>
              <w:textAlignment w:val="auto"/>
              <w:rPr>
                <w:rFonts w:ascii="Rockwell" w:hAnsi="Rockwell"/>
                <w:szCs w:val="26"/>
              </w:rPr>
            </w:pPr>
            <w:r>
              <w:rPr>
                <w:rFonts w:ascii="Rockwell" w:hAnsi="Rockwell"/>
                <w:szCs w:val="26"/>
              </w:rPr>
              <w:t>98,67%</w:t>
            </w:r>
          </w:p>
        </w:tc>
      </w:tr>
      <w:tr w:rsidR="00284822" w14:paraId="409AC385" w14:textId="77777777">
        <w:trPr>
          <w:trHeight w:val="880"/>
          <w:jc w:val="center"/>
        </w:trPr>
        <w:tc>
          <w:tcPr>
            <w:tcW w:w="4690" w:type="dxa"/>
            <w:vAlign w:val="center"/>
          </w:tcPr>
          <w:p w14:paraId="7C759B47" w14:textId="77777777" w:rsidR="00284822" w:rsidRDefault="00F77BF8">
            <w:pPr>
              <w:autoSpaceDN/>
              <w:spacing w:before="120" w:after="120"/>
              <w:textAlignment w:val="auto"/>
              <w:rPr>
                <w:rFonts w:ascii="Rockwell" w:hAnsi="Rockwell"/>
                <w:szCs w:val="26"/>
              </w:rPr>
            </w:pPr>
            <w:r>
              <w:rPr>
                <w:rFonts w:ascii="Rockwell" w:hAnsi="Rockwell"/>
                <w:b/>
                <w:szCs w:val="26"/>
              </w:rPr>
              <w:t>11503</w:t>
            </w:r>
            <w:r>
              <w:rPr>
                <w:rFonts w:ascii="Rockwell" w:hAnsi="Rockwell"/>
                <w:szCs w:val="26"/>
              </w:rPr>
              <w:t xml:space="preserve"> Contrôle des équipements techniques des médias audiovisuels</w:t>
            </w:r>
          </w:p>
        </w:tc>
        <w:tc>
          <w:tcPr>
            <w:tcW w:w="1984" w:type="dxa"/>
          </w:tcPr>
          <w:p w14:paraId="46D2DBB1" w14:textId="77777777" w:rsidR="00284822" w:rsidRDefault="00F77BF8">
            <w:pPr>
              <w:autoSpaceDN/>
              <w:spacing w:before="120" w:after="120"/>
              <w:jc w:val="center"/>
              <w:textAlignment w:val="auto"/>
              <w:rPr>
                <w:rFonts w:ascii="Rockwell" w:hAnsi="Rockwell"/>
                <w:szCs w:val="26"/>
              </w:rPr>
            </w:pPr>
            <w:r>
              <w:rPr>
                <w:rFonts w:ascii="Rockwell" w:hAnsi="Rockwell"/>
                <w:szCs w:val="26"/>
              </w:rPr>
              <w:t>90 228 000</w:t>
            </w:r>
          </w:p>
        </w:tc>
        <w:tc>
          <w:tcPr>
            <w:tcW w:w="1985" w:type="dxa"/>
          </w:tcPr>
          <w:p w14:paraId="2242FA88" w14:textId="77777777" w:rsidR="00284822" w:rsidRDefault="00F77BF8">
            <w:pPr>
              <w:suppressAutoHyphens w:val="0"/>
              <w:autoSpaceDN/>
              <w:spacing w:before="120" w:after="120"/>
              <w:jc w:val="center"/>
              <w:textAlignment w:val="auto"/>
              <w:rPr>
                <w:rFonts w:ascii="Rockwell" w:hAnsi="Rockwell"/>
                <w:szCs w:val="26"/>
              </w:rPr>
            </w:pPr>
            <w:r>
              <w:rPr>
                <w:rFonts w:ascii="Rockwell" w:hAnsi="Rockwell"/>
                <w:szCs w:val="26"/>
              </w:rPr>
              <w:t>89 237 220</w:t>
            </w:r>
          </w:p>
        </w:tc>
        <w:tc>
          <w:tcPr>
            <w:tcW w:w="1417" w:type="dxa"/>
          </w:tcPr>
          <w:p w14:paraId="7E91F617" w14:textId="77777777" w:rsidR="00284822" w:rsidRDefault="00F77BF8">
            <w:pPr>
              <w:autoSpaceDN/>
              <w:spacing w:before="120" w:after="120"/>
              <w:jc w:val="center"/>
              <w:textAlignment w:val="auto"/>
              <w:rPr>
                <w:rFonts w:ascii="Rockwell" w:hAnsi="Rockwell"/>
                <w:szCs w:val="26"/>
              </w:rPr>
            </w:pPr>
            <w:r>
              <w:rPr>
                <w:rFonts w:ascii="Rockwell" w:hAnsi="Rockwell"/>
                <w:szCs w:val="26"/>
              </w:rPr>
              <w:t>98,90%</w:t>
            </w:r>
          </w:p>
        </w:tc>
      </w:tr>
      <w:tr w:rsidR="00284822" w14:paraId="3F296B0A" w14:textId="77777777">
        <w:trPr>
          <w:trHeight w:val="621"/>
          <w:jc w:val="center"/>
        </w:trPr>
        <w:tc>
          <w:tcPr>
            <w:tcW w:w="4690" w:type="dxa"/>
            <w:vAlign w:val="center"/>
          </w:tcPr>
          <w:p w14:paraId="0C4BA634" w14:textId="77777777" w:rsidR="00284822" w:rsidRDefault="00F77BF8">
            <w:pPr>
              <w:autoSpaceDN/>
              <w:spacing w:before="120" w:after="120"/>
              <w:textAlignment w:val="auto"/>
              <w:rPr>
                <w:rFonts w:ascii="Rockwell" w:hAnsi="Rockwell"/>
                <w:szCs w:val="26"/>
              </w:rPr>
            </w:pPr>
            <w:r>
              <w:rPr>
                <w:rFonts w:ascii="Rockwell" w:hAnsi="Rockwell"/>
                <w:b/>
                <w:szCs w:val="26"/>
              </w:rPr>
              <w:t>11504</w:t>
            </w:r>
            <w:r>
              <w:rPr>
                <w:rFonts w:ascii="Rockwell" w:hAnsi="Rockwell"/>
                <w:szCs w:val="26"/>
              </w:rPr>
              <w:t xml:space="preserve"> Documentation et archives</w:t>
            </w:r>
          </w:p>
        </w:tc>
        <w:tc>
          <w:tcPr>
            <w:tcW w:w="1984" w:type="dxa"/>
          </w:tcPr>
          <w:p w14:paraId="4D33C70C" w14:textId="77777777" w:rsidR="00284822" w:rsidRDefault="00F77BF8">
            <w:pPr>
              <w:autoSpaceDN/>
              <w:spacing w:before="120" w:after="120"/>
              <w:jc w:val="center"/>
              <w:textAlignment w:val="auto"/>
              <w:rPr>
                <w:rFonts w:ascii="Rockwell" w:hAnsi="Rockwell"/>
                <w:szCs w:val="26"/>
              </w:rPr>
            </w:pPr>
            <w:r>
              <w:rPr>
                <w:rFonts w:ascii="Rockwell" w:hAnsi="Rockwell"/>
                <w:szCs w:val="26"/>
              </w:rPr>
              <w:t>39 090 000</w:t>
            </w:r>
          </w:p>
        </w:tc>
        <w:tc>
          <w:tcPr>
            <w:tcW w:w="1985" w:type="dxa"/>
          </w:tcPr>
          <w:p w14:paraId="5667ED00" w14:textId="77777777" w:rsidR="00284822" w:rsidRDefault="00F77BF8">
            <w:pPr>
              <w:autoSpaceDN/>
              <w:spacing w:before="120" w:after="120"/>
              <w:jc w:val="center"/>
              <w:textAlignment w:val="auto"/>
              <w:rPr>
                <w:rFonts w:ascii="Rockwell" w:hAnsi="Rockwell"/>
                <w:szCs w:val="26"/>
              </w:rPr>
            </w:pPr>
            <w:r>
              <w:rPr>
                <w:rFonts w:ascii="Rockwell" w:hAnsi="Rockwell"/>
                <w:szCs w:val="26"/>
              </w:rPr>
              <w:t>39 090 000</w:t>
            </w:r>
          </w:p>
        </w:tc>
        <w:tc>
          <w:tcPr>
            <w:tcW w:w="1417" w:type="dxa"/>
          </w:tcPr>
          <w:p w14:paraId="6BFC0A70" w14:textId="77777777" w:rsidR="00284822" w:rsidRDefault="00F77BF8">
            <w:pPr>
              <w:autoSpaceDN/>
              <w:spacing w:before="120" w:after="120"/>
              <w:jc w:val="center"/>
              <w:textAlignment w:val="auto"/>
              <w:rPr>
                <w:rFonts w:ascii="Rockwell" w:hAnsi="Rockwell"/>
                <w:szCs w:val="26"/>
              </w:rPr>
            </w:pPr>
            <w:r>
              <w:rPr>
                <w:rFonts w:ascii="Rockwell" w:hAnsi="Rockwell"/>
                <w:szCs w:val="26"/>
              </w:rPr>
              <w:t>100%</w:t>
            </w:r>
          </w:p>
        </w:tc>
      </w:tr>
      <w:tr w:rsidR="00284822" w14:paraId="6398B743" w14:textId="77777777">
        <w:trPr>
          <w:trHeight w:val="880"/>
          <w:jc w:val="center"/>
        </w:trPr>
        <w:tc>
          <w:tcPr>
            <w:tcW w:w="4690" w:type="dxa"/>
            <w:vAlign w:val="center"/>
          </w:tcPr>
          <w:p w14:paraId="32FC3E51" w14:textId="77777777" w:rsidR="00284822" w:rsidRDefault="00F77BF8">
            <w:pPr>
              <w:autoSpaceDN/>
              <w:spacing w:before="120" w:after="120"/>
              <w:textAlignment w:val="auto"/>
              <w:rPr>
                <w:rFonts w:ascii="Rockwell" w:hAnsi="Rockwell"/>
                <w:szCs w:val="26"/>
              </w:rPr>
            </w:pPr>
            <w:r>
              <w:rPr>
                <w:rFonts w:ascii="Rockwell" w:hAnsi="Rockwell"/>
                <w:b/>
                <w:szCs w:val="26"/>
              </w:rPr>
              <w:t>11505</w:t>
            </w:r>
            <w:r>
              <w:rPr>
                <w:rFonts w:ascii="Rockwell" w:hAnsi="Rockwell"/>
                <w:szCs w:val="26"/>
              </w:rPr>
              <w:t xml:space="preserve"> Pilotage et soutien aux services du CSC</w:t>
            </w:r>
          </w:p>
        </w:tc>
        <w:tc>
          <w:tcPr>
            <w:tcW w:w="1984" w:type="dxa"/>
          </w:tcPr>
          <w:p w14:paraId="11EF818B" w14:textId="77777777" w:rsidR="00284822" w:rsidRDefault="00F77BF8">
            <w:pPr>
              <w:autoSpaceDN/>
              <w:spacing w:before="120" w:after="120"/>
              <w:jc w:val="center"/>
              <w:textAlignment w:val="auto"/>
              <w:rPr>
                <w:rFonts w:ascii="Rockwell" w:hAnsi="Rockwell"/>
                <w:szCs w:val="26"/>
              </w:rPr>
            </w:pPr>
            <w:r>
              <w:rPr>
                <w:rFonts w:ascii="Rockwell" w:hAnsi="Rockwell"/>
                <w:szCs w:val="26"/>
              </w:rPr>
              <w:t>391 592 000</w:t>
            </w:r>
          </w:p>
        </w:tc>
        <w:tc>
          <w:tcPr>
            <w:tcW w:w="1985" w:type="dxa"/>
          </w:tcPr>
          <w:p w14:paraId="2C497C5A" w14:textId="77777777" w:rsidR="00284822" w:rsidRDefault="00F77BF8">
            <w:pPr>
              <w:autoSpaceDN/>
              <w:spacing w:before="120" w:after="120"/>
              <w:jc w:val="center"/>
              <w:textAlignment w:val="auto"/>
              <w:rPr>
                <w:rFonts w:ascii="Rockwell" w:hAnsi="Rockwell"/>
                <w:szCs w:val="26"/>
              </w:rPr>
            </w:pPr>
            <w:r>
              <w:rPr>
                <w:rFonts w:ascii="Rockwell" w:hAnsi="Rockwell"/>
                <w:szCs w:val="26"/>
              </w:rPr>
              <w:t>386 900 780</w:t>
            </w:r>
          </w:p>
        </w:tc>
        <w:tc>
          <w:tcPr>
            <w:tcW w:w="1417" w:type="dxa"/>
          </w:tcPr>
          <w:p w14:paraId="1A344DC8" w14:textId="77777777" w:rsidR="00284822" w:rsidRDefault="00F77BF8">
            <w:pPr>
              <w:autoSpaceDN/>
              <w:spacing w:before="120" w:after="120"/>
              <w:jc w:val="center"/>
              <w:textAlignment w:val="auto"/>
              <w:rPr>
                <w:rFonts w:ascii="Rockwell" w:hAnsi="Rockwell"/>
                <w:szCs w:val="26"/>
              </w:rPr>
            </w:pPr>
            <w:r>
              <w:rPr>
                <w:rFonts w:ascii="Rockwell" w:hAnsi="Rockwell"/>
                <w:szCs w:val="26"/>
              </w:rPr>
              <w:t>98,80%</w:t>
            </w:r>
          </w:p>
        </w:tc>
      </w:tr>
      <w:tr w:rsidR="00284822" w14:paraId="68FF76BA" w14:textId="77777777">
        <w:trPr>
          <w:trHeight w:val="730"/>
          <w:jc w:val="center"/>
        </w:trPr>
        <w:tc>
          <w:tcPr>
            <w:tcW w:w="4690" w:type="dxa"/>
            <w:vAlign w:val="center"/>
          </w:tcPr>
          <w:p w14:paraId="74BB7BB9" w14:textId="77777777" w:rsidR="00284822" w:rsidRDefault="00F77BF8">
            <w:pPr>
              <w:autoSpaceDN/>
              <w:spacing w:before="120" w:after="120"/>
              <w:textAlignment w:val="auto"/>
              <w:rPr>
                <w:rFonts w:ascii="Rockwell" w:hAnsi="Rockwell"/>
                <w:b/>
                <w:szCs w:val="26"/>
              </w:rPr>
            </w:pPr>
            <w:r>
              <w:rPr>
                <w:rFonts w:ascii="Rockwell" w:hAnsi="Rockwell"/>
                <w:b/>
                <w:szCs w:val="26"/>
              </w:rPr>
              <w:t>Total Général</w:t>
            </w:r>
          </w:p>
        </w:tc>
        <w:tc>
          <w:tcPr>
            <w:tcW w:w="1984" w:type="dxa"/>
            <w:vAlign w:val="center"/>
          </w:tcPr>
          <w:p w14:paraId="5786681C" w14:textId="77777777" w:rsidR="00284822" w:rsidRDefault="00F77BF8">
            <w:pPr>
              <w:autoSpaceDN/>
              <w:spacing w:before="120" w:after="120"/>
              <w:jc w:val="center"/>
              <w:textAlignment w:val="auto"/>
              <w:rPr>
                <w:rFonts w:ascii="Rockwell" w:hAnsi="Rockwell"/>
                <w:szCs w:val="26"/>
              </w:rPr>
            </w:pPr>
            <w:r>
              <w:rPr>
                <w:rFonts w:ascii="Rockwell" w:hAnsi="Rockwell"/>
                <w:b/>
                <w:szCs w:val="26"/>
              </w:rPr>
              <w:t>1 124 706 027</w:t>
            </w:r>
          </w:p>
        </w:tc>
        <w:tc>
          <w:tcPr>
            <w:tcW w:w="1985" w:type="dxa"/>
            <w:vAlign w:val="center"/>
          </w:tcPr>
          <w:p w14:paraId="5A54D668" w14:textId="77777777" w:rsidR="00284822" w:rsidRDefault="00F77BF8">
            <w:pPr>
              <w:autoSpaceDN/>
              <w:spacing w:before="120" w:after="120"/>
              <w:jc w:val="center"/>
              <w:textAlignment w:val="auto"/>
              <w:rPr>
                <w:rFonts w:ascii="Rockwell" w:hAnsi="Rockwell"/>
                <w:b/>
                <w:szCs w:val="26"/>
              </w:rPr>
            </w:pPr>
            <w:r>
              <w:rPr>
                <w:rFonts w:ascii="Rockwell" w:hAnsi="Rockwell"/>
                <w:b/>
                <w:szCs w:val="26"/>
              </w:rPr>
              <w:t>1 110 774 027</w:t>
            </w:r>
          </w:p>
        </w:tc>
        <w:tc>
          <w:tcPr>
            <w:tcW w:w="1417" w:type="dxa"/>
            <w:vAlign w:val="center"/>
          </w:tcPr>
          <w:p w14:paraId="03B244A1" w14:textId="77777777" w:rsidR="00284822" w:rsidRDefault="00F77BF8">
            <w:pPr>
              <w:autoSpaceDN/>
              <w:spacing w:before="120" w:after="120"/>
              <w:jc w:val="center"/>
              <w:textAlignment w:val="auto"/>
              <w:rPr>
                <w:rFonts w:ascii="Rockwell" w:hAnsi="Rockwell"/>
                <w:b/>
                <w:szCs w:val="26"/>
              </w:rPr>
            </w:pPr>
            <w:r>
              <w:rPr>
                <w:rFonts w:ascii="Rockwell" w:hAnsi="Rockwell"/>
                <w:b/>
                <w:szCs w:val="26"/>
              </w:rPr>
              <w:t>98,76%</w:t>
            </w:r>
          </w:p>
        </w:tc>
      </w:tr>
    </w:tbl>
    <w:p w14:paraId="2B7ABE26" w14:textId="77777777" w:rsidR="00284822" w:rsidRDefault="00284822">
      <w:pPr>
        <w:spacing w:before="120" w:after="120"/>
        <w:rPr>
          <w:rFonts w:ascii="Rockwell" w:hAnsi="Rockwell"/>
          <w:i/>
          <w:szCs w:val="26"/>
          <w:u w:val="single"/>
        </w:rPr>
      </w:pPr>
    </w:p>
    <w:p w14:paraId="1EDD85F5" w14:textId="77777777" w:rsidR="00284822" w:rsidRDefault="00F77BF8">
      <w:pPr>
        <w:pStyle w:val="Titre3"/>
        <w:spacing w:before="120" w:after="120"/>
        <w:rPr>
          <w:rFonts w:ascii="Rockwell" w:hAnsi="Rockwell"/>
          <w:szCs w:val="28"/>
        </w:rPr>
      </w:pPr>
      <w:bookmarkStart w:id="316" w:name="_Toc122608724"/>
      <w:bookmarkStart w:id="317" w:name="_Toc72864383"/>
      <w:bookmarkStart w:id="318" w:name="_Toc73184154"/>
      <w:bookmarkStart w:id="319" w:name="_Toc119511803"/>
      <w:bookmarkStart w:id="320" w:name="_Toc73183965"/>
      <w:bookmarkStart w:id="321" w:name="_Toc175048759"/>
      <w:bookmarkStart w:id="322" w:name="_Toc170304776"/>
      <w:bookmarkEnd w:id="310"/>
      <w:bookmarkEnd w:id="311"/>
      <w:r>
        <w:rPr>
          <w:rFonts w:ascii="Rockwell" w:hAnsi="Rockwell"/>
          <w:szCs w:val="28"/>
        </w:rPr>
        <w:t>SECTION 2 :</w:t>
      </w:r>
      <w:bookmarkStart w:id="323" w:name="_Toc65077088"/>
      <w:r>
        <w:rPr>
          <w:rFonts w:ascii="Rockwell" w:hAnsi="Rockwell"/>
          <w:szCs w:val="28"/>
        </w:rPr>
        <w:t xml:space="preserve"> GESTION DES MATIERES</w:t>
      </w:r>
      <w:bookmarkEnd w:id="316"/>
      <w:bookmarkEnd w:id="317"/>
      <w:bookmarkEnd w:id="318"/>
      <w:bookmarkEnd w:id="319"/>
      <w:bookmarkEnd w:id="320"/>
      <w:bookmarkEnd w:id="321"/>
      <w:bookmarkEnd w:id="322"/>
      <w:bookmarkEnd w:id="323"/>
    </w:p>
    <w:p w14:paraId="3368CCCA" w14:textId="77777777" w:rsidR="00284822" w:rsidRDefault="00F77BF8">
      <w:pPr>
        <w:spacing w:before="120" w:after="120"/>
        <w:rPr>
          <w:rFonts w:ascii="Rockwell" w:hAnsi="Rockwell"/>
          <w:szCs w:val="26"/>
        </w:rPr>
      </w:pPr>
      <w:r>
        <w:rPr>
          <w:rFonts w:ascii="Rockwell" w:hAnsi="Rockwell"/>
          <w:szCs w:val="26"/>
        </w:rPr>
        <w:t>La gestion des matières relève de la comptabilité des matières qui est une discipline de gestion administrative et comptable des biens meubles et immeubles de l’Etat et autres organismes.</w:t>
      </w:r>
    </w:p>
    <w:p w14:paraId="5685317B" w14:textId="77777777" w:rsidR="00284822" w:rsidRDefault="00F77BF8">
      <w:pPr>
        <w:spacing w:before="120" w:after="120"/>
        <w:rPr>
          <w:rFonts w:ascii="Rockwell" w:hAnsi="Rockwell"/>
          <w:szCs w:val="26"/>
        </w:rPr>
      </w:pPr>
      <w:r>
        <w:rPr>
          <w:rFonts w:ascii="Rockwell" w:hAnsi="Rockwell"/>
          <w:szCs w:val="26"/>
        </w:rPr>
        <w:t>Au 31 décembre 2022, le patrimoine non financier du CSC a été évalué à deux milliards sept cent sept millions soixante-cinq mille six cent vingt (2 707 065 620) francs CFA.</w:t>
      </w:r>
    </w:p>
    <w:p w14:paraId="5BE03969" w14:textId="77777777" w:rsidR="00284822" w:rsidRDefault="00F77BF8">
      <w:pPr>
        <w:spacing w:before="120" w:after="120"/>
        <w:rPr>
          <w:rFonts w:ascii="Rockwell" w:hAnsi="Rockwell"/>
          <w:szCs w:val="26"/>
        </w:rPr>
      </w:pPr>
      <w:r>
        <w:rPr>
          <w:rFonts w:ascii="Rockwell" w:hAnsi="Rockwell"/>
          <w:szCs w:val="26"/>
        </w:rPr>
        <w:lastRenderedPageBreak/>
        <w:t>Le tableau suivant donne les valeurs des matières par compte matière :</w:t>
      </w:r>
    </w:p>
    <w:p w14:paraId="44076AC1" w14:textId="77777777" w:rsidR="00284822" w:rsidRDefault="00F77BF8">
      <w:pPr>
        <w:spacing w:before="120" w:after="120"/>
        <w:jc w:val="center"/>
        <w:rPr>
          <w:rFonts w:ascii="Rockwell" w:hAnsi="Rockwell"/>
          <w:sz w:val="20"/>
          <w:szCs w:val="20"/>
        </w:rPr>
      </w:pPr>
      <w:r>
        <w:rPr>
          <w:rFonts w:ascii="Rockwell" w:hAnsi="Rockwell"/>
          <w:b/>
          <w:i/>
          <w:sz w:val="20"/>
          <w:szCs w:val="20"/>
          <w:u w:val="single"/>
        </w:rPr>
        <w:t>Tableau 33</w:t>
      </w:r>
      <w:r>
        <w:rPr>
          <w:rFonts w:ascii="Rockwell" w:hAnsi="Rockwell"/>
          <w:i/>
          <w:sz w:val="20"/>
          <w:szCs w:val="20"/>
        </w:rPr>
        <w:t xml:space="preserve"> :</w:t>
      </w:r>
      <w:r>
        <w:rPr>
          <w:rFonts w:ascii="Rockwell" w:hAnsi="Rockwell"/>
          <w:b/>
          <w:i/>
          <w:sz w:val="20"/>
          <w:szCs w:val="20"/>
        </w:rPr>
        <w:t xml:space="preserve"> </w:t>
      </w:r>
      <w:r>
        <w:rPr>
          <w:rFonts w:ascii="Rockwell" w:hAnsi="Rockwell"/>
          <w:i/>
          <w:sz w:val="20"/>
          <w:szCs w:val="20"/>
        </w:rPr>
        <w:t>Valeurs des matières par compte matière</w:t>
      </w:r>
    </w:p>
    <w:tbl>
      <w:tblPr>
        <w:tblW w:w="6021" w:type="pct"/>
        <w:jc w:val="center"/>
        <w:tblCellMar>
          <w:left w:w="10" w:type="dxa"/>
          <w:right w:w="10" w:type="dxa"/>
        </w:tblCellMar>
        <w:tblLook w:val="04A0" w:firstRow="1" w:lastRow="0" w:firstColumn="1" w:lastColumn="0" w:noHBand="0" w:noVBand="1"/>
      </w:tblPr>
      <w:tblGrid>
        <w:gridCol w:w="2122"/>
        <w:gridCol w:w="5670"/>
        <w:gridCol w:w="3118"/>
      </w:tblGrid>
      <w:tr w:rsidR="00284822" w14:paraId="115B7EC3" w14:textId="77777777">
        <w:trPr>
          <w:trHeight w:val="841"/>
          <w:jc w:val="center"/>
        </w:trPr>
        <w:tc>
          <w:tcPr>
            <w:tcW w:w="2122" w:type="dxa"/>
            <w:tcBorders>
              <w:top w:val="single" w:sz="4" w:space="0" w:color="auto"/>
              <w:left w:val="single" w:sz="4" w:space="0" w:color="000000"/>
              <w:bottom w:val="single" w:sz="4" w:space="0" w:color="000000"/>
              <w:right w:val="single" w:sz="4" w:space="0" w:color="000000"/>
            </w:tcBorders>
            <w:shd w:val="clear" w:color="auto" w:fill="BDD6EE" w:themeFill="accent1" w:themeFillTint="66"/>
            <w:tcMar>
              <w:top w:w="0" w:type="dxa"/>
              <w:left w:w="70" w:type="dxa"/>
              <w:bottom w:w="0" w:type="dxa"/>
              <w:right w:w="70" w:type="dxa"/>
            </w:tcMar>
            <w:vAlign w:val="center"/>
          </w:tcPr>
          <w:p w14:paraId="6B974062" w14:textId="77777777" w:rsidR="00284822" w:rsidRDefault="00F77BF8">
            <w:pPr>
              <w:spacing w:before="120" w:after="120"/>
              <w:jc w:val="center"/>
              <w:rPr>
                <w:rFonts w:ascii="Rockwell" w:hAnsi="Rockwell"/>
                <w:b/>
                <w:bCs/>
                <w:color w:val="000000"/>
                <w:szCs w:val="26"/>
              </w:rPr>
            </w:pPr>
            <w:r>
              <w:rPr>
                <w:rFonts w:ascii="Rockwell" w:hAnsi="Rockwell"/>
                <w:b/>
                <w:bCs/>
                <w:color w:val="000000"/>
                <w:szCs w:val="26"/>
              </w:rPr>
              <w:t>N° COMPTE MATIERE</w:t>
            </w:r>
          </w:p>
        </w:tc>
        <w:tc>
          <w:tcPr>
            <w:tcW w:w="5670" w:type="dxa"/>
            <w:tcBorders>
              <w:top w:val="single" w:sz="4" w:space="0" w:color="auto"/>
              <w:bottom w:val="single" w:sz="4" w:space="0" w:color="000000"/>
              <w:right w:val="single" w:sz="4" w:space="0" w:color="000000"/>
            </w:tcBorders>
            <w:shd w:val="clear" w:color="auto" w:fill="BDD6EE" w:themeFill="accent1" w:themeFillTint="66"/>
            <w:noWrap/>
            <w:tcMar>
              <w:top w:w="0" w:type="dxa"/>
              <w:left w:w="70" w:type="dxa"/>
              <w:bottom w:w="0" w:type="dxa"/>
              <w:right w:w="70" w:type="dxa"/>
            </w:tcMar>
            <w:vAlign w:val="center"/>
          </w:tcPr>
          <w:p w14:paraId="248DDA60" w14:textId="77777777" w:rsidR="00284822" w:rsidRDefault="00F77BF8">
            <w:pPr>
              <w:spacing w:before="120" w:after="120"/>
              <w:jc w:val="center"/>
              <w:rPr>
                <w:rFonts w:ascii="Rockwell" w:hAnsi="Rockwell"/>
                <w:b/>
                <w:bCs/>
                <w:color w:val="000000"/>
                <w:szCs w:val="26"/>
              </w:rPr>
            </w:pPr>
            <w:r>
              <w:rPr>
                <w:rFonts w:ascii="Rockwell" w:hAnsi="Rockwell"/>
                <w:b/>
                <w:bCs/>
                <w:color w:val="000000"/>
                <w:szCs w:val="26"/>
              </w:rPr>
              <w:t>INTITULE</w:t>
            </w:r>
          </w:p>
        </w:tc>
        <w:tc>
          <w:tcPr>
            <w:tcW w:w="3118" w:type="dxa"/>
            <w:tcBorders>
              <w:top w:val="single" w:sz="4" w:space="0" w:color="auto"/>
              <w:bottom w:val="single" w:sz="4" w:space="0" w:color="000000"/>
              <w:right w:val="single" w:sz="4" w:space="0" w:color="000000"/>
            </w:tcBorders>
            <w:shd w:val="clear" w:color="auto" w:fill="BDD6EE" w:themeFill="accent1" w:themeFillTint="66"/>
            <w:noWrap/>
            <w:tcMar>
              <w:top w:w="0" w:type="dxa"/>
              <w:left w:w="70" w:type="dxa"/>
              <w:bottom w:w="0" w:type="dxa"/>
              <w:right w:w="70" w:type="dxa"/>
            </w:tcMar>
            <w:vAlign w:val="center"/>
          </w:tcPr>
          <w:p w14:paraId="70FF6891" w14:textId="77777777" w:rsidR="00284822" w:rsidRDefault="00F77BF8">
            <w:pPr>
              <w:spacing w:before="120" w:after="120"/>
              <w:jc w:val="center"/>
              <w:rPr>
                <w:rFonts w:ascii="Rockwell" w:hAnsi="Rockwell"/>
                <w:b/>
                <w:bCs/>
                <w:color w:val="000000"/>
                <w:szCs w:val="26"/>
              </w:rPr>
            </w:pPr>
            <w:r>
              <w:rPr>
                <w:rFonts w:ascii="Rockwell" w:hAnsi="Rockwell"/>
                <w:b/>
                <w:bCs/>
                <w:color w:val="000000"/>
                <w:szCs w:val="26"/>
              </w:rPr>
              <w:t>VALEUR</w:t>
            </w:r>
          </w:p>
        </w:tc>
      </w:tr>
      <w:tr w:rsidR="00284822" w14:paraId="15CA29D7" w14:textId="77777777">
        <w:trPr>
          <w:trHeight w:val="315"/>
          <w:jc w:val="center"/>
        </w:trPr>
        <w:tc>
          <w:tcPr>
            <w:tcW w:w="212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E1AAA85" w14:textId="77777777" w:rsidR="00284822" w:rsidRDefault="00F77BF8">
            <w:pPr>
              <w:spacing w:before="120" w:after="120"/>
              <w:rPr>
                <w:rFonts w:ascii="Rockwell" w:hAnsi="Rockwell"/>
                <w:color w:val="000000"/>
                <w:szCs w:val="26"/>
              </w:rPr>
            </w:pPr>
            <w:r>
              <w:rPr>
                <w:rFonts w:ascii="Rockwell" w:hAnsi="Rockwell"/>
                <w:color w:val="000000"/>
                <w:szCs w:val="26"/>
              </w:rPr>
              <w:t>213</w:t>
            </w:r>
          </w:p>
        </w:tc>
        <w:tc>
          <w:tcPr>
            <w:tcW w:w="567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600CAC8C" w14:textId="77777777" w:rsidR="00284822" w:rsidRDefault="00F77BF8">
            <w:pPr>
              <w:spacing w:before="120" w:after="120"/>
              <w:rPr>
                <w:rFonts w:ascii="Rockwell" w:hAnsi="Rockwell"/>
                <w:color w:val="000000"/>
                <w:szCs w:val="26"/>
              </w:rPr>
            </w:pPr>
            <w:r>
              <w:rPr>
                <w:rFonts w:ascii="Rockwell" w:hAnsi="Rockwell"/>
                <w:color w:val="000000"/>
                <w:szCs w:val="26"/>
              </w:rPr>
              <w:t>Conception de système d’organisation-Progiciel</w:t>
            </w:r>
          </w:p>
        </w:tc>
        <w:tc>
          <w:tcPr>
            <w:tcW w:w="311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614456FE" w14:textId="77777777" w:rsidR="00284822" w:rsidRDefault="00F77BF8">
            <w:pPr>
              <w:spacing w:before="120" w:after="120"/>
              <w:jc w:val="center"/>
              <w:rPr>
                <w:rFonts w:ascii="Rockwell" w:hAnsi="Rockwell"/>
                <w:color w:val="000000"/>
                <w:szCs w:val="26"/>
              </w:rPr>
            </w:pPr>
            <w:r>
              <w:rPr>
                <w:rFonts w:ascii="Rockwell" w:hAnsi="Rockwell"/>
                <w:color w:val="000000"/>
                <w:szCs w:val="26"/>
              </w:rPr>
              <w:t>380 280 280</w:t>
            </w:r>
          </w:p>
        </w:tc>
      </w:tr>
      <w:tr w:rsidR="00284822" w14:paraId="231612DD" w14:textId="77777777">
        <w:trPr>
          <w:trHeight w:val="528"/>
          <w:jc w:val="center"/>
        </w:trPr>
        <w:tc>
          <w:tcPr>
            <w:tcW w:w="212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7B3CF3C" w14:textId="77777777" w:rsidR="00284822" w:rsidRDefault="00F77BF8">
            <w:pPr>
              <w:spacing w:before="120" w:after="120"/>
              <w:rPr>
                <w:rFonts w:ascii="Rockwell" w:hAnsi="Rockwell"/>
                <w:color w:val="000000"/>
                <w:szCs w:val="26"/>
              </w:rPr>
            </w:pPr>
            <w:r>
              <w:rPr>
                <w:rFonts w:ascii="Rockwell" w:hAnsi="Rockwell"/>
                <w:color w:val="000000"/>
                <w:szCs w:val="26"/>
              </w:rPr>
              <w:t>221</w:t>
            </w:r>
          </w:p>
        </w:tc>
        <w:tc>
          <w:tcPr>
            <w:tcW w:w="567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1821F822" w14:textId="77777777" w:rsidR="00284822" w:rsidRDefault="00F77BF8">
            <w:pPr>
              <w:spacing w:before="120" w:after="120"/>
              <w:rPr>
                <w:rFonts w:ascii="Rockwell" w:hAnsi="Rockwell"/>
                <w:color w:val="000000"/>
                <w:szCs w:val="26"/>
              </w:rPr>
            </w:pPr>
            <w:r>
              <w:rPr>
                <w:rFonts w:ascii="Rockwell" w:hAnsi="Rockwell"/>
                <w:color w:val="000000"/>
                <w:szCs w:val="26"/>
              </w:rPr>
              <w:t>Terrains</w:t>
            </w:r>
          </w:p>
        </w:tc>
        <w:tc>
          <w:tcPr>
            <w:tcW w:w="311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6A38E0D4" w14:textId="77777777" w:rsidR="00284822" w:rsidRDefault="00F77BF8">
            <w:pPr>
              <w:spacing w:before="120" w:after="120"/>
              <w:jc w:val="center"/>
              <w:rPr>
                <w:rFonts w:ascii="Rockwell" w:hAnsi="Rockwell"/>
                <w:color w:val="000000"/>
                <w:szCs w:val="26"/>
              </w:rPr>
            </w:pPr>
            <w:r>
              <w:rPr>
                <w:rFonts w:ascii="Rockwell" w:hAnsi="Rockwell"/>
                <w:color w:val="000000"/>
                <w:szCs w:val="26"/>
              </w:rPr>
              <w:t>300 762 000</w:t>
            </w:r>
          </w:p>
        </w:tc>
      </w:tr>
      <w:tr w:rsidR="00284822" w14:paraId="59741C03" w14:textId="77777777">
        <w:trPr>
          <w:trHeight w:val="315"/>
          <w:jc w:val="center"/>
        </w:trPr>
        <w:tc>
          <w:tcPr>
            <w:tcW w:w="212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0DE66B4" w14:textId="77777777" w:rsidR="00284822" w:rsidRDefault="00F77BF8">
            <w:pPr>
              <w:spacing w:before="120" w:after="120"/>
              <w:rPr>
                <w:rFonts w:ascii="Rockwell" w:hAnsi="Rockwell"/>
                <w:color w:val="000000"/>
                <w:szCs w:val="26"/>
              </w:rPr>
            </w:pPr>
            <w:r>
              <w:rPr>
                <w:rFonts w:ascii="Rockwell" w:hAnsi="Rockwell"/>
                <w:color w:val="000000"/>
                <w:szCs w:val="26"/>
              </w:rPr>
              <w:t>231</w:t>
            </w:r>
          </w:p>
        </w:tc>
        <w:tc>
          <w:tcPr>
            <w:tcW w:w="567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0F16C6A2" w14:textId="77777777" w:rsidR="00284822" w:rsidRDefault="00F77BF8">
            <w:pPr>
              <w:spacing w:before="120" w:after="120"/>
              <w:rPr>
                <w:rFonts w:ascii="Rockwell" w:hAnsi="Rockwell"/>
                <w:color w:val="000000"/>
                <w:szCs w:val="26"/>
              </w:rPr>
            </w:pPr>
            <w:r>
              <w:rPr>
                <w:rFonts w:ascii="Rockwell" w:hAnsi="Rockwell"/>
                <w:color w:val="000000"/>
                <w:szCs w:val="26"/>
              </w:rPr>
              <w:t>Bâtiments administratifs à usage de bureaux</w:t>
            </w:r>
          </w:p>
        </w:tc>
        <w:tc>
          <w:tcPr>
            <w:tcW w:w="311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77CEF403" w14:textId="77777777" w:rsidR="00284822" w:rsidRDefault="00F77BF8">
            <w:pPr>
              <w:spacing w:before="120" w:after="120"/>
              <w:jc w:val="center"/>
              <w:rPr>
                <w:rFonts w:ascii="Rockwell" w:hAnsi="Rockwell"/>
                <w:color w:val="000000"/>
                <w:szCs w:val="26"/>
              </w:rPr>
            </w:pPr>
            <w:r>
              <w:rPr>
                <w:rFonts w:ascii="Rockwell" w:hAnsi="Rockwell"/>
                <w:color w:val="000000"/>
                <w:szCs w:val="26"/>
              </w:rPr>
              <w:t>718 911 600</w:t>
            </w:r>
          </w:p>
        </w:tc>
      </w:tr>
      <w:tr w:rsidR="00284822" w14:paraId="1C882095" w14:textId="77777777">
        <w:trPr>
          <w:trHeight w:val="315"/>
          <w:jc w:val="center"/>
        </w:trPr>
        <w:tc>
          <w:tcPr>
            <w:tcW w:w="212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66381EB" w14:textId="77777777" w:rsidR="00284822" w:rsidRDefault="00F77BF8">
            <w:pPr>
              <w:spacing w:before="120" w:after="120"/>
              <w:rPr>
                <w:rFonts w:ascii="Rockwell" w:hAnsi="Rockwell"/>
                <w:color w:val="000000"/>
                <w:szCs w:val="26"/>
              </w:rPr>
            </w:pPr>
            <w:r>
              <w:rPr>
                <w:rFonts w:ascii="Rockwell" w:hAnsi="Rockwell"/>
                <w:color w:val="000000"/>
                <w:szCs w:val="26"/>
              </w:rPr>
              <w:t>233</w:t>
            </w:r>
          </w:p>
        </w:tc>
        <w:tc>
          <w:tcPr>
            <w:tcW w:w="567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427C049D" w14:textId="77777777" w:rsidR="00284822" w:rsidRDefault="00F77BF8">
            <w:pPr>
              <w:spacing w:before="120" w:after="120"/>
              <w:rPr>
                <w:rFonts w:ascii="Rockwell" w:hAnsi="Rockwell"/>
                <w:color w:val="000000"/>
                <w:szCs w:val="26"/>
              </w:rPr>
            </w:pPr>
            <w:r>
              <w:rPr>
                <w:rFonts w:ascii="Rockwell" w:hAnsi="Rockwell"/>
                <w:color w:val="000000"/>
                <w:szCs w:val="26"/>
              </w:rPr>
              <w:t>Bâtiments administratifs à usage technique</w:t>
            </w:r>
          </w:p>
        </w:tc>
        <w:tc>
          <w:tcPr>
            <w:tcW w:w="311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2AC9D89F" w14:textId="77777777" w:rsidR="00284822" w:rsidRDefault="00F77BF8">
            <w:pPr>
              <w:spacing w:before="120" w:after="120"/>
              <w:jc w:val="center"/>
              <w:rPr>
                <w:rFonts w:ascii="Rockwell" w:hAnsi="Rockwell"/>
                <w:color w:val="000000"/>
                <w:szCs w:val="26"/>
              </w:rPr>
            </w:pPr>
            <w:r>
              <w:rPr>
                <w:rFonts w:ascii="Rockwell" w:hAnsi="Rockwell"/>
                <w:color w:val="000000"/>
                <w:szCs w:val="26"/>
              </w:rPr>
              <w:t>3 481 192</w:t>
            </w:r>
          </w:p>
        </w:tc>
      </w:tr>
      <w:tr w:rsidR="00284822" w14:paraId="66C399C6" w14:textId="77777777">
        <w:trPr>
          <w:trHeight w:val="315"/>
          <w:jc w:val="center"/>
        </w:trPr>
        <w:tc>
          <w:tcPr>
            <w:tcW w:w="212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D56BF49" w14:textId="77777777" w:rsidR="00284822" w:rsidRDefault="00F77BF8">
            <w:pPr>
              <w:spacing w:before="120" w:after="120"/>
              <w:rPr>
                <w:rFonts w:ascii="Rockwell" w:hAnsi="Rockwell"/>
                <w:color w:val="000000"/>
                <w:szCs w:val="26"/>
              </w:rPr>
            </w:pPr>
            <w:r>
              <w:rPr>
                <w:rFonts w:ascii="Rockwell" w:hAnsi="Rockwell"/>
                <w:color w:val="000000"/>
                <w:szCs w:val="26"/>
              </w:rPr>
              <w:t>235</w:t>
            </w:r>
          </w:p>
        </w:tc>
        <w:tc>
          <w:tcPr>
            <w:tcW w:w="567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73F50E1C" w14:textId="77777777" w:rsidR="00284822" w:rsidRDefault="00F77BF8">
            <w:pPr>
              <w:spacing w:before="120" w:after="120"/>
              <w:rPr>
                <w:rFonts w:ascii="Rockwell" w:hAnsi="Rockwell"/>
                <w:color w:val="000000"/>
                <w:szCs w:val="26"/>
              </w:rPr>
            </w:pPr>
            <w:r>
              <w:rPr>
                <w:rFonts w:ascii="Rockwell" w:hAnsi="Rockwell"/>
                <w:color w:val="000000"/>
                <w:szCs w:val="26"/>
              </w:rPr>
              <w:t>Bâtiments administratifs à usage spécifique</w:t>
            </w:r>
          </w:p>
        </w:tc>
        <w:tc>
          <w:tcPr>
            <w:tcW w:w="311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1B2B4A06" w14:textId="77777777" w:rsidR="00284822" w:rsidRDefault="00F77BF8">
            <w:pPr>
              <w:spacing w:before="120" w:after="120"/>
              <w:jc w:val="center"/>
              <w:rPr>
                <w:rFonts w:ascii="Rockwell" w:hAnsi="Rockwell"/>
                <w:color w:val="000000"/>
                <w:szCs w:val="26"/>
              </w:rPr>
            </w:pPr>
            <w:r>
              <w:rPr>
                <w:rFonts w:ascii="Rockwell" w:hAnsi="Rockwell"/>
                <w:color w:val="000000"/>
                <w:szCs w:val="26"/>
              </w:rPr>
              <w:t>21 659 344</w:t>
            </w:r>
          </w:p>
        </w:tc>
      </w:tr>
      <w:tr w:rsidR="00284822" w14:paraId="1E41ED10" w14:textId="77777777">
        <w:trPr>
          <w:trHeight w:val="509"/>
          <w:jc w:val="center"/>
        </w:trPr>
        <w:tc>
          <w:tcPr>
            <w:tcW w:w="212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8EF39B6" w14:textId="77777777" w:rsidR="00284822" w:rsidRDefault="00F77BF8">
            <w:pPr>
              <w:spacing w:before="120" w:after="120"/>
              <w:rPr>
                <w:rFonts w:ascii="Rockwell" w:hAnsi="Rockwell"/>
                <w:color w:val="000000"/>
                <w:szCs w:val="26"/>
              </w:rPr>
            </w:pPr>
            <w:r>
              <w:rPr>
                <w:rFonts w:ascii="Rockwell" w:hAnsi="Rockwell"/>
                <w:color w:val="000000"/>
                <w:szCs w:val="26"/>
              </w:rPr>
              <w:t>241</w:t>
            </w:r>
          </w:p>
        </w:tc>
        <w:tc>
          <w:tcPr>
            <w:tcW w:w="567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0C85F3D5" w14:textId="77777777" w:rsidR="00284822" w:rsidRDefault="00F77BF8">
            <w:pPr>
              <w:spacing w:before="120" w:after="120"/>
              <w:rPr>
                <w:rFonts w:ascii="Rockwell" w:hAnsi="Rockwell"/>
                <w:color w:val="000000"/>
                <w:szCs w:val="26"/>
              </w:rPr>
            </w:pPr>
            <w:r>
              <w:rPr>
                <w:rFonts w:ascii="Rockwell" w:hAnsi="Rockwell"/>
                <w:color w:val="000000"/>
                <w:szCs w:val="26"/>
              </w:rPr>
              <w:t>Matériel de bureau et de logement</w:t>
            </w:r>
          </w:p>
        </w:tc>
        <w:tc>
          <w:tcPr>
            <w:tcW w:w="311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09E7D779" w14:textId="77777777" w:rsidR="00284822" w:rsidRDefault="00F77BF8">
            <w:pPr>
              <w:spacing w:before="120" w:after="120"/>
              <w:jc w:val="center"/>
              <w:rPr>
                <w:rFonts w:ascii="Rockwell" w:hAnsi="Rockwell"/>
                <w:color w:val="000000"/>
                <w:szCs w:val="26"/>
              </w:rPr>
            </w:pPr>
            <w:r>
              <w:rPr>
                <w:rFonts w:ascii="Rockwell" w:hAnsi="Rockwell"/>
                <w:color w:val="000000"/>
                <w:szCs w:val="26"/>
              </w:rPr>
              <w:t>78 264 882</w:t>
            </w:r>
          </w:p>
        </w:tc>
      </w:tr>
      <w:tr w:rsidR="00284822" w14:paraId="5F0066CA" w14:textId="77777777">
        <w:trPr>
          <w:trHeight w:val="315"/>
          <w:jc w:val="center"/>
        </w:trPr>
        <w:tc>
          <w:tcPr>
            <w:tcW w:w="212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23049D0" w14:textId="77777777" w:rsidR="00284822" w:rsidRDefault="00F77BF8">
            <w:pPr>
              <w:spacing w:before="120" w:after="120"/>
              <w:rPr>
                <w:rFonts w:ascii="Rockwell" w:hAnsi="Rockwell"/>
                <w:color w:val="000000"/>
                <w:szCs w:val="26"/>
              </w:rPr>
            </w:pPr>
            <w:r>
              <w:rPr>
                <w:rFonts w:ascii="Rockwell" w:hAnsi="Rockwell"/>
                <w:color w:val="000000"/>
                <w:szCs w:val="26"/>
              </w:rPr>
              <w:t>242</w:t>
            </w:r>
          </w:p>
        </w:tc>
        <w:tc>
          <w:tcPr>
            <w:tcW w:w="567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718CA9F2" w14:textId="77777777" w:rsidR="00284822" w:rsidRDefault="00F77BF8">
            <w:pPr>
              <w:spacing w:before="120" w:after="120"/>
              <w:rPr>
                <w:rFonts w:ascii="Rockwell" w:hAnsi="Rockwell"/>
                <w:color w:val="000000"/>
                <w:szCs w:val="26"/>
              </w:rPr>
            </w:pPr>
            <w:r>
              <w:rPr>
                <w:rFonts w:ascii="Rockwell" w:hAnsi="Rockwell"/>
                <w:color w:val="000000"/>
                <w:szCs w:val="26"/>
              </w:rPr>
              <w:t>Mobilier de bureau et de logement</w:t>
            </w:r>
          </w:p>
        </w:tc>
        <w:tc>
          <w:tcPr>
            <w:tcW w:w="311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3C608CA5" w14:textId="77777777" w:rsidR="00284822" w:rsidRDefault="00F77BF8">
            <w:pPr>
              <w:spacing w:before="120" w:after="120"/>
              <w:jc w:val="center"/>
              <w:rPr>
                <w:rFonts w:ascii="Rockwell" w:hAnsi="Rockwell"/>
                <w:color w:val="000000"/>
                <w:szCs w:val="26"/>
              </w:rPr>
            </w:pPr>
            <w:r>
              <w:rPr>
                <w:rFonts w:ascii="Rockwell" w:hAnsi="Rockwell"/>
                <w:color w:val="000000"/>
                <w:szCs w:val="26"/>
              </w:rPr>
              <w:t>195 327 050</w:t>
            </w:r>
          </w:p>
        </w:tc>
      </w:tr>
      <w:tr w:rsidR="00284822" w14:paraId="5E4414B3" w14:textId="77777777">
        <w:trPr>
          <w:trHeight w:val="564"/>
          <w:jc w:val="center"/>
        </w:trPr>
        <w:tc>
          <w:tcPr>
            <w:tcW w:w="212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D742CD9" w14:textId="77777777" w:rsidR="00284822" w:rsidRDefault="00F77BF8">
            <w:pPr>
              <w:spacing w:before="120" w:after="120"/>
              <w:rPr>
                <w:rFonts w:ascii="Rockwell" w:hAnsi="Rockwell"/>
                <w:color w:val="000000"/>
                <w:szCs w:val="26"/>
              </w:rPr>
            </w:pPr>
            <w:r>
              <w:rPr>
                <w:rFonts w:ascii="Rockwell" w:hAnsi="Rockwell"/>
                <w:color w:val="000000"/>
                <w:szCs w:val="26"/>
              </w:rPr>
              <w:t>243</w:t>
            </w:r>
          </w:p>
        </w:tc>
        <w:tc>
          <w:tcPr>
            <w:tcW w:w="567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5CE95606" w14:textId="77777777" w:rsidR="00284822" w:rsidRDefault="00F77BF8">
            <w:pPr>
              <w:spacing w:before="120" w:after="120"/>
              <w:rPr>
                <w:rFonts w:ascii="Rockwell" w:hAnsi="Rockwell"/>
                <w:color w:val="000000"/>
                <w:szCs w:val="26"/>
              </w:rPr>
            </w:pPr>
            <w:r>
              <w:rPr>
                <w:rFonts w:ascii="Rockwell" w:hAnsi="Rockwell"/>
                <w:color w:val="000000"/>
                <w:szCs w:val="26"/>
              </w:rPr>
              <w:t>Matériel informatique</w:t>
            </w:r>
          </w:p>
        </w:tc>
        <w:tc>
          <w:tcPr>
            <w:tcW w:w="311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7E96122C" w14:textId="77777777" w:rsidR="00284822" w:rsidRDefault="00F77BF8">
            <w:pPr>
              <w:spacing w:before="120" w:after="120"/>
              <w:jc w:val="center"/>
              <w:rPr>
                <w:rFonts w:ascii="Rockwell" w:hAnsi="Rockwell"/>
                <w:color w:val="000000"/>
                <w:szCs w:val="26"/>
              </w:rPr>
            </w:pPr>
            <w:r>
              <w:rPr>
                <w:rFonts w:ascii="Rockwell" w:hAnsi="Rockwell"/>
                <w:color w:val="000000"/>
                <w:szCs w:val="26"/>
              </w:rPr>
              <w:t>449 337 200</w:t>
            </w:r>
          </w:p>
        </w:tc>
      </w:tr>
      <w:tr w:rsidR="00284822" w14:paraId="37F02969" w14:textId="77777777">
        <w:trPr>
          <w:trHeight w:val="558"/>
          <w:jc w:val="center"/>
        </w:trPr>
        <w:tc>
          <w:tcPr>
            <w:tcW w:w="212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4DAF476" w14:textId="77777777" w:rsidR="00284822" w:rsidRDefault="00F77BF8">
            <w:pPr>
              <w:spacing w:before="120" w:after="120"/>
              <w:rPr>
                <w:rFonts w:ascii="Rockwell" w:hAnsi="Rockwell"/>
                <w:color w:val="000000"/>
                <w:szCs w:val="26"/>
              </w:rPr>
            </w:pPr>
            <w:r>
              <w:rPr>
                <w:rFonts w:ascii="Rockwell" w:hAnsi="Rockwell"/>
                <w:color w:val="000000"/>
                <w:szCs w:val="26"/>
              </w:rPr>
              <w:t>248</w:t>
            </w:r>
          </w:p>
        </w:tc>
        <w:tc>
          <w:tcPr>
            <w:tcW w:w="567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0EE1401E" w14:textId="77777777" w:rsidR="00284822" w:rsidRDefault="00F77BF8">
            <w:pPr>
              <w:spacing w:before="120" w:after="120"/>
              <w:rPr>
                <w:rFonts w:ascii="Rockwell" w:hAnsi="Rockwell"/>
                <w:color w:val="000000"/>
                <w:szCs w:val="26"/>
              </w:rPr>
            </w:pPr>
            <w:r>
              <w:rPr>
                <w:rFonts w:ascii="Rockwell" w:hAnsi="Rockwell"/>
                <w:color w:val="000000"/>
                <w:szCs w:val="26"/>
              </w:rPr>
              <w:t>Matériel roulant et de transport</w:t>
            </w:r>
          </w:p>
        </w:tc>
        <w:tc>
          <w:tcPr>
            <w:tcW w:w="311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72656C14" w14:textId="77777777" w:rsidR="00284822" w:rsidRDefault="00F77BF8">
            <w:pPr>
              <w:spacing w:before="120" w:after="120"/>
              <w:jc w:val="center"/>
              <w:rPr>
                <w:rFonts w:ascii="Rockwell" w:hAnsi="Rockwell"/>
                <w:color w:val="000000"/>
                <w:szCs w:val="26"/>
              </w:rPr>
            </w:pPr>
            <w:r>
              <w:rPr>
                <w:rFonts w:ascii="Rockwell" w:hAnsi="Rockwell"/>
                <w:color w:val="000000"/>
                <w:szCs w:val="26"/>
              </w:rPr>
              <w:t>357 130 008</w:t>
            </w:r>
          </w:p>
        </w:tc>
      </w:tr>
      <w:tr w:rsidR="00284822" w14:paraId="27900425" w14:textId="77777777">
        <w:trPr>
          <w:trHeight w:val="630"/>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3717B96" w14:textId="77777777" w:rsidR="00284822" w:rsidRDefault="00F77BF8">
            <w:pPr>
              <w:spacing w:before="120" w:after="120"/>
              <w:rPr>
                <w:rFonts w:ascii="Rockwell" w:hAnsi="Rockwell"/>
                <w:color w:val="000000"/>
                <w:szCs w:val="26"/>
              </w:rPr>
            </w:pPr>
            <w:r>
              <w:rPr>
                <w:rFonts w:ascii="Rockwell" w:hAnsi="Rockwell"/>
                <w:color w:val="000000"/>
                <w:szCs w:val="26"/>
              </w:rPr>
              <w:t>250</w:t>
            </w:r>
          </w:p>
        </w:tc>
        <w:tc>
          <w:tcPr>
            <w:tcW w:w="5670"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39EE630" w14:textId="77777777" w:rsidR="00284822" w:rsidRDefault="00F77BF8">
            <w:pPr>
              <w:spacing w:before="120" w:after="120"/>
              <w:rPr>
                <w:rFonts w:ascii="Rockwell" w:hAnsi="Rockwell"/>
                <w:color w:val="000000"/>
                <w:szCs w:val="26"/>
              </w:rPr>
            </w:pPr>
            <w:r>
              <w:rPr>
                <w:rFonts w:ascii="Rockwell" w:hAnsi="Rockwell"/>
                <w:color w:val="000000"/>
                <w:szCs w:val="26"/>
              </w:rPr>
              <w:t>Matériel et outillage spécifique de communication audiovisuelle</w:t>
            </w:r>
          </w:p>
        </w:tc>
        <w:tc>
          <w:tcPr>
            <w:tcW w:w="3118" w:type="dxa"/>
            <w:tcBorders>
              <w:top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1F177DD" w14:textId="77777777" w:rsidR="00284822" w:rsidRDefault="00F77BF8">
            <w:pPr>
              <w:spacing w:before="120" w:after="120"/>
              <w:jc w:val="center"/>
              <w:rPr>
                <w:rFonts w:ascii="Rockwell" w:hAnsi="Rockwell"/>
                <w:color w:val="000000"/>
                <w:szCs w:val="26"/>
              </w:rPr>
            </w:pPr>
            <w:r>
              <w:rPr>
                <w:rFonts w:ascii="Rockwell" w:hAnsi="Rockwell"/>
                <w:color w:val="000000"/>
                <w:szCs w:val="26"/>
              </w:rPr>
              <w:t>165 436 965</w:t>
            </w:r>
          </w:p>
        </w:tc>
      </w:tr>
      <w:tr w:rsidR="00284822" w14:paraId="68216BE5" w14:textId="77777777">
        <w:trPr>
          <w:trHeight w:val="630"/>
          <w:jc w:val="center"/>
        </w:trPr>
        <w:tc>
          <w:tcPr>
            <w:tcW w:w="212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AFBD563" w14:textId="77777777" w:rsidR="00284822" w:rsidRDefault="00F77BF8">
            <w:pPr>
              <w:spacing w:before="120" w:after="120"/>
              <w:rPr>
                <w:rFonts w:ascii="Rockwell" w:hAnsi="Rockwell"/>
                <w:color w:val="000000"/>
                <w:szCs w:val="26"/>
              </w:rPr>
            </w:pPr>
            <w:r>
              <w:rPr>
                <w:rFonts w:ascii="Rockwell" w:hAnsi="Rockwell"/>
                <w:color w:val="000000"/>
                <w:szCs w:val="26"/>
              </w:rPr>
              <w:t>256</w:t>
            </w:r>
          </w:p>
        </w:tc>
        <w:tc>
          <w:tcPr>
            <w:tcW w:w="5670"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0A360E8F" w14:textId="77777777" w:rsidR="00284822" w:rsidRDefault="00F77BF8">
            <w:pPr>
              <w:spacing w:before="120" w:after="120"/>
              <w:rPr>
                <w:rFonts w:ascii="Rockwell" w:hAnsi="Rockwell"/>
                <w:color w:val="000000"/>
                <w:szCs w:val="26"/>
              </w:rPr>
            </w:pPr>
            <w:r>
              <w:rPr>
                <w:rFonts w:ascii="Rockwell" w:hAnsi="Rockwell"/>
                <w:color w:val="000000"/>
                <w:szCs w:val="26"/>
              </w:rPr>
              <w:t>Matériel et outillage spécifique des mines et énergies</w:t>
            </w:r>
          </w:p>
        </w:tc>
        <w:tc>
          <w:tcPr>
            <w:tcW w:w="311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56D94463" w14:textId="77777777" w:rsidR="00284822" w:rsidRDefault="00F77BF8">
            <w:pPr>
              <w:spacing w:before="120" w:after="120"/>
              <w:jc w:val="center"/>
              <w:rPr>
                <w:rFonts w:ascii="Rockwell" w:hAnsi="Rockwell"/>
                <w:color w:val="000000"/>
                <w:szCs w:val="26"/>
              </w:rPr>
            </w:pPr>
            <w:r>
              <w:rPr>
                <w:rFonts w:ascii="Rockwell" w:hAnsi="Rockwell"/>
                <w:color w:val="000000"/>
                <w:szCs w:val="26"/>
              </w:rPr>
              <w:t>28 953 999</w:t>
            </w:r>
          </w:p>
        </w:tc>
      </w:tr>
      <w:tr w:rsidR="00284822" w14:paraId="0F5987BB" w14:textId="77777777">
        <w:trPr>
          <w:trHeight w:val="315"/>
          <w:jc w:val="center"/>
        </w:trPr>
        <w:tc>
          <w:tcPr>
            <w:tcW w:w="212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535198A" w14:textId="77777777" w:rsidR="00284822" w:rsidRDefault="00F77BF8">
            <w:pPr>
              <w:spacing w:before="120" w:after="120"/>
              <w:rPr>
                <w:rFonts w:ascii="Rockwell" w:hAnsi="Rockwell"/>
                <w:color w:val="000000"/>
                <w:szCs w:val="26"/>
              </w:rPr>
            </w:pPr>
            <w:r>
              <w:rPr>
                <w:rFonts w:ascii="Rockwell" w:hAnsi="Rockwell"/>
                <w:color w:val="000000"/>
                <w:szCs w:val="26"/>
              </w:rPr>
              <w:t>260</w:t>
            </w:r>
          </w:p>
        </w:tc>
        <w:tc>
          <w:tcPr>
            <w:tcW w:w="567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4121ABCF" w14:textId="77777777" w:rsidR="00284822" w:rsidRDefault="00F77BF8">
            <w:pPr>
              <w:spacing w:before="120" w:after="120"/>
              <w:rPr>
                <w:rFonts w:ascii="Rockwell" w:hAnsi="Rockwell"/>
                <w:color w:val="000000"/>
                <w:szCs w:val="26"/>
              </w:rPr>
            </w:pPr>
            <w:r>
              <w:rPr>
                <w:rFonts w:ascii="Rockwell" w:hAnsi="Rockwell"/>
                <w:color w:val="000000"/>
                <w:szCs w:val="26"/>
              </w:rPr>
              <w:t>Autres matériels et outillages techniques</w:t>
            </w:r>
          </w:p>
        </w:tc>
        <w:tc>
          <w:tcPr>
            <w:tcW w:w="311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43C8F486" w14:textId="77777777" w:rsidR="00284822" w:rsidRDefault="00F77BF8">
            <w:pPr>
              <w:spacing w:before="120" w:after="120"/>
              <w:jc w:val="center"/>
              <w:rPr>
                <w:rFonts w:ascii="Rockwell" w:hAnsi="Rockwell"/>
                <w:color w:val="000000"/>
                <w:szCs w:val="26"/>
              </w:rPr>
            </w:pPr>
            <w:r>
              <w:rPr>
                <w:rFonts w:ascii="Rockwell" w:hAnsi="Rockwell"/>
                <w:color w:val="000000"/>
                <w:szCs w:val="26"/>
              </w:rPr>
              <w:t>7 521 100</w:t>
            </w:r>
          </w:p>
        </w:tc>
      </w:tr>
      <w:tr w:rsidR="00284822" w14:paraId="4216E313" w14:textId="77777777">
        <w:trPr>
          <w:trHeight w:val="551"/>
          <w:jc w:val="center"/>
        </w:trPr>
        <w:tc>
          <w:tcPr>
            <w:tcW w:w="7792"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noWrap/>
            <w:tcMar>
              <w:top w:w="0" w:type="dxa"/>
              <w:left w:w="70" w:type="dxa"/>
              <w:bottom w:w="0" w:type="dxa"/>
              <w:right w:w="70" w:type="dxa"/>
            </w:tcMar>
            <w:vAlign w:val="center"/>
          </w:tcPr>
          <w:p w14:paraId="78B8DC9C" w14:textId="77777777" w:rsidR="00284822" w:rsidRDefault="00F77BF8">
            <w:pPr>
              <w:spacing w:before="120" w:after="120"/>
              <w:rPr>
                <w:rFonts w:ascii="Rockwell" w:hAnsi="Rockwell"/>
                <w:b/>
                <w:bCs/>
                <w:color w:val="000000"/>
                <w:szCs w:val="26"/>
              </w:rPr>
            </w:pPr>
            <w:r>
              <w:rPr>
                <w:rFonts w:ascii="Rockwell" w:hAnsi="Rockwell"/>
                <w:b/>
                <w:bCs/>
                <w:color w:val="000000"/>
                <w:szCs w:val="26"/>
              </w:rPr>
              <w:t>TOTAL</w:t>
            </w:r>
          </w:p>
        </w:tc>
        <w:tc>
          <w:tcPr>
            <w:tcW w:w="3118" w:type="dxa"/>
            <w:tcBorders>
              <w:bottom w:val="single" w:sz="4" w:space="0" w:color="000000"/>
              <w:right w:val="single" w:sz="4" w:space="0" w:color="000000"/>
            </w:tcBorders>
            <w:shd w:val="clear" w:color="auto" w:fill="BDD6EE" w:themeFill="accent1" w:themeFillTint="66"/>
            <w:noWrap/>
            <w:tcMar>
              <w:top w:w="0" w:type="dxa"/>
              <w:left w:w="70" w:type="dxa"/>
              <w:bottom w:w="0" w:type="dxa"/>
              <w:right w:w="70" w:type="dxa"/>
            </w:tcMar>
            <w:vAlign w:val="center"/>
          </w:tcPr>
          <w:p w14:paraId="66F4380B" w14:textId="77777777" w:rsidR="00284822" w:rsidRDefault="00F77BF8">
            <w:pPr>
              <w:pStyle w:val="Paragraphedeliste"/>
              <w:numPr>
                <w:ilvl w:val="0"/>
                <w:numId w:val="49"/>
              </w:numPr>
              <w:jc w:val="center"/>
              <w:rPr>
                <w:rFonts w:ascii="Rockwell" w:hAnsi="Rockwell"/>
                <w:b/>
                <w:bCs/>
                <w:color w:val="000000"/>
              </w:rPr>
            </w:pPr>
            <w:r>
              <w:rPr>
                <w:rFonts w:ascii="Rockwell" w:hAnsi="Rockwell"/>
                <w:b/>
                <w:bCs/>
                <w:color w:val="000000"/>
              </w:rPr>
              <w:t>707 065 620</w:t>
            </w:r>
          </w:p>
        </w:tc>
      </w:tr>
    </w:tbl>
    <w:p w14:paraId="62A6A0CB" w14:textId="77777777" w:rsidR="00284822" w:rsidRDefault="00284822">
      <w:pPr>
        <w:pStyle w:val="Paragraphedeliste"/>
        <w:numPr>
          <w:ilvl w:val="0"/>
          <w:numId w:val="49"/>
        </w:numPr>
        <w:ind w:left="714" w:hanging="357"/>
        <w:textAlignment w:val="auto"/>
        <w:rPr>
          <w:rFonts w:ascii="Rockwell" w:hAnsi="Rockwell"/>
          <w:b/>
        </w:rPr>
        <w:sectPr w:rsidR="00284822">
          <w:pgSz w:w="11906" w:h="16838"/>
          <w:pgMar w:top="1418" w:right="1418" w:bottom="1418" w:left="1418" w:header="720" w:footer="720" w:gutter="0"/>
          <w:cols w:space="720"/>
        </w:sectPr>
      </w:pPr>
      <w:bookmarkStart w:id="324" w:name="_Toc35857274"/>
    </w:p>
    <w:p w14:paraId="6B090D7F" w14:textId="77777777" w:rsidR="00284822" w:rsidRDefault="00284822">
      <w:pPr>
        <w:pageBreakBefore/>
        <w:spacing w:before="120" w:after="120"/>
        <w:rPr>
          <w:rFonts w:ascii="Rockwell" w:hAnsi="Rockwell"/>
          <w:szCs w:val="26"/>
        </w:rPr>
      </w:pPr>
      <w:bookmarkStart w:id="325" w:name="_Toc19126837"/>
      <w:bookmarkStart w:id="326" w:name="_Toc19127062"/>
      <w:bookmarkEnd w:id="324"/>
    </w:p>
    <w:p w14:paraId="5557A132" w14:textId="77777777" w:rsidR="00284822" w:rsidRDefault="00284822">
      <w:pPr>
        <w:spacing w:before="120" w:after="120"/>
        <w:rPr>
          <w:rFonts w:ascii="Rockwell" w:hAnsi="Rockwell"/>
          <w:szCs w:val="26"/>
        </w:rPr>
      </w:pPr>
    </w:p>
    <w:p w14:paraId="1DCFE6D7" w14:textId="77777777" w:rsidR="00284822" w:rsidRDefault="00284822">
      <w:pPr>
        <w:spacing w:before="120" w:after="120"/>
        <w:rPr>
          <w:rFonts w:ascii="Rockwell" w:hAnsi="Rockwell"/>
          <w:szCs w:val="26"/>
        </w:rPr>
      </w:pPr>
    </w:p>
    <w:p w14:paraId="4BD77A41" w14:textId="77777777" w:rsidR="00284822" w:rsidRDefault="00284822">
      <w:pPr>
        <w:spacing w:before="120" w:after="120"/>
        <w:rPr>
          <w:rFonts w:ascii="Rockwell" w:hAnsi="Rockwell"/>
          <w:szCs w:val="26"/>
        </w:rPr>
      </w:pPr>
    </w:p>
    <w:p w14:paraId="2479F9A4" w14:textId="77777777" w:rsidR="00284822" w:rsidRDefault="00284822">
      <w:pPr>
        <w:spacing w:before="120" w:after="120"/>
        <w:rPr>
          <w:rFonts w:ascii="Rockwell" w:hAnsi="Rockwell"/>
          <w:szCs w:val="26"/>
        </w:rPr>
      </w:pPr>
    </w:p>
    <w:p w14:paraId="766ABCE0" w14:textId="77777777" w:rsidR="00284822" w:rsidRDefault="00284822">
      <w:pPr>
        <w:spacing w:before="120" w:after="120"/>
        <w:rPr>
          <w:rFonts w:ascii="Rockwell" w:hAnsi="Rockwell"/>
          <w:szCs w:val="26"/>
        </w:rPr>
      </w:pPr>
    </w:p>
    <w:p w14:paraId="77DCD555" w14:textId="77777777" w:rsidR="00284822" w:rsidRDefault="00F77BF8">
      <w:pPr>
        <w:spacing w:before="120" w:after="120"/>
        <w:rPr>
          <w:rFonts w:ascii="Rockwell" w:hAnsi="Rockwell"/>
          <w:szCs w:val="26"/>
        </w:rPr>
      </w:pPr>
      <w:r>
        <w:rPr>
          <w:rFonts w:ascii="Rockwell" w:hAnsi="Rockwell"/>
          <w:noProof/>
          <w:szCs w:val="26"/>
        </w:rPr>
        <mc:AlternateContent>
          <mc:Choice Requires="wps">
            <w:drawing>
              <wp:anchor distT="0" distB="0" distL="114300" distR="114300" simplePos="0" relativeHeight="251664384" behindDoc="0" locked="0" layoutInCell="1" allowOverlap="1" wp14:anchorId="6F94FCF5" wp14:editId="41B9483A">
                <wp:simplePos x="0" y="0"/>
                <wp:positionH relativeFrom="margin">
                  <wp:posOffset>-5080</wp:posOffset>
                </wp:positionH>
                <wp:positionV relativeFrom="paragraph">
                  <wp:posOffset>231140</wp:posOffset>
                </wp:positionV>
                <wp:extent cx="5840730" cy="1981200"/>
                <wp:effectExtent l="19050" t="19050" r="26670" b="19050"/>
                <wp:wrapNone/>
                <wp:docPr id="68" name="Rectangle à coins arrondis 68"/>
                <wp:cNvGraphicFramePr/>
                <a:graphic xmlns:a="http://schemas.openxmlformats.org/drawingml/2006/main">
                  <a:graphicData uri="http://schemas.microsoft.com/office/word/2010/wordprocessingShape">
                    <wps:wsp>
                      <wps:cNvSpPr/>
                      <wps:spPr>
                        <a:xfrm>
                          <a:off x="0" y="0"/>
                          <a:ext cx="5840730" cy="1981200"/>
                        </a:xfrm>
                        <a:prstGeom prst="roundRect">
                          <a:avLst/>
                        </a:prstGeom>
                        <a:solidFill>
                          <a:srgbClr val="00B0F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855320" w14:textId="77777777" w:rsidR="003148F1" w:rsidRDefault="003148F1">
                            <w:pPr>
                              <w:pStyle w:val="Titre1"/>
                              <w:spacing w:before="120" w:after="120"/>
                              <w:rPr>
                                <w:rFonts w:ascii="Rockwell" w:hAnsi="Rockwell"/>
                                <w:color w:val="000000" w:themeColor="text1"/>
                              </w:rPr>
                            </w:pPr>
                            <w:bookmarkStart w:id="327" w:name="_Toc43239495"/>
                            <w:bookmarkStart w:id="328" w:name="_Toc42536540"/>
                            <w:bookmarkStart w:id="329" w:name="_Toc42529885"/>
                            <w:bookmarkStart w:id="330" w:name="_Toc42536329"/>
                            <w:bookmarkStart w:id="331" w:name="_Toc43238643"/>
                            <w:bookmarkStart w:id="332" w:name="_Toc42535768"/>
                            <w:bookmarkStart w:id="333" w:name="_Toc72864385"/>
                            <w:bookmarkStart w:id="334" w:name="_Toc119511804"/>
                            <w:bookmarkStart w:id="335" w:name="_Toc170304777"/>
                            <w:bookmarkStart w:id="336" w:name="_Toc175048760"/>
                            <w:bookmarkStart w:id="337" w:name="_Toc73184158"/>
                            <w:bookmarkStart w:id="338" w:name="_Toc122608727"/>
                            <w:bookmarkStart w:id="339" w:name="_Toc73183967"/>
                            <w:r>
                              <w:rPr>
                                <w:rFonts w:ascii="Rockwell" w:hAnsi="Rockwell"/>
                                <w:color w:val="000000" w:themeColor="text1"/>
                              </w:rPr>
                              <w:t>QUATRIEME PARTIE :</w:t>
                            </w:r>
                            <w:bookmarkStart w:id="340" w:name="_Toc42529886"/>
                            <w:bookmarkStart w:id="341" w:name="_Toc43239496"/>
                            <w:bookmarkStart w:id="342" w:name="_Toc42536330"/>
                            <w:bookmarkStart w:id="343" w:name="_Toc43238644"/>
                            <w:bookmarkStart w:id="344" w:name="_Toc42536541"/>
                            <w:bookmarkStart w:id="345" w:name="_Toc42535769"/>
                            <w:bookmarkEnd w:id="327"/>
                            <w:bookmarkEnd w:id="328"/>
                            <w:bookmarkEnd w:id="329"/>
                            <w:bookmarkEnd w:id="330"/>
                            <w:bookmarkEnd w:id="331"/>
                            <w:bookmarkEnd w:id="332"/>
                            <w:r>
                              <w:rPr>
                                <w:rFonts w:ascii="Rockwell" w:hAnsi="Rockwell"/>
                                <w:color w:val="000000" w:themeColor="text1"/>
                              </w:rPr>
                              <w:t xml:space="preserve"> ACQUIS, PERSPECTIVES ET RECOMMANDATIONS</w:t>
                            </w:r>
                            <w:bookmarkEnd w:id="333"/>
                            <w:bookmarkEnd w:id="334"/>
                            <w:bookmarkEnd w:id="335"/>
                            <w:bookmarkEnd w:id="336"/>
                            <w:bookmarkEnd w:id="337"/>
                            <w:bookmarkEnd w:id="338"/>
                            <w:bookmarkEnd w:id="339"/>
                            <w:bookmarkEnd w:id="340"/>
                            <w:bookmarkEnd w:id="341"/>
                            <w:bookmarkEnd w:id="342"/>
                            <w:bookmarkEnd w:id="343"/>
                            <w:bookmarkEnd w:id="344"/>
                            <w:bookmarkEnd w:id="345"/>
                          </w:p>
                          <w:p w14:paraId="6BD2D8D3" w14:textId="77777777" w:rsidR="003148F1" w:rsidRDefault="003148F1">
                            <w:pPr>
                              <w:spacing w:before="120" w:after="120"/>
                              <w:jc w:val="center"/>
                              <w:rPr>
                                <w:color w:val="000000"/>
                                <w:szCs w:val="26"/>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6F94FCF5" id="Rectangle à coins arrondis 68" o:spid="_x0000_s1042" style="position:absolute;left:0;text-align:left;margin-left:-.4pt;margin-top:18.2pt;width:459.9pt;height:156pt;z-index:251664384;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" fillcolor="#00b0f0" strokecolor="black [3213]" strokeweight="2.25pt">
                <v:stroke joinstyle="miter"/>
                <v:textbox>
                  <w:txbxContent>
                    <w:p w14:paraId="4E855320" w14:textId="77777777" w:rsidR="003148F1" w:rsidRDefault="003148F1">
                      <w:pPr>
                        <w:pStyle w:val="Titre1"/>
                        <w:spacing w:before="120" w:after="120"/>
                        <w:rPr>
                          <w:rFonts w:ascii="Rockwell" w:hAnsi="Rockwell"/>
                          <w:color w:val="000000" w:themeColor="text1"/>
                        </w:rPr>
                      </w:pPr>
                      <w:bookmarkStart w:id="346" w:name="_Toc43239495"/>
                      <w:bookmarkStart w:id="347" w:name="_Toc42536540"/>
                      <w:bookmarkStart w:id="348" w:name="_Toc42529885"/>
                      <w:bookmarkStart w:id="349" w:name="_Toc42536329"/>
                      <w:bookmarkStart w:id="350" w:name="_Toc43238643"/>
                      <w:bookmarkStart w:id="351" w:name="_Toc42535768"/>
                      <w:bookmarkStart w:id="352" w:name="_Toc72864385"/>
                      <w:bookmarkStart w:id="353" w:name="_Toc119511804"/>
                      <w:bookmarkStart w:id="354" w:name="_Toc170304777"/>
                      <w:bookmarkStart w:id="355" w:name="_Toc175048760"/>
                      <w:bookmarkStart w:id="356" w:name="_Toc73184158"/>
                      <w:bookmarkStart w:id="357" w:name="_Toc122608727"/>
                      <w:bookmarkStart w:id="358" w:name="_Toc73183967"/>
                      <w:r>
                        <w:rPr>
                          <w:rFonts w:ascii="Rockwell" w:hAnsi="Rockwell"/>
                          <w:color w:val="000000" w:themeColor="text1"/>
                        </w:rPr>
                        <w:t>QUATRIEME PARTIE :</w:t>
                      </w:r>
                      <w:bookmarkStart w:id="359" w:name="_Toc42529886"/>
                      <w:bookmarkStart w:id="360" w:name="_Toc43239496"/>
                      <w:bookmarkStart w:id="361" w:name="_Toc42536330"/>
                      <w:bookmarkStart w:id="362" w:name="_Toc43238644"/>
                      <w:bookmarkStart w:id="363" w:name="_Toc42536541"/>
                      <w:bookmarkStart w:id="364" w:name="_Toc42535769"/>
                      <w:bookmarkEnd w:id="346"/>
                      <w:bookmarkEnd w:id="347"/>
                      <w:bookmarkEnd w:id="348"/>
                      <w:bookmarkEnd w:id="349"/>
                      <w:bookmarkEnd w:id="350"/>
                      <w:bookmarkEnd w:id="351"/>
                      <w:r>
                        <w:rPr>
                          <w:rFonts w:ascii="Rockwell" w:hAnsi="Rockwell"/>
                          <w:color w:val="000000" w:themeColor="text1"/>
                        </w:rPr>
                        <w:t xml:space="preserve"> ACQUIS, PERSPECTIVES ET RECOMMANDATIONS</w:t>
                      </w:r>
                      <w:bookmarkEnd w:id="352"/>
                      <w:bookmarkEnd w:id="353"/>
                      <w:bookmarkEnd w:id="354"/>
                      <w:bookmarkEnd w:id="355"/>
                      <w:bookmarkEnd w:id="356"/>
                      <w:bookmarkEnd w:id="357"/>
                      <w:bookmarkEnd w:id="358"/>
                      <w:bookmarkEnd w:id="359"/>
                      <w:bookmarkEnd w:id="360"/>
                      <w:bookmarkEnd w:id="361"/>
                      <w:bookmarkEnd w:id="362"/>
                      <w:bookmarkEnd w:id="363"/>
                      <w:bookmarkEnd w:id="364"/>
                    </w:p>
                    <w:p w14:paraId="6BD2D8D3" w14:textId="77777777" w:rsidR="003148F1" w:rsidRDefault="003148F1">
                      <w:pPr>
                        <w:spacing w:before="120" w:after="120"/>
                        <w:jc w:val="center"/>
                        <w:rPr>
                          <w:color w:val="000000"/>
                          <w:szCs w:val="26"/>
                        </w:rPr>
                      </w:pPr>
                    </w:p>
                  </w:txbxContent>
                </v:textbox>
                <w10:wrap anchorx="margin"/>
              </v:roundrect>
            </w:pict>
          </mc:Fallback>
        </mc:AlternateContent>
      </w:r>
    </w:p>
    <w:p w14:paraId="6DF116BC" w14:textId="77777777" w:rsidR="00284822" w:rsidRDefault="00284822">
      <w:pPr>
        <w:spacing w:before="120" w:after="120"/>
        <w:rPr>
          <w:rFonts w:ascii="Rockwell" w:hAnsi="Rockwell"/>
          <w:szCs w:val="26"/>
        </w:rPr>
      </w:pPr>
    </w:p>
    <w:p w14:paraId="55022A0C" w14:textId="77777777" w:rsidR="00284822" w:rsidRDefault="00284822">
      <w:pPr>
        <w:spacing w:before="120" w:after="120"/>
        <w:rPr>
          <w:rFonts w:ascii="Rockwell" w:hAnsi="Rockwell"/>
          <w:szCs w:val="26"/>
        </w:rPr>
      </w:pPr>
    </w:p>
    <w:p w14:paraId="4F140306" w14:textId="77777777" w:rsidR="00284822" w:rsidRDefault="00284822">
      <w:pPr>
        <w:spacing w:before="120" w:after="120"/>
        <w:rPr>
          <w:rFonts w:ascii="Rockwell" w:hAnsi="Rockwell"/>
          <w:szCs w:val="26"/>
        </w:rPr>
      </w:pPr>
    </w:p>
    <w:p w14:paraId="4DC4CFE6" w14:textId="77777777" w:rsidR="00284822" w:rsidRDefault="00284822">
      <w:pPr>
        <w:spacing w:before="120" w:after="120"/>
        <w:rPr>
          <w:rFonts w:ascii="Rockwell" w:hAnsi="Rockwell"/>
          <w:szCs w:val="26"/>
        </w:rPr>
      </w:pPr>
    </w:p>
    <w:p w14:paraId="126898C7" w14:textId="77777777" w:rsidR="00284822" w:rsidRDefault="00284822">
      <w:pPr>
        <w:spacing w:before="120" w:after="120"/>
        <w:rPr>
          <w:rFonts w:ascii="Rockwell" w:hAnsi="Rockwell"/>
          <w:szCs w:val="26"/>
        </w:rPr>
      </w:pPr>
    </w:p>
    <w:p w14:paraId="51B9C530" w14:textId="77777777" w:rsidR="00284822" w:rsidRDefault="00284822">
      <w:pPr>
        <w:spacing w:before="120" w:after="120"/>
        <w:rPr>
          <w:rFonts w:ascii="Rockwell" w:hAnsi="Rockwell"/>
          <w:szCs w:val="26"/>
        </w:rPr>
      </w:pPr>
    </w:p>
    <w:p w14:paraId="5ECE936F" w14:textId="77777777" w:rsidR="00284822" w:rsidRDefault="00284822">
      <w:pPr>
        <w:spacing w:before="120" w:after="120"/>
        <w:rPr>
          <w:rFonts w:ascii="Rockwell" w:hAnsi="Rockwell"/>
          <w:color w:val="000000"/>
          <w:szCs w:val="26"/>
        </w:rPr>
      </w:pPr>
    </w:p>
    <w:p w14:paraId="5BA924A6" w14:textId="77777777" w:rsidR="00284822" w:rsidRDefault="00284822">
      <w:pPr>
        <w:spacing w:before="120" w:after="120"/>
        <w:rPr>
          <w:rFonts w:ascii="Rockwell" w:hAnsi="Rockwell"/>
          <w:color w:val="000000"/>
          <w:szCs w:val="26"/>
        </w:rPr>
        <w:sectPr w:rsidR="00284822">
          <w:pgSz w:w="11906" w:h="16838"/>
          <w:pgMar w:top="1418" w:right="1418" w:bottom="1418" w:left="1418" w:header="720" w:footer="720" w:gutter="0"/>
          <w:cols w:space="720"/>
        </w:sectPr>
      </w:pPr>
    </w:p>
    <w:p w14:paraId="76F1DC85" w14:textId="77777777" w:rsidR="00284822" w:rsidRDefault="00F77BF8">
      <w:pPr>
        <w:pStyle w:val="Titre2"/>
        <w:spacing w:before="120" w:after="120"/>
        <w:rPr>
          <w:rFonts w:ascii="Rockwell" w:hAnsi="Rockwell"/>
          <w:sz w:val="30"/>
          <w:szCs w:val="30"/>
        </w:rPr>
      </w:pPr>
      <w:bookmarkStart w:id="365" w:name="_Toc42536542"/>
      <w:bookmarkStart w:id="366" w:name="_Toc72864386"/>
      <w:bookmarkStart w:id="367" w:name="_Toc175048761"/>
      <w:bookmarkStart w:id="368" w:name="_Toc43239497"/>
      <w:bookmarkStart w:id="369" w:name="_Toc42536331"/>
      <w:bookmarkStart w:id="370" w:name="_Toc119511805"/>
      <w:bookmarkStart w:id="371" w:name="_Toc73184159"/>
      <w:bookmarkStart w:id="372" w:name="_Toc170304778"/>
      <w:bookmarkStart w:id="373" w:name="_Toc42535770"/>
      <w:bookmarkStart w:id="374" w:name="_Toc42529887"/>
      <w:bookmarkStart w:id="375" w:name="_Toc122608728"/>
      <w:bookmarkStart w:id="376" w:name="_Toc43238645"/>
      <w:bookmarkStart w:id="377" w:name="_Toc73183968"/>
      <w:r>
        <w:rPr>
          <w:rFonts w:ascii="Rockwell" w:hAnsi="Rockwell"/>
          <w:sz w:val="30"/>
          <w:szCs w:val="30"/>
        </w:rPr>
        <w:lastRenderedPageBreak/>
        <w:t>CHAPITRE I : ACQUIS</w:t>
      </w:r>
      <w:bookmarkEnd w:id="365"/>
      <w:bookmarkEnd w:id="366"/>
      <w:bookmarkEnd w:id="367"/>
      <w:bookmarkEnd w:id="368"/>
      <w:bookmarkEnd w:id="369"/>
      <w:bookmarkEnd w:id="370"/>
      <w:bookmarkEnd w:id="371"/>
      <w:bookmarkEnd w:id="372"/>
      <w:bookmarkEnd w:id="373"/>
      <w:bookmarkEnd w:id="374"/>
      <w:bookmarkEnd w:id="375"/>
      <w:bookmarkEnd w:id="376"/>
      <w:bookmarkEnd w:id="377"/>
    </w:p>
    <w:p w14:paraId="37A5C910" w14:textId="77777777" w:rsidR="00284822" w:rsidRDefault="00F77BF8">
      <w:pPr>
        <w:spacing w:before="120" w:after="120"/>
        <w:rPr>
          <w:rFonts w:ascii="Rockwell" w:hAnsi="Rockwell"/>
          <w:szCs w:val="26"/>
        </w:rPr>
      </w:pPr>
      <w:r>
        <w:rPr>
          <w:rFonts w:ascii="Rockwell" w:hAnsi="Rockwell"/>
          <w:szCs w:val="26"/>
        </w:rPr>
        <w:t>En 2022, en dépit de la crise qui a entrainé le dysfonctionnement de son organe délibérant, le CSC a engrangé des acquis d’ordre administratif et organisationnel d’une part, et d’ordre matériel et technologique d’autre part.</w:t>
      </w:r>
    </w:p>
    <w:p w14:paraId="6E1F3045" w14:textId="77777777" w:rsidR="00284822" w:rsidRDefault="00284822">
      <w:pPr>
        <w:spacing w:before="120" w:after="120"/>
        <w:rPr>
          <w:rFonts w:ascii="Rockwell" w:hAnsi="Rockwell"/>
          <w:sz w:val="16"/>
          <w:szCs w:val="16"/>
        </w:rPr>
      </w:pPr>
    </w:p>
    <w:p w14:paraId="3D8BAF84" w14:textId="77777777" w:rsidR="00284822" w:rsidRDefault="00F77BF8">
      <w:pPr>
        <w:pStyle w:val="Titre3"/>
        <w:spacing w:before="120" w:after="120"/>
        <w:rPr>
          <w:rFonts w:ascii="Rockwell" w:hAnsi="Rockwell"/>
        </w:rPr>
      </w:pPr>
      <w:bookmarkStart w:id="378" w:name="_Toc175048762"/>
      <w:bookmarkStart w:id="379" w:name="_Toc170304779"/>
      <w:r>
        <w:rPr>
          <w:rFonts w:ascii="Rockwell" w:hAnsi="Rockwell"/>
        </w:rPr>
        <w:t>SECTION 1 : ACQUIS D’ORDRE ADMINISTRATIF ET ORGANISATIONNEL</w:t>
      </w:r>
      <w:bookmarkEnd w:id="378"/>
      <w:bookmarkEnd w:id="379"/>
    </w:p>
    <w:p w14:paraId="32D93CE3" w14:textId="77777777" w:rsidR="00284822" w:rsidRDefault="00F77BF8">
      <w:pPr>
        <w:spacing w:before="120" w:after="120"/>
        <w:rPr>
          <w:rFonts w:ascii="Rockwell" w:hAnsi="Rockwell"/>
          <w:color w:val="000000" w:themeColor="text1"/>
          <w:szCs w:val="26"/>
        </w:rPr>
      </w:pPr>
      <w:r>
        <w:rPr>
          <w:rFonts w:ascii="Rockwell" w:hAnsi="Rockwell"/>
          <w:color w:val="000000" w:themeColor="text1"/>
          <w:szCs w:val="26"/>
        </w:rPr>
        <w:t>Le projet de modernisation de la gestion des archives dont le lancement est intervenu en 2021, avec l’acquisition du Système Intégré de Gestion des Archives et de la Documentation (SIGARD), s’est poursuivi en 2022 avec le traitement des archives du Secrétariat général. Ce travail s’est effectué en collaboration avec les Archives nationales et a permis la numérisation d’une partie de ces archives.</w:t>
      </w:r>
    </w:p>
    <w:p w14:paraId="53019373" w14:textId="77777777" w:rsidR="00284822" w:rsidRDefault="00284822">
      <w:pPr>
        <w:spacing w:before="120" w:after="120"/>
        <w:rPr>
          <w:rFonts w:ascii="Rockwell" w:hAnsi="Rockwell"/>
          <w:color w:val="000000" w:themeColor="text1"/>
          <w:sz w:val="16"/>
          <w:szCs w:val="16"/>
        </w:rPr>
      </w:pPr>
    </w:p>
    <w:p w14:paraId="7E828B73" w14:textId="77777777" w:rsidR="00284822" w:rsidRDefault="00F77BF8">
      <w:pPr>
        <w:pStyle w:val="Titre3"/>
        <w:spacing w:before="120" w:after="120"/>
        <w:rPr>
          <w:rFonts w:ascii="Rockwell" w:hAnsi="Rockwell"/>
        </w:rPr>
      </w:pPr>
      <w:bookmarkStart w:id="380" w:name="_Toc175048763"/>
      <w:bookmarkStart w:id="381" w:name="_Toc170304780"/>
      <w:r>
        <w:rPr>
          <w:rFonts w:ascii="Rockwell" w:hAnsi="Rockwell"/>
        </w:rPr>
        <w:t>SECTION 2 : ACQUIS D’ORDRE MATERIEL ET TECHNOLOGIQUE</w:t>
      </w:r>
      <w:bookmarkEnd w:id="380"/>
      <w:bookmarkEnd w:id="381"/>
    </w:p>
    <w:p w14:paraId="712CB176" w14:textId="77777777" w:rsidR="00284822" w:rsidRDefault="00F77BF8">
      <w:pPr>
        <w:spacing w:before="120" w:after="120"/>
        <w:rPr>
          <w:rFonts w:ascii="Rockwell" w:hAnsi="Rockwell"/>
          <w:szCs w:val="26"/>
        </w:rPr>
      </w:pPr>
      <w:r>
        <w:rPr>
          <w:rFonts w:ascii="Rockwell" w:hAnsi="Rockwell"/>
          <w:szCs w:val="26"/>
        </w:rPr>
        <w:t xml:space="preserve">Dans le cadre de ses missions, le CSC procède, sur saisine ou auto saisine, au contrôle des équipements, du spectre et du rayonnement des fréquences en vue de détecter les éventuelles anomalies susceptibles de provoquer des dysfonctionnements dans l’activité médiatique, notamment les brouillages ou interférences. A cet effet, il s’est doté </w:t>
      </w:r>
      <w:r>
        <w:rPr>
          <w:rFonts w:ascii="Rockwell" w:hAnsi="Rockwell"/>
          <w:color w:val="000000" w:themeColor="text1"/>
          <w:szCs w:val="26"/>
        </w:rPr>
        <w:t xml:space="preserve">d’un analyseur de spectre AUDEMAT MC5, conforme aux normes recommandées </w:t>
      </w:r>
      <w:r>
        <w:rPr>
          <w:rFonts w:ascii="Rockwell" w:hAnsi="Rockwell"/>
          <w:szCs w:val="26"/>
        </w:rPr>
        <w:t>par l’UIT.</w:t>
      </w:r>
    </w:p>
    <w:p w14:paraId="6FA96E24" w14:textId="77777777" w:rsidR="00284822" w:rsidRDefault="00284822">
      <w:pPr>
        <w:spacing w:before="120" w:after="120"/>
        <w:rPr>
          <w:rFonts w:ascii="Rockwell" w:hAnsi="Rockwell"/>
          <w:b/>
          <w:color w:val="000000" w:themeColor="text1"/>
          <w:szCs w:val="26"/>
        </w:rPr>
        <w:sectPr w:rsidR="00284822">
          <w:headerReference w:type="default" r:id="rId109"/>
          <w:footerReference w:type="default" r:id="rId110"/>
          <w:pgSz w:w="11906" w:h="16838"/>
          <w:pgMar w:top="1418" w:right="1418" w:bottom="1418" w:left="1418" w:header="720" w:footer="720" w:gutter="0"/>
          <w:cols w:space="720"/>
        </w:sectPr>
      </w:pPr>
    </w:p>
    <w:p w14:paraId="6B5522E8" w14:textId="77777777" w:rsidR="00284822" w:rsidRDefault="00F77BF8">
      <w:pPr>
        <w:pStyle w:val="Titre2"/>
        <w:spacing w:before="120" w:after="120"/>
        <w:rPr>
          <w:rFonts w:ascii="Rockwell" w:hAnsi="Rockwell"/>
          <w:sz w:val="30"/>
          <w:szCs w:val="30"/>
        </w:rPr>
      </w:pPr>
      <w:bookmarkStart w:id="382" w:name="_Toc73183969"/>
      <w:bookmarkStart w:id="383" w:name="_Toc72864387"/>
      <w:bookmarkStart w:id="384" w:name="_Toc122608731"/>
      <w:bookmarkStart w:id="385" w:name="_Toc175048764"/>
      <w:bookmarkStart w:id="386" w:name="_Toc73184160"/>
      <w:bookmarkStart w:id="387" w:name="_Toc119511808"/>
      <w:bookmarkStart w:id="388" w:name="_Toc42670229"/>
      <w:bookmarkStart w:id="389" w:name="_Toc42539362"/>
      <w:bookmarkStart w:id="390" w:name="_Toc170304781"/>
      <w:bookmarkStart w:id="391" w:name="_Toc43238646"/>
      <w:bookmarkStart w:id="392" w:name="_Toc42536332"/>
      <w:bookmarkStart w:id="393" w:name="_Toc43239498"/>
      <w:bookmarkStart w:id="394" w:name="_Toc42535771"/>
      <w:bookmarkStart w:id="395" w:name="_Toc42536543"/>
      <w:bookmarkStart w:id="396" w:name="_Toc42529888"/>
      <w:r>
        <w:rPr>
          <w:rFonts w:ascii="Rockwell" w:hAnsi="Rockwell"/>
          <w:sz w:val="30"/>
          <w:szCs w:val="30"/>
        </w:rPr>
        <w:lastRenderedPageBreak/>
        <w:t>CHAPITRE II : PERSPECTIVES ET RECOMMANDATIONS</w:t>
      </w:r>
      <w:bookmarkEnd w:id="382"/>
      <w:bookmarkEnd w:id="383"/>
      <w:bookmarkEnd w:id="384"/>
      <w:bookmarkEnd w:id="385"/>
      <w:bookmarkEnd w:id="386"/>
      <w:bookmarkEnd w:id="387"/>
      <w:bookmarkEnd w:id="388"/>
      <w:bookmarkEnd w:id="389"/>
      <w:bookmarkEnd w:id="390"/>
    </w:p>
    <w:p w14:paraId="3C29109F" w14:textId="77777777" w:rsidR="00284822" w:rsidRDefault="00284822">
      <w:pPr>
        <w:spacing w:before="120" w:after="120"/>
        <w:jc w:val="center"/>
        <w:rPr>
          <w:rFonts w:ascii="Rockwell" w:hAnsi="Rockwell"/>
          <w:sz w:val="10"/>
          <w:szCs w:val="10"/>
        </w:rPr>
      </w:pPr>
    </w:p>
    <w:p w14:paraId="0E6F84CC" w14:textId="77777777" w:rsidR="00284822" w:rsidRDefault="00F77BF8">
      <w:pPr>
        <w:pStyle w:val="Titre3"/>
        <w:spacing w:before="120" w:after="120"/>
        <w:rPr>
          <w:rFonts w:ascii="Rockwell" w:hAnsi="Rockwell"/>
        </w:rPr>
      </w:pPr>
      <w:bookmarkStart w:id="397" w:name="_Toc175048765"/>
      <w:bookmarkStart w:id="398" w:name="_Toc170304782"/>
      <w:bookmarkStart w:id="399" w:name="_Toc122608732"/>
      <w:bookmarkStart w:id="400" w:name="_Toc119511809"/>
      <w:r>
        <w:rPr>
          <w:rFonts w:ascii="Rockwell" w:hAnsi="Rockwell"/>
        </w:rPr>
        <w:t>SECTION 1 : PERSPECTIVES</w:t>
      </w:r>
      <w:bookmarkEnd w:id="397"/>
      <w:bookmarkEnd w:id="398"/>
      <w:bookmarkEnd w:id="399"/>
      <w:bookmarkEnd w:id="400"/>
    </w:p>
    <w:p w14:paraId="67464233" w14:textId="16482B27" w:rsidR="00284822" w:rsidRDefault="0055165F">
      <w:pPr>
        <w:spacing w:before="120" w:after="120"/>
        <w:rPr>
          <w:rFonts w:ascii="Rockwell" w:hAnsi="Rockwell"/>
          <w:szCs w:val="26"/>
        </w:rPr>
      </w:pPr>
      <w:r>
        <w:rPr>
          <w:rFonts w:ascii="Rockwell" w:hAnsi="Rockwell"/>
          <w:szCs w:val="26"/>
        </w:rPr>
        <w:t>En termes de</w:t>
      </w:r>
      <w:r w:rsidR="00F77BF8">
        <w:rPr>
          <w:rFonts w:ascii="Rockwell" w:hAnsi="Rockwell"/>
          <w:szCs w:val="26"/>
        </w:rPr>
        <w:t xml:space="preserve"> perspectives, les actions suivantes sont proposées :</w:t>
      </w:r>
    </w:p>
    <w:p w14:paraId="0D66924C" w14:textId="77777777" w:rsidR="00284822" w:rsidRDefault="00F77BF8">
      <w:pPr>
        <w:pStyle w:val="Paragraphedeliste"/>
        <w:numPr>
          <w:ilvl w:val="0"/>
          <w:numId w:val="50"/>
        </w:numPr>
        <w:ind w:left="284"/>
        <w:rPr>
          <w:rFonts w:ascii="Rockwell" w:hAnsi="Rockwell"/>
        </w:rPr>
      </w:pPr>
      <w:proofErr w:type="gramStart"/>
      <w:r>
        <w:rPr>
          <w:rFonts w:ascii="Rockwell" w:hAnsi="Rockwell"/>
          <w:b/>
        </w:rPr>
        <w:t>l’assainissement</w:t>
      </w:r>
      <w:proofErr w:type="gramEnd"/>
      <w:r>
        <w:rPr>
          <w:rFonts w:ascii="Rockwell" w:hAnsi="Rockwell"/>
          <w:b/>
        </w:rPr>
        <w:t xml:space="preserve"> du paysage médiatique</w:t>
      </w:r>
      <w:r>
        <w:rPr>
          <w:rFonts w:ascii="Rockwell" w:hAnsi="Rockwell"/>
        </w:rPr>
        <w:t> </w:t>
      </w:r>
    </w:p>
    <w:p w14:paraId="33071313" w14:textId="77777777" w:rsidR="00284822" w:rsidRDefault="00F77BF8">
      <w:pPr>
        <w:spacing w:before="120" w:after="120"/>
        <w:rPr>
          <w:rFonts w:ascii="Rockwell" w:hAnsi="Rockwell"/>
          <w:szCs w:val="26"/>
        </w:rPr>
      </w:pPr>
      <w:r>
        <w:rPr>
          <w:rFonts w:ascii="Rockwell" w:hAnsi="Rockwell"/>
          <w:szCs w:val="26"/>
        </w:rPr>
        <w:t xml:space="preserve">Le CSC dispose dans son répertoire de cent soixante-huit </w:t>
      </w:r>
      <w:r>
        <w:rPr>
          <w:rFonts w:ascii="Rockwell" w:hAnsi="Rockwell"/>
          <w:color w:val="000000" w:themeColor="text1"/>
          <w:szCs w:val="26"/>
        </w:rPr>
        <w:t>(168) radios et de vingt et une (21) télévisions.</w:t>
      </w:r>
      <w:r>
        <w:rPr>
          <w:rFonts w:ascii="Rockwell" w:hAnsi="Rockwell"/>
          <w:color w:val="FF0000"/>
          <w:szCs w:val="26"/>
        </w:rPr>
        <w:t xml:space="preserve"> </w:t>
      </w:r>
      <w:r>
        <w:rPr>
          <w:rFonts w:ascii="Rockwell" w:hAnsi="Rockwell"/>
          <w:szCs w:val="26"/>
        </w:rPr>
        <w:t>Ces données statistiques renvoient à l’existence juridique des médias. Toutefois, il est nécessaire de faire un recensement afin de disposer de données statistiques précises devant permettre au régulateur de :</w:t>
      </w:r>
    </w:p>
    <w:p w14:paraId="317392D9" w14:textId="77777777" w:rsidR="00284822" w:rsidRDefault="00F77BF8">
      <w:pPr>
        <w:pStyle w:val="Paragraphedeliste"/>
        <w:numPr>
          <w:ilvl w:val="0"/>
          <w:numId w:val="51"/>
        </w:numPr>
        <w:rPr>
          <w:rFonts w:ascii="Rockwell" w:hAnsi="Rockwell"/>
        </w:rPr>
      </w:pPr>
      <w:proofErr w:type="gramStart"/>
      <w:r>
        <w:rPr>
          <w:rFonts w:ascii="Rockwell" w:hAnsi="Rockwell"/>
        </w:rPr>
        <w:t>accompagner</w:t>
      </w:r>
      <w:proofErr w:type="gramEnd"/>
      <w:r>
        <w:rPr>
          <w:rFonts w:ascii="Rockwell" w:hAnsi="Rockwell"/>
        </w:rPr>
        <w:t xml:space="preserve"> les médias non fonctionnels selon la situation de chaque organe ; </w:t>
      </w:r>
    </w:p>
    <w:p w14:paraId="39D56B98" w14:textId="77777777" w:rsidR="00284822" w:rsidRDefault="00F77BF8">
      <w:pPr>
        <w:pStyle w:val="Paragraphedeliste"/>
        <w:numPr>
          <w:ilvl w:val="0"/>
          <w:numId w:val="51"/>
        </w:numPr>
        <w:rPr>
          <w:rFonts w:ascii="Rockwell" w:hAnsi="Rockwell"/>
        </w:rPr>
      </w:pPr>
      <w:proofErr w:type="gramStart"/>
      <w:r>
        <w:rPr>
          <w:rFonts w:ascii="Rockwell" w:hAnsi="Rockwell"/>
        </w:rPr>
        <w:t>fermer</w:t>
      </w:r>
      <w:proofErr w:type="gramEnd"/>
      <w:r>
        <w:rPr>
          <w:rFonts w:ascii="Rockwell" w:hAnsi="Rockwell"/>
        </w:rPr>
        <w:t xml:space="preserve"> les éventuels médias audiovisuels non conventionnés ;</w:t>
      </w:r>
    </w:p>
    <w:p w14:paraId="4B8D7B1D" w14:textId="77777777" w:rsidR="00284822" w:rsidRDefault="00F77BF8">
      <w:pPr>
        <w:pStyle w:val="Paragraphedeliste"/>
        <w:numPr>
          <w:ilvl w:val="0"/>
          <w:numId w:val="51"/>
        </w:numPr>
        <w:rPr>
          <w:rFonts w:ascii="Rockwell" w:hAnsi="Rockwell"/>
        </w:rPr>
      </w:pPr>
      <w:proofErr w:type="gramStart"/>
      <w:r>
        <w:rPr>
          <w:rFonts w:ascii="Rockwell" w:hAnsi="Rockwell"/>
        </w:rPr>
        <w:t>adapter</w:t>
      </w:r>
      <w:proofErr w:type="gramEnd"/>
      <w:r>
        <w:rPr>
          <w:rFonts w:ascii="Rockwell" w:hAnsi="Rockwell"/>
        </w:rPr>
        <w:t>, en période électorale, son appui aux besoins spécifiques des entreprises de presse audiovisuelle.</w:t>
      </w:r>
    </w:p>
    <w:p w14:paraId="0DB8D9A9" w14:textId="77777777" w:rsidR="00284822" w:rsidRDefault="00F77BF8">
      <w:pPr>
        <w:pStyle w:val="Paragraphedeliste"/>
        <w:numPr>
          <w:ilvl w:val="0"/>
          <w:numId w:val="50"/>
        </w:numPr>
        <w:ind w:left="426"/>
        <w:rPr>
          <w:rFonts w:ascii="Rockwell" w:hAnsi="Rockwell"/>
          <w:b/>
        </w:rPr>
      </w:pPr>
      <w:proofErr w:type="gramStart"/>
      <w:r>
        <w:rPr>
          <w:rFonts w:ascii="Rockwell" w:hAnsi="Rockwell"/>
          <w:b/>
        </w:rPr>
        <w:t>l’élaboration</w:t>
      </w:r>
      <w:proofErr w:type="gramEnd"/>
      <w:r>
        <w:rPr>
          <w:rFonts w:ascii="Rockwell" w:hAnsi="Rockwell"/>
          <w:b/>
        </w:rPr>
        <w:t xml:space="preserve"> d’un nouveau plan stratégique du CSC</w:t>
      </w:r>
    </w:p>
    <w:p w14:paraId="0782DEDF" w14:textId="77777777" w:rsidR="00284822" w:rsidRDefault="00F77BF8">
      <w:pPr>
        <w:spacing w:before="120" w:after="120"/>
        <w:rPr>
          <w:rFonts w:ascii="Rockwell" w:hAnsi="Rockwell"/>
          <w:szCs w:val="26"/>
        </w:rPr>
      </w:pPr>
      <w:r>
        <w:rPr>
          <w:rFonts w:ascii="Rockwell" w:hAnsi="Rockwell"/>
          <w:szCs w:val="26"/>
        </w:rPr>
        <w:t>L’évolution rapide des technologies de la communication et la déspécialisation des supports de communication subséquemment à la convergence numérique sont autant de facteurs qui défient au quotidien les techniciens de la régulation. Face à cette situation, la régulation des médias exige de la proactivité, à travers la mise en œuvre d’actions stratégiques.</w:t>
      </w:r>
    </w:p>
    <w:p w14:paraId="42ACC683" w14:textId="77777777" w:rsidR="00284822" w:rsidRDefault="00F77BF8">
      <w:pPr>
        <w:spacing w:before="120" w:after="120"/>
        <w:rPr>
          <w:rFonts w:ascii="Rockwell" w:hAnsi="Rockwell"/>
          <w:szCs w:val="26"/>
        </w:rPr>
      </w:pPr>
      <w:r>
        <w:rPr>
          <w:rFonts w:ascii="Rockwell" w:hAnsi="Rockwell"/>
          <w:szCs w:val="26"/>
        </w:rPr>
        <w:t>Le plan stratégique 2017-2021 du CSC ayant connu son terme, il semble judicieux d’élaborer un nouveau référentiel qui prenne en compte les défis du moment.</w:t>
      </w:r>
    </w:p>
    <w:p w14:paraId="79485D96" w14:textId="77777777" w:rsidR="00284822" w:rsidRDefault="00F77BF8">
      <w:pPr>
        <w:pStyle w:val="Paragraphedeliste"/>
        <w:numPr>
          <w:ilvl w:val="0"/>
          <w:numId w:val="50"/>
        </w:numPr>
        <w:rPr>
          <w:rFonts w:ascii="Rockwell" w:hAnsi="Rockwell"/>
        </w:rPr>
      </w:pPr>
      <w:proofErr w:type="gramStart"/>
      <w:r>
        <w:rPr>
          <w:rFonts w:ascii="Rockwell" w:hAnsi="Rockwell"/>
          <w:b/>
        </w:rPr>
        <w:t>le</w:t>
      </w:r>
      <w:proofErr w:type="gramEnd"/>
      <w:r>
        <w:rPr>
          <w:rFonts w:ascii="Rockwell" w:hAnsi="Rockwell"/>
          <w:b/>
        </w:rPr>
        <w:t xml:space="preserve"> déploiement du système de monitoring en région</w:t>
      </w:r>
    </w:p>
    <w:p w14:paraId="683B4710" w14:textId="77777777" w:rsidR="00284822" w:rsidRDefault="00F77BF8">
      <w:pPr>
        <w:spacing w:before="120" w:after="120"/>
        <w:ind w:left="360"/>
        <w:rPr>
          <w:rFonts w:ascii="Rockwell" w:hAnsi="Rockwell"/>
          <w:szCs w:val="26"/>
        </w:rPr>
      </w:pPr>
      <w:r>
        <w:rPr>
          <w:rFonts w:ascii="Rockwell" w:hAnsi="Rockwell"/>
          <w:szCs w:val="26"/>
        </w:rPr>
        <w:t xml:space="preserve">L’une des prérogatives du CSC est d’assurer le contrôle des programmes diffusés par les médias audiovisuels émettant sur le territoire national. Il </w:t>
      </w:r>
      <w:r>
        <w:rPr>
          <w:rFonts w:ascii="Rockwell" w:hAnsi="Rockwell"/>
          <w:szCs w:val="26"/>
        </w:rPr>
        <w:lastRenderedPageBreak/>
        <w:t>est donc impérieux d’adapter les capacités du dispositif de monitoring à l’offre médiatique en vue d’une régulation efficiente. Dans cette perspective, il convient d’envisager le déploiement de la technologie HMS, déjà effective à Ouagadougou, dans les Délégations régionales de l’Ouest (Bobo-Dioulasso) et de l’Est (Fada N’Gourma).</w:t>
      </w:r>
    </w:p>
    <w:p w14:paraId="45222F84" w14:textId="77777777" w:rsidR="00284822" w:rsidRDefault="00284822">
      <w:pPr>
        <w:pStyle w:val="Paragraphedeliste"/>
        <w:ind w:left="720"/>
        <w:rPr>
          <w:rFonts w:ascii="Rockwell" w:hAnsi="Rockwell"/>
          <w:sz w:val="16"/>
          <w:szCs w:val="16"/>
        </w:rPr>
      </w:pPr>
    </w:p>
    <w:p w14:paraId="4B85BAB6" w14:textId="77777777" w:rsidR="00284822" w:rsidRDefault="00F77BF8">
      <w:pPr>
        <w:pStyle w:val="Titre3"/>
        <w:spacing w:before="120" w:after="120"/>
        <w:rPr>
          <w:rFonts w:ascii="Rockwell" w:hAnsi="Rockwell"/>
        </w:rPr>
      </w:pPr>
      <w:bookmarkStart w:id="401" w:name="_Toc63150285"/>
      <w:bookmarkStart w:id="402" w:name="_Toc122608733"/>
      <w:bookmarkStart w:id="403" w:name="_Toc73184162"/>
      <w:bookmarkStart w:id="404" w:name="_Toc170304783"/>
      <w:bookmarkStart w:id="405" w:name="_Toc119511810"/>
      <w:bookmarkStart w:id="406" w:name="_Toc73183971"/>
      <w:bookmarkStart w:id="407" w:name="_Toc72864389"/>
      <w:bookmarkStart w:id="408" w:name="_Toc175048766"/>
      <w:bookmarkStart w:id="409" w:name="_Toc33610291"/>
      <w:bookmarkStart w:id="410" w:name="_Toc33704850"/>
      <w:bookmarkStart w:id="411" w:name="_Toc33705374"/>
      <w:r>
        <w:rPr>
          <w:rFonts w:ascii="Rockwell" w:hAnsi="Rockwell"/>
        </w:rPr>
        <w:t>SECTION 2 : RECOMMANDATIONS</w:t>
      </w:r>
      <w:bookmarkEnd w:id="401"/>
      <w:bookmarkEnd w:id="402"/>
      <w:bookmarkEnd w:id="403"/>
      <w:bookmarkEnd w:id="404"/>
      <w:bookmarkEnd w:id="405"/>
      <w:bookmarkEnd w:id="406"/>
      <w:bookmarkEnd w:id="407"/>
      <w:bookmarkEnd w:id="408"/>
    </w:p>
    <w:p w14:paraId="6458B733" w14:textId="77777777" w:rsidR="00284822" w:rsidRDefault="00F77BF8">
      <w:pPr>
        <w:spacing w:before="120" w:after="120"/>
        <w:textAlignment w:val="auto"/>
        <w:rPr>
          <w:rFonts w:ascii="Rockwell" w:hAnsi="Rockwell"/>
          <w:color w:val="000000" w:themeColor="text1"/>
          <w:szCs w:val="26"/>
        </w:rPr>
      </w:pPr>
      <w:r>
        <w:rPr>
          <w:rFonts w:ascii="Rockwell" w:hAnsi="Rockwell"/>
          <w:color w:val="000000" w:themeColor="text1"/>
          <w:szCs w:val="26"/>
        </w:rPr>
        <w:t>Au regard des difficultés rencontrées dans l’exécution de sa mission, les recommandations suivantes sont formulées :</w:t>
      </w:r>
    </w:p>
    <w:p w14:paraId="3A790CA0" w14:textId="77777777" w:rsidR="00284822" w:rsidRDefault="00F77BF8">
      <w:pPr>
        <w:pStyle w:val="Paragraphedeliste"/>
        <w:numPr>
          <w:ilvl w:val="0"/>
          <w:numId w:val="50"/>
        </w:numPr>
        <w:textAlignment w:val="auto"/>
        <w:rPr>
          <w:rFonts w:ascii="Rockwell" w:hAnsi="Rockwell"/>
          <w:color w:val="000000" w:themeColor="text1"/>
        </w:rPr>
      </w:pPr>
      <w:proofErr w:type="gramStart"/>
      <w:r>
        <w:rPr>
          <w:rFonts w:ascii="Rockwell" w:hAnsi="Rockwell"/>
          <w:color w:val="000000" w:themeColor="text1"/>
        </w:rPr>
        <w:t>la</w:t>
      </w:r>
      <w:proofErr w:type="gramEnd"/>
      <w:r>
        <w:rPr>
          <w:rFonts w:ascii="Rockwell" w:hAnsi="Rockwell"/>
          <w:color w:val="000000" w:themeColor="text1"/>
        </w:rPr>
        <w:t xml:space="preserve"> relecture de la loi organique 015-2013/AN du 14 mai 2013 portant attributions, composition, organisation et fonctionnement du CSC, en vue de la prise en compte de certaines évolutions, tant technologiques que structurelles, intervenues dans le secteur de la communication ;</w:t>
      </w:r>
    </w:p>
    <w:p w14:paraId="50E61B95" w14:textId="77777777" w:rsidR="00284822" w:rsidRDefault="00F77BF8">
      <w:pPr>
        <w:pStyle w:val="Paragraphedeliste"/>
        <w:numPr>
          <w:ilvl w:val="0"/>
          <w:numId w:val="50"/>
        </w:numPr>
        <w:textAlignment w:val="auto"/>
        <w:rPr>
          <w:rFonts w:ascii="Rockwell" w:hAnsi="Rockwell"/>
          <w:color w:val="000000" w:themeColor="text1"/>
        </w:rPr>
      </w:pPr>
      <w:proofErr w:type="gramStart"/>
      <w:r>
        <w:rPr>
          <w:rFonts w:ascii="Rockwell" w:hAnsi="Rockwell"/>
          <w:color w:val="000000" w:themeColor="text1"/>
        </w:rPr>
        <w:t>la</w:t>
      </w:r>
      <w:proofErr w:type="gramEnd"/>
      <w:r>
        <w:rPr>
          <w:rFonts w:ascii="Rockwell" w:hAnsi="Rockwell"/>
          <w:color w:val="000000" w:themeColor="text1"/>
        </w:rPr>
        <w:t xml:space="preserve"> consécration et l’effectivité de l’autonomie financière ;</w:t>
      </w:r>
    </w:p>
    <w:p w14:paraId="26BD0B95" w14:textId="77777777" w:rsidR="00284822" w:rsidRDefault="00F77BF8">
      <w:pPr>
        <w:pStyle w:val="Paragraphedeliste"/>
        <w:numPr>
          <w:ilvl w:val="0"/>
          <w:numId w:val="50"/>
        </w:numPr>
        <w:textAlignment w:val="auto"/>
        <w:rPr>
          <w:rFonts w:ascii="Rockwell" w:hAnsi="Rockwell"/>
          <w:color w:val="000000" w:themeColor="text1"/>
        </w:rPr>
      </w:pPr>
      <w:proofErr w:type="gramStart"/>
      <w:r>
        <w:rPr>
          <w:rFonts w:ascii="Rockwell" w:hAnsi="Rockwell"/>
          <w:color w:val="000000" w:themeColor="text1"/>
        </w:rPr>
        <w:t>la</w:t>
      </w:r>
      <w:proofErr w:type="gramEnd"/>
      <w:r>
        <w:rPr>
          <w:rFonts w:ascii="Rockwell" w:hAnsi="Rockwell"/>
          <w:color w:val="000000" w:themeColor="text1"/>
        </w:rPr>
        <w:t xml:space="preserve"> relecture des textes régissant le secteur de la communication.</w:t>
      </w:r>
    </w:p>
    <w:p w14:paraId="3D720E8C" w14:textId="77777777" w:rsidR="00284822" w:rsidRDefault="00284822">
      <w:pPr>
        <w:spacing w:before="120" w:after="120"/>
        <w:textAlignment w:val="auto"/>
        <w:rPr>
          <w:rFonts w:ascii="Rockwell" w:hAnsi="Rockwell"/>
          <w:color w:val="000000" w:themeColor="text1"/>
          <w:szCs w:val="26"/>
        </w:rPr>
      </w:pPr>
    </w:p>
    <w:p w14:paraId="5BA4EC45" w14:textId="77777777" w:rsidR="00284822" w:rsidRDefault="00284822">
      <w:pPr>
        <w:spacing w:before="120" w:after="120"/>
        <w:jc w:val="left"/>
        <w:textAlignment w:val="auto"/>
        <w:rPr>
          <w:rFonts w:ascii="Rockwell" w:hAnsi="Rockwell"/>
          <w:color w:val="000000" w:themeColor="text1"/>
          <w:szCs w:val="26"/>
        </w:rPr>
      </w:pPr>
    </w:p>
    <w:p w14:paraId="610903FB" w14:textId="77777777" w:rsidR="00284822" w:rsidRDefault="00284822">
      <w:pPr>
        <w:spacing w:before="120" w:after="120"/>
        <w:rPr>
          <w:rFonts w:ascii="Rockwell" w:hAnsi="Rockwell"/>
          <w:b/>
          <w:szCs w:val="26"/>
          <w:lang w:eastAsia="en-US"/>
        </w:rPr>
      </w:pPr>
      <w:bookmarkStart w:id="412" w:name="_Toc34383583"/>
    </w:p>
    <w:p w14:paraId="48CACD67" w14:textId="77777777" w:rsidR="00284822" w:rsidRDefault="00284822">
      <w:pPr>
        <w:spacing w:before="120" w:after="120"/>
        <w:rPr>
          <w:rFonts w:ascii="Rockwell" w:hAnsi="Rockwell"/>
          <w:b/>
          <w:szCs w:val="26"/>
          <w:lang w:eastAsia="en-US"/>
        </w:rPr>
        <w:sectPr w:rsidR="00284822">
          <w:pgSz w:w="11906" w:h="16838"/>
          <w:pgMar w:top="1418" w:right="1418" w:bottom="1418" w:left="1418" w:header="720" w:footer="720" w:gutter="0"/>
          <w:cols w:space="720"/>
        </w:sectPr>
      </w:pPr>
    </w:p>
    <w:p w14:paraId="128D3D5C" w14:textId="77777777" w:rsidR="00284822" w:rsidRDefault="00F77BF8">
      <w:pPr>
        <w:pStyle w:val="Titre1"/>
        <w:spacing w:before="120" w:after="120"/>
        <w:rPr>
          <w:rFonts w:ascii="Rockwell" w:hAnsi="Rockwell"/>
          <w:sz w:val="30"/>
          <w:szCs w:val="30"/>
        </w:rPr>
      </w:pPr>
      <w:bookmarkStart w:id="413" w:name="_Toc175048767"/>
      <w:bookmarkStart w:id="414" w:name="_Toc170304784"/>
      <w:bookmarkEnd w:id="412"/>
      <w:r>
        <w:rPr>
          <w:rFonts w:ascii="Rockwell" w:hAnsi="Rockwell"/>
          <w:sz w:val="30"/>
          <w:szCs w:val="30"/>
        </w:rPr>
        <w:lastRenderedPageBreak/>
        <w:t>CONCLUSION</w:t>
      </w:r>
      <w:bookmarkEnd w:id="413"/>
      <w:bookmarkEnd w:id="414"/>
    </w:p>
    <w:p w14:paraId="4F779A95" w14:textId="77777777" w:rsidR="00284822" w:rsidRDefault="00F77BF8">
      <w:pPr>
        <w:spacing w:before="120" w:after="120"/>
        <w:rPr>
          <w:rFonts w:ascii="Rockwell" w:hAnsi="Rockwell"/>
          <w:color w:val="000000" w:themeColor="text1"/>
          <w:szCs w:val="26"/>
        </w:rPr>
      </w:pPr>
      <w:r>
        <w:rPr>
          <w:rFonts w:ascii="Rockwell" w:hAnsi="Rockwell"/>
          <w:color w:val="000000" w:themeColor="text1"/>
          <w:szCs w:val="26"/>
        </w:rPr>
        <w:t xml:space="preserve">Les difficultés qu’a connues le Conseil supérieur de la communication, en 2021, aussi bien dans son fonctionnement que dans la mise en œuvre de ses missions, avaient conduit à la recommandation d’une réforme juridique et institutionnelle. </w:t>
      </w:r>
    </w:p>
    <w:p w14:paraId="3A722DC1" w14:textId="15D61F2B" w:rsidR="00284822" w:rsidRDefault="00F77BF8">
      <w:pPr>
        <w:spacing w:before="120" w:after="120"/>
        <w:rPr>
          <w:rFonts w:ascii="Rockwell" w:hAnsi="Rockwell"/>
          <w:color w:val="000000" w:themeColor="text1"/>
          <w:szCs w:val="26"/>
        </w:rPr>
      </w:pPr>
      <w:r>
        <w:rPr>
          <w:rFonts w:ascii="Rockwell" w:hAnsi="Rockwell"/>
          <w:color w:val="000000" w:themeColor="text1"/>
          <w:szCs w:val="26"/>
        </w:rPr>
        <w:t>La situation n’a pas positivement évolué en 2022, avec les contingences précédemment évoquées, et s’est même aggravée avec des pratiques peu responsables observées de plus en plus sur les réseaux sociaux et dans les émissions d’expression directe, fragilisant ainsi la cohésion sociale et rendant plus complexe la mission de régulation.</w:t>
      </w:r>
    </w:p>
    <w:p w14:paraId="495226F8" w14:textId="77777777" w:rsidR="00284822" w:rsidRDefault="00F77BF8">
      <w:pPr>
        <w:spacing w:before="120" w:after="120"/>
        <w:rPr>
          <w:rFonts w:ascii="Rockwell" w:hAnsi="Rockwell"/>
          <w:color w:val="000000" w:themeColor="text1"/>
          <w:szCs w:val="26"/>
        </w:rPr>
      </w:pPr>
      <w:r>
        <w:rPr>
          <w:rFonts w:ascii="Rockwell" w:hAnsi="Rockwell"/>
          <w:color w:val="000000" w:themeColor="text1"/>
          <w:szCs w:val="26"/>
        </w:rPr>
        <w:t xml:space="preserve">Cette pertinente recommandation est d’actualité et son aboutissement permettra de mettre le Conseil supérieur de la communication à l’abri de l’instabilité et d’élargir son champ d’action en vue de protéger la société contre les discours de haine et la désinformation. L’institution disposera alors des voies et moyens pour faire en sorte que les réseaux sociaux ne soient pas une zone de non-droit et que les émissions d’expression soient conduites avec beaucoup plus de professionnalisme. </w:t>
      </w:r>
    </w:p>
    <w:p w14:paraId="6FADDA79" w14:textId="77777777" w:rsidR="00284822" w:rsidRDefault="00F77BF8">
      <w:pPr>
        <w:spacing w:before="120" w:after="120"/>
        <w:rPr>
          <w:rFonts w:ascii="Rockwell" w:hAnsi="Rockwell"/>
          <w:color w:val="000000" w:themeColor="text1"/>
          <w:szCs w:val="26"/>
        </w:rPr>
      </w:pPr>
      <w:r>
        <w:rPr>
          <w:rFonts w:ascii="Rockwell" w:hAnsi="Rockwell"/>
          <w:color w:val="000000" w:themeColor="text1"/>
          <w:szCs w:val="26"/>
        </w:rPr>
        <w:t>Enfin, la réforme permettra de régler l’épineuse question de l’autonomie financière et de gestion du CSC tant souhaitée dans le cadre de la mise en œuvre efficiente de sa mission et de ses attributions.</w:t>
      </w:r>
    </w:p>
    <w:p w14:paraId="20CB4F21" w14:textId="77777777" w:rsidR="00284822" w:rsidRDefault="00F77BF8">
      <w:pPr>
        <w:spacing w:before="120" w:after="120"/>
        <w:rPr>
          <w:rFonts w:ascii="Rockwell" w:hAnsi="Rockwell"/>
          <w:color w:val="000000" w:themeColor="text1"/>
          <w:szCs w:val="26"/>
        </w:rPr>
        <w:sectPr w:rsidR="00284822">
          <w:pgSz w:w="11906" w:h="16838"/>
          <w:pgMar w:top="1418" w:right="1418" w:bottom="1418" w:left="1418" w:header="720" w:footer="720" w:gutter="0"/>
          <w:cols w:space="720"/>
        </w:sectPr>
      </w:pPr>
      <w:r>
        <w:rPr>
          <w:rFonts w:ascii="Rockwell" w:hAnsi="Rockwell"/>
          <w:color w:val="000000" w:themeColor="text1"/>
          <w:szCs w:val="26"/>
        </w:rPr>
        <w:t xml:space="preserve">En attendant, l’on peut se féliciter des actions menées en 2022, dans ces conditions difficiles, et espérer un retour définitif de la sérénité au sein de l’instance de régulation de la communication au public afin qu’elle puisse jouer pleinement son rôle dans le dispositif institutionnel de notre </w:t>
      </w:r>
      <w:commentRangeStart w:id="415"/>
      <w:r>
        <w:rPr>
          <w:rFonts w:ascii="Rockwell" w:hAnsi="Rockwell"/>
          <w:color w:val="000000" w:themeColor="text1"/>
          <w:szCs w:val="26"/>
        </w:rPr>
        <w:t>pays</w:t>
      </w:r>
      <w:commentRangeEnd w:id="415"/>
      <w:r>
        <w:rPr>
          <w:rStyle w:val="Marquedecommentaire"/>
        </w:rPr>
        <w:commentReference w:id="415"/>
      </w:r>
      <w:r>
        <w:rPr>
          <w:rFonts w:ascii="Rockwell" w:hAnsi="Rockwell"/>
          <w:color w:val="000000" w:themeColor="text1"/>
          <w:szCs w:val="26"/>
        </w:rPr>
        <w:t>.</w:t>
      </w:r>
    </w:p>
    <w:p w14:paraId="40F7FC10" w14:textId="77777777" w:rsidR="00284822" w:rsidRDefault="00F77BF8">
      <w:pPr>
        <w:pStyle w:val="TM1"/>
        <w:spacing w:line="360" w:lineRule="auto"/>
      </w:pPr>
      <w:r>
        <w:lastRenderedPageBreak/>
        <w:t>TABLE DES MATIERES</w:t>
      </w:r>
    </w:p>
    <w:p w14:paraId="5328048A" w14:textId="77777777" w:rsidR="00284822" w:rsidRDefault="00F77BF8">
      <w:pPr>
        <w:pStyle w:val="TM1"/>
        <w:rPr>
          <w:rFonts w:asciiTheme="minorHAnsi" w:eastAsiaTheme="minorEastAsia" w:hAnsiTheme="minorHAnsi" w:cstheme="minorBidi"/>
          <w:b w:val="0"/>
          <w:bCs w:val="0"/>
          <w:sz w:val="22"/>
          <w:szCs w:val="22"/>
        </w:rPr>
      </w:pPr>
      <w:r>
        <w:rPr>
          <w:color w:val="000000" w:themeColor="text1"/>
        </w:rPr>
        <w:fldChar w:fldCharType="begin"/>
      </w:r>
      <w:r>
        <w:rPr>
          <w:color w:val="000000" w:themeColor="text1"/>
        </w:rPr>
        <w:instrText xml:space="preserve"> TOC \o "1-5" \h \z \u </w:instrText>
      </w:r>
      <w:r>
        <w:rPr>
          <w:color w:val="000000" w:themeColor="text1"/>
        </w:rPr>
        <w:fldChar w:fldCharType="separate"/>
      </w:r>
      <w:hyperlink w:anchor="_Toc175048634" w:history="1">
        <w:r>
          <w:rPr>
            <w:rStyle w:val="Lienhypertexte"/>
          </w:rPr>
          <w:t>SIGLES ET ABREVIATIONS</w:t>
        </w:r>
        <w:r>
          <w:tab/>
        </w:r>
        <w:r>
          <w:fldChar w:fldCharType="begin"/>
        </w:r>
        <w:r>
          <w:instrText xml:space="preserve"> PAGEREF _Toc175048634 \h </w:instrText>
        </w:r>
        <w:r>
          <w:fldChar w:fldCharType="separate"/>
        </w:r>
        <w:r>
          <w:t>4</w:t>
        </w:r>
        <w:r>
          <w:fldChar w:fldCharType="end"/>
        </w:r>
      </w:hyperlink>
    </w:p>
    <w:p w14:paraId="414307A9" w14:textId="77777777" w:rsidR="00284822" w:rsidRDefault="003148F1">
      <w:pPr>
        <w:pStyle w:val="TM1"/>
        <w:rPr>
          <w:rFonts w:asciiTheme="minorHAnsi" w:eastAsiaTheme="minorEastAsia" w:hAnsiTheme="minorHAnsi" w:cstheme="minorBidi"/>
          <w:b w:val="0"/>
          <w:bCs w:val="0"/>
          <w:sz w:val="22"/>
          <w:szCs w:val="22"/>
        </w:rPr>
      </w:pPr>
      <w:hyperlink w:anchor="_Toc175048635" w:history="1">
        <w:r w:rsidR="00F77BF8">
          <w:rPr>
            <w:rStyle w:val="Lienhypertexte"/>
          </w:rPr>
          <w:t>AVANT-PROPOS</w:t>
        </w:r>
        <w:r w:rsidR="00F77BF8">
          <w:tab/>
        </w:r>
        <w:r w:rsidR="00F77BF8">
          <w:fldChar w:fldCharType="begin"/>
        </w:r>
        <w:r w:rsidR="00F77BF8">
          <w:instrText xml:space="preserve"> PAGEREF _Toc175048635 \h </w:instrText>
        </w:r>
        <w:r w:rsidR="00F77BF8">
          <w:fldChar w:fldCharType="separate"/>
        </w:r>
        <w:r w:rsidR="00F77BF8">
          <w:t>9</w:t>
        </w:r>
        <w:r w:rsidR="00F77BF8">
          <w:fldChar w:fldCharType="end"/>
        </w:r>
      </w:hyperlink>
    </w:p>
    <w:p w14:paraId="4389BCF4" w14:textId="77777777" w:rsidR="00284822" w:rsidRDefault="003148F1">
      <w:pPr>
        <w:pStyle w:val="TM1"/>
        <w:rPr>
          <w:rFonts w:asciiTheme="minorHAnsi" w:eastAsiaTheme="minorEastAsia" w:hAnsiTheme="minorHAnsi" w:cstheme="minorBidi"/>
          <w:b w:val="0"/>
          <w:bCs w:val="0"/>
          <w:sz w:val="22"/>
          <w:szCs w:val="22"/>
        </w:rPr>
      </w:pPr>
      <w:hyperlink w:anchor="_Toc175048636" w:history="1">
        <w:r w:rsidR="00F77BF8">
          <w:rPr>
            <w:rStyle w:val="Lienhypertexte"/>
          </w:rPr>
          <w:t>INTRODUCTION</w:t>
        </w:r>
        <w:r w:rsidR="00F77BF8">
          <w:tab/>
        </w:r>
        <w:r w:rsidR="00F77BF8">
          <w:fldChar w:fldCharType="begin"/>
        </w:r>
        <w:r w:rsidR="00F77BF8">
          <w:instrText xml:space="preserve"> PAGEREF _Toc175048636 \h </w:instrText>
        </w:r>
        <w:r w:rsidR="00F77BF8">
          <w:fldChar w:fldCharType="separate"/>
        </w:r>
        <w:r w:rsidR="00F77BF8">
          <w:t>15</w:t>
        </w:r>
        <w:r w:rsidR="00F77BF8">
          <w:fldChar w:fldCharType="end"/>
        </w:r>
      </w:hyperlink>
    </w:p>
    <w:p w14:paraId="1622BF53" w14:textId="77777777" w:rsidR="00284822" w:rsidRDefault="003148F1">
      <w:pPr>
        <w:pStyle w:val="TM1"/>
        <w:rPr>
          <w:rFonts w:asciiTheme="minorHAnsi" w:eastAsiaTheme="minorEastAsia" w:hAnsiTheme="minorHAnsi" w:cstheme="minorBidi"/>
          <w:b w:val="0"/>
          <w:bCs w:val="0"/>
          <w:sz w:val="22"/>
          <w:szCs w:val="22"/>
        </w:rPr>
      </w:pPr>
      <w:hyperlink r:id="rId111" w:anchor="_Toc175048637" w:history="1">
        <w:r w:rsidR="00F77BF8">
          <w:rPr>
            <w:rStyle w:val="Lienhypertexte"/>
          </w:rPr>
          <w:t>PREMIERE PARTIE :</w:t>
        </w:r>
        <w:r w:rsidR="00F77BF8">
          <w:tab/>
        </w:r>
        <w:r w:rsidR="00F77BF8">
          <w:fldChar w:fldCharType="begin"/>
        </w:r>
        <w:r w:rsidR="00F77BF8">
          <w:instrText xml:space="preserve"> PAGEREF _Toc175048637 \h </w:instrText>
        </w:r>
        <w:r w:rsidR="00F77BF8">
          <w:fldChar w:fldCharType="separate"/>
        </w:r>
        <w:r w:rsidR="00F77BF8">
          <w:t>17</w:t>
        </w:r>
        <w:r w:rsidR="00F77BF8">
          <w:fldChar w:fldCharType="end"/>
        </w:r>
      </w:hyperlink>
    </w:p>
    <w:p w14:paraId="4E128F18" w14:textId="77777777" w:rsidR="00284822" w:rsidRDefault="003148F1">
      <w:pPr>
        <w:pStyle w:val="TM1"/>
        <w:rPr>
          <w:rFonts w:asciiTheme="minorHAnsi" w:eastAsiaTheme="minorEastAsia" w:hAnsiTheme="minorHAnsi" w:cstheme="minorBidi"/>
          <w:b w:val="0"/>
          <w:bCs w:val="0"/>
          <w:sz w:val="22"/>
          <w:szCs w:val="22"/>
        </w:rPr>
      </w:pPr>
      <w:hyperlink r:id="rId112" w:anchor="_Toc175048638" w:history="1">
        <w:r w:rsidR="00F77BF8">
          <w:rPr>
            <w:rStyle w:val="Lienhypertexte"/>
          </w:rPr>
          <w:t>ACTIVITES DE REGULATION DES MEDIAS</w:t>
        </w:r>
        <w:r w:rsidR="00F77BF8">
          <w:tab/>
        </w:r>
        <w:r w:rsidR="00F77BF8">
          <w:fldChar w:fldCharType="begin"/>
        </w:r>
        <w:r w:rsidR="00F77BF8">
          <w:instrText xml:space="preserve"> PAGEREF _Toc175048638 \h </w:instrText>
        </w:r>
        <w:r w:rsidR="00F77BF8">
          <w:fldChar w:fldCharType="separate"/>
        </w:r>
        <w:r w:rsidR="00F77BF8">
          <w:t>17</w:t>
        </w:r>
        <w:r w:rsidR="00F77BF8">
          <w:fldChar w:fldCharType="end"/>
        </w:r>
      </w:hyperlink>
    </w:p>
    <w:p w14:paraId="3908718C" w14:textId="77777777" w:rsidR="00284822" w:rsidRDefault="003148F1">
      <w:pPr>
        <w:pStyle w:val="TM1"/>
        <w:rPr>
          <w:rFonts w:asciiTheme="minorHAnsi" w:eastAsiaTheme="minorEastAsia" w:hAnsiTheme="minorHAnsi" w:cstheme="minorBidi"/>
          <w:b w:val="0"/>
          <w:bCs w:val="0"/>
          <w:sz w:val="22"/>
          <w:szCs w:val="22"/>
        </w:rPr>
      </w:pPr>
      <w:hyperlink r:id="rId113" w:anchor="_Toc175048639" w:history="1">
        <w:r w:rsidR="00F77BF8">
          <w:rPr>
            <w:rStyle w:val="Lienhypertexte"/>
          </w:rPr>
          <w:t>ET CONTENTIEUX</w:t>
        </w:r>
        <w:r w:rsidR="00F77BF8">
          <w:tab/>
        </w:r>
        <w:r w:rsidR="00F77BF8">
          <w:fldChar w:fldCharType="begin"/>
        </w:r>
        <w:r w:rsidR="00F77BF8">
          <w:instrText xml:space="preserve"> PAGEREF _Toc175048639 \h </w:instrText>
        </w:r>
        <w:r w:rsidR="00F77BF8">
          <w:fldChar w:fldCharType="separate"/>
        </w:r>
        <w:r w:rsidR="00F77BF8">
          <w:t>17</w:t>
        </w:r>
        <w:r w:rsidR="00F77BF8">
          <w:fldChar w:fldCharType="end"/>
        </w:r>
      </w:hyperlink>
    </w:p>
    <w:p w14:paraId="13F8DBEF" w14:textId="77777777" w:rsidR="00284822" w:rsidRDefault="003148F1">
      <w:pPr>
        <w:pStyle w:val="TM2"/>
        <w:rPr>
          <w:rFonts w:eastAsiaTheme="minorEastAsia" w:cstheme="minorBidi"/>
          <w:i w:val="0"/>
          <w:iCs w:val="0"/>
          <w:sz w:val="22"/>
          <w:szCs w:val="22"/>
        </w:rPr>
      </w:pPr>
      <w:hyperlink w:anchor="_Toc175048640" w:history="1">
        <w:r w:rsidR="00F77BF8">
          <w:rPr>
            <w:rStyle w:val="Lienhypertexte"/>
            <w:rFonts w:ascii="Rockwell" w:hAnsi="Rockwell"/>
          </w:rPr>
          <w:t>CHAPITRE I : REGULATION DE L’OFFRE MEDIATIQUE ET SUIVI DU FONCTIONNEMENT DES MEDIAS</w:t>
        </w:r>
        <w:r w:rsidR="00F77BF8">
          <w:tab/>
        </w:r>
        <w:r w:rsidR="00F77BF8">
          <w:fldChar w:fldCharType="begin"/>
        </w:r>
        <w:r w:rsidR="00F77BF8">
          <w:instrText xml:space="preserve"> PAGEREF _Toc175048640 \h </w:instrText>
        </w:r>
        <w:r w:rsidR="00F77BF8">
          <w:fldChar w:fldCharType="separate"/>
        </w:r>
        <w:r w:rsidR="00F77BF8">
          <w:t>18</w:t>
        </w:r>
        <w:r w:rsidR="00F77BF8">
          <w:fldChar w:fldCharType="end"/>
        </w:r>
      </w:hyperlink>
    </w:p>
    <w:p w14:paraId="4D1A0BA8" w14:textId="77777777" w:rsidR="00284822" w:rsidRDefault="003148F1">
      <w:pPr>
        <w:pStyle w:val="TM3"/>
        <w:tabs>
          <w:tab w:val="right" w:leader="dot" w:pos="9060"/>
        </w:tabs>
        <w:rPr>
          <w:rFonts w:eastAsiaTheme="minorEastAsia" w:cstheme="minorBidi"/>
          <w:sz w:val="22"/>
          <w:szCs w:val="22"/>
        </w:rPr>
      </w:pPr>
      <w:hyperlink w:anchor="_Toc175048641" w:history="1">
        <w:r w:rsidR="00F77BF8">
          <w:rPr>
            <w:rStyle w:val="Lienhypertexte"/>
            <w:rFonts w:ascii="Rockwell" w:hAnsi="Rockwell"/>
          </w:rPr>
          <w:t>SECTION 1 : REGULATION DE L’OFFRE MEDIATIQUE</w:t>
        </w:r>
        <w:r w:rsidR="00F77BF8">
          <w:tab/>
        </w:r>
        <w:r w:rsidR="00F77BF8">
          <w:fldChar w:fldCharType="begin"/>
        </w:r>
        <w:r w:rsidR="00F77BF8">
          <w:instrText xml:space="preserve"> PAGEREF _Toc175048641 \h </w:instrText>
        </w:r>
        <w:r w:rsidR="00F77BF8">
          <w:fldChar w:fldCharType="separate"/>
        </w:r>
        <w:r w:rsidR="00F77BF8">
          <w:t>18</w:t>
        </w:r>
        <w:r w:rsidR="00F77BF8">
          <w:fldChar w:fldCharType="end"/>
        </w:r>
      </w:hyperlink>
    </w:p>
    <w:p w14:paraId="7B3E0FD5" w14:textId="77777777" w:rsidR="00284822" w:rsidRDefault="003148F1">
      <w:pPr>
        <w:pStyle w:val="TM3"/>
        <w:tabs>
          <w:tab w:val="right" w:leader="dot" w:pos="9060"/>
        </w:tabs>
        <w:rPr>
          <w:rFonts w:eastAsiaTheme="minorEastAsia" w:cstheme="minorBidi"/>
          <w:sz w:val="22"/>
          <w:szCs w:val="22"/>
        </w:rPr>
      </w:pPr>
      <w:hyperlink w:anchor="_Toc175048642" w:history="1">
        <w:r w:rsidR="00F77BF8">
          <w:rPr>
            <w:rStyle w:val="Lienhypertexte"/>
          </w:rPr>
          <w:t>Paragraphe 1 : Autorisation d’exploitation et signature de conventions</w:t>
        </w:r>
        <w:r w:rsidR="00F77BF8">
          <w:tab/>
        </w:r>
        <w:r w:rsidR="00F77BF8">
          <w:fldChar w:fldCharType="begin"/>
        </w:r>
        <w:r w:rsidR="00F77BF8">
          <w:instrText xml:space="preserve"> PAGEREF _Toc175048642 \h </w:instrText>
        </w:r>
        <w:r w:rsidR="00F77BF8">
          <w:fldChar w:fldCharType="separate"/>
        </w:r>
        <w:r w:rsidR="00F77BF8">
          <w:t>18</w:t>
        </w:r>
        <w:r w:rsidR="00F77BF8">
          <w:fldChar w:fldCharType="end"/>
        </w:r>
      </w:hyperlink>
    </w:p>
    <w:p w14:paraId="16F25C7C" w14:textId="77777777" w:rsidR="00284822" w:rsidRDefault="003148F1">
      <w:pPr>
        <w:pStyle w:val="TM5"/>
        <w:tabs>
          <w:tab w:val="left" w:pos="1560"/>
          <w:tab w:val="right" w:leader="dot" w:pos="9060"/>
        </w:tabs>
        <w:ind w:left="1276"/>
        <w:rPr>
          <w:rFonts w:eastAsiaTheme="minorEastAsia" w:cstheme="minorBidi"/>
          <w:sz w:val="22"/>
          <w:szCs w:val="22"/>
        </w:rPr>
      </w:pPr>
      <w:hyperlink w:anchor="_Toc175048643" w:history="1">
        <w:r w:rsidR="00F77BF8">
          <w:rPr>
            <w:rStyle w:val="Lienhypertexte"/>
            <w:rFonts w:ascii="Rockwell" w:hAnsi="Rockwell"/>
          </w:rPr>
          <w:t>1.</w:t>
        </w:r>
        <w:r w:rsidR="00F77BF8">
          <w:rPr>
            <w:rFonts w:eastAsiaTheme="minorEastAsia" w:cstheme="minorBidi"/>
            <w:sz w:val="22"/>
            <w:szCs w:val="22"/>
          </w:rPr>
          <w:tab/>
        </w:r>
        <w:r w:rsidR="00F77BF8">
          <w:rPr>
            <w:rStyle w:val="Lienhypertexte"/>
            <w:rFonts w:ascii="Rockwell" w:hAnsi="Rockwell"/>
          </w:rPr>
          <w:t>1. Autorisation d’exploitation de fréquences</w:t>
        </w:r>
        <w:r w:rsidR="00F77BF8">
          <w:tab/>
        </w:r>
        <w:r w:rsidR="00F77BF8">
          <w:fldChar w:fldCharType="begin"/>
        </w:r>
        <w:r w:rsidR="00F77BF8">
          <w:instrText xml:space="preserve"> PAGEREF _Toc175048643 \h </w:instrText>
        </w:r>
        <w:r w:rsidR="00F77BF8">
          <w:fldChar w:fldCharType="separate"/>
        </w:r>
        <w:r w:rsidR="00F77BF8">
          <w:t>18</w:t>
        </w:r>
        <w:r w:rsidR="00F77BF8">
          <w:fldChar w:fldCharType="end"/>
        </w:r>
      </w:hyperlink>
    </w:p>
    <w:p w14:paraId="6AD2CF7F" w14:textId="77777777" w:rsidR="00284822" w:rsidRDefault="003148F1">
      <w:pPr>
        <w:pStyle w:val="TM5"/>
        <w:tabs>
          <w:tab w:val="left" w:pos="1820"/>
          <w:tab w:val="right" w:leader="dot" w:pos="9060"/>
        </w:tabs>
        <w:rPr>
          <w:rFonts w:eastAsiaTheme="minorEastAsia" w:cstheme="minorBidi"/>
          <w:sz w:val="22"/>
          <w:szCs w:val="22"/>
        </w:rPr>
      </w:pPr>
      <w:hyperlink w:anchor="_Toc175048644" w:history="1">
        <w:r w:rsidR="00F77BF8">
          <w:rPr>
            <w:rStyle w:val="Lienhypertexte"/>
            <w:rFonts w:ascii="Rockwell" w:hAnsi="Rockwell"/>
          </w:rPr>
          <w:t>1.2.</w:t>
        </w:r>
        <w:r w:rsidR="00F77BF8">
          <w:rPr>
            <w:rFonts w:eastAsiaTheme="minorEastAsia" w:cstheme="minorBidi"/>
            <w:sz w:val="22"/>
            <w:szCs w:val="22"/>
          </w:rPr>
          <w:tab/>
        </w:r>
        <w:r w:rsidR="00F77BF8">
          <w:rPr>
            <w:rStyle w:val="Lienhypertexte"/>
            <w:rFonts w:ascii="Rockwell" w:hAnsi="Rockwell"/>
          </w:rPr>
          <w:t>Signature de conventions</w:t>
        </w:r>
        <w:r w:rsidR="00F77BF8">
          <w:tab/>
        </w:r>
        <w:r w:rsidR="00F77BF8">
          <w:fldChar w:fldCharType="begin"/>
        </w:r>
        <w:r w:rsidR="00F77BF8">
          <w:instrText xml:space="preserve"> PAGEREF _Toc175048644 \h </w:instrText>
        </w:r>
        <w:r w:rsidR="00F77BF8">
          <w:fldChar w:fldCharType="separate"/>
        </w:r>
        <w:r w:rsidR="00F77BF8">
          <w:t>19</w:t>
        </w:r>
        <w:r w:rsidR="00F77BF8">
          <w:fldChar w:fldCharType="end"/>
        </w:r>
      </w:hyperlink>
    </w:p>
    <w:p w14:paraId="346F1BCC" w14:textId="77777777" w:rsidR="00284822" w:rsidRDefault="003148F1">
      <w:pPr>
        <w:pStyle w:val="TM3"/>
        <w:tabs>
          <w:tab w:val="right" w:leader="dot" w:pos="9060"/>
        </w:tabs>
        <w:rPr>
          <w:rFonts w:eastAsiaTheme="minorEastAsia" w:cstheme="minorBidi"/>
          <w:sz w:val="22"/>
          <w:szCs w:val="22"/>
        </w:rPr>
      </w:pPr>
      <w:hyperlink w:anchor="_Toc175048645" w:history="1">
        <w:r w:rsidR="00F77BF8">
          <w:rPr>
            <w:rStyle w:val="Lienhypertexte"/>
          </w:rPr>
          <w:t>Paragraphe 2 :  Déclarations d’existence</w:t>
        </w:r>
        <w:r w:rsidR="00F77BF8">
          <w:tab/>
        </w:r>
        <w:r w:rsidR="00F77BF8">
          <w:fldChar w:fldCharType="begin"/>
        </w:r>
        <w:r w:rsidR="00F77BF8">
          <w:instrText xml:space="preserve"> PAGEREF _Toc175048645 \h </w:instrText>
        </w:r>
        <w:r w:rsidR="00F77BF8">
          <w:fldChar w:fldCharType="separate"/>
        </w:r>
        <w:r w:rsidR="00F77BF8">
          <w:t>20</w:t>
        </w:r>
        <w:r w:rsidR="00F77BF8">
          <w:fldChar w:fldCharType="end"/>
        </w:r>
      </w:hyperlink>
    </w:p>
    <w:p w14:paraId="258A20E0" w14:textId="77777777" w:rsidR="00284822" w:rsidRDefault="003148F1">
      <w:pPr>
        <w:pStyle w:val="TM5"/>
        <w:tabs>
          <w:tab w:val="right" w:leader="dot" w:pos="9060"/>
        </w:tabs>
        <w:rPr>
          <w:rFonts w:eastAsiaTheme="minorEastAsia" w:cstheme="minorBidi"/>
          <w:sz w:val="22"/>
          <w:szCs w:val="22"/>
        </w:rPr>
      </w:pPr>
      <w:hyperlink w:anchor="_Toc175048646" w:history="1">
        <w:r w:rsidR="00F77BF8">
          <w:rPr>
            <w:rStyle w:val="Lienhypertexte"/>
            <w:rFonts w:ascii="Rockwell" w:hAnsi="Rockwell"/>
          </w:rPr>
          <w:t>2.1. Déclaration d’existence de la presse écrite et en ligne</w:t>
        </w:r>
        <w:r w:rsidR="00F77BF8">
          <w:tab/>
        </w:r>
        <w:r w:rsidR="00F77BF8">
          <w:fldChar w:fldCharType="begin"/>
        </w:r>
        <w:r w:rsidR="00F77BF8">
          <w:instrText xml:space="preserve"> PAGEREF _Toc175048646 \h </w:instrText>
        </w:r>
        <w:r w:rsidR="00F77BF8">
          <w:fldChar w:fldCharType="separate"/>
        </w:r>
        <w:r w:rsidR="00F77BF8">
          <w:t>20</w:t>
        </w:r>
        <w:r w:rsidR="00F77BF8">
          <w:fldChar w:fldCharType="end"/>
        </w:r>
      </w:hyperlink>
    </w:p>
    <w:p w14:paraId="3F1BFAF4" w14:textId="77777777" w:rsidR="00284822" w:rsidRDefault="003148F1">
      <w:pPr>
        <w:pStyle w:val="TM5"/>
        <w:tabs>
          <w:tab w:val="left" w:pos="1560"/>
          <w:tab w:val="right" w:leader="dot" w:pos="9060"/>
        </w:tabs>
        <w:rPr>
          <w:rFonts w:eastAsiaTheme="minorEastAsia" w:cstheme="minorBidi"/>
          <w:sz w:val="22"/>
          <w:szCs w:val="22"/>
        </w:rPr>
      </w:pPr>
      <w:hyperlink w:anchor="_Toc175048647" w:history="1">
        <w:r w:rsidR="00F77BF8">
          <w:rPr>
            <w:rStyle w:val="Lienhypertexte"/>
            <w:rFonts w:ascii="Rockwell" w:hAnsi="Rockwell"/>
          </w:rPr>
          <w:t>2.2</w:t>
        </w:r>
        <w:r w:rsidR="00F77BF8">
          <w:rPr>
            <w:rFonts w:eastAsiaTheme="minorEastAsia" w:cstheme="minorBidi"/>
            <w:sz w:val="22"/>
            <w:szCs w:val="22"/>
          </w:rPr>
          <w:tab/>
        </w:r>
        <w:r w:rsidR="00F77BF8">
          <w:rPr>
            <w:rStyle w:val="Lienhypertexte"/>
            <w:rFonts w:ascii="Rockwell" w:hAnsi="Rockwell"/>
          </w:rPr>
          <w:t>Déclaration d’existence d’entreprises de publicité</w:t>
        </w:r>
        <w:r w:rsidR="00F77BF8">
          <w:tab/>
        </w:r>
        <w:r w:rsidR="00F77BF8">
          <w:fldChar w:fldCharType="begin"/>
        </w:r>
        <w:r w:rsidR="00F77BF8">
          <w:instrText xml:space="preserve"> PAGEREF _Toc175048647 \h </w:instrText>
        </w:r>
        <w:r w:rsidR="00F77BF8">
          <w:fldChar w:fldCharType="separate"/>
        </w:r>
        <w:r w:rsidR="00F77BF8">
          <w:t>20</w:t>
        </w:r>
        <w:r w:rsidR="00F77BF8">
          <w:fldChar w:fldCharType="end"/>
        </w:r>
      </w:hyperlink>
    </w:p>
    <w:p w14:paraId="2F774AB8" w14:textId="77777777" w:rsidR="00284822" w:rsidRDefault="003148F1">
      <w:pPr>
        <w:pStyle w:val="TM3"/>
        <w:tabs>
          <w:tab w:val="right" w:leader="dot" w:pos="9060"/>
        </w:tabs>
        <w:rPr>
          <w:rFonts w:eastAsiaTheme="minorEastAsia" w:cstheme="minorBidi"/>
          <w:sz w:val="22"/>
          <w:szCs w:val="22"/>
        </w:rPr>
      </w:pPr>
      <w:hyperlink w:anchor="_Toc175048648" w:history="1">
        <w:r w:rsidR="00F77BF8">
          <w:rPr>
            <w:rStyle w:val="Lienhypertexte"/>
            <w:rFonts w:ascii="Rockwell" w:hAnsi="Rockwell"/>
          </w:rPr>
          <w:t>SECTION 2 : SUIVI DU FONCTIONNEMENT DES MEDIAS</w:t>
        </w:r>
        <w:r w:rsidR="00F77BF8">
          <w:tab/>
        </w:r>
        <w:r w:rsidR="00F77BF8">
          <w:fldChar w:fldCharType="begin"/>
        </w:r>
        <w:r w:rsidR="00F77BF8">
          <w:instrText xml:space="preserve"> PAGEREF _Toc175048648 \h </w:instrText>
        </w:r>
        <w:r w:rsidR="00F77BF8">
          <w:fldChar w:fldCharType="separate"/>
        </w:r>
        <w:r w:rsidR="00F77BF8">
          <w:t>21</w:t>
        </w:r>
        <w:r w:rsidR="00F77BF8">
          <w:fldChar w:fldCharType="end"/>
        </w:r>
      </w:hyperlink>
    </w:p>
    <w:p w14:paraId="0E7A33C9" w14:textId="77777777" w:rsidR="00284822" w:rsidRDefault="003148F1">
      <w:pPr>
        <w:pStyle w:val="TM4"/>
        <w:tabs>
          <w:tab w:val="right" w:leader="dot" w:pos="9060"/>
        </w:tabs>
        <w:rPr>
          <w:rFonts w:eastAsiaTheme="minorEastAsia" w:cstheme="minorBidi"/>
          <w:sz w:val="22"/>
          <w:szCs w:val="22"/>
        </w:rPr>
      </w:pPr>
      <w:hyperlink w:anchor="_Toc175048649" w:history="1">
        <w:r w:rsidR="00F77BF8">
          <w:rPr>
            <w:rStyle w:val="Lienhypertexte"/>
            <w:rFonts w:ascii="Rockwell" w:hAnsi="Rockwell"/>
          </w:rPr>
          <w:t>Paragraphe 1 : les médias audiovisuels privés</w:t>
        </w:r>
        <w:r w:rsidR="00F77BF8">
          <w:tab/>
        </w:r>
        <w:r w:rsidR="00F77BF8">
          <w:fldChar w:fldCharType="begin"/>
        </w:r>
        <w:r w:rsidR="00F77BF8">
          <w:instrText xml:space="preserve"> PAGEREF _Toc175048649 \h </w:instrText>
        </w:r>
        <w:r w:rsidR="00F77BF8">
          <w:fldChar w:fldCharType="separate"/>
        </w:r>
        <w:r w:rsidR="00F77BF8">
          <w:t>21</w:t>
        </w:r>
        <w:r w:rsidR="00F77BF8">
          <w:fldChar w:fldCharType="end"/>
        </w:r>
      </w:hyperlink>
    </w:p>
    <w:p w14:paraId="01216FAE" w14:textId="77777777" w:rsidR="00284822" w:rsidRDefault="003148F1">
      <w:pPr>
        <w:pStyle w:val="TM5"/>
        <w:tabs>
          <w:tab w:val="left" w:pos="1820"/>
          <w:tab w:val="right" w:leader="dot" w:pos="9060"/>
        </w:tabs>
        <w:rPr>
          <w:rFonts w:eastAsiaTheme="minorEastAsia" w:cstheme="minorBidi"/>
          <w:sz w:val="22"/>
          <w:szCs w:val="22"/>
        </w:rPr>
      </w:pPr>
      <w:hyperlink w:anchor="_Toc175048650" w:history="1">
        <w:r w:rsidR="00F77BF8">
          <w:rPr>
            <w:rStyle w:val="Lienhypertexte"/>
            <w:rFonts w:ascii="Rockwell" w:hAnsi="Rockwell"/>
          </w:rPr>
          <w:t>1.1.</w:t>
        </w:r>
        <w:r w:rsidR="00F77BF8">
          <w:rPr>
            <w:rFonts w:eastAsiaTheme="minorEastAsia" w:cstheme="minorBidi"/>
            <w:sz w:val="22"/>
            <w:szCs w:val="22"/>
          </w:rPr>
          <w:tab/>
        </w:r>
        <w:r w:rsidR="00F77BF8">
          <w:rPr>
            <w:rStyle w:val="Lienhypertexte"/>
            <w:rFonts w:ascii="Rockwell" w:hAnsi="Rockwell"/>
          </w:rPr>
          <w:t>L’analyse des bilans moraux et financiers</w:t>
        </w:r>
        <w:r w:rsidR="00F77BF8">
          <w:tab/>
        </w:r>
        <w:r w:rsidR="00F77BF8">
          <w:fldChar w:fldCharType="begin"/>
        </w:r>
        <w:r w:rsidR="00F77BF8">
          <w:instrText xml:space="preserve"> PAGEREF _Toc175048650 \h </w:instrText>
        </w:r>
        <w:r w:rsidR="00F77BF8">
          <w:fldChar w:fldCharType="separate"/>
        </w:r>
        <w:r w:rsidR="00F77BF8">
          <w:t>21</w:t>
        </w:r>
        <w:r w:rsidR="00F77BF8">
          <w:fldChar w:fldCharType="end"/>
        </w:r>
      </w:hyperlink>
    </w:p>
    <w:p w14:paraId="7AC60886" w14:textId="77777777" w:rsidR="00284822" w:rsidRDefault="003148F1">
      <w:pPr>
        <w:pStyle w:val="TM5"/>
        <w:tabs>
          <w:tab w:val="left" w:pos="1820"/>
          <w:tab w:val="right" w:leader="dot" w:pos="9060"/>
        </w:tabs>
        <w:rPr>
          <w:rFonts w:eastAsiaTheme="minorEastAsia" w:cstheme="minorBidi"/>
          <w:sz w:val="22"/>
          <w:szCs w:val="22"/>
        </w:rPr>
      </w:pPr>
      <w:hyperlink w:anchor="_Toc175048651" w:history="1">
        <w:r w:rsidR="00F77BF8">
          <w:rPr>
            <w:rStyle w:val="Lienhypertexte"/>
            <w:rFonts w:ascii="Rockwell" w:hAnsi="Rockwell"/>
          </w:rPr>
          <w:t>1.2.</w:t>
        </w:r>
        <w:r w:rsidR="00F77BF8">
          <w:rPr>
            <w:rFonts w:eastAsiaTheme="minorEastAsia" w:cstheme="minorBidi"/>
            <w:sz w:val="22"/>
            <w:szCs w:val="22"/>
          </w:rPr>
          <w:tab/>
        </w:r>
        <w:r w:rsidR="00F77BF8">
          <w:rPr>
            <w:rStyle w:val="Lienhypertexte"/>
            <w:rFonts w:ascii="Rockwell" w:hAnsi="Rockwell"/>
          </w:rPr>
          <w:t>Le contrôle du respect des grilles des programmes</w:t>
        </w:r>
        <w:r w:rsidR="00F77BF8">
          <w:tab/>
        </w:r>
        <w:r w:rsidR="00F77BF8">
          <w:fldChar w:fldCharType="begin"/>
        </w:r>
        <w:r w:rsidR="00F77BF8">
          <w:instrText xml:space="preserve"> PAGEREF _Toc175048651 \h </w:instrText>
        </w:r>
        <w:r w:rsidR="00F77BF8">
          <w:fldChar w:fldCharType="separate"/>
        </w:r>
        <w:r w:rsidR="00F77BF8">
          <w:t>22</w:t>
        </w:r>
        <w:r w:rsidR="00F77BF8">
          <w:fldChar w:fldCharType="end"/>
        </w:r>
      </w:hyperlink>
    </w:p>
    <w:p w14:paraId="1A42043B" w14:textId="77777777" w:rsidR="00284822" w:rsidRDefault="003148F1">
      <w:pPr>
        <w:pStyle w:val="TM4"/>
        <w:tabs>
          <w:tab w:val="right" w:leader="dot" w:pos="9060"/>
        </w:tabs>
        <w:rPr>
          <w:rFonts w:eastAsiaTheme="minorEastAsia" w:cstheme="minorBidi"/>
          <w:sz w:val="22"/>
          <w:szCs w:val="22"/>
        </w:rPr>
      </w:pPr>
      <w:hyperlink w:anchor="_Toc175048652" w:history="1">
        <w:r w:rsidR="00F77BF8">
          <w:rPr>
            <w:rStyle w:val="Lienhypertexte"/>
            <w:rFonts w:ascii="Rockwell" w:hAnsi="Rockwell"/>
          </w:rPr>
          <w:t>Paragraphe 2 : la presse écrite</w:t>
        </w:r>
        <w:r w:rsidR="00F77BF8">
          <w:tab/>
        </w:r>
        <w:r w:rsidR="00F77BF8">
          <w:fldChar w:fldCharType="begin"/>
        </w:r>
        <w:r w:rsidR="00F77BF8">
          <w:instrText xml:space="preserve"> PAGEREF _Toc175048652 \h </w:instrText>
        </w:r>
        <w:r w:rsidR="00F77BF8">
          <w:fldChar w:fldCharType="separate"/>
        </w:r>
        <w:r w:rsidR="00F77BF8">
          <w:t>22</w:t>
        </w:r>
        <w:r w:rsidR="00F77BF8">
          <w:fldChar w:fldCharType="end"/>
        </w:r>
      </w:hyperlink>
    </w:p>
    <w:p w14:paraId="71A8FAB6" w14:textId="77777777" w:rsidR="00284822" w:rsidRDefault="003148F1">
      <w:pPr>
        <w:pStyle w:val="TM5"/>
        <w:tabs>
          <w:tab w:val="left" w:pos="1820"/>
          <w:tab w:val="right" w:leader="dot" w:pos="9060"/>
        </w:tabs>
        <w:rPr>
          <w:rFonts w:eastAsiaTheme="minorEastAsia" w:cstheme="minorBidi"/>
          <w:sz w:val="22"/>
          <w:szCs w:val="22"/>
        </w:rPr>
      </w:pPr>
      <w:hyperlink w:anchor="_Toc175048653" w:history="1">
        <w:r w:rsidR="00F77BF8">
          <w:rPr>
            <w:rStyle w:val="Lienhypertexte"/>
            <w:rFonts w:ascii="Rockwell" w:hAnsi="Rockwell"/>
          </w:rPr>
          <w:t>2.1.</w:t>
        </w:r>
        <w:r w:rsidR="00F77BF8">
          <w:rPr>
            <w:rFonts w:eastAsiaTheme="minorEastAsia" w:cstheme="minorBidi"/>
            <w:sz w:val="22"/>
            <w:szCs w:val="22"/>
          </w:rPr>
          <w:tab/>
        </w:r>
        <w:r w:rsidR="00F77BF8">
          <w:rPr>
            <w:rStyle w:val="Lienhypertexte"/>
            <w:rFonts w:ascii="Rockwell" w:hAnsi="Rockwell"/>
          </w:rPr>
          <w:t>La presse écrite de la région du Centre</w:t>
        </w:r>
        <w:r w:rsidR="00F77BF8">
          <w:tab/>
        </w:r>
        <w:r w:rsidR="00F77BF8">
          <w:fldChar w:fldCharType="begin"/>
        </w:r>
        <w:r w:rsidR="00F77BF8">
          <w:instrText xml:space="preserve"> PAGEREF _Toc175048653 \h </w:instrText>
        </w:r>
        <w:r w:rsidR="00F77BF8">
          <w:fldChar w:fldCharType="separate"/>
        </w:r>
        <w:r w:rsidR="00F77BF8">
          <w:t>23</w:t>
        </w:r>
        <w:r w:rsidR="00F77BF8">
          <w:fldChar w:fldCharType="end"/>
        </w:r>
      </w:hyperlink>
    </w:p>
    <w:p w14:paraId="7AA7098E" w14:textId="77777777" w:rsidR="00284822" w:rsidRDefault="003148F1">
      <w:pPr>
        <w:pStyle w:val="TM5"/>
        <w:tabs>
          <w:tab w:val="left" w:pos="1820"/>
          <w:tab w:val="right" w:leader="dot" w:pos="9060"/>
        </w:tabs>
        <w:rPr>
          <w:rFonts w:eastAsiaTheme="minorEastAsia" w:cstheme="minorBidi"/>
          <w:sz w:val="22"/>
          <w:szCs w:val="22"/>
        </w:rPr>
      </w:pPr>
      <w:hyperlink w:anchor="_Toc175048654" w:history="1">
        <w:r w:rsidR="00F77BF8">
          <w:rPr>
            <w:rStyle w:val="Lienhypertexte"/>
            <w:rFonts w:ascii="Rockwell" w:hAnsi="Rockwell"/>
          </w:rPr>
          <w:t>2.2.</w:t>
        </w:r>
        <w:r w:rsidR="00F77BF8">
          <w:rPr>
            <w:rFonts w:eastAsiaTheme="minorEastAsia" w:cstheme="minorBidi"/>
            <w:sz w:val="22"/>
            <w:szCs w:val="22"/>
          </w:rPr>
          <w:tab/>
        </w:r>
        <w:r w:rsidR="00F77BF8">
          <w:rPr>
            <w:rStyle w:val="Lienhypertexte"/>
            <w:rFonts w:ascii="Rockwell" w:hAnsi="Rockwell"/>
          </w:rPr>
          <w:t>La presse écrite de l’Ouest</w:t>
        </w:r>
        <w:r w:rsidR="00F77BF8">
          <w:tab/>
        </w:r>
        <w:r w:rsidR="00F77BF8">
          <w:fldChar w:fldCharType="begin"/>
        </w:r>
        <w:r w:rsidR="00F77BF8">
          <w:instrText xml:space="preserve"> PAGEREF _Toc175048654 \h </w:instrText>
        </w:r>
        <w:r w:rsidR="00F77BF8">
          <w:fldChar w:fldCharType="separate"/>
        </w:r>
        <w:r w:rsidR="00F77BF8">
          <w:t>26</w:t>
        </w:r>
        <w:r w:rsidR="00F77BF8">
          <w:fldChar w:fldCharType="end"/>
        </w:r>
      </w:hyperlink>
    </w:p>
    <w:p w14:paraId="75268D16" w14:textId="77777777" w:rsidR="00284822" w:rsidRDefault="003148F1">
      <w:pPr>
        <w:pStyle w:val="TM4"/>
        <w:tabs>
          <w:tab w:val="right" w:leader="dot" w:pos="9060"/>
        </w:tabs>
        <w:rPr>
          <w:rFonts w:eastAsiaTheme="minorEastAsia" w:cstheme="minorBidi"/>
          <w:sz w:val="22"/>
          <w:szCs w:val="22"/>
        </w:rPr>
      </w:pPr>
      <w:hyperlink w:anchor="_Toc175048655" w:history="1">
        <w:r w:rsidR="00F77BF8">
          <w:rPr>
            <w:rStyle w:val="Lienhypertexte"/>
            <w:rFonts w:ascii="Rockwell" w:hAnsi="Rockwell"/>
          </w:rPr>
          <w:t>Paragraphe 3 : la presse en ligne du Centre</w:t>
        </w:r>
        <w:r w:rsidR="00F77BF8">
          <w:tab/>
        </w:r>
        <w:r w:rsidR="00F77BF8">
          <w:fldChar w:fldCharType="begin"/>
        </w:r>
        <w:r w:rsidR="00F77BF8">
          <w:instrText xml:space="preserve"> PAGEREF _Toc175048655 \h </w:instrText>
        </w:r>
        <w:r w:rsidR="00F77BF8">
          <w:fldChar w:fldCharType="separate"/>
        </w:r>
        <w:r w:rsidR="00F77BF8">
          <w:t>26</w:t>
        </w:r>
        <w:r w:rsidR="00F77BF8">
          <w:fldChar w:fldCharType="end"/>
        </w:r>
      </w:hyperlink>
    </w:p>
    <w:p w14:paraId="62FF729C" w14:textId="77777777" w:rsidR="00284822" w:rsidRDefault="003148F1">
      <w:pPr>
        <w:pStyle w:val="TM5"/>
        <w:tabs>
          <w:tab w:val="left" w:pos="1820"/>
          <w:tab w:val="right" w:leader="dot" w:pos="9060"/>
        </w:tabs>
        <w:rPr>
          <w:rFonts w:eastAsiaTheme="minorEastAsia" w:cstheme="minorBidi"/>
          <w:sz w:val="22"/>
          <w:szCs w:val="22"/>
        </w:rPr>
      </w:pPr>
      <w:hyperlink w:anchor="_Toc175048656" w:history="1">
        <w:r w:rsidR="00F77BF8">
          <w:rPr>
            <w:rStyle w:val="Lienhypertexte"/>
            <w:rFonts w:ascii="Rockwell" w:hAnsi="Rockwell"/>
          </w:rPr>
          <w:t>3.1.</w:t>
        </w:r>
        <w:r w:rsidR="00F77BF8">
          <w:rPr>
            <w:rFonts w:eastAsiaTheme="minorEastAsia" w:cstheme="minorBidi"/>
            <w:sz w:val="22"/>
            <w:szCs w:val="22"/>
          </w:rPr>
          <w:tab/>
        </w:r>
        <w:r w:rsidR="00F77BF8">
          <w:rPr>
            <w:rStyle w:val="Lienhypertexte"/>
            <w:rFonts w:ascii="Rockwell" w:hAnsi="Rockwell"/>
          </w:rPr>
          <w:t>La presse en ligne du Centre</w:t>
        </w:r>
        <w:r w:rsidR="00F77BF8">
          <w:tab/>
        </w:r>
        <w:r w:rsidR="00F77BF8">
          <w:fldChar w:fldCharType="begin"/>
        </w:r>
        <w:r w:rsidR="00F77BF8">
          <w:instrText xml:space="preserve"> PAGEREF _Toc175048656 \h </w:instrText>
        </w:r>
        <w:r w:rsidR="00F77BF8">
          <w:fldChar w:fldCharType="separate"/>
        </w:r>
        <w:r w:rsidR="00F77BF8">
          <w:t>26</w:t>
        </w:r>
        <w:r w:rsidR="00F77BF8">
          <w:fldChar w:fldCharType="end"/>
        </w:r>
      </w:hyperlink>
    </w:p>
    <w:p w14:paraId="7CDCC0FB" w14:textId="77777777" w:rsidR="00284822" w:rsidRDefault="003148F1">
      <w:pPr>
        <w:pStyle w:val="TM5"/>
        <w:tabs>
          <w:tab w:val="left" w:pos="1820"/>
          <w:tab w:val="right" w:leader="dot" w:pos="9060"/>
        </w:tabs>
        <w:rPr>
          <w:rFonts w:eastAsiaTheme="minorEastAsia" w:cstheme="minorBidi"/>
          <w:sz w:val="22"/>
          <w:szCs w:val="22"/>
        </w:rPr>
      </w:pPr>
      <w:hyperlink w:anchor="_Toc175048657" w:history="1">
        <w:r w:rsidR="00F77BF8">
          <w:rPr>
            <w:rStyle w:val="Lienhypertexte"/>
            <w:rFonts w:ascii="Rockwell" w:hAnsi="Rockwell"/>
          </w:rPr>
          <w:t>3.2.</w:t>
        </w:r>
        <w:r w:rsidR="00F77BF8">
          <w:rPr>
            <w:rFonts w:eastAsiaTheme="minorEastAsia" w:cstheme="minorBidi"/>
            <w:sz w:val="22"/>
            <w:szCs w:val="22"/>
          </w:rPr>
          <w:tab/>
        </w:r>
        <w:r w:rsidR="00F77BF8">
          <w:rPr>
            <w:rStyle w:val="Lienhypertexte"/>
            <w:rFonts w:ascii="Rockwell" w:hAnsi="Rockwell"/>
          </w:rPr>
          <w:t>La presse en ligne relevant de la Délégation Régionale</w:t>
        </w:r>
        <w:r w:rsidR="00F77BF8">
          <w:tab/>
        </w:r>
        <w:r w:rsidR="00F77BF8">
          <w:fldChar w:fldCharType="begin"/>
        </w:r>
        <w:r w:rsidR="00F77BF8">
          <w:instrText xml:space="preserve"> PAGEREF _Toc175048657 \h </w:instrText>
        </w:r>
        <w:r w:rsidR="00F77BF8">
          <w:fldChar w:fldCharType="separate"/>
        </w:r>
        <w:r w:rsidR="00F77BF8">
          <w:t>27</w:t>
        </w:r>
        <w:r w:rsidR="00F77BF8">
          <w:fldChar w:fldCharType="end"/>
        </w:r>
      </w:hyperlink>
    </w:p>
    <w:p w14:paraId="3BE4561E" w14:textId="77777777" w:rsidR="00284822" w:rsidRDefault="003148F1">
      <w:pPr>
        <w:pStyle w:val="TM5"/>
        <w:tabs>
          <w:tab w:val="right" w:leader="dot" w:pos="9060"/>
        </w:tabs>
        <w:rPr>
          <w:rFonts w:eastAsiaTheme="minorEastAsia" w:cstheme="minorBidi"/>
          <w:sz w:val="22"/>
          <w:szCs w:val="22"/>
        </w:rPr>
      </w:pPr>
      <w:hyperlink w:anchor="_Toc175048658" w:history="1">
        <w:r w:rsidR="00F77BF8">
          <w:rPr>
            <w:rStyle w:val="Lienhypertexte"/>
            <w:rFonts w:ascii="Rockwell" w:hAnsi="Rockwell"/>
          </w:rPr>
          <w:t>de l’Ouest</w:t>
        </w:r>
        <w:r w:rsidR="00F77BF8">
          <w:tab/>
        </w:r>
        <w:r w:rsidR="00F77BF8">
          <w:fldChar w:fldCharType="begin"/>
        </w:r>
        <w:r w:rsidR="00F77BF8">
          <w:instrText xml:space="preserve"> PAGEREF _Toc175048658 \h </w:instrText>
        </w:r>
        <w:r w:rsidR="00F77BF8">
          <w:fldChar w:fldCharType="separate"/>
        </w:r>
        <w:r w:rsidR="00F77BF8">
          <w:t>27</w:t>
        </w:r>
        <w:r w:rsidR="00F77BF8">
          <w:fldChar w:fldCharType="end"/>
        </w:r>
      </w:hyperlink>
    </w:p>
    <w:p w14:paraId="41C89D55" w14:textId="77777777" w:rsidR="00284822" w:rsidRDefault="003148F1">
      <w:pPr>
        <w:pStyle w:val="TM4"/>
        <w:tabs>
          <w:tab w:val="right" w:leader="dot" w:pos="9060"/>
        </w:tabs>
        <w:rPr>
          <w:rFonts w:eastAsiaTheme="minorEastAsia" w:cstheme="minorBidi"/>
          <w:sz w:val="22"/>
          <w:szCs w:val="22"/>
        </w:rPr>
      </w:pPr>
      <w:hyperlink w:anchor="_Toc175048659" w:history="1">
        <w:r w:rsidR="00F77BF8">
          <w:rPr>
            <w:rStyle w:val="Lienhypertexte"/>
            <w:rFonts w:ascii="Rockwell" w:eastAsia="Calibri" w:hAnsi="Rockwell"/>
          </w:rPr>
          <w:t>Paragraphe 4 : délivrance des attestations de parution ou de diffusion régulière</w:t>
        </w:r>
        <w:r w:rsidR="00F77BF8">
          <w:tab/>
        </w:r>
        <w:r w:rsidR="00F77BF8">
          <w:fldChar w:fldCharType="begin"/>
        </w:r>
        <w:r w:rsidR="00F77BF8">
          <w:instrText xml:space="preserve"> PAGEREF _Toc175048659 \h </w:instrText>
        </w:r>
        <w:r w:rsidR="00F77BF8">
          <w:fldChar w:fldCharType="separate"/>
        </w:r>
        <w:r w:rsidR="00F77BF8">
          <w:t>27</w:t>
        </w:r>
        <w:r w:rsidR="00F77BF8">
          <w:fldChar w:fldCharType="end"/>
        </w:r>
      </w:hyperlink>
    </w:p>
    <w:p w14:paraId="484896F3" w14:textId="77777777" w:rsidR="00284822" w:rsidRDefault="003148F1">
      <w:pPr>
        <w:pStyle w:val="TM4"/>
        <w:tabs>
          <w:tab w:val="right" w:leader="dot" w:pos="9060"/>
        </w:tabs>
        <w:rPr>
          <w:rFonts w:eastAsiaTheme="minorEastAsia" w:cstheme="minorBidi"/>
          <w:sz w:val="22"/>
          <w:szCs w:val="22"/>
        </w:rPr>
      </w:pPr>
      <w:hyperlink w:anchor="_Toc175048660" w:history="1">
        <w:r w:rsidR="00F77BF8">
          <w:rPr>
            <w:rStyle w:val="Lienhypertexte"/>
            <w:rFonts w:ascii="Rockwell" w:hAnsi="Rockwell"/>
          </w:rPr>
          <w:t>Paragraphe 5 : Contrôle des normes techniques</w:t>
        </w:r>
        <w:r w:rsidR="00F77BF8">
          <w:tab/>
        </w:r>
        <w:r w:rsidR="00F77BF8">
          <w:fldChar w:fldCharType="begin"/>
        </w:r>
        <w:r w:rsidR="00F77BF8">
          <w:instrText xml:space="preserve"> PAGEREF _Toc175048660 \h </w:instrText>
        </w:r>
        <w:r w:rsidR="00F77BF8">
          <w:fldChar w:fldCharType="separate"/>
        </w:r>
        <w:r w:rsidR="00F77BF8">
          <w:t>28</w:t>
        </w:r>
        <w:r w:rsidR="00F77BF8">
          <w:fldChar w:fldCharType="end"/>
        </w:r>
      </w:hyperlink>
    </w:p>
    <w:p w14:paraId="23D3D6A6" w14:textId="77777777" w:rsidR="00284822" w:rsidRDefault="003148F1">
      <w:pPr>
        <w:pStyle w:val="TM2"/>
        <w:rPr>
          <w:rFonts w:eastAsiaTheme="minorEastAsia" w:cstheme="minorBidi"/>
          <w:i w:val="0"/>
          <w:iCs w:val="0"/>
          <w:sz w:val="22"/>
          <w:szCs w:val="22"/>
        </w:rPr>
      </w:pPr>
      <w:hyperlink w:anchor="_Toc175048661" w:history="1">
        <w:r w:rsidR="00F77BF8">
          <w:rPr>
            <w:rStyle w:val="Lienhypertexte"/>
            <w:rFonts w:ascii="Rockwell" w:hAnsi="Rockwell"/>
          </w:rPr>
          <w:t>CHAPITRE II : MONITORING DE LA PRESSE ECRITE, DE LA PRESSE EN LIGNE ET DES MEDIAS AUDIOVISUELS</w:t>
        </w:r>
        <w:r w:rsidR="00F77BF8">
          <w:tab/>
        </w:r>
        <w:r w:rsidR="00F77BF8">
          <w:fldChar w:fldCharType="begin"/>
        </w:r>
        <w:r w:rsidR="00F77BF8">
          <w:instrText xml:space="preserve"> PAGEREF _Toc175048661 \h </w:instrText>
        </w:r>
        <w:r w:rsidR="00F77BF8">
          <w:fldChar w:fldCharType="separate"/>
        </w:r>
        <w:r w:rsidR="00F77BF8">
          <w:t>29</w:t>
        </w:r>
        <w:r w:rsidR="00F77BF8">
          <w:fldChar w:fldCharType="end"/>
        </w:r>
      </w:hyperlink>
    </w:p>
    <w:p w14:paraId="10DE6723" w14:textId="77777777" w:rsidR="00284822" w:rsidRDefault="003148F1">
      <w:pPr>
        <w:pStyle w:val="TM3"/>
        <w:tabs>
          <w:tab w:val="right" w:leader="dot" w:pos="9060"/>
        </w:tabs>
        <w:rPr>
          <w:rFonts w:eastAsiaTheme="minorEastAsia" w:cstheme="minorBidi"/>
          <w:sz w:val="22"/>
          <w:szCs w:val="22"/>
        </w:rPr>
      </w:pPr>
      <w:hyperlink w:anchor="_Toc175048662" w:history="1">
        <w:r w:rsidR="00F77BF8">
          <w:rPr>
            <w:rStyle w:val="Lienhypertexte"/>
            <w:rFonts w:ascii="Rockwell" w:hAnsi="Rockwell"/>
          </w:rPr>
          <w:t>SECTION 1 : PRESSE ECRITE DE LA REGION DU CENTRE</w:t>
        </w:r>
        <w:r w:rsidR="00F77BF8">
          <w:tab/>
        </w:r>
        <w:r w:rsidR="00F77BF8">
          <w:fldChar w:fldCharType="begin"/>
        </w:r>
        <w:r w:rsidR="00F77BF8">
          <w:instrText xml:space="preserve"> PAGEREF _Toc175048662 \h </w:instrText>
        </w:r>
        <w:r w:rsidR="00F77BF8">
          <w:fldChar w:fldCharType="separate"/>
        </w:r>
        <w:r w:rsidR="00F77BF8">
          <w:t>29</w:t>
        </w:r>
        <w:r w:rsidR="00F77BF8">
          <w:fldChar w:fldCharType="end"/>
        </w:r>
      </w:hyperlink>
    </w:p>
    <w:p w14:paraId="3F277278" w14:textId="77777777" w:rsidR="00284822" w:rsidRDefault="003148F1">
      <w:pPr>
        <w:pStyle w:val="TM4"/>
        <w:tabs>
          <w:tab w:val="right" w:leader="dot" w:pos="9060"/>
        </w:tabs>
        <w:rPr>
          <w:rFonts w:eastAsiaTheme="minorEastAsia" w:cstheme="minorBidi"/>
          <w:sz w:val="22"/>
          <w:szCs w:val="22"/>
        </w:rPr>
      </w:pPr>
      <w:hyperlink w:anchor="_Toc175048663" w:history="1">
        <w:r w:rsidR="00F77BF8">
          <w:rPr>
            <w:rStyle w:val="Lienhypertexte"/>
            <w:rFonts w:ascii="Rockwell" w:hAnsi="Rockwell"/>
            <w:bCs/>
          </w:rPr>
          <w:t xml:space="preserve">Paragraphe 1 : </w:t>
        </w:r>
        <w:r w:rsidR="00F77BF8">
          <w:rPr>
            <w:rStyle w:val="Lienhypertexte"/>
            <w:rFonts w:ascii="Rockwell" w:hAnsi="Rockwell"/>
          </w:rPr>
          <w:t>L’observation du respect du pluralisme et de l’équilibre de l’information dans les quotidiens</w:t>
        </w:r>
        <w:r w:rsidR="00F77BF8">
          <w:tab/>
        </w:r>
        <w:r w:rsidR="00F77BF8">
          <w:fldChar w:fldCharType="begin"/>
        </w:r>
        <w:r w:rsidR="00F77BF8">
          <w:instrText xml:space="preserve"> PAGEREF _Toc175048663 \h </w:instrText>
        </w:r>
        <w:r w:rsidR="00F77BF8">
          <w:fldChar w:fldCharType="separate"/>
        </w:r>
        <w:r w:rsidR="00F77BF8">
          <w:t>29</w:t>
        </w:r>
        <w:r w:rsidR="00F77BF8">
          <w:fldChar w:fldCharType="end"/>
        </w:r>
      </w:hyperlink>
    </w:p>
    <w:p w14:paraId="675F4DBE" w14:textId="77777777" w:rsidR="00284822" w:rsidRDefault="003148F1">
      <w:pPr>
        <w:pStyle w:val="TM5"/>
        <w:tabs>
          <w:tab w:val="left" w:pos="1820"/>
          <w:tab w:val="right" w:leader="dot" w:pos="9060"/>
        </w:tabs>
        <w:rPr>
          <w:rFonts w:eastAsiaTheme="minorEastAsia" w:cstheme="minorBidi"/>
          <w:sz w:val="22"/>
          <w:szCs w:val="22"/>
        </w:rPr>
      </w:pPr>
      <w:hyperlink w:anchor="_Toc175048664" w:history="1">
        <w:r w:rsidR="00F77BF8">
          <w:rPr>
            <w:rStyle w:val="Lienhypertexte"/>
            <w:rFonts w:ascii="Rockwell" w:hAnsi="Rockwell"/>
          </w:rPr>
          <w:t>1.3.</w:t>
        </w:r>
        <w:r w:rsidR="00F77BF8">
          <w:rPr>
            <w:rFonts w:eastAsiaTheme="minorEastAsia" w:cstheme="minorBidi"/>
            <w:sz w:val="22"/>
            <w:szCs w:val="22"/>
          </w:rPr>
          <w:tab/>
        </w:r>
        <w:r w:rsidR="00F77BF8">
          <w:rPr>
            <w:rStyle w:val="Lienhypertexte"/>
            <w:rFonts w:ascii="Rockwell" w:hAnsi="Rockwell"/>
          </w:rPr>
          <w:t>Le Pays</w:t>
        </w:r>
        <w:r w:rsidR="00F77BF8">
          <w:tab/>
        </w:r>
        <w:r w:rsidR="00F77BF8">
          <w:fldChar w:fldCharType="begin"/>
        </w:r>
        <w:r w:rsidR="00F77BF8">
          <w:instrText xml:space="preserve"> PAGEREF _Toc175048664 \h </w:instrText>
        </w:r>
        <w:r w:rsidR="00F77BF8">
          <w:fldChar w:fldCharType="separate"/>
        </w:r>
        <w:r w:rsidR="00F77BF8">
          <w:t>33</w:t>
        </w:r>
        <w:r w:rsidR="00F77BF8">
          <w:fldChar w:fldCharType="end"/>
        </w:r>
      </w:hyperlink>
    </w:p>
    <w:p w14:paraId="4E365E4B" w14:textId="77777777" w:rsidR="00284822" w:rsidRDefault="003148F1">
      <w:pPr>
        <w:pStyle w:val="TM5"/>
        <w:tabs>
          <w:tab w:val="left" w:pos="1820"/>
          <w:tab w:val="right" w:leader="dot" w:pos="9060"/>
        </w:tabs>
        <w:rPr>
          <w:rFonts w:eastAsiaTheme="minorEastAsia" w:cstheme="minorBidi"/>
          <w:sz w:val="22"/>
          <w:szCs w:val="22"/>
        </w:rPr>
      </w:pPr>
      <w:hyperlink w:anchor="_Toc175048665" w:history="1">
        <w:r w:rsidR="00F77BF8">
          <w:rPr>
            <w:rStyle w:val="Lienhypertexte"/>
            <w:rFonts w:ascii="Rockwell" w:hAnsi="Rockwell"/>
          </w:rPr>
          <w:t>1.4.</w:t>
        </w:r>
        <w:r w:rsidR="00F77BF8">
          <w:rPr>
            <w:rFonts w:eastAsiaTheme="minorEastAsia" w:cstheme="minorBidi"/>
            <w:sz w:val="22"/>
            <w:szCs w:val="22"/>
          </w:rPr>
          <w:tab/>
        </w:r>
        <w:r w:rsidR="00F77BF8">
          <w:rPr>
            <w:rStyle w:val="Lienhypertexte"/>
            <w:rFonts w:ascii="Rockwell" w:hAnsi="Rockwell"/>
          </w:rPr>
          <w:t>Le Quotidien</w:t>
        </w:r>
        <w:r w:rsidR="00F77BF8">
          <w:tab/>
        </w:r>
        <w:r w:rsidR="00F77BF8">
          <w:fldChar w:fldCharType="begin"/>
        </w:r>
        <w:r w:rsidR="00F77BF8">
          <w:instrText xml:space="preserve"> PAGEREF _Toc175048665 \h </w:instrText>
        </w:r>
        <w:r w:rsidR="00F77BF8">
          <w:fldChar w:fldCharType="separate"/>
        </w:r>
        <w:r w:rsidR="00F77BF8">
          <w:t>35</w:t>
        </w:r>
        <w:r w:rsidR="00F77BF8">
          <w:fldChar w:fldCharType="end"/>
        </w:r>
      </w:hyperlink>
    </w:p>
    <w:p w14:paraId="16CC4F25" w14:textId="77777777" w:rsidR="00284822" w:rsidRDefault="003148F1">
      <w:pPr>
        <w:pStyle w:val="TM5"/>
        <w:tabs>
          <w:tab w:val="left" w:pos="1820"/>
          <w:tab w:val="right" w:leader="dot" w:pos="9060"/>
        </w:tabs>
        <w:rPr>
          <w:rFonts w:eastAsiaTheme="minorEastAsia" w:cstheme="minorBidi"/>
          <w:sz w:val="22"/>
          <w:szCs w:val="22"/>
        </w:rPr>
      </w:pPr>
      <w:hyperlink w:anchor="_Toc175048666" w:history="1">
        <w:r w:rsidR="00F77BF8">
          <w:rPr>
            <w:rStyle w:val="Lienhypertexte"/>
            <w:rFonts w:ascii="Rockwell" w:hAnsi="Rockwell"/>
          </w:rPr>
          <w:t>1.5.</w:t>
        </w:r>
        <w:r w:rsidR="00F77BF8">
          <w:rPr>
            <w:rFonts w:eastAsiaTheme="minorEastAsia" w:cstheme="minorBidi"/>
            <w:sz w:val="22"/>
            <w:szCs w:val="22"/>
          </w:rPr>
          <w:tab/>
        </w:r>
        <w:r w:rsidR="00F77BF8">
          <w:rPr>
            <w:rStyle w:val="Lienhypertexte"/>
            <w:rFonts w:ascii="Rockwell" w:hAnsi="Rockwell"/>
          </w:rPr>
          <w:t>L’Express du Faso</w:t>
        </w:r>
        <w:r w:rsidR="00F77BF8">
          <w:tab/>
        </w:r>
        <w:r w:rsidR="00F77BF8">
          <w:fldChar w:fldCharType="begin"/>
        </w:r>
        <w:r w:rsidR="00F77BF8">
          <w:instrText xml:space="preserve"> PAGEREF _Toc175048666 \h </w:instrText>
        </w:r>
        <w:r w:rsidR="00F77BF8">
          <w:fldChar w:fldCharType="separate"/>
        </w:r>
        <w:r w:rsidR="00F77BF8">
          <w:t>37</w:t>
        </w:r>
        <w:r w:rsidR="00F77BF8">
          <w:fldChar w:fldCharType="end"/>
        </w:r>
      </w:hyperlink>
    </w:p>
    <w:p w14:paraId="3705077F" w14:textId="77777777" w:rsidR="00284822" w:rsidRDefault="003148F1">
      <w:pPr>
        <w:pStyle w:val="TM5"/>
        <w:tabs>
          <w:tab w:val="left" w:pos="1820"/>
          <w:tab w:val="right" w:leader="dot" w:pos="9060"/>
        </w:tabs>
        <w:rPr>
          <w:rFonts w:eastAsiaTheme="minorEastAsia" w:cstheme="minorBidi"/>
          <w:sz w:val="22"/>
          <w:szCs w:val="22"/>
        </w:rPr>
      </w:pPr>
      <w:hyperlink w:anchor="_Toc175048667" w:history="1">
        <w:r w:rsidR="00F77BF8">
          <w:rPr>
            <w:rStyle w:val="Lienhypertexte"/>
            <w:rFonts w:ascii="Rockwell" w:hAnsi="Rockwell"/>
          </w:rPr>
          <w:t>1.6.</w:t>
        </w:r>
        <w:r w:rsidR="00F77BF8">
          <w:rPr>
            <w:rFonts w:eastAsiaTheme="minorEastAsia" w:cstheme="minorBidi"/>
            <w:sz w:val="22"/>
            <w:szCs w:val="22"/>
          </w:rPr>
          <w:tab/>
        </w:r>
        <w:r w:rsidR="00F77BF8">
          <w:rPr>
            <w:rStyle w:val="Lienhypertexte"/>
            <w:rFonts w:ascii="Rockwell" w:hAnsi="Rockwell"/>
          </w:rPr>
          <w:t>Aujourd’hui au Faso</w:t>
        </w:r>
        <w:r w:rsidR="00F77BF8">
          <w:tab/>
        </w:r>
        <w:r w:rsidR="00F77BF8">
          <w:fldChar w:fldCharType="begin"/>
        </w:r>
        <w:r w:rsidR="00F77BF8">
          <w:instrText xml:space="preserve"> PAGEREF _Toc175048667 \h </w:instrText>
        </w:r>
        <w:r w:rsidR="00F77BF8">
          <w:fldChar w:fldCharType="separate"/>
        </w:r>
        <w:r w:rsidR="00F77BF8">
          <w:t>39</w:t>
        </w:r>
        <w:r w:rsidR="00F77BF8">
          <w:fldChar w:fldCharType="end"/>
        </w:r>
      </w:hyperlink>
    </w:p>
    <w:p w14:paraId="56FD70CC" w14:textId="77777777" w:rsidR="00284822" w:rsidRDefault="003148F1">
      <w:pPr>
        <w:pStyle w:val="TM4"/>
        <w:tabs>
          <w:tab w:val="right" w:leader="dot" w:pos="9060"/>
        </w:tabs>
        <w:rPr>
          <w:rFonts w:eastAsiaTheme="minorEastAsia" w:cstheme="minorBidi"/>
          <w:sz w:val="22"/>
          <w:szCs w:val="22"/>
        </w:rPr>
      </w:pPr>
      <w:hyperlink w:anchor="_Toc175048668" w:history="1">
        <w:r w:rsidR="00F77BF8">
          <w:rPr>
            <w:rStyle w:val="Lienhypertexte"/>
            <w:rFonts w:ascii="Rockwell" w:hAnsi="Rockwell"/>
          </w:rPr>
          <w:t>Paragraphe 2 : observation du pluralisme et de l’équilibre</w:t>
        </w:r>
        <w:r w:rsidR="00F77BF8">
          <w:tab/>
        </w:r>
        <w:r w:rsidR="00F77BF8">
          <w:fldChar w:fldCharType="begin"/>
        </w:r>
        <w:r w:rsidR="00F77BF8">
          <w:instrText xml:space="preserve"> PAGEREF _Toc175048668 \h </w:instrText>
        </w:r>
        <w:r w:rsidR="00F77BF8">
          <w:fldChar w:fldCharType="separate"/>
        </w:r>
        <w:r w:rsidR="00F77BF8">
          <w:t>41</w:t>
        </w:r>
        <w:r w:rsidR="00F77BF8">
          <w:fldChar w:fldCharType="end"/>
        </w:r>
      </w:hyperlink>
    </w:p>
    <w:p w14:paraId="53DD1DE5" w14:textId="77777777" w:rsidR="00284822" w:rsidRDefault="003148F1">
      <w:pPr>
        <w:pStyle w:val="TM4"/>
        <w:tabs>
          <w:tab w:val="right" w:leader="dot" w:pos="9060"/>
        </w:tabs>
        <w:rPr>
          <w:rFonts w:eastAsiaTheme="minorEastAsia" w:cstheme="minorBidi"/>
          <w:sz w:val="22"/>
          <w:szCs w:val="22"/>
        </w:rPr>
      </w:pPr>
      <w:hyperlink w:anchor="_Toc175048669" w:history="1">
        <w:r w:rsidR="00F77BF8">
          <w:rPr>
            <w:rStyle w:val="Lienhypertexte"/>
            <w:rFonts w:ascii="Rockwell" w:hAnsi="Rockwell"/>
          </w:rPr>
          <w:t>de l’information dans les hebdomadaires</w:t>
        </w:r>
        <w:r w:rsidR="00F77BF8">
          <w:tab/>
        </w:r>
        <w:r w:rsidR="00F77BF8">
          <w:fldChar w:fldCharType="begin"/>
        </w:r>
        <w:r w:rsidR="00F77BF8">
          <w:instrText xml:space="preserve"> PAGEREF _Toc175048669 \h </w:instrText>
        </w:r>
        <w:r w:rsidR="00F77BF8">
          <w:fldChar w:fldCharType="separate"/>
        </w:r>
        <w:r w:rsidR="00F77BF8">
          <w:t>41</w:t>
        </w:r>
        <w:r w:rsidR="00F77BF8">
          <w:fldChar w:fldCharType="end"/>
        </w:r>
      </w:hyperlink>
    </w:p>
    <w:p w14:paraId="64D0C796" w14:textId="77777777" w:rsidR="00284822" w:rsidRDefault="003148F1">
      <w:pPr>
        <w:pStyle w:val="TM4"/>
        <w:tabs>
          <w:tab w:val="right" w:leader="dot" w:pos="9060"/>
        </w:tabs>
        <w:rPr>
          <w:rFonts w:eastAsiaTheme="minorEastAsia" w:cstheme="minorBidi"/>
          <w:sz w:val="22"/>
          <w:szCs w:val="22"/>
        </w:rPr>
      </w:pPr>
      <w:hyperlink w:anchor="_Toc175048670" w:history="1">
        <w:r w:rsidR="00F77BF8">
          <w:rPr>
            <w:rStyle w:val="Lienhypertexte"/>
            <w:rFonts w:ascii="Rockwell" w:hAnsi="Rockwell"/>
          </w:rPr>
          <w:t>Paragraphe 3 : Appréciation du pluralisme et de l’équilibre de l’information dans les colonnes des organes de presse écrite du Centre</w:t>
        </w:r>
        <w:r w:rsidR="00F77BF8">
          <w:tab/>
        </w:r>
        <w:r w:rsidR="00F77BF8">
          <w:fldChar w:fldCharType="begin"/>
        </w:r>
        <w:r w:rsidR="00F77BF8">
          <w:instrText xml:space="preserve"> PAGEREF _Toc175048670 \h </w:instrText>
        </w:r>
        <w:r w:rsidR="00F77BF8">
          <w:fldChar w:fldCharType="separate"/>
        </w:r>
        <w:r w:rsidR="00F77BF8">
          <w:t>43</w:t>
        </w:r>
        <w:r w:rsidR="00F77BF8">
          <w:fldChar w:fldCharType="end"/>
        </w:r>
      </w:hyperlink>
    </w:p>
    <w:p w14:paraId="3885A6D3" w14:textId="77777777" w:rsidR="00284822" w:rsidRDefault="003148F1">
      <w:pPr>
        <w:pStyle w:val="TM3"/>
        <w:tabs>
          <w:tab w:val="right" w:leader="dot" w:pos="9060"/>
        </w:tabs>
        <w:rPr>
          <w:rFonts w:eastAsiaTheme="minorEastAsia" w:cstheme="minorBidi"/>
          <w:sz w:val="22"/>
          <w:szCs w:val="22"/>
        </w:rPr>
      </w:pPr>
      <w:hyperlink w:anchor="_Toc175048671" w:history="1">
        <w:r w:rsidR="00F77BF8">
          <w:rPr>
            <w:rStyle w:val="Lienhypertexte"/>
            <w:rFonts w:ascii="Rockwell" w:hAnsi="Rockwell"/>
          </w:rPr>
          <w:t>SECTION 2 : PRESSE ECRITE DE LA REGION DE L’OUEST</w:t>
        </w:r>
        <w:r w:rsidR="00F77BF8">
          <w:tab/>
        </w:r>
        <w:r w:rsidR="00F77BF8">
          <w:fldChar w:fldCharType="begin"/>
        </w:r>
        <w:r w:rsidR="00F77BF8">
          <w:instrText xml:space="preserve"> PAGEREF _Toc175048671 \h </w:instrText>
        </w:r>
        <w:r w:rsidR="00F77BF8">
          <w:fldChar w:fldCharType="separate"/>
        </w:r>
        <w:r w:rsidR="00F77BF8">
          <w:t>44</w:t>
        </w:r>
        <w:r w:rsidR="00F77BF8">
          <w:fldChar w:fldCharType="end"/>
        </w:r>
      </w:hyperlink>
    </w:p>
    <w:p w14:paraId="7A5DC49D" w14:textId="77777777" w:rsidR="00284822" w:rsidRDefault="003148F1">
      <w:pPr>
        <w:pStyle w:val="TM3"/>
        <w:tabs>
          <w:tab w:val="right" w:leader="dot" w:pos="9060"/>
        </w:tabs>
        <w:rPr>
          <w:rFonts w:eastAsiaTheme="minorEastAsia" w:cstheme="minorBidi"/>
          <w:sz w:val="22"/>
          <w:szCs w:val="22"/>
        </w:rPr>
      </w:pPr>
      <w:hyperlink w:anchor="_Toc175048672" w:history="1">
        <w:r w:rsidR="00F77BF8">
          <w:rPr>
            <w:rStyle w:val="Lienhypertexte"/>
            <w:rFonts w:ascii="Rockwell" w:hAnsi="Rockwell"/>
          </w:rPr>
          <w:t>SECTION 3 : PRESSE EN LIGNE</w:t>
        </w:r>
        <w:r w:rsidR="00F77BF8">
          <w:tab/>
        </w:r>
        <w:r w:rsidR="00F77BF8">
          <w:fldChar w:fldCharType="begin"/>
        </w:r>
        <w:r w:rsidR="00F77BF8">
          <w:instrText xml:space="preserve"> PAGEREF _Toc175048672 \h </w:instrText>
        </w:r>
        <w:r w:rsidR="00F77BF8">
          <w:fldChar w:fldCharType="separate"/>
        </w:r>
        <w:r w:rsidR="00F77BF8">
          <w:t>44</w:t>
        </w:r>
        <w:r w:rsidR="00F77BF8">
          <w:fldChar w:fldCharType="end"/>
        </w:r>
      </w:hyperlink>
    </w:p>
    <w:p w14:paraId="7A4CC4AD" w14:textId="77777777" w:rsidR="00284822" w:rsidRDefault="003148F1">
      <w:pPr>
        <w:pStyle w:val="TM4"/>
        <w:tabs>
          <w:tab w:val="right" w:leader="dot" w:pos="9060"/>
        </w:tabs>
        <w:rPr>
          <w:rFonts w:eastAsiaTheme="minorEastAsia" w:cstheme="minorBidi"/>
          <w:sz w:val="22"/>
          <w:szCs w:val="22"/>
        </w:rPr>
      </w:pPr>
      <w:hyperlink w:anchor="_Toc175048673" w:history="1">
        <w:r w:rsidR="00F77BF8">
          <w:rPr>
            <w:rStyle w:val="Lienhypertexte"/>
            <w:rFonts w:ascii="Rockwell" w:hAnsi="Rockwell"/>
            <w:bCs/>
          </w:rPr>
          <w:t xml:space="preserve">Paragraphe 1 : </w:t>
        </w:r>
        <w:r w:rsidR="00F77BF8">
          <w:rPr>
            <w:rStyle w:val="Lienhypertexte"/>
            <w:rFonts w:ascii="Rockwell" w:hAnsi="Rockwell"/>
          </w:rPr>
          <w:t>l’observation du respect du pluralisme et de l’équilibre de l’information dans la presse en ligne</w:t>
        </w:r>
        <w:r w:rsidR="00F77BF8">
          <w:tab/>
        </w:r>
        <w:r w:rsidR="00F77BF8">
          <w:fldChar w:fldCharType="begin"/>
        </w:r>
        <w:r w:rsidR="00F77BF8">
          <w:instrText xml:space="preserve"> PAGEREF _Toc175048673 \h </w:instrText>
        </w:r>
        <w:r w:rsidR="00F77BF8">
          <w:fldChar w:fldCharType="separate"/>
        </w:r>
        <w:r w:rsidR="00F77BF8">
          <w:t>44</w:t>
        </w:r>
        <w:r w:rsidR="00F77BF8">
          <w:fldChar w:fldCharType="end"/>
        </w:r>
      </w:hyperlink>
    </w:p>
    <w:p w14:paraId="6E22149C" w14:textId="77777777" w:rsidR="00284822" w:rsidRDefault="003148F1">
      <w:pPr>
        <w:pStyle w:val="TM5"/>
        <w:tabs>
          <w:tab w:val="left" w:pos="1820"/>
          <w:tab w:val="right" w:leader="dot" w:pos="9060"/>
        </w:tabs>
        <w:rPr>
          <w:rFonts w:eastAsiaTheme="minorEastAsia" w:cstheme="minorBidi"/>
          <w:sz w:val="22"/>
          <w:szCs w:val="22"/>
        </w:rPr>
      </w:pPr>
      <w:hyperlink w:anchor="_Toc175048674" w:history="1">
        <w:r w:rsidR="00F77BF8">
          <w:rPr>
            <w:rStyle w:val="Lienhypertexte"/>
          </w:rPr>
          <w:t>1.1.</w:t>
        </w:r>
        <w:r w:rsidR="00F77BF8">
          <w:rPr>
            <w:rFonts w:eastAsiaTheme="minorEastAsia" w:cstheme="minorBidi"/>
            <w:sz w:val="22"/>
            <w:szCs w:val="22"/>
          </w:rPr>
          <w:tab/>
        </w:r>
        <w:r w:rsidR="00F77BF8">
          <w:rPr>
            <w:rStyle w:val="Lienhypertexte"/>
            <w:rFonts w:ascii="Rockwell" w:hAnsi="Rockwell"/>
            <w:i/>
          </w:rPr>
          <w:t>Lefaso.net</w:t>
        </w:r>
        <w:r w:rsidR="00F77BF8">
          <w:tab/>
        </w:r>
        <w:r w:rsidR="00F77BF8">
          <w:fldChar w:fldCharType="begin"/>
        </w:r>
        <w:r w:rsidR="00F77BF8">
          <w:instrText xml:space="preserve"> PAGEREF _Toc175048674 \h </w:instrText>
        </w:r>
        <w:r w:rsidR="00F77BF8">
          <w:fldChar w:fldCharType="separate"/>
        </w:r>
        <w:r w:rsidR="00F77BF8">
          <w:t>45</w:t>
        </w:r>
        <w:r w:rsidR="00F77BF8">
          <w:fldChar w:fldCharType="end"/>
        </w:r>
      </w:hyperlink>
    </w:p>
    <w:p w14:paraId="2C7D96F0" w14:textId="77777777" w:rsidR="00284822" w:rsidRDefault="003148F1">
      <w:pPr>
        <w:pStyle w:val="TM5"/>
        <w:tabs>
          <w:tab w:val="left" w:pos="1820"/>
          <w:tab w:val="right" w:leader="dot" w:pos="9060"/>
        </w:tabs>
        <w:rPr>
          <w:rFonts w:eastAsiaTheme="minorEastAsia" w:cstheme="minorBidi"/>
          <w:sz w:val="22"/>
          <w:szCs w:val="22"/>
        </w:rPr>
      </w:pPr>
      <w:hyperlink w:anchor="_Toc175048675" w:history="1">
        <w:r w:rsidR="00F77BF8">
          <w:rPr>
            <w:rStyle w:val="Lienhypertexte"/>
          </w:rPr>
          <w:t>1.2.</w:t>
        </w:r>
        <w:r w:rsidR="00F77BF8">
          <w:rPr>
            <w:rFonts w:eastAsiaTheme="minorEastAsia" w:cstheme="minorBidi"/>
            <w:sz w:val="22"/>
            <w:szCs w:val="22"/>
          </w:rPr>
          <w:tab/>
        </w:r>
        <w:r w:rsidR="00F77BF8">
          <w:rPr>
            <w:rStyle w:val="Lienhypertexte"/>
            <w:rFonts w:ascii="Rockwell" w:hAnsi="Rockwell"/>
            <w:i/>
          </w:rPr>
          <w:t>Burkina 24</w:t>
        </w:r>
        <w:r w:rsidR="00F77BF8">
          <w:tab/>
        </w:r>
        <w:r w:rsidR="00F77BF8">
          <w:fldChar w:fldCharType="begin"/>
        </w:r>
        <w:r w:rsidR="00F77BF8">
          <w:instrText xml:space="preserve"> PAGEREF _Toc175048675 \h </w:instrText>
        </w:r>
        <w:r w:rsidR="00F77BF8">
          <w:fldChar w:fldCharType="separate"/>
        </w:r>
        <w:r w:rsidR="00F77BF8">
          <w:t>47</w:t>
        </w:r>
        <w:r w:rsidR="00F77BF8">
          <w:fldChar w:fldCharType="end"/>
        </w:r>
      </w:hyperlink>
    </w:p>
    <w:p w14:paraId="69144F2D" w14:textId="77777777" w:rsidR="00284822" w:rsidRDefault="003148F1">
      <w:pPr>
        <w:pStyle w:val="TM5"/>
        <w:tabs>
          <w:tab w:val="left" w:pos="1820"/>
          <w:tab w:val="right" w:leader="dot" w:pos="9060"/>
        </w:tabs>
        <w:rPr>
          <w:rFonts w:eastAsiaTheme="minorEastAsia" w:cstheme="minorBidi"/>
          <w:sz w:val="22"/>
          <w:szCs w:val="22"/>
        </w:rPr>
      </w:pPr>
      <w:hyperlink w:anchor="_Toc175048676" w:history="1">
        <w:r w:rsidR="00F77BF8">
          <w:rPr>
            <w:rStyle w:val="Lienhypertexte"/>
          </w:rPr>
          <w:t>1.3.</w:t>
        </w:r>
        <w:r w:rsidR="00F77BF8">
          <w:rPr>
            <w:rFonts w:eastAsiaTheme="minorEastAsia" w:cstheme="minorBidi"/>
            <w:sz w:val="22"/>
            <w:szCs w:val="22"/>
          </w:rPr>
          <w:tab/>
        </w:r>
        <w:r w:rsidR="00F77BF8">
          <w:rPr>
            <w:rStyle w:val="Lienhypertexte"/>
            <w:rFonts w:ascii="Rockwell" w:hAnsi="Rockwell"/>
            <w:i/>
          </w:rPr>
          <w:t>Infowakat</w:t>
        </w:r>
        <w:r w:rsidR="00F77BF8">
          <w:tab/>
        </w:r>
        <w:r w:rsidR="00F77BF8">
          <w:fldChar w:fldCharType="begin"/>
        </w:r>
        <w:r w:rsidR="00F77BF8">
          <w:instrText xml:space="preserve"> PAGEREF _Toc175048676 \h </w:instrText>
        </w:r>
        <w:r w:rsidR="00F77BF8">
          <w:fldChar w:fldCharType="separate"/>
        </w:r>
        <w:r w:rsidR="00F77BF8">
          <w:t>49</w:t>
        </w:r>
        <w:r w:rsidR="00F77BF8">
          <w:fldChar w:fldCharType="end"/>
        </w:r>
      </w:hyperlink>
    </w:p>
    <w:p w14:paraId="4B2E50F5" w14:textId="77777777" w:rsidR="00284822" w:rsidRDefault="003148F1">
      <w:pPr>
        <w:pStyle w:val="TM5"/>
        <w:tabs>
          <w:tab w:val="left" w:pos="1820"/>
          <w:tab w:val="right" w:leader="dot" w:pos="9060"/>
        </w:tabs>
        <w:rPr>
          <w:rFonts w:eastAsiaTheme="minorEastAsia" w:cstheme="minorBidi"/>
          <w:sz w:val="22"/>
          <w:szCs w:val="22"/>
        </w:rPr>
      </w:pPr>
      <w:hyperlink w:anchor="_Toc175048677" w:history="1">
        <w:r w:rsidR="00F77BF8">
          <w:rPr>
            <w:rStyle w:val="Lienhypertexte"/>
          </w:rPr>
          <w:t>1.4.</w:t>
        </w:r>
        <w:r w:rsidR="00F77BF8">
          <w:rPr>
            <w:rFonts w:eastAsiaTheme="minorEastAsia" w:cstheme="minorBidi"/>
            <w:sz w:val="22"/>
            <w:szCs w:val="22"/>
          </w:rPr>
          <w:tab/>
        </w:r>
        <w:r w:rsidR="00F77BF8">
          <w:rPr>
            <w:rStyle w:val="Lienhypertexte"/>
            <w:rFonts w:ascii="Rockwell" w:hAnsi="Rockwell"/>
            <w:i/>
          </w:rPr>
          <w:t>Kaceto.net</w:t>
        </w:r>
        <w:r w:rsidR="00F77BF8">
          <w:tab/>
        </w:r>
        <w:r w:rsidR="00F77BF8">
          <w:fldChar w:fldCharType="begin"/>
        </w:r>
        <w:r w:rsidR="00F77BF8">
          <w:instrText xml:space="preserve"> PAGEREF _Toc175048677 \h </w:instrText>
        </w:r>
        <w:r w:rsidR="00F77BF8">
          <w:fldChar w:fldCharType="separate"/>
        </w:r>
        <w:r w:rsidR="00F77BF8">
          <w:t>51</w:t>
        </w:r>
        <w:r w:rsidR="00F77BF8">
          <w:fldChar w:fldCharType="end"/>
        </w:r>
      </w:hyperlink>
    </w:p>
    <w:p w14:paraId="4AE49827" w14:textId="77777777" w:rsidR="00284822" w:rsidRDefault="003148F1">
      <w:pPr>
        <w:pStyle w:val="TM5"/>
        <w:tabs>
          <w:tab w:val="left" w:pos="1820"/>
          <w:tab w:val="right" w:leader="dot" w:pos="9060"/>
        </w:tabs>
        <w:rPr>
          <w:rFonts w:eastAsiaTheme="minorEastAsia" w:cstheme="minorBidi"/>
          <w:sz w:val="22"/>
          <w:szCs w:val="22"/>
        </w:rPr>
      </w:pPr>
      <w:hyperlink w:anchor="_Toc175048678" w:history="1">
        <w:r w:rsidR="00F77BF8">
          <w:rPr>
            <w:rStyle w:val="Lienhypertexte"/>
          </w:rPr>
          <w:t>1.5.</w:t>
        </w:r>
        <w:r w:rsidR="00F77BF8">
          <w:rPr>
            <w:rFonts w:eastAsiaTheme="minorEastAsia" w:cstheme="minorBidi"/>
            <w:sz w:val="22"/>
            <w:szCs w:val="22"/>
          </w:rPr>
          <w:tab/>
        </w:r>
        <w:r w:rsidR="00F77BF8">
          <w:rPr>
            <w:rStyle w:val="Lienhypertexte"/>
            <w:rFonts w:ascii="Rockwell" w:hAnsi="Rockwell"/>
            <w:i/>
          </w:rPr>
          <w:t>Minute.bf</w:t>
        </w:r>
        <w:r w:rsidR="00F77BF8">
          <w:tab/>
        </w:r>
        <w:r w:rsidR="00F77BF8">
          <w:fldChar w:fldCharType="begin"/>
        </w:r>
        <w:r w:rsidR="00F77BF8">
          <w:instrText xml:space="preserve"> PAGEREF _Toc175048678 \h </w:instrText>
        </w:r>
        <w:r w:rsidR="00F77BF8">
          <w:fldChar w:fldCharType="separate"/>
        </w:r>
        <w:r w:rsidR="00F77BF8">
          <w:t>53</w:t>
        </w:r>
        <w:r w:rsidR="00F77BF8">
          <w:fldChar w:fldCharType="end"/>
        </w:r>
      </w:hyperlink>
    </w:p>
    <w:p w14:paraId="3EADDF25" w14:textId="77777777" w:rsidR="00284822" w:rsidRDefault="003148F1">
      <w:pPr>
        <w:pStyle w:val="TM5"/>
        <w:tabs>
          <w:tab w:val="left" w:pos="1820"/>
          <w:tab w:val="right" w:leader="dot" w:pos="9060"/>
        </w:tabs>
        <w:rPr>
          <w:rFonts w:eastAsiaTheme="minorEastAsia" w:cstheme="minorBidi"/>
          <w:sz w:val="22"/>
          <w:szCs w:val="22"/>
        </w:rPr>
      </w:pPr>
      <w:hyperlink w:anchor="_Toc175048679" w:history="1">
        <w:r w:rsidR="00F77BF8">
          <w:rPr>
            <w:rStyle w:val="Lienhypertexte"/>
          </w:rPr>
          <w:t>1.6.</w:t>
        </w:r>
        <w:r w:rsidR="00F77BF8">
          <w:rPr>
            <w:rFonts w:eastAsiaTheme="minorEastAsia" w:cstheme="minorBidi"/>
            <w:sz w:val="22"/>
            <w:szCs w:val="22"/>
          </w:rPr>
          <w:tab/>
        </w:r>
        <w:r w:rsidR="00F77BF8">
          <w:rPr>
            <w:rStyle w:val="Lienhypertexte"/>
            <w:rFonts w:ascii="Rockwell" w:hAnsi="Rockwell"/>
            <w:i/>
          </w:rPr>
          <w:t>Actualité.bf</w:t>
        </w:r>
        <w:r w:rsidR="00F77BF8">
          <w:tab/>
        </w:r>
        <w:r w:rsidR="00F77BF8">
          <w:fldChar w:fldCharType="begin"/>
        </w:r>
        <w:r w:rsidR="00F77BF8">
          <w:instrText xml:space="preserve"> PAGEREF _Toc175048679 \h </w:instrText>
        </w:r>
        <w:r w:rsidR="00F77BF8">
          <w:fldChar w:fldCharType="separate"/>
        </w:r>
        <w:r w:rsidR="00F77BF8">
          <w:t>54</w:t>
        </w:r>
        <w:r w:rsidR="00F77BF8">
          <w:fldChar w:fldCharType="end"/>
        </w:r>
      </w:hyperlink>
    </w:p>
    <w:p w14:paraId="2F565327" w14:textId="77777777" w:rsidR="00284822" w:rsidRDefault="003148F1">
      <w:pPr>
        <w:pStyle w:val="TM5"/>
        <w:tabs>
          <w:tab w:val="left" w:pos="1820"/>
          <w:tab w:val="right" w:leader="dot" w:pos="9060"/>
        </w:tabs>
        <w:rPr>
          <w:rFonts w:eastAsiaTheme="minorEastAsia" w:cstheme="minorBidi"/>
          <w:sz w:val="22"/>
          <w:szCs w:val="22"/>
        </w:rPr>
      </w:pPr>
      <w:hyperlink w:anchor="_Toc175048680" w:history="1">
        <w:r w:rsidR="00F77BF8">
          <w:rPr>
            <w:rStyle w:val="Lienhypertexte"/>
          </w:rPr>
          <w:t>1.8.</w:t>
        </w:r>
        <w:r w:rsidR="00F77BF8">
          <w:rPr>
            <w:rFonts w:eastAsiaTheme="minorEastAsia" w:cstheme="minorBidi"/>
            <w:sz w:val="22"/>
            <w:szCs w:val="22"/>
          </w:rPr>
          <w:tab/>
        </w:r>
        <w:r w:rsidR="00F77BF8">
          <w:rPr>
            <w:rStyle w:val="Lienhypertexte"/>
            <w:rFonts w:ascii="Rockwell" w:hAnsi="Rockwell"/>
            <w:i/>
          </w:rPr>
          <w:t>Filinfos</w:t>
        </w:r>
        <w:r w:rsidR="00F77BF8">
          <w:tab/>
        </w:r>
        <w:r w:rsidR="00F77BF8">
          <w:fldChar w:fldCharType="begin"/>
        </w:r>
        <w:r w:rsidR="00F77BF8">
          <w:instrText xml:space="preserve"> PAGEREF _Toc175048680 \h </w:instrText>
        </w:r>
        <w:r w:rsidR="00F77BF8">
          <w:fldChar w:fldCharType="separate"/>
        </w:r>
        <w:r w:rsidR="00F77BF8">
          <w:t>58</w:t>
        </w:r>
        <w:r w:rsidR="00F77BF8">
          <w:fldChar w:fldCharType="end"/>
        </w:r>
      </w:hyperlink>
    </w:p>
    <w:p w14:paraId="1DC0C84D" w14:textId="77777777" w:rsidR="00284822" w:rsidRDefault="003148F1">
      <w:pPr>
        <w:pStyle w:val="TM5"/>
        <w:tabs>
          <w:tab w:val="left" w:pos="1820"/>
          <w:tab w:val="right" w:leader="dot" w:pos="9060"/>
        </w:tabs>
        <w:rPr>
          <w:rFonts w:eastAsiaTheme="minorEastAsia" w:cstheme="minorBidi"/>
          <w:sz w:val="22"/>
          <w:szCs w:val="22"/>
        </w:rPr>
      </w:pPr>
      <w:hyperlink w:anchor="_Toc175048681" w:history="1">
        <w:r w:rsidR="00F77BF8">
          <w:rPr>
            <w:rStyle w:val="Lienhypertexte"/>
          </w:rPr>
          <w:t>1.9.</w:t>
        </w:r>
        <w:r w:rsidR="00F77BF8">
          <w:rPr>
            <w:rFonts w:eastAsiaTheme="minorEastAsia" w:cstheme="minorBidi"/>
            <w:sz w:val="22"/>
            <w:szCs w:val="22"/>
          </w:rPr>
          <w:tab/>
        </w:r>
        <w:r w:rsidR="00F77BF8">
          <w:rPr>
            <w:rStyle w:val="Lienhypertexte"/>
            <w:rFonts w:ascii="Rockwell" w:hAnsi="Rockwell"/>
            <w:bCs/>
            <w:i/>
          </w:rPr>
          <w:t>Directinfoburkina</w:t>
        </w:r>
        <w:r w:rsidR="00F77BF8">
          <w:tab/>
        </w:r>
        <w:r w:rsidR="00F77BF8">
          <w:fldChar w:fldCharType="begin"/>
        </w:r>
        <w:r w:rsidR="00F77BF8">
          <w:instrText xml:space="preserve"> PAGEREF _Toc175048681 \h </w:instrText>
        </w:r>
        <w:r w:rsidR="00F77BF8">
          <w:fldChar w:fldCharType="separate"/>
        </w:r>
        <w:r w:rsidR="00F77BF8">
          <w:t>60</w:t>
        </w:r>
        <w:r w:rsidR="00F77BF8">
          <w:fldChar w:fldCharType="end"/>
        </w:r>
      </w:hyperlink>
    </w:p>
    <w:p w14:paraId="07D0F03E" w14:textId="77777777" w:rsidR="00284822" w:rsidRDefault="003148F1">
      <w:pPr>
        <w:pStyle w:val="TM5"/>
        <w:tabs>
          <w:tab w:val="left" w:pos="1820"/>
          <w:tab w:val="right" w:leader="dot" w:pos="9060"/>
        </w:tabs>
        <w:rPr>
          <w:rFonts w:eastAsiaTheme="minorEastAsia" w:cstheme="minorBidi"/>
          <w:sz w:val="22"/>
          <w:szCs w:val="22"/>
        </w:rPr>
      </w:pPr>
      <w:hyperlink w:anchor="_Toc175048682" w:history="1">
        <w:r w:rsidR="00F77BF8">
          <w:rPr>
            <w:rStyle w:val="Lienhypertexte"/>
          </w:rPr>
          <w:t>1.10.</w:t>
        </w:r>
        <w:r w:rsidR="00F77BF8">
          <w:rPr>
            <w:rFonts w:eastAsiaTheme="minorEastAsia" w:cstheme="minorBidi"/>
            <w:sz w:val="22"/>
            <w:szCs w:val="22"/>
          </w:rPr>
          <w:tab/>
        </w:r>
        <w:r w:rsidR="00F77BF8">
          <w:rPr>
            <w:rStyle w:val="Lienhypertexte"/>
            <w:rFonts w:ascii="Rockwell" w:hAnsi="Rockwell"/>
            <w:i/>
          </w:rPr>
          <w:t>Libreinfo</w:t>
        </w:r>
        <w:r w:rsidR="00F77BF8">
          <w:tab/>
        </w:r>
        <w:r w:rsidR="00F77BF8">
          <w:fldChar w:fldCharType="begin"/>
        </w:r>
        <w:r w:rsidR="00F77BF8">
          <w:instrText xml:space="preserve"> PAGEREF _Toc175048682 \h </w:instrText>
        </w:r>
        <w:r w:rsidR="00F77BF8">
          <w:fldChar w:fldCharType="separate"/>
        </w:r>
        <w:r w:rsidR="00F77BF8">
          <w:t>61</w:t>
        </w:r>
        <w:r w:rsidR="00F77BF8">
          <w:fldChar w:fldCharType="end"/>
        </w:r>
      </w:hyperlink>
    </w:p>
    <w:p w14:paraId="759D2BD3" w14:textId="77777777" w:rsidR="00284822" w:rsidRDefault="003148F1">
      <w:pPr>
        <w:pStyle w:val="TM5"/>
        <w:tabs>
          <w:tab w:val="left" w:pos="1820"/>
          <w:tab w:val="right" w:leader="dot" w:pos="9060"/>
        </w:tabs>
        <w:rPr>
          <w:rFonts w:eastAsiaTheme="minorEastAsia" w:cstheme="minorBidi"/>
          <w:sz w:val="22"/>
          <w:szCs w:val="22"/>
        </w:rPr>
      </w:pPr>
      <w:hyperlink w:anchor="_Toc175048683" w:history="1">
        <w:r w:rsidR="00F77BF8">
          <w:rPr>
            <w:rStyle w:val="Lienhypertexte"/>
          </w:rPr>
          <w:t>1.11.</w:t>
        </w:r>
        <w:r w:rsidR="00F77BF8">
          <w:rPr>
            <w:rFonts w:eastAsiaTheme="minorEastAsia" w:cstheme="minorBidi"/>
            <w:sz w:val="22"/>
            <w:szCs w:val="22"/>
          </w:rPr>
          <w:tab/>
        </w:r>
        <w:r w:rsidR="00F77BF8">
          <w:rPr>
            <w:rStyle w:val="Lienhypertexte"/>
            <w:rFonts w:ascii="Rockwell" w:hAnsi="Rockwell"/>
            <w:i/>
          </w:rPr>
          <w:t>Ouest info</w:t>
        </w:r>
        <w:r w:rsidR="00F77BF8">
          <w:tab/>
        </w:r>
        <w:r w:rsidR="00F77BF8">
          <w:fldChar w:fldCharType="begin"/>
        </w:r>
        <w:r w:rsidR="00F77BF8">
          <w:instrText xml:space="preserve"> PAGEREF _Toc175048683 \h </w:instrText>
        </w:r>
        <w:r w:rsidR="00F77BF8">
          <w:fldChar w:fldCharType="separate"/>
        </w:r>
        <w:r w:rsidR="00F77BF8">
          <w:t>63</w:t>
        </w:r>
        <w:r w:rsidR="00F77BF8">
          <w:fldChar w:fldCharType="end"/>
        </w:r>
      </w:hyperlink>
    </w:p>
    <w:p w14:paraId="29A72B6D" w14:textId="77777777" w:rsidR="00284822" w:rsidRDefault="003148F1">
      <w:pPr>
        <w:pStyle w:val="TM5"/>
        <w:tabs>
          <w:tab w:val="left" w:pos="1820"/>
          <w:tab w:val="right" w:leader="dot" w:pos="9060"/>
        </w:tabs>
        <w:rPr>
          <w:rFonts w:eastAsiaTheme="minorEastAsia" w:cstheme="minorBidi"/>
          <w:sz w:val="22"/>
          <w:szCs w:val="22"/>
        </w:rPr>
      </w:pPr>
      <w:hyperlink w:anchor="_Toc175048684" w:history="1">
        <w:r w:rsidR="00F77BF8">
          <w:rPr>
            <w:rStyle w:val="Lienhypertexte"/>
          </w:rPr>
          <w:t>1.12.</w:t>
        </w:r>
        <w:r w:rsidR="00F77BF8">
          <w:rPr>
            <w:rFonts w:eastAsiaTheme="minorEastAsia" w:cstheme="minorBidi"/>
            <w:sz w:val="22"/>
            <w:szCs w:val="22"/>
          </w:rPr>
          <w:tab/>
        </w:r>
        <w:r w:rsidR="00F77BF8">
          <w:rPr>
            <w:rStyle w:val="Lienhypertexte"/>
            <w:rFonts w:ascii="Rockwell" w:hAnsi="Rockwell"/>
            <w:i/>
          </w:rPr>
          <w:t>Ouest actu</w:t>
        </w:r>
        <w:r w:rsidR="00F77BF8">
          <w:tab/>
        </w:r>
        <w:r w:rsidR="00F77BF8">
          <w:fldChar w:fldCharType="begin"/>
        </w:r>
        <w:r w:rsidR="00F77BF8">
          <w:instrText xml:space="preserve"> PAGEREF _Toc175048684 \h </w:instrText>
        </w:r>
        <w:r w:rsidR="00F77BF8">
          <w:fldChar w:fldCharType="separate"/>
        </w:r>
        <w:r w:rsidR="00F77BF8">
          <w:t>64</w:t>
        </w:r>
        <w:r w:rsidR="00F77BF8">
          <w:fldChar w:fldCharType="end"/>
        </w:r>
      </w:hyperlink>
    </w:p>
    <w:p w14:paraId="0D39AC1F" w14:textId="77777777" w:rsidR="00284822" w:rsidRDefault="003148F1">
      <w:pPr>
        <w:pStyle w:val="TM4"/>
        <w:tabs>
          <w:tab w:val="right" w:leader="dot" w:pos="9060"/>
        </w:tabs>
        <w:rPr>
          <w:rFonts w:eastAsiaTheme="minorEastAsia" w:cstheme="minorBidi"/>
          <w:sz w:val="22"/>
          <w:szCs w:val="22"/>
        </w:rPr>
      </w:pPr>
      <w:hyperlink w:anchor="_Toc175048685" w:history="1">
        <w:r w:rsidR="00F77BF8">
          <w:rPr>
            <w:rStyle w:val="Lienhypertexte"/>
            <w:rFonts w:ascii="Rockwell" w:hAnsi="Rockwell"/>
            <w:bCs/>
          </w:rPr>
          <w:t>Paragraphe 2 : A</w:t>
        </w:r>
        <w:r w:rsidR="00F77BF8">
          <w:rPr>
            <w:rStyle w:val="Lienhypertexte"/>
            <w:rFonts w:ascii="Rockwell" w:hAnsi="Rockwell"/>
          </w:rPr>
          <w:t>ppréciation du pluralisme et de l’équilibre de l’information dans les médias en ligne</w:t>
        </w:r>
        <w:r w:rsidR="00F77BF8">
          <w:tab/>
        </w:r>
        <w:r w:rsidR="00F77BF8">
          <w:fldChar w:fldCharType="begin"/>
        </w:r>
        <w:r w:rsidR="00F77BF8">
          <w:instrText xml:space="preserve"> PAGEREF _Toc175048685 \h </w:instrText>
        </w:r>
        <w:r w:rsidR="00F77BF8">
          <w:fldChar w:fldCharType="separate"/>
        </w:r>
        <w:r w:rsidR="00F77BF8">
          <w:t>65</w:t>
        </w:r>
        <w:r w:rsidR="00F77BF8">
          <w:fldChar w:fldCharType="end"/>
        </w:r>
      </w:hyperlink>
    </w:p>
    <w:p w14:paraId="788CEB96" w14:textId="77777777" w:rsidR="00284822" w:rsidRDefault="003148F1">
      <w:pPr>
        <w:pStyle w:val="TM3"/>
        <w:tabs>
          <w:tab w:val="right" w:leader="dot" w:pos="9060"/>
        </w:tabs>
        <w:rPr>
          <w:rFonts w:eastAsiaTheme="minorEastAsia" w:cstheme="minorBidi"/>
          <w:sz w:val="22"/>
          <w:szCs w:val="22"/>
        </w:rPr>
      </w:pPr>
      <w:hyperlink w:anchor="_Toc175048686" w:history="1">
        <w:r w:rsidR="00F77BF8">
          <w:rPr>
            <w:rStyle w:val="Lienhypertexte"/>
            <w:rFonts w:ascii="Rockwell" w:hAnsi="Rockwell"/>
          </w:rPr>
          <w:t>SECTION 4 : MONITORING DES MEDIAS AUDIOVISUELS</w:t>
        </w:r>
        <w:r w:rsidR="00F77BF8">
          <w:tab/>
        </w:r>
        <w:r w:rsidR="00F77BF8">
          <w:fldChar w:fldCharType="begin"/>
        </w:r>
        <w:r w:rsidR="00F77BF8">
          <w:instrText xml:space="preserve"> PAGEREF _Toc175048686 \h </w:instrText>
        </w:r>
        <w:r w:rsidR="00F77BF8">
          <w:fldChar w:fldCharType="separate"/>
        </w:r>
        <w:r w:rsidR="00F77BF8">
          <w:t>66</w:t>
        </w:r>
        <w:r w:rsidR="00F77BF8">
          <w:fldChar w:fldCharType="end"/>
        </w:r>
      </w:hyperlink>
    </w:p>
    <w:p w14:paraId="5136E0E3" w14:textId="77777777" w:rsidR="00284822" w:rsidRDefault="003148F1">
      <w:pPr>
        <w:pStyle w:val="TM4"/>
        <w:tabs>
          <w:tab w:val="right" w:leader="dot" w:pos="9060"/>
        </w:tabs>
        <w:rPr>
          <w:rFonts w:eastAsiaTheme="minorEastAsia" w:cstheme="minorBidi"/>
          <w:sz w:val="22"/>
          <w:szCs w:val="22"/>
        </w:rPr>
      </w:pPr>
      <w:hyperlink w:anchor="_Toc175048687" w:history="1">
        <w:r w:rsidR="00F77BF8">
          <w:rPr>
            <w:rStyle w:val="Lienhypertexte"/>
            <w:rFonts w:ascii="Rockwell" w:hAnsi="Rockwell"/>
          </w:rPr>
          <w:t>Paragraphe 1 : observation du pluralisme et de l’équilibre de l’information dans les médias audiovisuels du Centre</w:t>
        </w:r>
        <w:r w:rsidR="00F77BF8">
          <w:tab/>
        </w:r>
        <w:r w:rsidR="00F77BF8">
          <w:fldChar w:fldCharType="begin"/>
        </w:r>
        <w:r w:rsidR="00F77BF8">
          <w:instrText xml:space="preserve"> PAGEREF _Toc175048687 \h </w:instrText>
        </w:r>
        <w:r w:rsidR="00F77BF8">
          <w:fldChar w:fldCharType="separate"/>
        </w:r>
        <w:r w:rsidR="00F77BF8">
          <w:t>67</w:t>
        </w:r>
        <w:r w:rsidR="00F77BF8">
          <w:fldChar w:fldCharType="end"/>
        </w:r>
      </w:hyperlink>
    </w:p>
    <w:p w14:paraId="415E46FF" w14:textId="77777777" w:rsidR="00284822" w:rsidRDefault="003148F1">
      <w:pPr>
        <w:pStyle w:val="TM4"/>
        <w:tabs>
          <w:tab w:val="right" w:leader="dot" w:pos="9060"/>
        </w:tabs>
        <w:rPr>
          <w:rFonts w:eastAsiaTheme="minorEastAsia" w:cstheme="minorBidi"/>
          <w:sz w:val="22"/>
          <w:szCs w:val="22"/>
        </w:rPr>
      </w:pPr>
      <w:hyperlink w:anchor="_Toc175048688" w:history="1">
        <w:r w:rsidR="00F77BF8">
          <w:rPr>
            <w:rStyle w:val="Lienhypertexte"/>
            <w:rFonts w:ascii="Rockwell" w:hAnsi="Rockwell"/>
          </w:rPr>
          <w:t>Paragraphe 2 : observation du pluralisme et de l’équilibre de l’information dans les médias audiovisuels de l’Ouest</w:t>
        </w:r>
        <w:r w:rsidR="00F77BF8">
          <w:tab/>
        </w:r>
        <w:r w:rsidR="00F77BF8">
          <w:fldChar w:fldCharType="begin"/>
        </w:r>
        <w:r w:rsidR="00F77BF8">
          <w:instrText xml:space="preserve"> PAGEREF _Toc175048688 \h </w:instrText>
        </w:r>
        <w:r w:rsidR="00F77BF8">
          <w:fldChar w:fldCharType="separate"/>
        </w:r>
        <w:r w:rsidR="00F77BF8">
          <w:t>73</w:t>
        </w:r>
        <w:r w:rsidR="00F77BF8">
          <w:fldChar w:fldCharType="end"/>
        </w:r>
      </w:hyperlink>
    </w:p>
    <w:p w14:paraId="58D67901" w14:textId="77777777" w:rsidR="00284822" w:rsidRDefault="003148F1">
      <w:pPr>
        <w:pStyle w:val="TM5"/>
        <w:tabs>
          <w:tab w:val="left" w:pos="1560"/>
          <w:tab w:val="right" w:leader="dot" w:pos="9060"/>
        </w:tabs>
        <w:rPr>
          <w:rFonts w:eastAsiaTheme="minorEastAsia" w:cstheme="minorBidi"/>
          <w:sz w:val="22"/>
          <w:szCs w:val="22"/>
        </w:rPr>
      </w:pPr>
      <w:hyperlink w:anchor="_Toc175048689" w:history="1">
        <w:r w:rsidR="00F77BF8">
          <w:rPr>
            <w:rStyle w:val="Lienhypertexte"/>
            <w:rFonts w:ascii="Rockwell" w:hAnsi="Rockwell"/>
          </w:rPr>
          <w:t>1.</w:t>
        </w:r>
        <w:r w:rsidR="00F77BF8">
          <w:rPr>
            <w:rFonts w:eastAsiaTheme="minorEastAsia" w:cstheme="minorBidi"/>
            <w:sz w:val="22"/>
            <w:szCs w:val="22"/>
          </w:rPr>
          <w:tab/>
        </w:r>
        <w:r w:rsidR="00F77BF8">
          <w:rPr>
            <w:rStyle w:val="Lienhypertexte"/>
            <w:rFonts w:ascii="Rockwell" w:hAnsi="Rockwell"/>
          </w:rPr>
          <w:t>Médias audiovisuels publics</w:t>
        </w:r>
        <w:r w:rsidR="00F77BF8">
          <w:tab/>
        </w:r>
        <w:r w:rsidR="00F77BF8">
          <w:fldChar w:fldCharType="begin"/>
        </w:r>
        <w:r w:rsidR="00F77BF8">
          <w:instrText xml:space="preserve"> PAGEREF _Toc175048689 \h </w:instrText>
        </w:r>
        <w:r w:rsidR="00F77BF8">
          <w:fldChar w:fldCharType="separate"/>
        </w:r>
        <w:r w:rsidR="00F77BF8">
          <w:t>74</w:t>
        </w:r>
        <w:r w:rsidR="00F77BF8">
          <w:fldChar w:fldCharType="end"/>
        </w:r>
      </w:hyperlink>
    </w:p>
    <w:p w14:paraId="36ED096F" w14:textId="77777777" w:rsidR="00284822" w:rsidRDefault="003148F1">
      <w:pPr>
        <w:pStyle w:val="TM2"/>
        <w:rPr>
          <w:rFonts w:eastAsiaTheme="minorEastAsia" w:cstheme="minorBidi"/>
          <w:i w:val="0"/>
          <w:iCs w:val="0"/>
          <w:sz w:val="22"/>
          <w:szCs w:val="22"/>
        </w:rPr>
      </w:pPr>
      <w:hyperlink w:anchor="_Toc175048690" w:history="1">
        <w:r w:rsidR="00F77BF8">
          <w:rPr>
            <w:rStyle w:val="Lienhypertexte"/>
            <w:rFonts w:ascii="Rockwell" w:hAnsi="Rockwell"/>
          </w:rPr>
          <w:t>CHAPITRE III : MANQUEMENTS A LA LOI, A L’ETHIQUE ET A LA DEONTOLOGIE</w:t>
        </w:r>
        <w:r w:rsidR="00F77BF8">
          <w:tab/>
        </w:r>
        <w:r w:rsidR="00F77BF8">
          <w:fldChar w:fldCharType="begin"/>
        </w:r>
        <w:r w:rsidR="00F77BF8">
          <w:instrText xml:space="preserve"> PAGEREF _Toc175048690 \h </w:instrText>
        </w:r>
        <w:r w:rsidR="00F77BF8">
          <w:fldChar w:fldCharType="separate"/>
        </w:r>
        <w:r w:rsidR="00F77BF8">
          <w:t>84</w:t>
        </w:r>
        <w:r w:rsidR="00F77BF8">
          <w:fldChar w:fldCharType="end"/>
        </w:r>
      </w:hyperlink>
    </w:p>
    <w:p w14:paraId="3E8FBAA5" w14:textId="77777777" w:rsidR="00284822" w:rsidRDefault="003148F1">
      <w:pPr>
        <w:pStyle w:val="TM3"/>
        <w:tabs>
          <w:tab w:val="right" w:leader="dot" w:pos="9060"/>
        </w:tabs>
        <w:rPr>
          <w:rFonts w:eastAsiaTheme="minorEastAsia" w:cstheme="minorBidi"/>
          <w:sz w:val="22"/>
          <w:szCs w:val="22"/>
        </w:rPr>
      </w:pPr>
      <w:hyperlink w:anchor="_Toc175048691" w:history="1">
        <w:r w:rsidR="00F77BF8">
          <w:rPr>
            <w:rStyle w:val="Lienhypertexte"/>
            <w:rFonts w:ascii="Rockwell" w:hAnsi="Rockwell"/>
          </w:rPr>
          <w:t>SECTION 1 : LES AUTO SAISINES</w:t>
        </w:r>
        <w:r w:rsidR="00F77BF8">
          <w:tab/>
        </w:r>
        <w:r w:rsidR="00F77BF8">
          <w:fldChar w:fldCharType="begin"/>
        </w:r>
        <w:r w:rsidR="00F77BF8">
          <w:instrText xml:space="preserve"> PAGEREF _Toc175048691 \h </w:instrText>
        </w:r>
        <w:r w:rsidR="00F77BF8">
          <w:fldChar w:fldCharType="separate"/>
        </w:r>
        <w:r w:rsidR="00F77BF8">
          <w:t>84</w:t>
        </w:r>
        <w:r w:rsidR="00F77BF8">
          <w:fldChar w:fldCharType="end"/>
        </w:r>
      </w:hyperlink>
    </w:p>
    <w:p w14:paraId="2AF8252F" w14:textId="77777777" w:rsidR="00284822" w:rsidRDefault="003148F1">
      <w:pPr>
        <w:pStyle w:val="TM4"/>
        <w:tabs>
          <w:tab w:val="right" w:leader="dot" w:pos="9060"/>
        </w:tabs>
        <w:rPr>
          <w:rFonts w:eastAsiaTheme="minorEastAsia" w:cstheme="minorBidi"/>
          <w:sz w:val="22"/>
          <w:szCs w:val="22"/>
        </w:rPr>
      </w:pPr>
      <w:hyperlink w:anchor="_Toc175048692" w:history="1">
        <w:r w:rsidR="00F77BF8">
          <w:rPr>
            <w:rStyle w:val="Lienhypertexte"/>
            <w:rFonts w:ascii="Rockwell" w:hAnsi="Rockwell"/>
            <w:bCs/>
          </w:rPr>
          <w:t xml:space="preserve">Paragraphe 1 : </w:t>
        </w:r>
        <w:r w:rsidR="00F77BF8">
          <w:rPr>
            <w:rStyle w:val="Lienhypertexte"/>
            <w:rFonts w:ascii="Rockwell" w:eastAsia="Calibri" w:hAnsi="Rockwell"/>
            <w:lang w:eastAsia="en-US"/>
          </w:rPr>
          <w:t>Propos de nature séditieuse</w:t>
        </w:r>
        <w:r w:rsidR="00F77BF8">
          <w:tab/>
        </w:r>
        <w:r w:rsidR="00F77BF8">
          <w:fldChar w:fldCharType="begin"/>
        </w:r>
        <w:r w:rsidR="00F77BF8">
          <w:instrText xml:space="preserve"> PAGEREF _Toc175048692 \h </w:instrText>
        </w:r>
        <w:r w:rsidR="00F77BF8">
          <w:fldChar w:fldCharType="separate"/>
        </w:r>
        <w:r w:rsidR="00F77BF8">
          <w:t>84</w:t>
        </w:r>
        <w:r w:rsidR="00F77BF8">
          <w:fldChar w:fldCharType="end"/>
        </w:r>
      </w:hyperlink>
    </w:p>
    <w:p w14:paraId="0CB73C5E" w14:textId="77777777" w:rsidR="00284822" w:rsidRDefault="003148F1">
      <w:pPr>
        <w:pStyle w:val="TM5"/>
        <w:tabs>
          <w:tab w:val="left" w:pos="1820"/>
          <w:tab w:val="right" w:leader="dot" w:pos="9060"/>
        </w:tabs>
        <w:rPr>
          <w:rFonts w:eastAsiaTheme="minorEastAsia" w:cstheme="minorBidi"/>
          <w:sz w:val="22"/>
          <w:szCs w:val="22"/>
        </w:rPr>
      </w:pPr>
      <w:hyperlink w:anchor="_Toc175048693" w:history="1">
        <w:r w:rsidR="00F77BF8">
          <w:rPr>
            <w:rStyle w:val="Lienhypertexte"/>
            <w:rFonts w:ascii="Rockwell" w:eastAsia="Calibri" w:hAnsi="Rockwell"/>
            <w:lang w:eastAsia="en-US"/>
          </w:rPr>
          <w:t>1.1.</w:t>
        </w:r>
        <w:r w:rsidR="00F77BF8">
          <w:rPr>
            <w:rFonts w:eastAsiaTheme="minorEastAsia" w:cstheme="minorBidi"/>
            <w:sz w:val="22"/>
            <w:szCs w:val="22"/>
          </w:rPr>
          <w:tab/>
        </w:r>
        <w:r w:rsidR="00F77BF8">
          <w:rPr>
            <w:rStyle w:val="Lienhypertexte"/>
            <w:rFonts w:ascii="Rockwell" w:eastAsia="Calibri" w:hAnsi="Rockwell"/>
            <w:lang w:eastAsia="en-US"/>
          </w:rPr>
          <w:t>Cas de la télévision BF1</w:t>
        </w:r>
        <w:r w:rsidR="00F77BF8">
          <w:tab/>
        </w:r>
        <w:r w:rsidR="00F77BF8">
          <w:fldChar w:fldCharType="begin"/>
        </w:r>
        <w:r w:rsidR="00F77BF8">
          <w:instrText xml:space="preserve"> PAGEREF _Toc175048693 \h </w:instrText>
        </w:r>
        <w:r w:rsidR="00F77BF8">
          <w:fldChar w:fldCharType="separate"/>
        </w:r>
        <w:r w:rsidR="00F77BF8">
          <w:t>84</w:t>
        </w:r>
        <w:r w:rsidR="00F77BF8">
          <w:fldChar w:fldCharType="end"/>
        </w:r>
      </w:hyperlink>
    </w:p>
    <w:p w14:paraId="6C938FC7" w14:textId="77777777" w:rsidR="00284822" w:rsidRDefault="003148F1">
      <w:pPr>
        <w:pStyle w:val="TM5"/>
        <w:tabs>
          <w:tab w:val="left" w:pos="1820"/>
          <w:tab w:val="right" w:leader="dot" w:pos="9060"/>
        </w:tabs>
        <w:rPr>
          <w:rFonts w:eastAsiaTheme="minorEastAsia" w:cstheme="minorBidi"/>
          <w:sz w:val="22"/>
          <w:szCs w:val="22"/>
        </w:rPr>
      </w:pPr>
      <w:hyperlink w:anchor="_Toc175048694" w:history="1">
        <w:r w:rsidR="00F77BF8">
          <w:rPr>
            <w:rStyle w:val="Lienhypertexte"/>
            <w:rFonts w:ascii="Rockwell" w:hAnsi="Rockwell"/>
          </w:rPr>
          <w:t>1.2.</w:t>
        </w:r>
        <w:r w:rsidR="00F77BF8">
          <w:rPr>
            <w:rFonts w:eastAsiaTheme="minorEastAsia" w:cstheme="minorBidi"/>
            <w:sz w:val="22"/>
            <w:szCs w:val="22"/>
          </w:rPr>
          <w:tab/>
        </w:r>
        <w:r w:rsidR="00F77BF8">
          <w:rPr>
            <w:rStyle w:val="Lienhypertexte"/>
            <w:rFonts w:ascii="Rockwell" w:eastAsia="Calibri" w:hAnsi="Rockwell"/>
            <w:lang w:eastAsia="en-US"/>
          </w:rPr>
          <w:t xml:space="preserve">Cas de la télévision </w:t>
        </w:r>
        <w:r w:rsidR="00F77BF8">
          <w:rPr>
            <w:rStyle w:val="Lienhypertexte"/>
            <w:rFonts w:ascii="Rockwell" w:eastAsia="Calibri" w:hAnsi="Rockwell"/>
            <w:i/>
            <w:lang w:eastAsia="en-US"/>
          </w:rPr>
          <w:t>Savane TV</w:t>
        </w:r>
        <w:r w:rsidR="00F77BF8">
          <w:tab/>
        </w:r>
        <w:r w:rsidR="00F77BF8">
          <w:fldChar w:fldCharType="begin"/>
        </w:r>
        <w:r w:rsidR="00F77BF8">
          <w:instrText xml:space="preserve"> PAGEREF _Toc175048694 \h </w:instrText>
        </w:r>
        <w:r w:rsidR="00F77BF8">
          <w:fldChar w:fldCharType="separate"/>
        </w:r>
        <w:r w:rsidR="00F77BF8">
          <w:t>85</w:t>
        </w:r>
        <w:r w:rsidR="00F77BF8">
          <w:fldChar w:fldCharType="end"/>
        </w:r>
      </w:hyperlink>
    </w:p>
    <w:p w14:paraId="73FFB6E2" w14:textId="77777777" w:rsidR="00284822" w:rsidRDefault="003148F1">
      <w:pPr>
        <w:pStyle w:val="TM4"/>
        <w:tabs>
          <w:tab w:val="right" w:leader="dot" w:pos="9060"/>
        </w:tabs>
        <w:rPr>
          <w:rFonts w:eastAsiaTheme="minorEastAsia" w:cstheme="minorBidi"/>
          <w:sz w:val="22"/>
          <w:szCs w:val="22"/>
        </w:rPr>
      </w:pPr>
      <w:hyperlink w:anchor="_Toc175048695" w:history="1">
        <w:r w:rsidR="00F77BF8">
          <w:rPr>
            <w:rStyle w:val="Lienhypertexte"/>
            <w:rFonts w:ascii="Rockwell" w:hAnsi="Rockwell"/>
            <w:bCs/>
          </w:rPr>
          <w:t xml:space="preserve">Paragraphe 2 : </w:t>
        </w:r>
        <w:r w:rsidR="00F77BF8">
          <w:rPr>
            <w:rStyle w:val="Lienhypertexte"/>
            <w:rFonts w:ascii="Rockwell" w:eastAsia="Calibri" w:hAnsi="Rockwell"/>
            <w:lang w:eastAsia="en-US"/>
          </w:rPr>
          <w:t>Publication d’images choquantes ou violentes</w:t>
        </w:r>
        <w:r w:rsidR="00F77BF8">
          <w:tab/>
        </w:r>
        <w:r w:rsidR="00F77BF8">
          <w:fldChar w:fldCharType="begin"/>
        </w:r>
        <w:r w:rsidR="00F77BF8">
          <w:instrText xml:space="preserve"> PAGEREF _Toc175048695 \h </w:instrText>
        </w:r>
        <w:r w:rsidR="00F77BF8">
          <w:fldChar w:fldCharType="separate"/>
        </w:r>
        <w:r w:rsidR="00F77BF8">
          <w:t>85</w:t>
        </w:r>
        <w:r w:rsidR="00F77BF8">
          <w:fldChar w:fldCharType="end"/>
        </w:r>
      </w:hyperlink>
    </w:p>
    <w:p w14:paraId="3417E407" w14:textId="77777777" w:rsidR="00284822" w:rsidRDefault="003148F1">
      <w:pPr>
        <w:pStyle w:val="TM4"/>
        <w:tabs>
          <w:tab w:val="right" w:leader="dot" w:pos="9060"/>
        </w:tabs>
        <w:rPr>
          <w:rFonts w:eastAsiaTheme="minorEastAsia" w:cstheme="minorBidi"/>
          <w:sz w:val="22"/>
          <w:szCs w:val="22"/>
        </w:rPr>
      </w:pPr>
      <w:hyperlink w:anchor="_Toc175048696" w:history="1">
        <w:r w:rsidR="00F77BF8">
          <w:rPr>
            <w:rStyle w:val="Lienhypertexte"/>
            <w:rFonts w:ascii="Rockwell" w:hAnsi="Rockwell"/>
            <w:bCs/>
          </w:rPr>
          <w:t xml:space="preserve">Paragraphe 3 : </w:t>
        </w:r>
        <w:r w:rsidR="00F77BF8">
          <w:rPr>
            <w:rStyle w:val="Lienhypertexte"/>
            <w:rFonts w:ascii="Rockwell" w:eastAsia="Calibri" w:hAnsi="Rockwell"/>
            <w:lang w:eastAsia="en-US"/>
          </w:rPr>
          <w:t>Intolérance religieuse</w:t>
        </w:r>
        <w:r w:rsidR="00F77BF8">
          <w:tab/>
        </w:r>
        <w:r w:rsidR="00F77BF8">
          <w:fldChar w:fldCharType="begin"/>
        </w:r>
        <w:r w:rsidR="00F77BF8">
          <w:instrText xml:space="preserve"> PAGEREF _Toc175048696 \h </w:instrText>
        </w:r>
        <w:r w:rsidR="00F77BF8">
          <w:fldChar w:fldCharType="separate"/>
        </w:r>
        <w:r w:rsidR="00F77BF8">
          <w:t>86</w:t>
        </w:r>
        <w:r w:rsidR="00F77BF8">
          <w:fldChar w:fldCharType="end"/>
        </w:r>
      </w:hyperlink>
    </w:p>
    <w:p w14:paraId="1393B7FD" w14:textId="77777777" w:rsidR="00284822" w:rsidRDefault="003148F1">
      <w:pPr>
        <w:pStyle w:val="TM4"/>
        <w:tabs>
          <w:tab w:val="right" w:leader="dot" w:pos="9060"/>
        </w:tabs>
        <w:rPr>
          <w:rFonts w:eastAsiaTheme="minorEastAsia" w:cstheme="minorBidi"/>
          <w:sz w:val="22"/>
          <w:szCs w:val="22"/>
        </w:rPr>
      </w:pPr>
      <w:hyperlink w:anchor="_Toc175048697" w:history="1">
        <w:r w:rsidR="00F77BF8">
          <w:rPr>
            <w:rStyle w:val="Lienhypertexte"/>
            <w:rFonts w:ascii="Rockwell" w:hAnsi="Rockwell"/>
            <w:bCs/>
          </w:rPr>
          <w:t xml:space="preserve">Paragraphe 4 : </w:t>
        </w:r>
        <w:r w:rsidR="00F77BF8">
          <w:rPr>
            <w:rStyle w:val="Lienhypertexte"/>
            <w:rFonts w:ascii="Rockwell" w:eastAsia="Calibri" w:hAnsi="Rockwell"/>
            <w:lang w:eastAsia="en-US"/>
          </w:rPr>
          <w:t>Diffusion ou publication d’informations renfermant des propos injurieux et/ou à caractère diffamatoire</w:t>
        </w:r>
        <w:r w:rsidR="00F77BF8">
          <w:tab/>
        </w:r>
        <w:r w:rsidR="00F77BF8">
          <w:fldChar w:fldCharType="begin"/>
        </w:r>
        <w:r w:rsidR="00F77BF8">
          <w:instrText xml:space="preserve"> PAGEREF _Toc175048697 \h </w:instrText>
        </w:r>
        <w:r w:rsidR="00F77BF8">
          <w:fldChar w:fldCharType="separate"/>
        </w:r>
        <w:r w:rsidR="00F77BF8">
          <w:t>86</w:t>
        </w:r>
        <w:r w:rsidR="00F77BF8">
          <w:fldChar w:fldCharType="end"/>
        </w:r>
      </w:hyperlink>
    </w:p>
    <w:p w14:paraId="2506176A" w14:textId="77777777" w:rsidR="00284822" w:rsidRDefault="003148F1">
      <w:pPr>
        <w:pStyle w:val="TM5"/>
        <w:tabs>
          <w:tab w:val="right" w:leader="dot" w:pos="9060"/>
        </w:tabs>
        <w:rPr>
          <w:rFonts w:eastAsiaTheme="minorEastAsia" w:cstheme="minorBidi"/>
          <w:sz w:val="22"/>
          <w:szCs w:val="22"/>
        </w:rPr>
      </w:pPr>
      <w:hyperlink w:anchor="_Toc175048698" w:history="1">
        <w:r w:rsidR="00F77BF8">
          <w:rPr>
            <w:rStyle w:val="Lienhypertexte"/>
            <w:rFonts w:ascii="Rockwell" w:eastAsia="Calibri" w:hAnsi="Rockwell"/>
            <w:lang w:eastAsia="en-US"/>
          </w:rPr>
          <w:t xml:space="preserve">4.1. Cas du journal </w:t>
        </w:r>
        <w:r w:rsidR="00F77BF8">
          <w:rPr>
            <w:rStyle w:val="Lienhypertexte"/>
            <w:rFonts w:ascii="Rockwell" w:eastAsia="Calibri" w:hAnsi="Rockwell"/>
            <w:i/>
            <w:lang w:eastAsia="en-US"/>
          </w:rPr>
          <w:t>L’express du Faso</w:t>
        </w:r>
        <w:r w:rsidR="00F77BF8">
          <w:tab/>
        </w:r>
        <w:r w:rsidR="00F77BF8">
          <w:fldChar w:fldCharType="begin"/>
        </w:r>
        <w:r w:rsidR="00F77BF8">
          <w:instrText xml:space="preserve"> PAGEREF _Toc175048698 \h </w:instrText>
        </w:r>
        <w:r w:rsidR="00F77BF8">
          <w:fldChar w:fldCharType="separate"/>
        </w:r>
        <w:r w:rsidR="00F77BF8">
          <w:t>87</w:t>
        </w:r>
        <w:r w:rsidR="00F77BF8">
          <w:fldChar w:fldCharType="end"/>
        </w:r>
      </w:hyperlink>
    </w:p>
    <w:p w14:paraId="75BD0151" w14:textId="77777777" w:rsidR="00284822" w:rsidRDefault="003148F1">
      <w:pPr>
        <w:pStyle w:val="TM5"/>
        <w:tabs>
          <w:tab w:val="left" w:pos="1820"/>
          <w:tab w:val="right" w:leader="dot" w:pos="9060"/>
        </w:tabs>
        <w:rPr>
          <w:rFonts w:eastAsiaTheme="minorEastAsia" w:cstheme="minorBidi"/>
          <w:sz w:val="22"/>
          <w:szCs w:val="22"/>
        </w:rPr>
      </w:pPr>
      <w:hyperlink w:anchor="_Toc175048699" w:history="1">
        <w:r w:rsidR="00F77BF8">
          <w:rPr>
            <w:rStyle w:val="Lienhypertexte"/>
            <w:rFonts w:ascii="Rockwell" w:eastAsia="Calibri" w:hAnsi="Rockwell"/>
            <w:lang w:eastAsia="en-US"/>
          </w:rPr>
          <w:t>4.2.</w:t>
        </w:r>
        <w:r w:rsidR="00F77BF8">
          <w:rPr>
            <w:rFonts w:eastAsiaTheme="minorEastAsia" w:cstheme="minorBidi"/>
            <w:sz w:val="22"/>
            <w:szCs w:val="22"/>
          </w:rPr>
          <w:tab/>
        </w:r>
        <w:r w:rsidR="00F77BF8">
          <w:rPr>
            <w:rStyle w:val="Lienhypertexte"/>
            <w:rFonts w:ascii="Rockwell" w:eastAsia="Calibri" w:hAnsi="Rockwell"/>
            <w:lang w:eastAsia="en-US"/>
          </w:rPr>
          <w:t>Cas de la télévision Oméga TV</w:t>
        </w:r>
        <w:r w:rsidR="00F77BF8">
          <w:tab/>
        </w:r>
        <w:r w:rsidR="00F77BF8">
          <w:fldChar w:fldCharType="begin"/>
        </w:r>
        <w:r w:rsidR="00F77BF8">
          <w:instrText xml:space="preserve"> PAGEREF _Toc175048699 \h </w:instrText>
        </w:r>
        <w:r w:rsidR="00F77BF8">
          <w:fldChar w:fldCharType="separate"/>
        </w:r>
        <w:r w:rsidR="00F77BF8">
          <w:t>87</w:t>
        </w:r>
        <w:r w:rsidR="00F77BF8">
          <w:fldChar w:fldCharType="end"/>
        </w:r>
      </w:hyperlink>
    </w:p>
    <w:p w14:paraId="6EE86906" w14:textId="77777777" w:rsidR="00284822" w:rsidRDefault="003148F1">
      <w:pPr>
        <w:pStyle w:val="TM5"/>
        <w:tabs>
          <w:tab w:val="left" w:pos="1820"/>
          <w:tab w:val="right" w:leader="dot" w:pos="9060"/>
        </w:tabs>
        <w:rPr>
          <w:rFonts w:eastAsiaTheme="minorEastAsia" w:cstheme="minorBidi"/>
          <w:sz w:val="22"/>
          <w:szCs w:val="22"/>
        </w:rPr>
      </w:pPr>
      <w:hyperlink w:anchor="_Toc175048700" w:history="1">
        <w:r w:rsidR="00F77BF8">
          <w:rPr>
            <w:rStyle w:val="Lienhypertexte"/>
            <w:rFonts w:ascii="Rockwell" w:eastAsia="Calibri" w:hAnsi="Rockwell"/>
            <w:i/>
            <w:lang w:eastAsia="en-US"/>
          </w:rPr>
          <w:t>4.3.</w:t>
        </w:r>
        <w:r w:rsidR="00F77BF8">
          <w:rPr>
            <w:rFonts w:eastAsiaTheme="minorEastAsia" w:cstheme="minorBidi"/>
            <w:sz w:val="22"/>
            <w:szCs w:val="22"/>
          </w:rPr>
          <w:tab/>
        </w:r>
        <w:r w:rsidR="00F77BF8">
          <w:rPr>
            <w:rStyle w:val="Lienhypertexte"/>
            <w:rFonts w:ascii="Rockwell" w:eastAsia="Calibri" w:hAnsi="Rockwell"/>
            <w:lang w:eastAsia="en-US"/>
          </w:rPr>
          <w:t xml:space="preserve">Cas de la télévision </w:t>
        </w:r>
        <w:r w:rsidR="00F77BF8">
          <w:rPr>
            <w:rStyle w:val="Lienhypertexte"/>
            <w:rFonts w:ascii="Rockwell" w:eastAsia="Calibri" w:hAnsi="Rockwell"/>
            <w:i/>
            <w:lang w:eastAsia="en-US"/>
          </w:rPr>
          <w:t>Savane TV</w:t>
        </w:r>
        <w:r w:rsidR="00F77BF8">
          <w:tab/>
        </w:r>
        <w:r w:rsidR="00F77BF8">
          <w:fldChar w:fldCharType="begin"/>
        </w:r>
        <w:r w:rsidR="00F77BF8">
          <w:instrText xml:space="preserve"> PAGEREF _Toc175048700 \h </w:instrText>
        </w:r>
        <w:r w:rsidR="00F77BF8">
          <w:fldChar w:fldCharType="separate"/>
        </w:r>
        <w:r w:rsidR="00F77BF8">
          <w:t>87</w:t>
        </w:r>
        <w:r w:rsidR="00F77BF8">
          <w:fldChar w:fldCharType="end"/>
        </w:r>
      </w:hyperlink>
    </w:p>
    <w:p w14:paraId="6511FAE5" w14:textId="77777777" w:rsidR="00284822" w:rsidRDefault="003148F1">
      <w:pPr>
        <w:pStyle w:val="TM4"/>
        <w:tabs>
          <w:tab w:val="right" w:leader="dot" w:pos="9060"/>
        </w:tabs>
        <w:rPr>
          <w:rFonts w:eastAsiaTheme="minorEastAsia" w:cstheme="minorBidi"/>
          <w:sz w:val="22"/>
          <w:szCs w:val="22"/>
        </w:rPr>
      </w:pPr>
      <w:hyperlink w:anchor="_Toc175048701" w:history="1">
        <w:r w:rsidR="00F77BF8">
          <w:rPr>
            <w:rStyle w:val="Lienhypertexte"/>
            <w:rFonts w:ascii="Rockwell" w:eastAsia="Calibri" w:hAnsi="Rockwell"/>
            <w:lang w:eastAsia="en-US"/>
          </w:rPr>
          <w:t>Paragraphe 5 : Diffusion de fausses nouvelles et déséquilibre</w:t>
        </w:r>
        <w:r w:rsidR="00F77BF8">
          <w:tab/>
        </w:r>
        <w:r w:rsidR="00F77BF8">
          <w:fldChar w:fldCharType="begin"/>
        </w:r>
        <w:r w:rsidR="00F77BF8">
          <w:instrText xml:space="preserve"> PAGEREF _Toc175048701 \h </w:instrText>
        </w:r>
        <w:r w:rsidR="00F77BF8">
          <w:fldChar w:fldCharType="separate"/>
        </w:r>
        <w:r w:rsidR="00F77BF8">
          <w:t>88</w:t>
        </w:r>
        <w:r w:rsidR="00F77BF8">
          <w:fldChar w:fldCharType="end"/>
        </w:r>
      </w:hyperlink>
    </w:p>
    <w:p w14:paraId="7DD31CCC" w14:textId="77777777" w:rsidR="00284822" w:rsidRDefault="003148F1">
      <w:pPr>
        <w:pStyle w:val="TM4"/>
        <w:tabs>
          <w:tab w:val="right" w:leader="dot" w:pos="9060"/>
        </w:tabs>
        <w:rPr>
          <w:rFonts w:eastAsiaTheme="minorEastAsia" w:cstheme="minorBidi"/>
          <w:sz w:val="22"/>
          <w:szCs w:val="22"/>
        </w:rPr>
      </w:pPr>
      <w:hyperlink w:anchor="_Toc175048702" w:history="1">
        <w:r w:rsidR="00F77BF8">
          <w:rPr>
            <w:rStyle w:val="Lienhypertexte"/>
            <w:rFonts w:ascii="Rockwell" w:eastAsia="Calibri" w:hAnsi="Rockwell"/>
            <w:lang w:eastAsia="en-US"/>
          </w:rPr>
          <w:t>de l’information</w:t>
        </w:r>
        <w:r w:rsidR="00F77BF8">
          <w:tab/>
        </w:r>
        <w:r w:rsidR="00F77BF8">
          <w:fldChar w:fldCharType="begin"/>
        </w:r>
        <w:r w:rsidR="00F77BF8">
          <w:instrText xml:space="preserve"> PAGEREF _Toc175048702 \h </w:instrText>
        </w:r>
        <w:r w:rsidR="00F77BF8">
          <w:fldChar w:fldCharType="separate"/>
        </w:r>
        <w:r w:rsidR="00F77BF8">
          <w:t>88</w:t>
        </w:r>
        <w:r w:rsidR="00F77BF8">
          <w:fldChar w:fldCharType="end"/>
        </w:r>
      </w:hyperlink>
    </w:p>
    <w:p w14:paraId="2704B6BF" w14:textId="77777777" w:rsidR="00284822" w:rsidRDefault="003148F1">
      <w:pPr>
        <w:pStyle w:val="TM5"/>
        <w:tabs>
          <w:tab w:val="right" w:leader="dot" w:pos="9060"/>
        </w:tabs>
        <w:rPr>
          <w:rFonts w:eastAsiaTheme="minorEastAsia" w:cstheme="minorBidi"/>
          <w:sz w:val="22"/>
          <w:szCs w:val="22"/>
        </w:rPr>
      </w:pPr>
      <w:hyperlink w:anchor="_Toc175048703" w:history="1">
        <w:r w:rsidR="00F77BF8">
          <w:rPr>
            <w:rStyle w:val="Lienhypertexte"/>
            <w:rFonts w:ascii="Rockwell" w:eastAsia="Calibri" w:hAnsi="Rockwell"/>
            <w:lang w:eastAsia="en-US"/>
          </w:rPr>
          <w:t xml:space="preserve">5.1. Cas de </w:t>
        </w:r>
        <w:r w:rsidR="00F77BF8">
          <w:rPr>
            <w:rStyle w:val="Lienhypertexte"/>
            <w:rFonts w:ascii="Rockwell" w:eastAsia="Calibri" w:hAnsi="Rockwell"/>
            <w:i/>
            <w:lang w:eastAsia="en-US"/>
          </w:rPr>
          <w:t>Radio France Internationale</w:t>
        </w:r>
        <w:r w:rsidR="00F77BF8">
          <w:tab/>
        </w:r>
        <w:r w:rsidR="00F77BF8">
          <w:fldChar w:fldCharType="begin"/>
        </w:r>
        <w:r w:rsidR="00F77BF8">
          <w:instrText xml:space="preserve"> PAGEREF _Toc175048703 \h </w:instrText>
        </w:r>
        <w:r w:rsidR="00F77BF8">
          <w:fldChar w:fldCharType="separate"/>
        </w:r>
        <w:r w:rsidR="00F77BF8">
          <w:t>88</w:t>
        </w:r>
        <w:r w:rsidR="00F77BF8">
          <w:fldChar w:fldCharType="end"/>
        </w:r>
      </w:hyperlink>
    </w:p>
    <w:p w14:paraId="7AE381F1" w14:textId="77777777" w:rsidR="00284822" w:rsidRDefault="003148F1">
      <w:pPr>
        <w:pStyle w:val="TM5"/>
        <w:tabs>
          <w:tab w:val="left" w:pos="1820"/>
          <w:tab w:val="right" w:leader="dot" w:pos="9060"/>
        </w:tabs>
        <w:rPr>
          <w:rFonts w:eastAsiaTheme="minorEastAsia" w:cstheme="minorBidi"/>
          <w:sz w:val="22"/>
          <w:szCs w:val="22"/>
        </w:rPr>
      </w:pPr>
      <w:hyperlink w:anchor="_Toc175048704" w:history="1">
        <w:r w:rsidR="00F77BF8">
          <w:rPr>
            <w:rStyle w:val="Lienhypertexte"/>
            <w:rFonts w:ascii="Rockwell" w:eastAsia="Calibri" w:hAnsi="Rockwell"/>
            <w:i/>
            <w:lang w:eastAsia="en-US"/>
          </w:rPr>
          <w:t>5.2.</w:t>
        </w:r>
        <w:r w:rsidR="00F77BF8">
          <w:rPr>
            <w:rFonts w:eastAsiaTheme="minorEastAsia" w:cstheme="minorBidi"/>
            <w:sz w:val="22"/>
            <w:szCs w:val="22"/>
          </w:rPr>
          <w:tab/>
        </w:r>
        <w:r w:rsidR="00F77BF8">
          <w:rPr>
            <w:rStyle w:val="Lienhypertexte"/>
            <w:rFonts w:ascii="Rockwell" w:eastAsia="Calibri" w:hAnsi="Rockwell"/>
            <w:lang w:eastAsia="en-US"/>
          </w:rPr>
          <w:t xml:space="preserve">Cas de </w:t>
        </w:r>
        <w:r w:rsidR="00F77BF8">
          <w:rPr>
            <w:rStyle w:val="Lienhypertexte"/>
            <w:rFonts w:ascii="Rockwell" w:eastAsia="Calibri" w:hAnsi="Rockwell"/>
            <w:i/>
            <w:lang w:eastAsia="en-US"/>
          </w:rPr>
          <w:t>radio Oméga </w:t>
        </w:r>
        <w:r w:rsidR="00F77BF8">
          <w:rPr>
            <w:rStyle w:val="Lienhypertexte"/>
            <w:rFonts w:ascii="Rockwell" w:eastAsia="Calibri" w:hAnsi="Rockwell"/>
            <w:lang w:eastAsia="en-US"/>
          </w:rPr>
          <w:t xml:space="preserve">et du journal </w:t>
        </w:r>
        <w:r w:rsidR="00F77BF8">
          <w:rPr>
            <w:rStyle w:val="Lienhypertexte"/>
            <w:rFonts w:ascii="Rockwell" w:eastAsia="Calibri" w:hAnsi="Rockwell"/>
            <w:i/>
            <w:lang w:eastAsia="en-US"/>
          </w:rPr>
          <w:t>Infowakat</w:t>
        </w:r>
        <w:r w:rsidR="00F77BF8">
          <w:tab/>
        </w:r>
        <w:r w:rsidR="00F77BF8">
          <w:fldChar w:fldCharType="begin"/>
        </w:r>
        <w:r w:rsidR="00F77BF8">
          <w:instrText xml:space="preserve"> PAGEREF _Toc175048704 \h </w:instrText>
        </w:r>
        <w:r w:rsidR="00F77BF8">
          <w:fldChar w:fldCharType="separate"/>
        </w:r>
        <w:r w:rsidR="00F77BF8">
          <w:t>88</w:t>
        </w:r>
        <w:r w:rsidR="00F77BF8">
          <w:fldChar w:fldCharType="end"/>
        </w:r>
      </w:hyperlink>
    </w:p>
    <w:p w14:paraId="04FD027A" w14:textId="77777777" w:rsidR="00284822" w:rsidRDefault="003148F1">
      <w:pPr>
        <w:pStyle w:val="TM4"/>
        <w:tabs>
          <w:tab w:val="right" w:leader="dot" w:pos="9060"/>
        </w:tabs>
        <w:rPr>
          <w:rFonts w:eastAsiaTheme="minorEastAsia" w:cstheme="minorBidi"/>
          <w:sz w:val="22"/>
          <w:szCs w:val="22"/>
        </w:rPr>
      </w:pPr>
      <w:hyperlink w:anchor="_Toc175048705" w:history="1">
        <w:r w:rsidR="00F77BF8">
          <w:rPr>
            <w:rStyle w:val="Lienhypertexte"/>
            <w:rFonts w:ascii="Rockwell" w:eastAsia="Calibri" w:hAnsi="Rockwell"/>
          </w:rPr>
          <w:t>Paragraphe 6 : Diffusion d’images attentatoires aux bonnes mœurs</w:t>
        </w:r>
        <w:r w:rsidR="00F77BF8">
          <w:tab/>
        </w:r>
        <w:r w:rsidR="00F77BF8">
          <w:fldChar w:fldCharType="begin"/>
        </w:r>
        <w:r w:rsidR="00F77BF8">
          <w:instrText xml:space="preserve"> PAGEREF _Toc175048705 \h </w:instrText>
        </w:r>
        <w:r w:rsidR="00F77BF8">
          <w:fldChar w:fldCharType="separate"/>
        </w:r>
        <w:r w:rsidR="00F77BF8">
          <w:t>89</w:t>
        </w:r>
        <w:r w:rsidR="00F77BF8">
          <w:fldChar w:fldCharType="end"/>
        </w:r>
      </w:hyperlink>
    </w:p>
    <w:p w14:paraId="7954A29C" w14:textId="77777777" w:rsidR="00284822" w:rsidRDefault="003148F1">
      <w:pPr>
        <w:pStyle w:val="TM4"/>
        <w:tabs>
          <w:tab w:val="right" w:leader="dot" w:pos="9060"/>
        </w:tabs>
        <w:rPr>
          <w:rFonts w:eastAsiaTheme="minorEastAsia" w:cstheme="minorBidi"/>
          <w:sz w:val="22"/>
          <w:szCs w:val="22"/>
        </w:rPr>
      </w:pPr>
      <w:hyperlink w:anchor="_Toc175048706" w:history="1">
        <w:r w:rsidR="00F77BF8">
          <w:rPr>
            <w:rStyle w:val="Lienhypertexte"/>
            <w:rFonts w:ascii="Rockwell" w:hAnsi="Rockwell"/>
          </w:rPr>
          <w:t>Paragraphe 7 : Auto-saisines relatives aux contenus publicitaires</w:t>
        </w:r>
        <w:r w:rsidR="00F77BF8">
          <w:tab/>
        </w:r>
        <w:r w:rsidR="00F77BF8">
          <w:fldChar w:fldCharType="begin"/>
        </w:r>
        <w:r w:rsidR="00F77BF8">
          <w:instrText xml:space="preserve"> PAGEREF _Toc175048706 \h </w:instrText>
        </w:r>
        <w:r w:rsidR="00F77BF8">
          <w:fldChar w:fldCharType="separate"/>
        </w:r>
        <w:r w:rsidR="00F77BF8">
          <w:t>89</w:t>
        </w:r>
        <w:r w:rsidR="00F77BF8">
          <w:fldChar w:fldCharType="end"/>
        </w:r>
      </w:hyperlink>
    </w:p>
    <w:p w14:paraId="3EEF45E4" w14:textId="77777777" w:rsidR="00284822" w:rsidRDefault="003148F1">
      <w:pPr>
        <w:pStyle w:val="TM5"/>
        <w:tabs>
          <w:tab w:val="left" w:pos="1560"/>
          <w:tab w:val="right" w:leader="dot" w:pos="9060"/>
        </w:tabs>
        <w:rPr>
          <w:rFonts w:eastAsiaTheme="minorEastAsia" w:cstheme="minorBidi"/>
          <w:sz w:val="22"/>
          <w:szCs w:val="22"/>
        </w:rPr>
      </w:pPr>
      <w:hyperlink w:anchor="_Toc175048707" w:history="1">
        <w:r w:rsidR="00F77BF8">
          <w:rPr>
            <w:rStyle w:val="Lienhypertexte"/>
            <w:rFonts w:ascii="Rockwell" w:hAnsi="Rockwell"/>
          </w:rPr>
          <w:t>2.</w:t>
        </w:r>
        <w:r w:rsidR="00F77BF8">
          <w:rPr>
            <w:rFonts w:eastAsiaTheme="minorEastAsia" w:cstheme="minorBidi"/>
            <w:sz w:val="22"/>
            <w:szCs w:val="22"/>
          </w:rPr>
          <w:tab/>
        </w:r>
        <w:r w:rsidR="00F77BF8">
          <w:rPr>
            <w:rStyle w:val="Lienhypertexte"/>
            <w:rFonts w:ascii="Rockwell" w:hAnsi="Rockwell"/>
          </w:rPr>
          <w:t>Les publicités strictement interdites</w:t>
        </w:r>
        <w:r w:rsidR="00F77BF8">
          <w:tab/>
        </w:r>
        <w:r w:rsidR="00F77BF8">
          <w:fldChar w:fldCharType="begin"/>
        </w:r>
        <w:r w:rsidR="00F77BF8">
          <w:instrText xml:space="preserve"> PAGEREF _Toc175048707 \h </w:instrText>
        </w:r>
        <w:r w:rsidR="00F77BF8">
          <w:fldChar w:fldCharType="separate"/>
        </w:r>
        <w:r w:rsidR="00F77BF8">
          <w:t>92</w:t>
        </w:r>
        <w:r w:rsidR="00F77BF8">
          <w:fldChar w:fldCharType="end"/>
        </w:r>
      </w:hyperlink>
    </w:p>
    <w:p w14:paraId="7C59022F" w14:textId="77777777" w:rsidR="00284822" w:rsidRDefault="003148F1">
      <w:pPr>
        <w:pStyle w:val="TM3"/>
        <w:tabs>
          <w:tab w:val="right" w:leader="dot" w:pos="9060"/>
        </w:tabs>
        <w:rPr>
          <w:rFonts w:eastAsiaTheme="minorEastAsia" w:cstheme="minorBidi"/>
          <w:sz w:val="22"/>
          <w:szCs w:val="22"/>
        </w:rPr>
      </w:pPr>
      <w:hyperlink w:anchor="_Toc175048708" w:history="1">
        <w:r w:rsidR="00F77BF8">
          <w:rPr>
            <w:rStyle w:val="Lienhypertexte"/>
            <w:rFonts w:ascii="Rockwell" w:hAnsi="Rockwell"/>
          </w:rPr>
          <w:t>SECTION 2 : LES SAISINES</w:t>
        </w:r>
        <w:r w:rsidR="00F77BF8">
          <w:tab/>
        </w:r>
        <w:r w:rsidR="00F77BF8">
          <w:fldChar w:fldCharType="begin"/>
        </w:r>
        <w:r w:rsidR="00F77BF8">
          <w:instrText xml:space="preserve"> PAGEREF _Toc175048708 \h </w:instrText>
        </w:r>
        <w:r w:rsidR="00F77BF8">
          <w:fldChar w:fldCharType="separate"/>
        </w:r>
        <w:r w:rsidR="00F77BF8">
          <w:t>93</w:t>
        </w:r>
        <w:r w:rsidR="00F77BF8">
          <w:fldChar w:fldCharType="end"/>
        </w:r>
      </w:hyperlink>
    </w:p>
    <w:p w14:paraId="7DB5B46A" w14:textId="77777777" w:rsidR="00284822" w:rsidRDefault="003148F1">
      <w:pPr>
        <w:pStyle w:val="TM4"/>
        <w:tabs>
          <w:tab w:val="right" w:leader="dot" w:pos="9060"/>
        </w:tabs>
        <w:rPr>
          <w:rFonts w:eastAsiaTheme="minorEastAsia" w:cstheme="minorBidi"/>
          <w:sz w:val="22"/>
          <w:szCs w:val="22"/>
        </w:rPr>
      </w:pPr>
      <w:hyperlink w:anchor="_Toc175048709" w:history="1">
        <w:r w:rsidR="00F77BF8">
          <w:rPr>
            <w:rStyle w:val="Lienhypertexte"/>
            <w:rFonts w:ascii="Rockwell" w:hAnsi="Rockwell"/>
          </w:rPr>
          <w:t>Paragraphe 1 : Publication d’images obscènes</w:t>
        </w:r>
        <w:r w:rsidR="00F77BF8">
          <w:tab/>
        </w:r>
        <w:r w:rsidR="00F77BF8">
          <w:fldChar w:fldCharType="begin"/>
        </w:r>
        <w:r w:rsidR="00F77BF8">
          <w:instrText xml:space="preserve"> PAGEREF _Toc175048709 \h </w:instrText>
        </w:r>
        <w:r w:rsidR="00F77BF8">
          <w:fldChar w:fldCharType="separate"/>
        </w:r>
        <w:r w:rsidR="00F77BF8">
          <w:t>94</w:t>
        </w:r>
        <w:r w:rsidR="00F77BF8">
          <w:fldChar w:fldCharType="end"/>
        </w:r>
      </w:hyperlink>
    </w:p>
    <w:p w14:paraId="3ED743B7" w14:textId="77777777" w:rsidR="00284822" w:rsidRDefault="003148F1">
      <w:pPr>
        <w:pStyle w:val="TM4"/>
        <w:tabs>
          <w:tab w:val="right" w:leader="dot" w:pos="9060"/>
        </w:tabs>
        <w:rPr>
          <w:rFonts w:eastAsiaTheme="minorEastAsia" w:cstheme="minorBidi"/>
          <w:sz w:val="22"/>
          <w:szCs w:val="22"/>
        </w:rPr>
      </w:pPr>
      <w:hyperlink w:anchor="_Toc175048710" w:history="1">
        <w:r w:rsidR="00F77BF8">
          <w:rPr>
            <w:rStyle w:val="Lienhypertexte"/>
            <w:rFonts w:ascii="Rockwell" w:hAnsi="Rockwell"/>
            <w:bCs/>
          </w:rPr>
          <w:t xml:space="preserve">Paragraphe 2 : </w:t>
        </w:r>
        <w:r w:rsidR="00F77BF8">
          <w:rPr>
            <w:rStyle w:val="Lienhypertexte"/>
            <w:rFonts w:ascii="Rockwell" w:hAnsi="Rockwell"/>
          </w:rPr>
          <w:t>Atteinte à la protection des mineurs</w:t>
        </w:r>
        <w:r w:rsidR="00F77BF8">
          <w:tab/>
        </w:r>
        <w:r w:rsidR="00F77BF8">
          <w:fldChar w:fldCharType="begin"/>
        </w:r>
        <w:r w:rsidR="00F77BF8">
          <w:instrText xml:space="preserve"> PAGEREF _Toc175048710 \h </w:instrText>
        </w:r>
        <w:r w:rsidR="00F77BF8">
          <w:fldChar w:fldCharType="separate"/>
        </w:r>
        <w:r w:rsidR="00F77BF8">
          <w:t>94</w:t>
        </w:r>
        <w:r w:rsidR="00F77BF8">
          <w:fldChar w:fldCharType="end"/>
        </w:r>
      </w:hyperlink>
    </w:p>
    <w:p w14:paraId="634D8B09" w14:textId="77777777" w:rsidR="00284822" w:rsidRDefault="003148F1">
      <w:pPr>
        <w:pStyle w:val="TM4"/>
        <w:tabs>
          <w:tab w:val="right" w:leader="dot" w:pos="9060"/>
        </w:tabs>
        <w:rPr>
          <w:rFonts w:eastAsiaTheme="minorEastAsia" w:cstheme="minorBidi"/>
          <w:sz w:val="22"/>
          <w:szCs w:val="22"/>
        </w:rPr>
      </w:pPr>
      <w:hyperlink w:anchor="_Toc175048711" w:history="1">
        <w:r w:rsidR="00F77BF8">
          <w:rPr>
            <w:rStyle w:val="Lienhypertexte"/>
            <w:rFonts w:ascii="Rockwell" w:hAnsi="Rockwell"/>
          </w:rPr>
          <w:t>Paragraphe 3 : Usurpation de nom et concurrence déloyale</w:t>
        </w:r>
        <w:r w:rsidR="00F77BF8">
          <w:tab/>
        </w:r>
        <w:r w:rsidR="00F77BF8">
          <w:fldChar w:fldCharType="begin"/>
        </w:r>
        <w:r w:rsidR="00F77BF8">
          <w:instrText xml:space="preserve"> PAGEREF _Toc175048711 \h </w:instrText>
        </w:r>
        <w:r w:rsidR="00F77BF8">
          <w:fldChar w:fldCharType="separate"/>
        </w:r>
        <w:r w:rsidR="00F77BF8">
          <w:t>94</w:t>
        </w:r>
        <w:r w:rsidR="00F77BF8">
          <w:fldChar w:fldCharType="end"/>
        </w:r>
      </w:hyperlink>
    </w:p>
    <w:p w14:paraId="30DBC405" w14:textId="77777777" w:rsidR="00284822" w:rsidRDefault="003148F1">
      <w:pPr>
        <w:pStyle w:val="TM4"/>
        <w:tabs>
          <w:tab w:val="right" w:leader="dot" w:pos="9060"/>
        </w:tabs>
        <w:rPr>
          <w:rFonts w:eastAsiaTheme="minorEastAsia" w:cstheme="minorBidi"/>
          <w:sz w:val="22"/>
          <w:szCs w:val="22"/>
        </w:rPr>
      </w:pPr>
      <w:hyperlink w:anchor="_Toc175048712" w:history="1">
        <w:r w:rsidR="00F77BF8">
          <w:rPr>
            <w:rStyle w:val="Lienhypertexte"/>
            <w:rFonts w:ascii="Rockwell" w:hAnsi="Rockwell"/>
          </w:rPr>
          <w:t>Paragraphe 4 : Diffusion de fausses nouvelles et déséquilibre de l’information</w:t>
        </w:r>
        <w:r w:rsidR="00F77BF8">
          <w:tab/>
        </w:r>
        <w:r w:rsidR="00F77BF8">
          <w:fldChar w:fldCharType="begin"/>
        </w:r>
        <w:r w:rsidR="00F77BF8">
          <w:instrText xml:space="preserve"> PAGEREF _Toc175048712 \h </w:instrText>
        </w:r>
        <w:r w:rsidR="00F77BF8">
          <w:fldChar w:fldCharType="separate"/>
        </w:r>
        <w:r w:rsidR="00F77BF8">
          <w:t>95</w:t>
        </w:r>
        <w:r w:rsidR="00F77BF8">
          <w:fldChar w:fldCharType="end"/>
        </w:r>
      </w:hyperlink>
    </w:p>
    <w:p w14:paraId="79FBAEEE" w14:textId="77777777" w:rsidR="00284822" w:rsidRDefault="003148F1">
      <w:pPr>
        <w:pStyle w:val="TM4"/>
        <w:tabs>
          <w:tab w:val="right" w:leader="dot" w:pos="9060"/>
        </w:tabs>
        <w:rPr>
          <w:rFonts w:eastAsiaTheme="minorEastAsia" w:cstheme="minorBidi"/>
          <w:sz w:val="22"/>
          <w:szCs w:val="22"/>
        </w:rPr>
      </w:pPr>
      <w:hyperlink w:anchor="_Toc175048713" w:history="1">
        <w:r w:rsidR="00F77BF8">
          <w:rPr>
            <w:rStyle w:val="Lienhypertexte"/>
            <w:rFonts w:ascii="Rockwell" w:hAnsi="Rockwell"/>
          </w:rPr>
          <w:t>Paragraphe 5 : Désinformation et atteinte à la responsabilité sociale</w:t>
        </w:r>
        <w:r w:rsidR="00F77BF8">
          <w:tab/>
        </w:r>
        <w:r w:rsidR="00F77BF8">
          <w:fldChar w:fldCharType="begin"/>
        </w:r>
        <w:r w:rsidR="00F77BF8">
          <w:instrText xml:space="preserve"> PAGEREF _Toc175048713 \h </w:instrText>
        </w:r>
        <w:r w:rsidR="00F77BF8">
          <w:fldChar w:fldCharType="separate"/>
        </w:r>
        <w:r w:rsidR="00F77BF8">
          <w:t>95</w:t>
        </w:r>
        <w:r w:rsidR="00F77BF8">
          <w:fldChar w:fldCharType="end"/>
        </w:r>
      </w:hyperlink>
    </w:p>
    <w:p w14:paraId="4772ECBA" w14:textId="77777777" w:rsidR="00284822" w:rsidRDefault="003148F1">
      <w:pPr>
        <w:pStyle w:val="TM4"/>
        <w:tabs>
          <w:tab w:val="right" w:leader="dot" w:pos="9060"/>
        </w:tabs>
        <w:rPr>
          <w:rFonts w:eastAsiaTheme="minorEastAsia" w:cstheme="minorBidi"/>
          <w:sz w:val="22"/>
          <w:szCs w:val="22"/>
        </w:rPr>
      </w:pPr>
      <w:hyperlink w:anchor="_Toc175048714" w:history="1">
        <w:r w:rsidR="00F77BF8">
          <w:rPr>
            <w:rStyle w:val="Lienhypertexte"/>
            <w:rFonts w:ascii="Rockwell" w:hAnsi="Rockwell"/>
          </w:rPr>
          <w:t>Paragraphe 6 : Fonctionnement irrégulier</w:t>
        </w:r>
        <w:r w:rsidR="00F77BF8">
          <w:tab/>
        </w:r>
        <w:r w:rsidR="00F77BF8">
          <w:fldChar w:fldCharType="begin"/>
        </w:r>
        <w:r w:rsidR="00F77BF8">
          <w:instrText xml:space="preserve"> PAGEREF _Toc175048714 \h </w:instrText>
        </w:r>
        <w:r w:rsidR="00F77BF8">
          <w:fldChar w:fldCharType="separate"/>
        </w:r>
        <w:r w:rsidR="00F77BF8">
          <w:t>96</w:t>
        </w:r>
        <w:r w:rsidR="00F77BF8">
          <w:fldChar w:fldCharType="end"/>
        </w:r>
      </w:hyperlink>
    </w:p>
    <w:p w14:paraId="1EF0769C" w14:textId="77777777" w:rsidR="00284822" w:rsidRDefault="003148F1">
      <w:pPr>
        <w:pStyle w:val="TM2"/>
        <w:rPr>
          <w:rFonts w:eastAsiaTheme="minorEastAsia" w:cstheme="minorBidi"/>
          <w:i w:val="0"/>
          <w:iCs w:val="0"/>
          <w:sz w:val="22"/>
          <w:szCs w:val="22"/>
        </w:rPr>
      </w:pPr>
      <w:hyperlink w:anchor="_Toc175048715" w:history="1">
        <w:r w:rsidR="00F77BF8">
          <w:rPr>
            <w:rStyle w:val="Lienhypertexte"/>
            <w:rFonts w:ascii="Rockwell" w:hAnsi="Rockwell"/>
          </w:rPr>
          <w:t>CHAPITRE IV : CONTENTIEUX ET MEDIATION</w:t>
        </w:r>
        <w:r w:rsidR="00F77BF8">
          <w:tab/>
        </w:r>
        <w:r w:rsidR="00F77BF8">
          <w:fldChar w:fldCharType="begin"/>
        </w:r>
        <w:r w:rsidR="00F77BF8">
          <w:instrText xml:space="preserve"> PAGEREF _Toc175048715 \h </w:instrText>
        </w:r>
        <w:r w:rsidR="00F77BF8">
          <w:fldChar w:fldCharType="separate"/>
        </w:r>
        <w:r w:rsidR="00F77BF8">
          <w:t>97</w:t>
        </w:r>
        <w:r w:rsidR="00F77BF8">
          <w:fldChar w:fldCharType="end"/>
        </w:r>
      </w:hyperlink>
    </w:p>
    <w:p w14:paraId="0A030CC0" w14:textId="77777777" w:rsidR="00284822" w:rsidRDefault="003148F1">
      <w:pPr>
        <w:pStyle w:val="TM3"/>
        <w:tabs>
          <w:tab w:val="right" w:leader="dot" w:pos="9060"/>
        </w:tabs>
        <w:rPr>
          <w:rFonts w:eastAsiaTheme="minorEastAsia" w:cstheme="minorBidi"/>
          <w:sz w:val="22"/>
          <w:szCs w:val="22"/>
        </w:rPr>
      </w:pPr>
      <w:hyperlink w:anchor="_Toc175048716" w:history="1">
        <w:r w:rsidR="00F77BF8">
          <w:rPr>
            <w:rStyle w:val="Lienhypertexte"/>
            <w:rFonts w:ascii="Rockwell" w:hAnsi="Rockwell"/>
          </w:rPr>
          <w:t>SECTION 1 : SUIVI ET GESTION DU CONTENTIEUX</w:t>
        </w:r>
        <w:r w:rsidR="00F77BF8">
          <w:tab/>
        </w:r>
        <w:r w:rsidR="00F77BF8">
          <w:fldChar w:fldCharType="begin"/>
        </w:r>
        <w:r w:rsidR="00F77BF8">
          <w:instrText xml:space="preserve"> PAGEREF _Toc175048716 \h </w:instrText>
        </w:r>
        <w:r w:rsidR="00F77BF8">
          <w:fldChar w:fldCharType="separate"/>
        </w:r>
        <w:r w:rsidR="00F77BF8">
          <w:t>97</w:t>
        </w:r>
        <w:r w:rsidR="00F77BF8">
          <w:fldChar w:fldCharType="end"/>
        </w:r>
      </w:hyperlink>
    </w:p>
    <w:p w14:paraId="320CDF91" w14:textId="77777777" w:rsidR="00284822" w:rsidRDefault="003148F1">
      <w:pPr>
        <w:pStyle w:val="TM4"/>
        <w:tabs>
          <w:tab w:val="right" w:leader="dot" w:pos="9060"/>
        </w:tabs>
        <w:rPr>
          <w:rFonts w:eastAsiaTheme="minorEastAsia" w:cstheme="minorBidi"/>
          <w:sz w:val="22"/>
          <w:szCs w:val="22"/>
        </w:rPr>
      </w:pPr>
      <w:hyperlink w:anchor="_Toc175048717" w:history="1">
        <w:r w:rsidR="00F77BF8">
          <w:rPr>
            <w:rStyle w:val="Lienhypertexte"/>
            <w:rFonts w:ascii="Rockwell" w:hAnsi="Rockwell"/>
          </w:rPr>
          <w:t>Paragraphe 1 : Affaire radio pirate de Pouytenga</w:t>
        </w:r>
        <w:r w:rsidR="00F77BF8">
          <w:tab/>
        </w:r>
        <w:r w:rsidR="00F77BF8">
          <w:fldChar w:fldCharType="begin"/>
        </w:r>
        <w:r w:rsidR="00F77BF8">
          <w:instrText xml:space="preserve"> PAGEREF _Toc175048717 \h </w:instrText>
        </w:r>
        <w:r w:rsidR="00F77BF8">
          <w:fldChar w:fldCharType="separate"/>
        </w:r>
        <w:r w:rsidR="00F77BF8">
          <w:t>97</w:t>
        </w:r>
        <w:r w:rsidR="00F77BF8">
          <w:fldChar w:fldCharType="end"/>
        </w:r>
      </w:hyperlink>
    </w:p>
    <w:p w14:paraId="32E991E5" w14:textId="77777777" w:rsidR="00284822" w:rsidRDefault="003148F1">
      <w:pPr>
        <w:pStyle w:val="TM4"/>
        <w:tabs>
          <w:tab w:val="right" w:leader="dot" w:pos="9060"/>
        </w:tabs>
        <w:rPr>
          <w:rFonts w:eastAsiaTheme="minorEastAsia" w:cstheme="minorBidi"/>
          <w:sz w:val="22"/>
          <w:szCs w:val="22"/>
        </w:rPr>
      </w:pPr>
      <w:hyperlink w:anchor="_Toc175048718" w:history="1">
        <w:r w:rsidR="00F77BF8">
          <w:rPr>
            <w:rStyle w:val="Lienhypertexte"/>
            <w:rFonts w:ascii="Rockwell" w:hAnsi="Rockwell"/>
          </w:rPr>
          <w:t>Paragraphe 2 : Affaire Bank of Africa et ADF Charles KABORE contre le CSC</w:t>
        </w:r>
        <w:r w:rsidR="00F77BF8">
          <w:tab/>
        </w:r>
        <w:r w:rsidR="00F77BF8">
          <w:fldChar w:fldCharType="begin"/>
        </w:r>
        <w:r w:rsidR="00F77BF8">
          <w:instrText xml:space="preserve"> PAGEREF _Toc175048718 \h </w:instrText>
        </w:r>
        <w:r w:rsidR="00F77BF8">
          <w:fldChar w:fldCharType="separate"/>
        </w:r>
        <w:r w:rsidR="00F77BF8">
          <w:t>98</w:t>
        </w:r>
        <w:r w:rsidR="00F77BF8">
          <w:fldChar w:fldCharType="end"/>
        </w:r>
      </w:hyperlink>
    </w:p>
    <w:p w14:paraId="458EDE53" w14:textId="77777777" w:rsidR="00284822" w:rsidRDefault="003148F1">
      <w:pPr>
        <w:pStyle w:val="TM4"/>
        <w:tabs>
          <w:tab w:val="right" w:leader="dot" w:pos="9060"/>
        </w:tabs>
        <w:rPr>
          <w:rFonts w:eastAsiaTheme="minorEastAsia" w:cstheme="minorBidi"/>
          <w:sz w:val="22"/>
          <w:szCs w:val="22"/>
        </w:rPr>
      </w:pPr>
      <w:hyperlink w:anchor="_Toc175048719" w:history="1">
        <w:r w:rsidR="00F77BF8">
          <w:rPr>
            <w:rStyle w:val="Lienhypertexte"/>
            <w:rFonts w:ascii="Rockwell" w:hAnsi="Rockwell"/>
          </w:rPr>
          <w:t>Paragraphe 3 : Affaire BOUGAIRE /ZANGREYANOGHO Marie Danielle contre le CSC et M. Abdoulazize BAMOGO</w:t>
        </w:r>
        <w:r w:rsidR="00F77BF8">
          <w:tab/>
        </w:r>
        <w:r w:rsidR="00F77BF8">
          <w:fldChar w:fldCharType="begin"/>
        </w:r>
        <w:r w:rsidR="00F77BF8">
          <w:instrText xml:space="preserve"> PAGEREF _Toc175048719 \h </w:instrText>
        </w:r>
        <w:r w:rsidR="00F77BF8">
          <w:fldChar w:fldCharType="separate"/>
        </w:r>
        <w:r w:rsidR="00F77BF8">
          <w:t>99</w:t>
        </w:r>
        <w:r w:rsidR="00F77BF8">
          <w:fldChar w:fldCharType="end"/>
        </w:r>
      </w:hyperlink>
    </w:p>
    <w:p w14:paraId="14F3F1B8" w14:textId="77777777" w:rsidR="00284822" w:rsidRDefault="003148F1">
      <w:pPr>
        <w:pStyle w:val="TM4"/>
        <w:tabs>
          <w:tab w:val="right" w:leader="dot" w:pos="9060"/>
        </w:tabs>
        <w:rPr>
          <w:rFonts w:eastAsiaTheme="minorEastAsia" w:cstheme="minorBidi"/>
          <w:sz w:val="22"/>
          <w:szCs w:val="22"/>
        </w:rPr>
      </w:pPr>
      <w:hyperlink w:anchor="_Toc175048720" w:history="1">
        <w:r w:rsidR="00F77BF8">
          <w:rPr>
            <w:rStyle w:val="Lienhypertexte"/>
            <w:rFonts w:ascii="Rockwell" w:hAnsi="Rockwell"/>
          </w:rPr>
          <w:t>Paragraphe 4 : Affaire suspension des fonctions de la Présidente du CSC en 2018</w:t>
        </w:r>
        <w:r w:rsidR="00F77BF8">
          <w:tab/>
        </w:r>
        <w:r w:rsidR="00F77BF8">
          <w:fldChar w:fldCharType="begin"/>
        </w:r>
        <w:r w:rsidR="00F77BF8">
          <w:instrText xml:space="preserve"> PAGEREF _Toc175048720 \h </w:instrText>
        </w:r>
        <w:r w:rsidR="00F77BF8">
          <w:fldChar w:fldCharType="separate"/>
        </w:r>
        <w:r w:rsidR="00F77BF8">
          <w:t>100</w:t>
        </w:r>
        <w:r w:rsidR="00F77BF8">
          <w:fldChar w:fldCharType="end"/>
        </w:r>
      </w:hyperlink>
    </w:p>
    <w:p w14:paraId="6D8CD1F8" w14:textId="77777777" w:rsidR="00284822" w:rsidRDefault="003148F1">
      <w:pPr>
        <w:pStyle w:val="TM3"/>
        <w:tabs>
          <w:tab w:val="right" w:leader="dot" w:pos="9060"/>
        </w:tabs>
        <w:rPr>
          <w:rFonts w:eastAsiaTheme="minorEastAsia" w:cstheme="minorBidi"/>
          <w:sz w:val="22"/>
          <w:szCs w:val="22"/>
        </w:rPr>
      </w:pPr>
      <w:hyperlink w:anchor="_Toc175048721" w:history="1">
        <w:r w:rsidR="00F77BF8">
          <w:rPr>
            <w:rStyle w:val="Lienhypertexte"/>
            <w:rFonts w:ascii="Rockwell" w:hAnsi="Rockwell"/>
          </w:rPr>
          <w:t>SECTION 2 : ACTIVITES DE MEDIATION</w:t>
        </w:r>
        <w:r w:rsidR="00F77BF8">
          <w:tab/>
        </w:r>
        <w:r w:rsidR="00F77BF8">
          <w:fldChar w:fldCharType="begin"/>
        </w:r>
        <w:r w:rsidR="00F77BF8">
          <w:instrText xml:space="preserve"> PAGEREF _Toc175048721 \h </w:instrText>
        </w:r>
        <w:r w:rsidR="00F77BF8">
          <w:fldChar w:fldCharType="separate"/>
        </w:r>
        <w:r w:rsidR="00F77BF8">
          <w:t>101</w:t>
        </w:r>
        <w:r w:rsidR="00F77BF8">
          <w:fldChar w:fldCharType="end"/>
        </w:r>
      </w:hyperlink>
    </w:p>
    <w:p w14:paraId="4E6004CA" w14:textId="77777777" w:rsidR="00284822" w:rsidRDefault="003148F1">
      <w:pPr>
        <w:pStyle w:val="TM1"/>
        <w:rPr>
          <w:rFonts w:asciiTheme="minorHAnsi" w:eastAsiaTheme="minorEastAsia" w:hAnsiTheme="minorHAnsi" w:cstheme="minorBidi"/>
          <w:b w:val="0"/>
          <w:bCs w:val="0"/>
          <w:sz w:val="22"/>
          <w:szCs w:val="22"/>
        </w:rPr>
      </w:pPr>
      <w:hyperlink r:id="rId114" w:anchor="_Toc175048722" w:history="1">
        <w:r w:rsidR="00F77BF8">
          <w:rPr>
            <w:rStyle w:val="Lienhypertexte"/>
          </w:rPr>
          <w:t>DEUXIEME PARTIE : RENCONTRES DE TRAVAIL</w:t>
        </w:r>
        <w:r w:rsidR="00F77BF8">
          <w:tab/>
        </w:r>
        <w:r w:rsidR="00F77BF8">
          <w:fldChar w:fldCharType="begin"/>
        </w:r>
        <w:r w:rsidR="00F77BF8">
          <w:instrText xml:space="preserve"> PAGEREF _Toc175048722 \h </w:instrText>
        </w:r>
        <w:r w:rsidR="00F77BF8">
          <w:fldChar w:fldCharType="separate"/>
        </w:r>
        <w:r w:rsidR="00F77BF8">
          <w:t>102</w:t>
        </w:r>
        <w:r w:rsidR="00F77BF8">
          <w:fldChar w:fldCharType="end"/>
        </w:r>
      </w:hyperlink>
    </w:p>
    <w:p w14:paraId="54A49039" w14:textId="77777777" w:rsidR="00284822" w:rsidRDefault="003148F1">
      <w:pPr>
        <w:pStyle w:val="TM1"/>
        <w:rPr>
          <w:rFonts w:asciiTheme="minorHAnsi" w:eastAsiaTheme="minorEastAsia" w:hAnsiTheme="minorHAnsi" w:cstheme="minorBidi"/>
          <w:b w:val="0"/>
          <w:bCs w:val="0"/>
          <w:sz w:val="22"/>
          <w:szCs w:val="22"/>
        </w:rPr>
      </w:pPr>
      <w:hyperlink r:id="rId115" w:anchor="_Toc175048723" w:history="1">
        <w:r w:rsidR="00F77BF8">
          <w:rPr>
            <w:rStyle w:val="Lienhypertexte"/>
          </w:rPr>
          <w:t>ET COOPERATION</w:t>
        </w:r>
        <w:r w:rsidR="00F77BF8">
          <w:tab/>
        </w:r>
        <w:r w:rsidR="00F77BF8">
          <w:fldChar w:fldCharType="begin"/>
        </w:r>
        <w:r w:rsidR="00F77BF8">
          <w:instrText xml:space="preserve"> PAGEREF _Toc175048723 \h </w:instrText>
        </w:r>
        <w:r w:rsidR="00F77BF8">
          <w:fldChar w:fldCharType="separate"/>
        </w:r>
        <w:r w:rsidR="00F77BF8">
          <w:t>102</w:t>
        </w:r>
        <w:r w:rsidR="00F77BF8">
          <w:fldChar w:fldCharType="end"/>
        </w:r>
      </w:hyperlink>
    </w:p>
    <w:p w14:paraId="483DC88D" w14:textId="77777777" w:rsidR="00284822" w:rsidRDefault="003148F1">
      <w:pPr>
        <w:pStyle w:val="TM2"/>
        <w:rPr>
          <w:rFonts w:eastAsiaTheme="minorEastAsia" w:cstheme="minorBidi"/>
          <w:i w:val="0"/>
          <w:iCs w:val="0"/>
          <w:sz w:val="22"/>
          <w:szCs w:val="22"/>
        </w:rPr>
      </w:pPr>
      <w:hyperlink w:anchor="_Toc175048724" w:history="1">
        <w:r w:rsidR="00F77BF8">
          <w:rPr>
            <w:rStyle w:val="Lienhypertexte"/>
            <w:rFonts w:ascii="Rockwell" w:hAnsi="Rockwell"/>
          </w:rPr>
          <w:t>CHAPITRE I : RENCONTRES DE TRAVAIL</w:t>
        </w:r>
        <w:r w:rsidR="00F77BF8">
          <w:tab/>
        </w:r>
        <w:r w:rsidR="00F77BF8">
          <w:fldChar w:fldCharType="begin"/>
        </w:r>
        <w:r w:rsidR="00F77BF8">
          <w:instrText xml:space="preserve"> PAGEREF _Toc175048724 \h </w:instrText>
        </w:r>
        <w:r w:rsidR="00F77BF8">
          <w:fldChar w:fldCharType="separate"/>
        </w:r>
        <w:r w:rsidR="00F77BF8">
          <w:t>103</w:t>
        </w:r>
        <w:r w:rsidR="00F77BF8">
          <w:fldChar w:fldCharType="end"/>
        </w:r>
      </w:hyperlink>
    </w:p>
    <w:p w14:paraId="0543AE01" w14:textId="77777777" w:rsidR="00284822" w:rsidRDefault="003148F1">
      <w:pPr>
        <w:pStyle w:val="TM3"/>
        <w:tabs>
          <w:tab w:val="right" w:leader="dot" w:pos="9060"/>
        </w:tabs>
        <w:rPr>
          <w:rFonts w:eastAsiaTheme="minorEastAsia" w:cstheme="minorBidi"/>
          <w:sz w:val="22"/>
          <w:szCs w:val="22"/>
        </w:rPr>
      </w:pPr>
      <w:hyperlink w:anchor="_Toc175048725" w:history="1">
        <w:r w:rsidR="00F77BF8">
          <w:rPr>
            <w:rStyle w:val="Lienhypertexte"/>
            <w:rFonts w:ascii="Rockwell" w:hAnsi="Rockwell"/>
          </w:rPr>
          <w:t>SECTION 1 : ATELIERS THEMATIQUES</w:t>
        </w:r>
        <w:r w:rsidR="00F77BF8">
          <w:tab/>
        </w:r>
        <w:r w:rsidR="00F77BF8">
          <w:fldChar w:fldCharType="begin"/>
        </w:r>
        <w:r w:rsidR="00F77BF8">
          <w:instrText xml:space="preserve"> PAGEREF _Toc175048725 \h </w:instrText>
        </w:r>
        <w:r w:rsidR="00F77BF8">
          <w:fldChar w:fldCharType="separate"/>
        </w:r>
        <w:r w:rsidR="00F77BF8">
          <w:t>103</w:t>
        </w:r>
        <w:r w:rsidR="00F77BF8">
          <w:fldChar w:fldCharType="end"/>
        </w:r>
      </w:hyperlink>
    </w:p>
    <w:p w14:paraId="10771B9B" w14:textId="77777777" w:rsidR="00284822" w:rsidRDefault="003148F1">
      <w:pPr>
        <w:pStyle w:val="TM4"/>
        <w:tabs>
          <w:tab w:val="right" w:leader="dot" w:pos="9060"/>
        </w:tabs>
        <w:rPr>
          <w:rFonts w:eastAsiaTheme="minorEastAsia" w:cstheme="minorBidi"/>
          <w:sz w:val="22"/>
          <w:szCs w:val="22"/>
        </w:rPr>
      </w:pPr>
      <w:hyperlink w:anchor="_Toc175048726" w:history="1">
        <w:r w:rsidR="00F77BF8">
          <w:rPr>
            <w:rStyle w:val="Lienhypertexte"/>
            <w:rFonts w:ascii="Rockwell" w:hAnsi="Rockwell"/>
          </w:rPr>
          <w:t>Paragraphe 1 : Atelier de consultation et formation du Réseau Ouest Africain pour l’édification de la Paix au Burkina (WANEP/BURKINA)</w:t>
        </w:r>
        <w:r w:rsidR="00F77BF8">
          <w:tab/>
        </w:r>
        <w:r w:rsidR="00F77BF8">
          <w:fldChar w:fldCharType="begin"/>
        </w:r>
        <w:r w:rsidR="00F77BF8">
          <w:instrText xml:space="preserve"> PAGEREF _Toc175048726 \h </w:instrText>
        </w:r>
        <w:r w:rsidR="00F77BF8">
          <w:fldChar w:fldCharType="separate"/>
        </w:r>
        <w:r w:rsidR="00F77BF8">
          <w:t>103</w:t>
        </w:r>
        <w:r w:rsidR="00F77BF8">
          <w:fldChar w:fldCharType="end"/>
        </w:r>
      </w:hyperlink>
    </w:p>
    <w:p w14:paraId="446AC879" w14:textId="77777777" w:rsidR="00284822" w:rsidRDefault="003148F1">
      <w:pPr>
        <w:pStyle w:val="TM4"/>
        <w:tabs>
          <w:tab w:val="right" w:leader="dot" w:pos="9060"/>
        </w:tabs>
        <w:rPr>
          <w:rFonts w:eastAsiaTheme="minorEastAsia" w:cstheme="minorBidi"/>
          <w:sz w:val="22"/>
          <w:szCs w:val="22"/>
        </w:rPr>
      </w:pPr>
      <w:hyperlink w:anchor="_Toc175048727" w:history="1">
        <w:r w:rsidR="00F77BF8">
          <w:rPr>
            <w:rStyle w:val="Lienhypertexte"/>
            <w:rFonts w:ascii="Rockwell" w:hAnsi="Rockwell"/>
          </w:rPr>
          <w:t>Paragraphe 2 : Ateliers du Ministère de la Justice et des Droits Humains, chargé des relations avec les institutions</w:t>
        </w:r>
        <w:r w:rsidR="00F77BF8">
          <w:tab/>
        </w:r>
        <w:r w:rsidR="00F77BF8">
          <w:fldChar w:fldCharType="begin"/>
        </w:r>
        <w:r w:rsidR="00F77BF8">
          <w:instrText xml:space="preserve"> PAGEREF _Toc175048727 \h </w:instrText>
        </w:r>
        <w:r w:rsidR="00F77BF8">
          <w:fldChar w:fldCharType="separate"/>
        </w:r>
        <w:r w:rsidR="00F77BF8">
          <w:t>103</w:t>
        </w:r>
        <w:r w:rsidR="00F77BF8">
          <w:fldChar w:fldCharType="end"/>
        </w:r>
      </w:hyperlink>
    </w:p>
    <w:p w14:paraId="4F99A884" w14:textId="77777777" w:rsidR="00284822" w:rsidRDefault="003148F1">
      <w:pPr>
        <w:pStyle w:val="TM4"/>
        <w:tabs>
          <w:tab w:val="right" w:leader="dot" w:pos="9060"/>
        </w:tabs>
        <w:rPr>
          <w:rFonts w:eastAsiaTheme="minorEastAsia" w:cstheme="minorBidi"/>
          <w:sz w:val="22"/>
          <w:szCs w:val="22"/>
        </w:rPr>
      </w:pPr>
      <w:hyperlink w:anchor="_Toc175048728" w:history="1">
        <w:r w:rsidR="00F77BF8">
          <w:rPr>
            <w:rStyle w:val="Lienhypertexte"/>
            <w:rFonts w:ascii="Rockwell" w:hAnsi="Rockwell"/>
          </w:rPr>
          <w:t>Paragraphe 3 : Atelier de l’Agence de la Promotion de l’Expertise Nationale (APEN)</w:t>
        </w:r>
        <w:r w:rsidR="00F77BF8">
          <w:tab/>
        </w:r>
        <w:r w:rsidR="00F77BF8">
          <w:fldChar w:fldCharType="begin"/>
        </w:r>
        <w:r w:rsidR="00F77BF8">
          <w:instrText xml:space="preserve"> PAGEREF _Toc175048728 \h </w:instrText>
        </w:r>
        <w:r w:rsidR="00F77BF8">
          <w:fldChar w:fldCharType="separate"/>
        </w:r>
        <w:r w:rsidR="00F77BF8">
          <w:t>103</w:t>
        </w:r>
        <w:r w:rsidR="00F77BF8">
          <w:fldChar w:fldCharType="end"/>
        </w:r>
      </w:hyperlink>
    </w:p>
    <w:p w14:paraId="54E2B2A2" w14:textId="77777777" w:rsidR="00284822" w:rsidRDefault="003148F1">
      <w:pPr>
        <w:pStyle w:val="TM4"/>
        <w:tabs>
          <w:tab w:val="right" w:leader="dot" w:pos="9060"/>
        </w:tabs>
        <w:rPr>
          <w:rFonts w:eastAsiaTheme="minorEastAsia" w:cstheme="minorBidi"/>
          <w:sz w:val="22"/>
          <w:szCs w:val="22"/>
        </w:rPr>
      </w:pPr>
      <w:hyperlink w:anchor="_Toc175048729" w:history="1">
        <w:r w:rsidR="00F77BF8">
          <w:rPr>
            <w:rStyle w:val="Lienhypertexte"/>
            <w:rFonts w:ascii="Rockwell" w:hAnsi="Rockwell"/>
          </w:rPr>
          <w:t>Paragraphe 4 : Atelier de relecture des textes relatifs aux médias</w:t>
        </w:r>
        <w:r w:rsidR="00F77BF8">
          <w:tab/>
        </w:r>
        <w:r w:rsidR="00F77BF8">
          <w:fldChar w:fldCharType="begin"/>
        </w:r>
        <w:r w:rsidR="00F77BF8">
          <w:instrText xml:space="preserve"> PAGEREF _Toc175048729 \h </w:instrText>
        </w:r>
        <w:r w:rsidR="00F77BF8">
          <w:fldChar w:fldCharType="separate"/>
        </w:r>
        <w:r w:rsidR="00F77BF8">
          <w:t>104</w:t>
        </w:r>
        <w:r w:rsidR="00F77BF8">
          <w:fldChar w:fldCharType="end"/>
        </w:r>
      </w:hyperlink>
    </w:p>
    <w:p w14:paraId="17EBD329" w14:textId="77777777" w:rsidR="00284822" w:rsidRDefault="003148F1">
      <w:pPr>
        <w:pStyle w:val="TM3"/>
        <w:tabs>
          <w:tab w:val="right" w:leader="dot" w:pos="9060"/>
        </w:tabs>
        <w:rPr>
          <w:rFonts w:eastAsiaTheme="minorEastAsia" w:cstheme="minorBidi"/>
          <w:sz w:val="22"/>
          <w:szCs w:val="22"/>
        </w:rPr>
      </w:pPr>
      <w:hyperlink w:anchor="_Toc175048730" w:history="1">
        <w:r w:rsidR="00F77BF8">
          <w:rPr>
            <w:rStyle w:val="Lienhypertexte"/>
            <w:rFonts w:ascii="Rockwell" w:hAnsi="Rockwell"/>
          </w:rPr>
          <w:t>SECTION 2 : TRAVAUX EN COMMISSIONS</w:t>
        </w:r>
        <w:r w:rsidR="00F77BF8">
          <w:tab/>
        </w:r>
        <w:r w:rsidR="00F77BF8">
          <w:fldChar w:fldCharType="begin"/>
        </w:r>
        <w:r w:rsidR="00F77BF8">
          <w:instrText xml:space="preserve"> PAGEREF _Toc175048730 \h </w:instrText>
        </w:r>
        <w:r w:rsidR="00F77BF8">
          <w:fldChar w:fldCharType="separate"/>
        </w:r>
        <w:r w:rsidR="00F77BF8">
          <w:t>104</w:t>
        </w:r>
        <w:r w:rsidR="00F77BF8">
          <w:fldChar w:fldCharType="end"/>
        </w:r>
      </w:hyperlink>
    </w:p>
    <w:p w14:paraId="4D108B5C" w14:textId="77777777" w:rsidR="00284822" w:rsidRDefault="003148F1">
      <w:pPr>
        <w:pStyle w:val="TM4"/>
        <w:tabs>
          <w:tab w:val="right" w:leader="dot" w:pos="9060"/>
        </w:tabs>
        <w:rPr>
          <w:rFonts w:eastAsiaTheme="minorEastAsia" w:cstheme="minorBidi"/>
          <w:sz w:val="22"/>
          <w:szCs w:val="22"/>
        </w:rPr>
      </w:pPr>
      <w:hyperlink w:anchor="_Toc175048731" w:history="1">
        <w:r w:rsidR="00F77BF8">
          <w:rPr>
            <w:rStyle w:val="Lienhypertexte"/>
            <w:rFonts w:ascii="Rockwell" w:hAnsi="Rockwell"/>
          </w:rPr>
          <w:t>Paragraphe 1 : Sessions du comité de suivi et d’orientation du projet multiplex de la TNT</w:t>
        </w:r>
        <w:r w:rsidR="00F77BF8">
          <w:tab/>
        </w:r>
        <w:r w:rsidR="00F77BF8">
          <w:fldChar w:fldCharType="begin"/>
        </w:r>
        <w:r w:rsidR="00F77BF8">
          <w:instrText xml:space="preserve"> PAGEREF _Toc175048731 \h </w:instrText>
        </w:r>
        <w:r w:rsidR="00F77BF8">
          <w:fldChar w:fldCharType="separate"/>
        </w:r>
        <w:r w:rsidR="00F77BF8">
          <w:t>104</w:t>
        </w:r>
        <w:r w:rsidR="00F77BF8">
          <w:fldChar w:fldCharType="end"/>
        </w:r>
      </w:hyperlink>
    </w:p>
    <w:p w14:paraId="0EBF1C7F" w14:textId="77777777" w:rsidR="00284822" w:rsidRDefault="003148F1">
      <w:pPr>
        <w:pStyle w:val="TM4"/>
        <w:tabs>
          <w:tab w:val="right" w:leader="dot" w:pos="9060"/>
        </w:tabs>
        <w:rPr>
          <w:rFonts w:eastAsiaTheme="minorEastAsia" w:cstheme="minorBidi"/>
          <w:sz w:val="22"/>
          <w:szCs w:val="22"/>
        </w:rPr>
      </w:pPr>
      <w:hyperlink w:anchor="_Toc175048732" w:history="1">
        <w:r w:rsidR="00F77BF8">
          <w:rPr>
            <w:rStyle w:val="Lienhypertexte"/>
            <w:rFonts w:ascii="Rockwell" w:hAnsi="Rockwell"/>
          </w:rPr>
          <w:t>Paragraphe 2 : Session du Secrétariat Permanent du suivi des Réformes des Licences d’Affaires</w:t>
        </w:r>
        <w:r w:rsidR="00F77BF8">
          <w:tab/>
        </w:r>
        <w:r w:rsidR="00F77BF8">
          <w:fldChar w:fldCharType="begin"/>
        </w:r>
        <w:r w:rsidR="00F77BF8">
          <w:instrText xml:space="preserve"> PAGEREF _Toc175048732 \h </w:instrText>
        </w:r>
        <w:r w:rsidR="00F77BF8">
          <w:fldChar w:fldCharType="separate"/>
        </w:r>
        <w:r w:rsidR="00F77BF8">
          <w:t>104</w:t>
        </w:r>
        <w:r w:rsidR="00F77BF8">
          <w:fldChar w:fldCharType="end"/>
        </w:r>
      </w:hyperlink>
    </w:p>
    <w:p w14:paraId="54B4DFF8" w14:textId="77777777" w:rsidR="00284822" w:rsidRDefault="003148F1">
      <w:pPr>
        <w:pStyle w:val="TM4"/>
        <w:tabs>
          <w:tab w:val="right" w:leader="dot" w:pos="9060"/>
        </w:tabs>
        <w:rPr>
          <w:rFonts w:eastAsiaTheme="minorEastAsia" w:cstheme="minorBidi"/>
          <w:sz w:val="22"/>
          <w:szCs w:val="22"/>
        </w:rPr>
      </w:pPr>
      <w:hyperlink w:anchor="_Toc175048733" w:history="1">
        <w:r w:rsidR="00F77BF8">
          <w:rPr>
            <w:rStyle w:val="Lienhypertexte"/>
            <w:rFonts w:ascii="Rockwell" w:hAnsi="Rockwell"/>
          </w:rPr>
          <w:t>Paragraphe 4 : Assemblée générale de la Commission Nationale pour la Francophonie (AG/CNF)</w:t>
        </w:r>
        <w:r w:rsidR="00F77BF8">
          <w:tab/>
        </w:r>
        <w:r w:rsidR="00F77BF8">
          <w:fldChar w:fldCharType="begin"/>
        </w:r>
        <w:r w:rsidR="00F77BF8">
          <w:instrText xml:space="preserve"> PAGEREF _Toc175048733 \h </w:instrText>
        </w:r>
        <w:r w:rsidR="00F77BF8">
          <w:fldChar w:fldCharType="separate"/>
        </w:r>
        <w:r w:rsidR="00F77BF8">
          <w:t>105</w:t>
        </w:r>
        <w:r w:rsidR="00F77BF8">
          <w:fldChar w:fldCharType="end"/>
        </w:r>
      </w:hyperlink>
    </w:p>
    <w:p w14:paraId="3A0110E6" w14:textId="77777777" w:rsidR="00284822" w:rsidRDefault="003148F1">
      <w:pPr>
        <w:pStyle w:val="TM2"/>
        <w:rPr>
          <w:rFonts w:eastAsiaTheme="minorEastAsia" w:cstheme="minorBidi"/>
          <w:i w:val="0"/>
          <w:iCs w:val="0"/>
          <w:sz w:val="22"/>
          <w:szCs w:val="22"/>
        </w:rPr>
      </w:pPr>
      <w:hyperlink w:anchor="_Toc175048734" w:history="1">
        <w:r w:rsidR="00F77BF8">
          <w:rPr>
            <w:rStyle w:val="Lienhypertexte"/>
            <w:rFonts w:ascii="Rockwell" w:hAnsi="Rockwell"/>
          </w:rPr>
          <w:t>CHAPITRE II : COOPERATION</w:t>
        </w:r>
        <w:r w:rsidR="00F77BF8">
          <w:tab/>
        </w:r>
        <w:r w:rsidR="00F77BF8">
          <w:fldChar w:fldCharType="begin"/>
        </w:r>
        <w:r w:rsidR="00F77BF8">
          <w:instrText xml:space="preserve"> PAGEREF _Toc175048734 \h </w:instrText>
        </w:r>
        <w:r w:rsidR="00F77BF8">
          <w:fldChar w:fldCharType="separate"/>
        </w:r>
        <w:r w:rsidR="00F77BF8">
          <w:t>107</w:t>
        </w:r>
        <w:r w:rsidR="00F77BF8">
          <w:fldChar w:fldCharType="end"/>
        </w:r>
      </w:hyperlink>
    </w:p>
    <w:p w14:paraId="55F21F4B" w14:textId="77777777" w:rsidR="00284822" w:rsidRDefault="003148F1">
      <w:pPr>
        <w:pStyle w:val="TM3"/>
        <w:tabs>
          <w:tab w:val="right" w:leader="dot" w:pos="9060"/>
        </w:tabs>
        <w:rPr>
          <w:rFonts w:eastAsiaTheme="minorEastAsia" w:cstheme="minorBidi"/>
          <w:sz w:val="22"/>
          <w:szCs w:val="22"/>
        </w:rPr>
      </w:pPr>
      <w:hyperlink w:anchor="_Toc175048735" w:history="1">
        <w:r w:rsidR="00F77BF8">
          <w:rPr>
            <w:rStyle w:val="Lienhypertexte"/>
            <w:rFonts w:ascii="Rockwell" w:hAnsi="Rockwell"/>
          </w:rPr>
          <w:t>SECTION 1 : ACTIVITES DES RESEAUX DE REGULATEURS</w:t>
        </w:r>
        <w:r w:rsidR="00F77BF8">
          <w:tab/>
        </w:r>
        <w:r w:rsidR="00F77BF8">
          <w:fldChar w:fldCharType="begin"/>
        </w:r>
        <w:r w:rsidR="00F77BF8">
          <w:instrText xml:space="preserve"> PAGEREF _Toc175048735 \h </w:instrText>
        </w:r>
        <w:r w:rsidR="00F77BF8">
          <w:fldChar w:fldCharType="separate"/>
        </w:r>
        <w:r w:rsidR="00F77BF8">
          <w:t>107</w:t>
        </w:r>
        <w:r w:rsidR="00F77BF8">
          <w:fldChar w:fldCharType="end"/>
        </w:r>
      </w:hyperlink>
    </w:p>
    <w:p w14:paraId="44A774FC" w14:textId="77777777" w:rsidR="00284822" w:rsidRDefault="003148F1">
      <w:pPr>
        <w:pStyle w:val="TM4"/>
        <w:tabs>
          <w:tab w:val="right" w:leader="dot" w:pos="9060"/>
        </w:tabs>
        <w:rPr>
          <w:rFonts w:eastAsiaTheme="minorEastAsia" w:cstheme="minorBidi"/>
          <w:sz w:val="22"/>
          <w:szCs w:val="22"/>
        </w:rPr>
      </w:pPr>
      <w:hyperlink w:anchor="_Toc175048736" w:history="1">
        <w:r w:rsidR="00F77BF8">
          <w:rPr>
            <w:rStyle w:val="Lienhypertexte"/>
            <w:rFonts w:ascii="Rockwell" w:hAnsi="Rockwell"/>
          </w:rPr>
          <w:t>Paragraphe 1 : Atelier de réflexion des juristes experts de la Plateforme des Régulateurs de l’Audiovisuel des pays membres de l’UEMOA et de la Guinée</w:t>
        </w:r>
        <w:r w:rsidR="00F77BF8">
          <w:tab/>
        </w:r>
        <w:r w:rsidR="00F77BF8">
          <w:fldChar w:fldCharType="begin"/>
        </w:r>
        <w:r w:rsidR="00F77BF8">
          <w:instrText xml:space="preserve"> PAGEREF _Toc175048736 \h </w:instrText>
        </w:r>
        <w:r w:rsidR="00F77BF8">
          <w:fldChar w:fldCharType="separate"/>
        </w:r>
        <w:r w:rsidR="00F77BF8">
          <w:t>107</w:t>
        </w:r>
        <w:r w:rsidR="00F77BF8">
          <w:fldChar w:fldCharType="end"/>
        </w:r>
      </w:hyperlink>
    </w:p>
    <w:p w14:paraId="673FC13C" w14:textId="77777777" w:rsidR="00284822" w:rsidRDefault="003148F1">
      <w:pPr>
        <w:pStyle w:val="TM4"/>
        <w:tabs>
          <w:tab w:val="right" w:leader="dot" w:pos="9060"/>
        </w:tabs>
        <w:rPr>
          <w:rFonts w:eastAsiaTheme="minorEastAsia" w:cstheme="minorBidi"/>
          <w:sz w:val="22"/>
          <w:szCs w:val="22"/>
        </w:rPr>
      </w:pPr>
      <w:hyperlink w:anchor="_Toc175048737" w:history="1">
        <w:r w:rsidR="00F77BF8">
          <w:rPr>
            <w:rStyle w:val="Lienhypertexte"/>
            <w:rFonts w:ascii="Rockwell" w:hAnsi="Rockwell"/>
          </w:rPr>
          <w:t>Paragraphe 2 : Septième Conférence des présidents du Réseau francophone des régulateurs des médias (REFRAM)</w:t>
        </w:r>
        <w:r w:rsidR="00F77BF8">
          <w:tab/>
        </w:r>
        <w:r w:rsidR="00F77BF8">
          <w:fldChar w:fldCharType="begin"/>
        </w:r>
        <w:r w:rsidR="00F77BF8">
          <w:instrText xml:space="preserve"> PAGEREF _Toc175048737 \h </w:instrText>
        </w:r>
        <w:r w:rsidR="00F77BF8">
          <w:fldChar w:fldCharType="separate"/>
        </w:r>
        <w:r w:rsidR="00F77BF8">
          <w:t>108</w:t>
        </w:r>
        <w:r w:rsidR="00F77BF8">
          <w:fldChar w:fldCharType="end"/>
        </w:r>
      </w:hyperlink>
    </w:p>
    <w:p w14:paraId="13E504E6" w14:textId="77777777" w:rsidR="00284822" w:rsidRDefault="003148F1">
      <w:pPr>
        <w:pStyle w:val="TM3"/>
        <w:tabs>
          <w:tab w:val="right" w:leader="dot" w:pos="9060"/>
        </w:tabs>
        <w:rPr>
          <w:rFonts w:eastAsiaTheme="minorEastAsia" w:cstheme="minorBidi"/>
          <w:sz w:val="22"/>
          <w:szCs w:val="22"/>
        </w:rPr>
      </w:pPr>
      <w:hyperlink w:anchor="_Toc175048738" w:history="1">
        <w:r w:rsidR="00F77BF8">
          <w:rPr>
            <w:rStyle w:val="Lienhypertexte"/>
            <w:rFonts w:ascii="Rockwell" w:hAnsi="Rockwell"/>
          </w:rPr>
          <w:t>SECTION 2 : AUTRES ACTIVITES</w:t>
        </w:r>
        <w:r w:rsidR="00F77BF8">
          <w:tab/>
        </w:r>
        <w:r w:rsidR="00F77BF8">
          <w:fldChar w:fldCharType="begin"/>
        </w:r>
        <w:r w:rsidR="00F77BF8">
          <w:instrText xml:space="preserve"> PAGEREF _Toc175048738 \h </w:instrText>
        </w:r>
        <w:r w:rsidR="00F77BF8">
          <w:fldChar w:fldCharType="separate"/>
        </w:r>
        <w:r w:rsidR="00F77BF8">
          <w:t>109</w:t>
        </w:r>
        <w:r w:rsidR="00F77BF8">
          <w:fldChar w:fldCharType="end"/>
        </w:r>
      </w:hyperlink>
    </w:p>
    <w:p w14:paraId="53F9A6D2" w14:textId="77777777" w:rsidR="00284822" w:rsidRDefault="003148F1">
      <w:pPr>
        <w:pStyle w:val="TM4"/>
        <w:tabs>
          <w:tab w:val="right" w:leader="dot" w:pos="9060"/>
        </w:tabs>
        <w:rPr>
          <w:rFonts w:eastAsiaTheme="minorEastAsia" w:cstheme="minorBidi"/>
          <w:sz w:val="22"/>
          <w:szCs w:val="22"/>
        </w:rPr>
      </w:pPr>
      <w:hyperlink w:anchor="_Toc175048739" w:history="1">
        <w:r w:rsidR="00F77BF8">
          <w:rPr>
            <w:rStyle w:val="Lienhypertexte"/>
            <w:rFonts w:ascii="Rockwell" w:hAnsi="Rockwell"/>
          </w:rPr>
          <w:t>Paragraphe 1 : Séminaire régional d’information et de sensibilisation relatif aux comportements délictueux sur les réseaux sociaux</w:t>
        </w:r>
        <w:r w:rsidR="00F77BF8">
          <w:tab/>
        </w:r>
        <w:r w:rsidR="00F77BF8">
          <w:fldChar w:fldCharType="begin"/>
        </w:r>
        <w:r w:rsidR="00F77BF8">
          <w:instrText xml:space="preserve"> PAGEREF _Toc175048739 \h </w:instrText>
        </w:r>
        <w:r w:rsidR="00F77BF8">
          <w:fldChar w:fldCharType="separate"/>
        </w:r>
        <w:r w:rsidR="00F77BF8">
          <w:t>109</w:t>
        </w:r>
        <w:r w:rsidR="00F77BF8">
          <w:fldChar w:fldCharType="end"/>
        </w:r>
      </w:hyperlink>
    </w:p>
    <w:p w14:paraId="2B81BA21" w14:textId="77777777" w:rsidR="00284822" w:rsidRDefault="003148F1">
      <w:pPr>
        <w:pStyle w:val="TM4"/>
        <w:tabs>
          <w:tab w:val="right" w:leader="dot" w:pos="9060"/>
        </w:tabs>
        <w:rPr>
          <w:rFonts w:eastAsiaTheme="minorEastAsia" w:cstheme="minorBidi"/>
          <w:sz w:val="22"/>
          <w:szCs w:val="22"/>
        </w:rPr>
      </w:pPr>
      <w:hyperlink w:anchor="_Toc175048740" w:history="1">
        <w:r w:rsidR="00F77BF8">
          <w:rPr>
            <w:rStyle w:val="Lienhypertexte"/>
            <w:rFonts w:ascii="Rockwell" w:hAnsi="Rockwell"/>
          </w:rPr>
          <w:t>Paragraphe 2 : Conférence du Réseau africain des Commissaires à l’information</w:t>
        </w:r>
        <w:r w:rsidR="00F77BF8">
          <w:tab/>
        </w:r>
        <w:r w:rsidR="00F77BF8">
          <w:fldChar w:fldCharType="begin"/>
        </w:r>
        <w:r w:rsidR="00F77BF8">
          <w:instrText xml:space="preserve"> PAGEREF _Toc175048740 \h </w:instrText>
        </w:r>
        <w:r w:rsidR="00F77BF8">
          <w:fldChar w:fldCharType="separate"/>
        </w:r>
        <w:r w:rsidR="00F77BF8">
          <w:t>109</w:t>
        </w:r>
        <w:r w:rsidR="00F77BF8">
          <w:fldChar w:fldCharType="end"/>
        </w:r>
      </w:hyperlink>
    </w:p>
    <w:p w14:paraId="2ACE56C9" w14:textId="77777777" w:rsidR="00284822" w:rsidRDefault="003148F1">
      <w:pPr>
        <w:pStyle w:val="TM1"/>
        <w:rPr>
          <w:rFonts w:asciiTheme="minorHAnsi" w:eastAsiaTheme="minorEastAsia" w:hAnsiTheme="minorHAnsi" w:cstheme="minorBidi"/>
          <w:b w:val="0"/>
          <w:bCs w:val="0"/>
          <w:sz w:val="22"/>
          <w:szCs w:val="22"/>
        </w:rPr>
      </w:pPr>
      <w:hyperlink r:id="rId116" w:anchor="_Toc175048741" w:history="1">
        <w:r w:rsidR="00F77BF8">
          <w:rPr>
            <w:rStyle w:val="Lienhypertexte"/>
          </w:rPr>
          <w:t>TROISIEME PARTIE : GESTION DES RESSOURCES HUMAINES, DES FINANCES ET DES MATIERES</w:t>
        </w:r>
        <w:r w:rsidR="00F77BF8">
          <w:tab/>
        </w:r>
        <w:r w:rsidR="00F77BF8">
          <w:fldChar w:fldCharType="begin"/>
        </w:r>
        <w:r w:rsidR="00F77BF8">
          <w:instrText xml:space="preserve"> PAGEREF _Toc175048741 \h </w:instrText>
        </w:r>
        <w:r w:rsidR="00F77BF8">
          <w:fldChar w:fldCharType="separate"/>
        </w:r>
        <w:r w:rsidR="00F77BF8">
          <w:t>110</w:t>
        </w:r>
        <w:r w:rsidR="00F77BF8">
          <w:fldChar w:fldCharType="end"/>
        </w:r>
      </w:hyperlink>
    </w:p>
    <w:p w14:paraId="48E42BD8" w14:textId="77777777" w:rsidR="00284822" w:rsidRDefault="003148F1">
      <w:pPr>
        <w:pStyle w:val="TM2"/>
        <w:rPr>
          <w:rFonts w:eastAsiaTheme="minorEastAsia" w:cstheme="minorBidi"/>
          <w:i w:val="0"/>
          <w:iCs w:val="0"/>
          <w:sz w:val="22"/>
          <w:szCs w:val="22"/>
        </w:rPr>
      </w:pPr>
      <w:hyperlink w:anchor="_Toc175048742" w:history="1">
        <w:r w:rsidR="00F77BF8">
          <w:rPr>
            <w:rStyle w:val="Lienhypertexte"/>
            <w:rFonts w:ascii="Rockwell" w:hAnsi="Rockwell"/>
          </w:rPr>
          <w:t>CHAPITRE I : GESTION DES RESSOURCES HUMAINES</w:t>
        </w:r>
        <w:r w:rsidR="00F77BF8">
          <w:tab/>
        </w:r>
        <w:r w:rsidR="00F77BF8">
          <w:fldChar w:fldCharType="begin"/>
        </w:r>
        <w:r w:rsidR="00F77BF8">
          <w:instrText xml:space="preserve"> PAGEREF _Toc175048742 \h </w:instrText>
        </w:r>
        <w:r w:rsidR="00F77BF8">
          <w:fldChar w:fldCharType="separate"/>
        </w:r>
        <w:r w:rsidR="00F77BF8">
          <w:t>111</w:t>
        </w:r>
        <w:r w:rsidR="00F77BF8">
          <w:fldChar w:fldCharType="end"/>
        </w:r>
      </w:hyperlink>
    </w:p>
    <w:p w14:paraId="7472DA9A" w14:textId="77777777" w:rsidR="00284822" w:rsidRDefault="003148F1">
      <w:pPr>
        <w:pStyle w:val="TM3"/>
        <w:tabs>
          <w:tab w:val="right" w:leader="dot" w:pos="9060"/>
        </w:tabs>
        <w:rPr>
          <w:rFonts w:eastAsiaTheme="minorEastAsia" w:cstheme="minorBidi"/>
          <w:sz w:val="22"/>
          <w:szCs w:val="22"/>
        </w:rPr>
      </w:pPr>
      <w:hyperlink w:anchor="_Toc175048743" w:history="1">
        <w:r w:rsidR="00F77BF8">
          <w:rPr>
            <w:rStyle w:val="Lienhypertexte"/>
            <w:rFonts w:ascii="Rockwell" w:hAnsi="Rockwell"/>
          </w:rPr>
          <w:t>SECTION 1 : GESTION ADMINISTRATIVE DES RESSOURCES HUMAINES</w:t>
        </w:r>
        <w:r w:rsidR="00F77BF8">
          <w:tab/>
        </w:r>
        <w:r w:rsidR="00F77BF8">
          <w:fldChar w:fldCharType="begin"/>
        </w:r>
        <w:r w:rsidR="00F77BF8">
          <w:instrText xml:space="preserve"> PAGEREF _Toc175048743 \h </w:instrText>
        </w:r>
        <w:r w:rsidR="00F77BF8">
          <w:fldChar w:fldCharType="separate"/>
        </w:r>
        <w:r w:rsidR="00F77BF8">
          <w:t>111</w:t>
        </w:r>
        <w:r w:rsidR="00F77BF8">
          <w:fldChar w:fldCharType="end"/>
        </w:r>
      </w:hyperlink>
    </w:p>
    <w:p w14:paraId="75393DAE" w14:textId="77777777" w:rsidR="00284822" w:rsidRDefault="003148F1">
      <w:pPr>
        <w:pStyle w:val="TM4"/>
        <w:tabs>
          <w:tab w:val="right" w:leader="dot" w:pos="9060"/>
        </w:tabs>
        <w:rPr>
          <w:rFonts w:eastAsiaTheme="minorEastAsia" w:cstheme="minorBidi"/>
          <w:sz w:val="22"/>
          <w:szCs w:val="22"/>
        </w:rPr>
      </w:pPr>
      <w:hyperlink w:anchor="_Toc175048744" w:history="1">
        <w:r w:rsidR="00F77BF8">
          <w:rPr>
            <w:rStyle w:val="Lienhypertexte"/>
            <w:rFonts w:ascii="Rockwell" w:hAnsi="Rockwell"/>
          </w:rPr>
          <w:t>Paragraphe 1 : Nomination de nouveaux conseillers</w:t>
        </w:r>
        <w:r w:rsidR="00F77BF8">
          <w:tab/>
        </w:r>
        <w:r w:rsidR="00F77BF8">
          <w:fldChar w:fldCharType="begin"/>
        </w:r>
        <w:r w:rsidR="00F77BF8">
          <w:instrText xml:space="preserve"> PAGEREF _Toc175048744 \h </w:instrText>
        </w:r>
        <w:r w:rsidR="00F77BF8">
          <w:fldChar w:fldCharType="separate"/>
        </w:r>
        <w:r w:rsidR="00F77BF8">
          <w:t>111</w:t>
        </w:r>
        <w:r w:rsidR="00F77BF8">
          <w:fldChar w:fldCharType="end"/>
        </w:r>
      </w:hyperlink>
    </w:p>
    <w:p w14:paraId="3000203E" w14:textId="77777777" w:rsidR="00284822" w:rsidRDefault="003148F1">
      <w:pPr>
        <w:pStyle w:val="TM4"/>
        <w:tabs>
          <w:tab w:val="right" w:leader="dot" w:pos="9060"/>
        </w:tabs>
        <w:rPr>
          <w:rFonts w:eastAsiaTheme="minorEastAsia" w:cstheme="minorBidi"/>
          <w:sz w:val="22"/>
          <w:szCs w:val="22"/>
        </w:rPr>
      </w:pPr>
      <w:hyperlink w:anchor="_Toc175048745" w:history="1">
        <w:r w:rsidR="00F77BF8">
          <w:rPr>
            <w:rStyle w:val="Lienhypertexte"/>
            <w:rFonts w:ascii="Rockwell" w:hAnsi="Rockwell"/>
          </w:rPr>
          <w:t>Paragraphe 2 : Renforcement des effectifs du personnel administratif</w:t>
        </w:r>
        <w:r w:rsidR="00F77BF8">
          <w:tab/>
        </w:r>
        <w:r w:rsidR="00F77BF8">
          <w:fldChar w:fldCharType="begin"/>
        </w:r>
        <w:r w:rsidR="00F77BF8">
          <w:instrText xml:space="preserve"> PAGEREF _Toc175048745 \h </w:instrText>
        </w:r>
        <w:r w:rsidR="00F77BF8">
          <w:fldChar w:fldCharType="separate"/>
        </w:r>
        <w:r w:rsidR="00F77BF8">
          <w:t>113</w:t>
        </w:r>
        <w:r w:rsidR="00F77BF8">
          <w:fldChar w:fldCharType="end"/>
        </w:r>
      </w:hyperlink>
    </w:p>
    <w:p w14:paraId="0FE1B0E2" w14:textId="77777777" w:rsidR="00284822" w:rsidRDefault="003148F1">
      <w:pPr>
        <w:pStyle w:val="TM3"/>
        <w:tabs>
          <w:tab w:val="right" w:leader="dot" w:pos="9060"/>
        </w:tabs>
        <w:rPr>
          <w:rFonts w:eastAsiaTheme="minorEastAsia" w:cstheme="minorBidi"/>
          <w:sz w:val="22"/>
          <w:szCs w:val="22"/>
        </w:rPr>
      </w:pPr>
      <w:hyperlink w:anchor="_Toc175048746" w:history="1">
        <w:r w:rsidR="00F77BF8">
          <w:rPr>
            <w:rStyle w:val="Lienhypertexte"/>
            <w:rFonts w:ascii="Rockwell" w:hAnsi="Rockwell"/>
          </w:rPr>
          <w:t>SECTION 2 : DISTINCTIONS HONORIFIQUES, RENFORCEMENT DES CAPACITES ET ACTIVITES SOCIALES</w:t>
        </w:r>
        <w:r w:rsidR="00F77BF8">
          <w:tab/>
        </w:r>
        <w:r w:rsidR="00F77BF8">
          <w:fldChar w:fldCharType="begin"/>
        </w:r>
        <w:r w:rsidR="00F77BF8">
          <w:instrText xml:space="preserve"> PAGEREF _Toc175048746 \h </w:instrText>
        </w:r>
        <w:r w:rsidR="00F77BF8">
          <w:fldChar w:fldCharType="separate"/>
        </w:r>
        <w:r w:rsidR="00F77BF8">
          <w:t>119</w:t>
        </w:r>
        <w:r w:rsidR="00F77BF8">
          <w:fldChar w:fldCharType="end"/>
        </w:r>
      </w:hyperlink>
    </w:p>
    <w:p w14:paraId="604B9714" w14:textId="77777777" w:rsidR="00284822" w:rsidRDefault="003148F1">
      <w:pPr>
        <w:pStyle w:val="TM4"/>
        <w:tabs>
          <w:tab w:val="right" w:leader="dot" w:pos="9060"/>
        </w:tabs>
        <w:rPr>
          <w:rFonts w:eastAsiaTheme="minorEastAsia" w:cstheme="minorBidi"/>
          <w:sz w:val="22"/>
          <w:szCs w:val="22"/>
        </w:rPr>
      </w:pPr>
      <w:hyperlink w:anchor="_Toc175048747" w:history="1">
        <w:r w:rsidR="00F77BF8">
          <w:rPr>
            <w:rStyle w:val="Lienhypertexte"/>
            <w:rFonts w:ascii="Rockwell" w:hAnsi="Rockwell"/>
          </w:rPr>
          <w:t>Paragraphe 1 : Distinctions honorifiques</w:t>
        </w:r>
        <w:r w:rsidR="00F77BF8">
          <w:tab/>
        </w:r>
        <w:r w:rsidR="00F77BF8">
          <w:fldChar w:fldCharType="begin"/>
        </w:r>
        <w:r w:rsidR="00F77BF8">
          <w:instrText xml:space="preserve"> PAGEREF _Toc175048747 \h </w:instrText>
        </w:r>
        <w:r w:rsidR="00F77BF8">
          <w:fldChar w:fldCharType="separate"/>
        </w:r>
        <w:r w:rsidR="00F77BF8">
          <w:t>119</w:t>
        </w:r>
        <w:r w:rsidR="00F77BF8">
          <w:fldChar w:fldCharType="end"/>
        </w:r>
      </w:hyperlink>
    </w:p>
    <w:p w14:paraId="4EEFD752" w14:textId="77777777" w:rsidR="00284822" w:rsidRDefault="003148F1">
      <w:pPr>
        <w:pStyle w:val="TM5"/>
        <w:tabs>
          <w:tab w:val="left" w:pos="1560"/>
          <w:tab w:val="right" w:leader="dot" w:pos="9060"/>
        </w:tabs>
        <w:rPr>
          <w:rFonts w:eastAsiaTheme="minorEastAsia" w:cstheme="minorBidi"/>
          <w:sz w:val="22"/>
          <w:szCs w:val="22"/>
        </w:rPr>
      </w:pPr>
      <w:hyperlink w:anchor="_Toc175048748" w:history="1">
        <w:r w:rsidR="00F77BF8">
          <w:rPr>
            <w:rStyle w:val="Lienhypertexte"/>
            <w:rFonts w:ascii="Rockwell" w:hAnsi="Rockwell"/>
          </w:rPr>
          <w:t>1.</w:t>
        </w:r>
        <w:r w:rsidR="00F77BF8">
          <w:rPr>
            <w:rFonts w:eastAsiaTheme="minorEastAsia" w:cstheme="minorBidi"/>
            <w:sz w:val="22"/>
            <w:szCs w:val="22"/>
          </w:rPr>
          <w:tab/>
        </w:r>
        <w:r w:rsidR="00F77BF8">
          <w:rPr>
            <w:rStyle w:val="Lienhypertexte"/>
            <w:rFonts w:ascii="Rockwell" w:hAnsi="Rockwell"/>
          </w:rPr>
          <w:t>Chevalier de l’Ordre de l’Etalon</w:t>
        </w:r>
        <w:r w:rsidR="00F77BF8">
          <w:tab/>
        </w:r>
        <w:r w:rsidR="00F77BF8">
          <w:fldChar w:fldCharType="begin"/>
        </w:r>
        <w:r w:rsidR="00F77BF8">
          <w:instrText xml:space="preserve"> PAGEREF _Toc175048748 \h </w:instrText>
        </w:r>
        <w:r w:rsidR="00F77BF8">
          <w:fldChar w:fldCharType="separate"/>
        </w:r>
        <w:r w:rsidR="00F77BF8">
          <w:t>119</w:t>
        </w:r>
        <w:r w:rsidR="00F77BF8">
          <w:fldChar w:fldCharType="end"/>
        </w:r>
      </w:hyperlink>
    </w:p>
    <w:p w14:paraId="622444B2" w14:textId="77777777" w:rsidR="00284822" w:rsidRDefault="003148F1">
      <w:pPr>
        <w:pStyle w:val="TM5"/>
        <w:tabs>
          <w:tab w:val="left" w:pos="1560"/>
          <w:tab w:val="right" w:leader="dot" w:pos="9060"/>
        </w:tabs>
        <w:rPr>
          <w:rFonts w:eastAsiaTheme="minorEastAsia" w:cstheme="minorBidi"/>
          <w:sz w:val="22"/>
          <w:szCs w:val="22"/>
        </w:rPr>
      </w:pPr>
      <w:hyperlink w:anchor="_Toc175048749" w:history="1">
        <w:r w:rsidR="00F77BF8">
          <w:rPr>
            <w:rStyle w:val="Lienhypertexte"/>
            <w:rFonts w:ascii="Rockwell" w:hAnsi="Rockwell"/>
          </w:rPr>
          <w:t>2.</w:t>
        </w:r>
        <w:r w:rsidR="00F77BF8">
          <w:rPr>
            <w:rFonts w:eastAsiaTheme="minorEastAsia" w:cstheme="minorBidi"/>
            <w:sz w:val="22"/>
            <w:szCs w:val="22"/>
          </w:rPr>
          <w:tab/>
        </w:r>
        <w:r w:rsidR="00F77BF8">
          <w:rPr>
            <w:rStyle w:val="Lienhypertexte"/>
            <w:rFonts w:ascii="Rockwell" w:hAnsi="Rockwell"/>
          </w:rPr>
          <w:t>Officier de l’Ordre du mérite burkinabè</w:t>
        </w:r>
        <w:r w:rsidR="00F77BF8">
          <w:tab/>
        </w:r>
        <w:r w:rsidR="00F77BF8">
          <w:fldChar w:fldCharType="begin"/>
        </w:r>
        <w:r w:rsidR="00F77BF8">
          <w:instrText xml:space="preserve"> PAGEREF _Toc175048749 \h </w:instrText>
        </w:r>
        <w:r w:rsidR="00F77BF8">
          <w:fldChar w:fldCharType="separate"/>
        </w:r>
        <w:r w:rsidR="00F77BF8">
          <w:t>119</w:t>
        </w:r>
        <w:r w:rsidR="00F77BF8">
          <w:fldChar w:fldCharType="end"/>
        </w:r>
      </w:hyperlink>
    </w:p>
    <w:p w14:paraId="246C4DB0" w14:textId="77777777" w:rsidR="00284822" w:rsidRDefault="003148F1">
      <w:pPr>
        <w:pStyle w:val="TM5"/>
        <w:tabs>
          <w:tab w:val="left" w:pos="1560"/>
          <w:tab w:val="right" w:leader="dot" w:pos="9060"/>
        </w:tabs>
        <w:rPr>
          <w:rFonts w:eastAsiaTheme="minorEastAsia" w:cstheme="minorBidi"/>
          <w:sz w:val="22"/>
          <w:szCs w:val="22"/>
        </w:rPr>
      </w:pPr>
      <w:hyperlink w:anchor="_Toc175048750" w:history="1">
        <w:r w:rsidR="00F77BF8">
          <w:rPr>
            <w:rStyle w:val="Lienhypertexte"/>
            <w:rFonts w:ascii="Rockwell" w:hAnsi="Rockwell"/>
          </w:rPr>
          <w:t>3.</w:t>
        </w:r>
        <w:r w:rsidR="00F77BF8">
          <w:rPr>
            <w:rFonts w:eastAsiaTheme="minorEastAsia" w:cstheme="minorBidi"/>
            <w:sz w:val="22"/>
            <w:szCs w:val="22"/>
          </w:rPr>
          <w:tab/>
        </w:r>
        <w:r w:rsidR="00F77BF8">
          <w:rPr>
            <w:rStyle w:val="Lienhypertexte"/>
            <w:rFonts w:ascii="Rockwell" w:hAnsi="Rockwell"/>
          </w:rPr>
          <w:t>Chevalier de l’Ordre du mérite Burkinabè</w:t>
        </w:r>
        <w:r w:rsidR="00F77BF8">
          <w:tab/>
        </w:r>
        <w:r w:rsidR="00F77BF8">
          <w:fldChar w:fldCharType="begin"/>
        </w:r>
        <w:r w:rsidR="00F77BF8">
          <w:instrText xml:space="preserve"> PAGEREF _Toc175048750 \h </w:instrText>
        </w:r>
        <w:r w:rsidR="00F77BF8">
          <w:fldChar w:fldCharType="separate"/>
        </w:r>
        <w:r w:rsidR="00F77BF8">
          <w:t>119</w:t>
        </w:r>
        <w:r w:rsidR="00F77BF8">
          <w:fldChar w:fldCharType="end"/>
        </w:r>
      </w:hyperlink>
    </w:p>
    <w:p w14:paraId="69ED176D" w14:textId="77777777" w:rsidR="00284822" w:rsidRDefault="003148F1">
      <w:pPr>
        <w:pStyle w:val="TM5"/>
        <w:tabs>
          <w:tab w:val="left" w:pos="1560"/>
          <w:tab w:val="right" w:leader="dot" w:pos="9060"/>
        </w:tabs>
        <w:rPr>
          <w:rFonts w:eastAsiaTheme="minorEastAsia" w:cstheme="minorBidi"/>
          <w:sz w:val="22"/>
          <w:szCs w:val="22"/>
        </w:rPr>
      </w:pPr>
      <w:hyperlink w:anchor="_Toc175048751" w:history="1">
        <w:r w:rsidR="00F77BF8">
          <w:rPr>
            <w:rStyle w:val="Lienhypertexte"/>
            <w:rFonts w:ascii="Rockwell" w:hAnsi="Rockwell"/>
          </w:rPr>
          <w:t>4.</w:t>
        </w:r>
        <w:r w:rsidR="00F77BF8">
          <w:rPr>
            <w:rFonts w:eastAsiaTheme="minorEastAsia" w:cstheme="minorBidi"/>
            <w:sz w:val="22"/>
            <w:szCs w:val="22"/>
          </w:rPr>
          <w:tab/>
        </w:r>
        <w:r w:rsidR="00F77BF8">
          <w:rPr>
            <w:rStyle w:val="Lienhypertexte"/>
            <w:rFonts w:ascii="Rockwell" w:hAnsi="Rockwell"/>
          </w:rPr>
          <w:t>Officier de l’Ordre du Mérite, des Arts, des Lettres et de la Communication</w:t>
        </w:r>
        <w:r w:rsidR="00F77BF8">
          <w:tab/>
        </w:r>
        <w:r w:rsidR="00F77BF8">
          <w:fldChar w:fldCharType="begin"/>
        </w:r>
        <w:r w:rsidR="00F77BF8">
          <w:instrText xml:space="preserve"> PAGEREF _Toc175048751 \h </w:instrText>
        </w:r>
        <w:r w:rsidR="00F77BF8">
          <w:fldChar w:fldCharType="separate"/>
        </w:r>
        <w:r w:rsidR="00F77BF8">
          <w:t>119</w:t>
        </w:r>
        <w:r w:rsidR="00F77BF8">
          <w:fldChar w:fldCharType="end"/>
        </w:r>
      </w:hyperlink>
    </w:p>
    <w:p w14:paraId="47A89D2B" w14:textId="77777777" w:rsidR="00284822" w:rsidRDefault="003148F1">
      <w:pPr>
        <w:pStyle w:val="TM5"/>
        <w:tabs>
          <w:tab w:val="left" w:pos="1560"/>
          <w:tab w:val="right" w:leader="dot" w:pos="9060"/>
        </w:tabs>
        <w:rPr>
          <w:rFonts w:eastAsiaTheme="minorEastAsia" w:cstheme="minorBidi"/>
          <w:sz w:val="22"/>
          <w:szCs w:val="22"/>
        </w:rPr>
      </w:pPr>
      <w:hyperlink w:anchor="_Toc175048752" w:history="1">
        <w:r w:rsidR="00F77BF8">
          <w:rPr>
            <w:rStyle w:val="Lienhypertexte"/>
            <w:rFonts w:ascii="Rockwell" w:hAnsi="Rockwell"/>
          </w:rPr>
          <w:t>5.</w:t>
        </w:r>
        <w:r w:rsidR="00F77BF8">
          <w:rPr>
            <w:rFonts w:eastAsiaTheme="minorEastAsia" w:cstheme="minorBidi"/>
            <w:sz w:val="22"/>
            <w:szCs w:val="22"/>
          </w:rPr>
          <w:tab/>
        </w:r>
        <w:r w:rsidR="00F77BF8">
          <w:rPr>
            <w:rStyle w:val="Lienhypertexte"/>
            <w:rFonts w:ascii="Rockwell" w:hAnsi="Rockwell"/>
          </w:rPr>
          <w:t>Chevalier de l’Ordre du Mérite, des Arts, des Lettres et de la Communication</w:t>
        </w:r>
        <w:r w:rsidR="00F77BF8">
          <w:tab/>
        </w:r>
        <w:r w:rsidR="00F77BF8">
          <w:fldChar w:fldCharType="begin"/>
        </w:r>
        <w:r w:rsidR="00F77BF8">
          <w:instrText xml:space="preserve"> PAGEREF _Toc175048752 \h </w:instrText>
        </w:r>
        <w:r w:rsidR="00F77BF8">
          <w:fldChar w:fldCharType="separate"/>
        </w:r>
        <w:r w:rsidR="00F77BF8">
          <w:t>120</w:t>
        </w:r>
        <w:r w:rsidR="00F77BF8">
          <w:fldChar w:fldCharType="end"/>
        </w:r>
      </w:hyperlink>
    </w:p>
    <w:p w14:paraId="2AA25C08" w14:textId="77777777" w:rsidR="00284822" w:rsidRDefault="003148F1">
      <w:pPr>
        <w:pStyle w:val="TM4"/>
        <w:tabs>
          <w:tab w:val="right" w:leader="dot" w:pos="9060"/>
        </w:tabs>
        <w:rPr>
          <w:rFonts w:eastAsiaTheme="minorEastAsia" w:cstheme="minorBidi"/>
          <w:sz w:val="22"/>
          <w:szCs w:val="22"/>
        </w:rPr>
      </w:pPr>
      <w:hyperlink w:anchor="_Toc175048753" w:history="1">
        <w:r w:rsidR="00F77BF8">
          <w:rPr>
            <w:rStyle w:val="Lienhypertexte"/>
            <w:rFonts w:ascii="Rockwell" w:hAnsi="Rockwell"/>
          </w:rPr>
          <w:t>Paragraphe 2 : Renforcement des capacités</w:t>
        </w:r>
        <w:r w:rsidR="00F77BF8">
          <w:tab/>
        </w:r>
        <w:r w:rsidR="00F77BF8">
          <w:fldChar w:fldCharType="begin"/>
        </w:r>
        <w:r w:rsidR="00F77BF8">
          <w:instrText xml:space="preserve"> PAGEREF _Toc175048753 \h </w:instrText>
        </w:r>
        <w:r w:rsidR="00F77BF8">
          <w:fldChar w:fldCharType="separate"/>
        </w:r>
        <w:r w:rsidR="00F77BF8">
          <w:t>122</w:t>
        </w:r>
        <w:r w:rsidR="00F77BF8">
          <w:fldChar w:fldCharType="end"/>
        </w:r>
      </w:hyperlink>
    </w:p>
    <w:p w14:paraId="31B1577A" w14:textId="77777777" w:rsidR="00284822" w:rsidRDefault="003148F1">
      <w:pPr>
        <w:pStyle w:val="TM4"/>
        <w:tabs>
          <w:tab w:val="right" w:leader="dot" w:pos="9060"/>
        </w:tabs>
        <w:rPr>
          <w:rFonts w:eastAsiaTheme="minorEastAsia" w:cstheme="minorBidi"/>
          <w:sz w:val="22"/>
          <w:szCs w:val="22"/>
        </w:rPr>
      </w:pPr>
      <w:hyperlink w:anchor="_Toc175048754" w:history="1">
        <w:r w:rsidR="00F77BF8">
          <w:rPr>
            <w:rStyle w:val="Lienhypertexte"/>
            <w:rFonts w:ascii="Rockwell" w:hAnsi="Rockwell"/>
          </w:rPr>
          <w:t>Paragraphe 3 : Activités sociales</w:t>
        </w:r>
        <w:r w:rsidR="00F77BF8">
          <w:tab/>
        </w:r>
        <w:r w:rsidR="00F77BF8">
          <w:fldChar w:fldCharType="begin"/>
        </w:r>
        <w:r w:rsidR="00F77BF8">
          <w:instrText xml:space="preserve"> PAGEREF _Toc175048754 \h </w:instrText>
        </w:r>
        <w:r w:rsidR="00F77BF8">
          <w:fldChar w:fldCharType="separate"/>
        </w:r>
        <w:r w:rsidR="00F77BF8">
          <w:t>124</w:t>
        </w:r>
        <w:r w:rsidR="00F77BF8">
          <w:fldChar w:fldCharType="end"/>
        </w:r>
      </w:hyperlink>
    </w:p>
    <w:p w14:paraId="7B75C27A" w14:textId="77777777" w:rsidR="00284822" w:rsidRDefault="003148F1">
      <w:pPr>
        <w:pStyle w:val="TM2"/>
        <w:rPr>
          <w:rFonts w:eastAsiaTheme="minorEastAsia" w:cstheme="minorBidi"/>
          <w:i w:val="0"/>
          <w:iCs w:val="0"/>
          <w:sz w:val="22"/>
          <w:szCs w:val="22"/>
        </w:rPr>
      </w:pPr>
      <w:hyperlink w:anchor="_Toc175048755" w:history="1">
        <w:r w:rsidR="00F77BF8">
          <w:rPr>
            <w:rStyle w:val="Lienhypertexte"/>
            <w:rFonts w:ascii="Rockwell" w:hAnsi="Rockwell"/>
          </w:rPr>
          <w:t>CHAPITRE II : GESTION DES FINANCES ET DES MATIERES</w:t>
        </w:r>
        <w:r w:rsidR="00F77BF8">
          <w:tab/>
        </w:r>
        <w:r w:rsidR="00F77BF8">
          <w:fldChar w:fldCharType="begin"/>
        </w:r>
        <w:r w:rsidR="00F77BF8">
          <w:instrText xml:space="preserve"> PAGEREF _Toc175048755 \h </w:instrText>
        </w:r>
        <w:r w:rsidR="00F77BF8">
          <w:fldChar w:fldCharType="separate"/>
        </w:r>
        <w:r w:rsidR="00F77BF8">
          <w:t>126</w:t>
        </w:r>
        <w:r w:rsidR="00F77BF8">
          <w:fldChar w:fldCharType="end"/>
        </w:r>
      </w:hyperlink>
    </w:p>
    <w:p w14:paraId="6FB2B662" w14:textId="77777777" w:rsidR="00284822" w:rsidRDefault="003148F1">
      <w:pPr>
        <w:pStyle w:val="TM3"/>
        <w:tabs>
          <w:tab w:val="right" w:leader="dot" w:pos="9060"/>
        </w:tabs>
        <w:rPr>
          <w:rFonts w:eastAsiaTheme="minorEastAsia" w:cstheme="minorBidi"/>
          <w:sz w:val="22"/>
          <w:szCs w:val="22"/>
        </w:rPr>
      </w:pPr>
      <w:hyperlink w:anchor="_Toc175048756" w:history="1">
        <w:r w:rsidR="00F77BF8">
          <w:rPr>
            <w:rStyle w:val="Lienhypertexte"/>
            <w:rFonts w:ascii="Rockwell" w:hAnsi="Rockwell"/>
            <w:b/>
            <w:i/>
          </w:rPr>
          <w:t>SECTION 1 : GESTION FINANCIERE</w:t>
        </w:r>
        <w:r w:rsidR="00F77BF8">
          <w:tab/>
        </w:r>
        <w:r w:rsidR="00F77BF8">
          <w:fldChar w:fldCharType="begin"/>
        </w:r>
        <w:r w:rsidR="00F77BF8">
          <w:instrText xml:space="preserve"> PAGEREF _Toc175048756 \h </w:instrText>
        </w:r>
        <w:r w:rsidR="00F77BF8">
          <w:fldChar w:fldCharType="separate"/>
        </w:r>
        <w:r w:rsidR="00F77BF8">
          <w:t>126</w:t>
        </w:r>
        <w:r w:rsidR="00F77BF8">
          <w:fldChar w:fldCharType="end"/>
        </w:r>
      </w:hyperlink>
    </w:p>
    <w:p w14:paraId="360BB561" w14:textId="77777777" w:rsidR="00284822" w:rsidRDefault="003148F1">
      <w:pPr>
        <w:pStyle w:val="TM4"/>
        <w:tabs>
          <w:tab w:val="right" w:leader="dot" w:pos="9060"/>
        </w:tabs>
        <w:rPr>
          <w:rFonts w:eastAsiaTheme="minorEastAsia" w:cstheme="minorBidi"/>
          <w:sz w:val="22"/>
          <w:szCs w:val="22"/>
        </w:rPr>
      </w:pPr>
      <w:hyperlink w:anchor="_Toc175048757" w:history="1">
        <w:r w:rsidR="00F77BF8">
          <w:rPr>
            <w:rStyle w:val="Lienhypertexte"/>
            <w:rFonts w:ascii="Rockwell" w:hAnsi="Rockwell"/>
          </w:rPr>
          <w:t>Paragraphe 1 : Recouvrement des recettes</w:t>
        </w:r>
        <w:r w:rsidR="00F77BF8">
          <w:tab/>
        </w:r>
        <w:r w:rsidR="00F77BF8">
          <w:fldChar w:fldCharType="begin"/>
        </w:r>
        <w:r w:rsidR="00F77BF8">
          <w:instrText xml:space="preserve"> PAGEREF _Toc175048757 \h </w:instrText>
        </w:r>
        <w:r w:rsidR="00F77BF8">
          <w:fldChar w:fldCharType="separate"/>
        </w:r>
        <w:r w:rsidR="00F77BF8">
          <w:t>126</w:t>
        </w:r>
        <w:r w:rsidR="00F77BF8">
          <w:fldChar w:fldCharType="end"/>
        </w:r>
      </w:hyperlink>
    </w:p>
    <w:p w14:paraId="7A3A13BD" w14:textId="77777777" w:rsidR="00284822" w:rsidRDefault="003148F1">
      <w:pPr>
        <w:pStyle w:val="TM4"/>
        <w:tabs>
          <w:tab w:val="right" w:leader="dot" w:pos="9060"/>
        </w:tabs>
        <w:rPr>
          <w:rFonts w:eastAsiaTheme="minorEastAsia" w:cstheme="minorBidi"/>
          <w:sz w:val="22"/>
          <w:szCs w:val="22"/>
        </w:rPr>
      </w:pPr>
      <w:hyperlink w:anchor="_Toc175048758" w:history="1">
        <w:r w:rsidR="00F77BF8">
          <w:rPr>
            <w:rStyle w:val="Lienhypertexte"/>
            <w:rFonts w:ascii="Rockwell" w:hAnsi="Rockwell"/>
          </w:rPr>
          <w:t>Paragraphe 2 : Exécution des dépenses</w:t>
        </w:r>
        <w:r w:rsidR="00F77BF8">
          <w:tab/>
        </w:r>
        <w:r w:rsidR="00F77BF8">
          <w:fldChar w:fldCharType="begin"/>
        </w:r>
        <w:r w:rsidR="00F77BF8">
          <w:instrText xml:space="preserve"> PAGEREF _Toc175048758 \h </w:instrText>
        </w:r>
        <w:r w:rsidR="00F77BF8">
          <w:fldChar w:fldCharType="separate"/>
        </w:r>
        <w:r w:rsidR="00F77BF8">
          <w:t>127</w:t>
        </w:r>
        <w:r w:rsidR="00F77BF8">
          <w:fldChar w:fldCharType="end"/>
        </w:r>
      </w:hyperlink>
    </w:p>
    <w:p w14:paraId="21144122" w14:textId="77777777" w:rsidR="00284822" w:rsidRDefault="003148F1">
      <w:pPr>
        <w:pStyle w:val="TM3"/>
        <w:tabs>
          <w:tab w:val="right" w:leader="dot" w:pos="9060"/>
        </w:tabs>
        <w:rPr>
          <w:rFonts w:eastAsiaTheme="minorEastAsia" w:cstheme="minorBidi"/>
          <w:sz w:val="22"/>
          <w:szCs w:val="22"/>
        </w:rPr>
      </w:pPr>
      <w:hyperlink w:anchor="_Toc175048759" w:history="1">
        <w:r w:rsidR="00F77BF8">
          <w:rPr>
            <w:rStyle w:val="Lienhypertexte"/>
            <w:rFonts w:ascii="Rockwell" w:hAnsi="Rockwell"/>
          </w:rPr>
          <w:t>SECTION 2 : GESTION DES MATIERES</w:t>
        </w:r>
        <w:r w:rsidR="00F77BF8">
          <w:tab/>
        </w:r>
        <w:r w:rsidR="00F77BF8">
          <w:fldChar w:fldCharType="begin"/>
        </w:r>
        <w:r w:rsidR="00F77BF8">
          <w:instrText xml:space="preserve"> PAGEREF _Toc175048759 \h </w:instrText>
        </w:r>
        <w:r w:rsidR="00F77BF8">
          <w:fldChar w:fldCharType="separate"/>
        </w:r>
        <w:r w:rsidR="00F77BF8">
          <w:t>129</w:t>
        </w:r>
        <w:r w:rsidR="00F77BF8">
          <w:fldChar w:fldCharType="end"/>
        </w:r>
      </w:hyperlink>
    </w:p>
    <w:p w14:paraId="2113786A" w14:textId="77777777" w:rsidR="00284822" w:rsidRDefault="003148F1">
      <w:pPr>
        <w:pStyle w:val="TM1"/>
        <w:rPr>
          <w:rFonts w:asciiTheme="minorHAnsi" w:eastAsiaTheme="minorEastAsia" w:hAnsiTheme="minorHAnsi" w:cstheme="minorBidi"/>
          <w:b w:val="0"/>
          <w:bCs w:val="0"/>
          <w:sz w:val="22"/>
          <w:szCs w:val="22"/>
        </w:rPr>
      </w:pPr>
      <w:hyperlink r:id="rId117" w:anchor="_Toc175048760" w:history="1">
        <w:r w:rsidR="00F77BF8">
          <w:rPr>
            <w:rStyle w:val="Lienhypertexte"/>
          </w:rPr>
          <w:t>QUATRIEME PARTIE : ACQUIS, PERSPECTIVES ET RECOMMANDATIONS</w:t>
        </w:r>
        <w:r w:rsidR="00F77BF8">
          <w:tab/>
        </w:r>
        <w:r w:rsidR="00F77BF8">
          <w:fldChar w:fldCharType="begin"/>
        </w:r>
        <w:r w:rsidR="00F77BF8">
          <w:instrText xml:space="preserve"> PAGEREF _Toc175048760 \h </w:instrText>
        </w:r>
        <w:r w:rsidR="00F77BF8">
          <w:fldChar w:fldCharType="separate"/>
        </w:r>
        <w:r w:rsidR="00F77BF8">
          <w:t>131</w:t>
        </w:r>
        <w:r w:rsidR="00F77BF8">
          <w:fldChar w:fldCharType="end"/>
        </w:r>
      </w:hyperlink>
    </w:p>
    <w:p w14:paraId="02FF43CB" w14:textId="77777777" w:rsidR="00284822" w:rsidRDefault="003148F1">
      <w:pPr>
        <w:pStyle w:val="TM2"/>
        <w:rPr>
          <w:rFonts w:eastAsiaTheme="minorEastAsia" w:cstheme="minorBidi"/>
          <w:i w:val="0"/>
          <w:iCs w:val="0"/>
          <w:sz w:val="22"/>
          <w:szCs w:val="22"/>
        </w:rPr>
      </w:pPr>
      <w:hyperlink w:anchor="_Toc175048761" w:history="1">
        <w:r w:rsidR="00F77BF8">
          <w:rPr>
            <w:rStyle w:val="Lienhypertexte"/>
            <w:rFonts w:ascii="Rockwell" w:hAnsi="Rockwell"/>
          </w:rPr>
          <w:t>CHAPITRE I : ACQUIS</w:t>
        </w:r>
        <w:r w:rsidR="00F77BF8">
          <w:tab/>
        </w:r>
        <w:r w:rsidR="00F77BF8">
          <w:fldChar w:fldCharType="begin"/>
        </w:r>
        <w:r w:rsidR="00F77BF8">
          <w:instrText xml:space="preserve"> PAGEREF _Toc175048761 \h </w:instrText>
        </w:r>
        <w:r w:rsidR="00F77BF8">
          <w:fldChar w:fldCharType="separate"/>
        </w:r>
        <w:r w:rsidR="00F77BF8">
          <w:t>132</w:t>
        </w:r>
        <w:r w:rsidR="00F77BF8">
          <w:fldChar w:fldCharType="end"/>
        </w:r>
      </w:hyperlink>
    </w:p>
    <w:p w14:paraId="15D86896" w14:textId="77777777" w:rsidR="00284822" w:rsidRDefault="003148F1">
      <w:pPr>
        <w:pStyle w:val="TM3"/>
        <w:tabs>
          <w:tab w:val="right" w:leader="dot" w:pos="9060"/>
        </w:tabs>
        <w:rPr>
          <w:rFonts w:eastAsiaTheme="minorEastAsia" w:cstheme="minorBidi"/>
          <w:sz w:val="22"/>
          <w:szCs w:val="22"/>
        </w:rPr>
      </w:pPr>
      <w:hyperlink w:anchor="_Toc175048762" w:history="1">
        <w:r w:rsidR="00F77BF8">
          <w:rPr>
            <w:rStyle w:val="Lienhypertexte"/>
            <w:rFonts w:ascii="Rockwell" w:hAnsi="Rockwell"/>
          </w:rPr>
          <w:t>SECTION 1 : ACQUIS D’ORDRE ADMINISTRATIF ET ORGANISATIONNEL</w:t>
        </w:r>
        <w:r w:rsidR="00F77BF8">
          <w:tab/>
        </w:r>
        <w:r w:rsidR="00F77BF8">
          <w:fldChar w:fldCharType="begin"/>
        </w:r>
        <w:r w:rsidR="00F77BF8">
          <w:instrText xml:space="preserve"> PAGEREF _Toc175048762 \h </w:instrText>
        </w:r>
        <w:r w:rsidR="00F77BF8">
          <w:fldChar w:fldCharType="separate"/>
        </w:r>
        <w:r w:rsidR="00F77BF8">
          <w:t>132</w:t>
        </w:r>
        <w:r w:rsidR="00F77BF8">
          <w:fldChar w:fldCharType="end"/>
        </w:r>
      </w:hyperlink>
    </w:p>
    <w:p w14:paraId="2A3111EC" w14:textId="77777777" w:rsidR="00284822" w:rsidRDefault="003148F1">
      <w:pPr>
        <w:pStyle w:val="TM3"/>
        <w:tabs>
          <w:tab w:val="right" w:leader="dot" w:pos="9060"/>
        </w:tabs>
        <w:rPr>
          <w:rFonts w:eastAsiaTheme="minorEastAsia" w:cstheme="minorBidi"/>
          <w:sz w:val="22"/>
          <w:szCs w:val="22"/>
        </w:rPr>
      </w:pPr>
      <w:hyperlink w:anchor="_Toc175048763" w:history="1">
        <w:r w:rsidR="00F77BF8">
          <w:rPr>
            <w:rStyle w:val="Lienhypertexte"/>
            <w:rFonts w:ascii="Rockwell" w:hAnsi="Rockwell"/>
          </w:rPr>
          <w:t>SECTION 2 : ACQUIS D’ORDRE MATERIEL ET TECHNOLOGIQUE</w:t>
        </w:r>
        <w:r w:rsidR="00F77BF8">
          <w:tab/>
        </w:r>
        <w:r w:rsidR="00F77BF8">
          <w:fldChar w:fldCharType="begin"/>
        </w:r>
        <w:r w:rsidR="00F77BF8">
          <w:instrText xml:space="preserve"> PAGEREF _Toc175048763 \h </w:instrText>
        </w:r>
        <w:r w:rsidR="00F77BF8">
          <w:fldChar w:fldCharType="separate"/>
        </w:r>
        <w:r w:rsidR="00F77BF8">
          <w:t>132</w:t>
        </w:r>
        <w:r w:rsidR="00F77BF8">
          <w:fldChar w:fldCharType="end"/>
        </w:r>
      </w:hyperlink>
    </w:p>
    <w:p w14:paraId="37894388" w14:textId="77777777" w:rsidR="00284822" w:rsidRDefault="003148F1">
      <w:pPr>
        <w:pStyle w:val="TM2"/>
        <w:rPr>
          <w:rFonts w:eastAsiaTheme="minorEastAsia" w:cstheme="minorBidi"/>
          <w:i w:val="0"/>
          <w:iCs w:val="0"/>
          <w:sz w:val="22"/>
          <w:szCs w:val="22"/>
        </w:rPr>
      </w:pPr>
      <w:hyperlink w:anchor="_Toc175048764" w:history="1">
        <w:r w:rsidR="00F77BF8">
          <w:rPr>
            <w:rStyle w:val="Lienhypertexte"/>
            <w:rFonts w:ascii="Rockwell" w:hAnsi="Rockwell"/>
          </w:rPr>
          <w:t>CHAPITRE II : PERSPECTIVES ET RECOMMANDATIONS</w:t>
        </w:r>
        <w:r w:rsidR="00F77BF8">
          <w:tab/>
        </w:r>
        <w:r w:rsidR="00F77BF8">
          <w:fldChar w:fldCharType="begin"/>
        </w:r>
        <w:r w:rsidR="00F77BF8">
          <w:instrText xml:space="preserve"> PAGEREF _Toc175048764 \h </w:instrText>
        </w:r>
        <w:r w:rsidR="00F77BF8">
          <w:fldChar w:fldCharType="separate"/>
        </w:r>
        <w:r w:rsidR="00F77BF8">
          <w:t>133</w:t>
        </w:r>
        <w:r w:rsidR="00F77BF8">
          <w:fldChar w:fldCharType="end"/>
        </w:r>
      </w:hyperlink>
    </w:p>
    <w:p w14:paraId="27F0861C" w14:textId="77777777" w:rsidR="00284822" w:rsidRDefault="003148F1">
      <w:pPr>
        <w:pStyle w:val="TM3"/>
        <w:tabs>
          <w:tab w:val="right" w:leader="dot" w:pos="9060"/>
        </w:tabs>
        <w:rPr>
          <w:rFonts w:eastAsiaTheme="minorEastAsia" w:cstheme="minorBidi"/>
          <w:sz w:val="22"/>
          <w:szCs w:val="22"/>
        </w:rPr>
      </w:pPr>
      <w:hyperlink w:anchor="_Toc175048765" w:history="1">
        <w:r w:rsidR="00F77BF8">
          <w:rPr>
            <w:rStyle w:val="Lienhypertexte"/>
            <w:rFonts w:ascii="Rockwell" w:hAnsi="Rockwell"/>
          </w:rPr>
          <w:t>SECTION 1 : PERSPECTIVES</w:t>
        </w:r>
        <w:r w:rsidR="00F77BF8">
          <w:tab/>
        </w:r>
        <w:r w:rsidR="00F77BF8">
          <w:fldChar w:fldCharType="begin"/>
        </w:r>
        <w:r w:rsidR="00F77BF8">
          <w:instrText xml:space="preserve"> PAGEREF _Toc175048765 \h </w:instrText>
        </w:r>
        <w:r w:rsidR="00F77BF8">
          <w:fldChar w:fldCharType="separate"/>
        </w:r>
        <w:r w:rsidR="00F77BF8">
          <w:t>133</w:t>
        </w:r>
        <w:r w:rsidR="00F77BF8">
          <w:fldChar w:fldCharType="end"/>
        </w:r>
      </w:hyperlink>
    </w:p>
    <w:p w14:paraId="5155A182" w14:textId="77777777" w:rsidR="00284822" w:rsidRDefault="003148F1">
      <w:pPr>
        <w:pStyle w:val="TM3"/>
        <w:tabs>
          <w:tab w:val="right" w:leader="dot" w:pos="9060"/>
        </w:tabs>
        <w:rPr>
          <w:rFonts w:eastAsiaTheme="minorEastAsia" w:cstheme="minorBidi"/>
          <w:sz w:val="22"/>
          <w:szCs w:val="22"/>
        </w:rPr>
      </w:pPr>
      <w:hyperlink w:anchor="_Toc175048766" w:history="1">
        <w:r w:rsidR="00F77BF8">
          <w:rPr>
            <w:rStyle w:val="Lienhypertexte"/>
            <w:rFonts w:ascii="Rockwell" w:hAnsi="Rockwell"/>
          </w:rPr>
          <w:t>SECTION 2 : RECOMMANDATIONS</w:t>
        </w:r>
        <w:r w:rsidR="00F77BF8">
          <w:tab/>
        </w:r>
        <w:r w:rsidR="00F77BF8">
          <w:fldChar w:fldCharType="begin"/>
        </w:r>
        <w:r w:rsidR="00F77BF8">
          <w:instrText xml:space="preserve"> PAGEREF _Toc175048766 \h </w:instrText>
        </w:r>
        <w:r w:rsidR="00F77BF8">
          <w:fldChar w:fldCharType="separate"/>
        </w:r>
        <w:r w:rsidR="00F77BF8">
          <w:t>134</w:t>
        </w:r>
        <w:r w:rsidR="00F77BF8">
          <w:fldChar w:fldCharType="end"/>
        </w:r>
      </w:hyperlink>
    </w:p>
    <w:p w14:paraId="5D21E10D" w14:textId="77777777" w:rsidR="00284822" w:rsidRDefault="003148F1">
      <w:pPr>
        <w:pStyle w:val="TM1"/>
        <w:rPr>
          <w:rFonts w:asciiTheme="minorHAnsi" w:eastAsiaTheme="minorEastAsia" w:hAnsiTheme="minorHAnsi" w:cstheme="minorBidi"/>
          <w:b w:val="0"/>
          <w:bCs w:val="0"/>
          <w:sz w:val="22"/>
          <w:szCs w:val="22"/>
        </w:rPr>
      </w:pPr>
      <w:hyperlink w:anchor="_Toc175048767" w:history="1">
        <w:r w:rsidR="00F77BF8">
          <w:rPr>
            <w:rStyle w:val="Lienhypertexte"/>
          </w:rPr>
          <w:t>CONCLUSION</w:t>
        </w:r>
        <w:r w:rsidR="00F77BF8">
          <w:tab/>
        </w:r>
        <w:r w:rsidR="00F77BF8">
          <w:fldChar w:fldCharType="begin"/>
        </w:r>
        <w:r w:rsidR="00F77BF8">
          <w:instrText xml:space="preserve"> PAGEREF _Toc175048767 \h </w:instrText>
        </w:r>
        <w:r w:rsidR="00F77BF8">
          <w:fldChar w:fldCharType="separate"/>
        </w:r>
        <w:r w:rsidR="00F77BF8">
          <w:t>135</w:t>
        </w:r>
        <w:r w:rsidR="00F77BF8">
          <w:fldChar w:fldCharType="end"/>
        </w:r>
      </w:hyperlink>
    </w:p>
    <w:p w14:paraId="77C38DFB" w14:textId="77777777" w:rsidR="00284822" w:rsidRDefault="003148F1">
      <w:pPr>
        <w:pStyle w:val="TM1"/>
        <w:rPr>
          <w:rFonts w:asciiTheme="minorHAnsi" w:eastAsiaTheme="minorEastAsia" w:hAnsiTheme="minorHAnsi" w:cstheme="minorBidi"/>
          <w:b w:val="0"/>
          <w:bCs w:val="0"/>
          <w:sz w:val="22"/>
          <w:szCs w:val="22"/>
        </w:rPr>
      </w:pPr>
      <w:hyperlink r:id="rId118" w:anchor="_Toc175048768" w:history="1">
        <w:r w:rsidR="00F77BF8">
          <w:rPr>
            <w:rStyle w:val="Lienhypertexte"/>
          </w:rPr>
          <w:t>ANNEXES</w:t>
        </w:r>
        <w:r w:rsidR="00F77BF8">
          <w:tab/>
        </w:r>
        <w:r w:rsidR="00F77BF8">
          <w:fldChar w:fldCharType="begin"/>
        </w:r>
        <w:r w:rsidR="00F77BF8">
          <w:instrText xml:space="preserve"> PAGEREF _Toc175048768 \h </w:instrText>
        </w:r>
        <w:r w:rsidR="00F77BF8">
          <w:fldChar w:fldCharType="separate"/>
        </w:r>
        <w:r w:rsidR="00F77BF8">
          <w:t>141</w:t>
        </w:r>
        <w:r w:rsidR="00F77BF8">
          <w:fldChar w:fldCharType="end"/>
        </w:r>
      </w:hyperlink>
    </w:p>
    <w:p w14:paraId="56F846FB" w14:textId="77777777" w:rsidR="00284822" w:rsidRDefault="00F77BF8">
      <w:pPr>
        <w:spacing w:before="120" w:after="120" w:line="240" w:lineRule="auto"/>
        <w:rPr>
          <w:rFonts w:ascii="Rockwell" w:hAnsi="Rockwell"/>
          <w:szCs w:val="26"/>
        </w:rPr>
      </w:pPr>
      <w:r>
        <w:rPr>
          <w:rFonts w:ascii="Rockwell" w:hAnsi="Rockwell"/>
          <w:color w:val="000000" w:themeColor="text1"/>
          <w:sz w:val="22"/>
          <w:szCs w:val="22"/>
        </w:rPr>
        <w:fldChar w:fldCharType="end"/>
      </w:r>
    </w:p>
    <w:bookmarkEnd w:id="325"/>
    <w:bookmarkEnd w:id="326"/>
    <w:bookmarkEnd w:id="391"/>
    <w:bookmarkEnd w:id="392"/>
    <w:bookmarkEnd w:id="393"/>
    <w:bookmarkEnd w:id="394"/>
    <w:bookmarkEnd w:id="395"/>
    <w:bookmarkEnd w:id="396"/>
    <w:bookmarkEnd w:id="409"/>
    <w:bookmarkEnd w:id="410"/>
    <w:bookmarkEnd w:id="411"/>
    <w:p w14:paraId="0DC7EBC5" w14:textId="77777777" w:rsidR="00284822" w:rsidRDefault="00284822">
      <w:pPr>
        <w:spacing w:before="120" w:after="120"/>
        <w:rPr>
          <w:rFonts w:ascii="Rockwell" w:hAnsi="Rockwell"/>
          <w:szCs w:val="26"/>
        </w:rPr>
      </w:pPr>
    </w:p>
    <w:p w14:paraId="3C36AB91" w14:textId="77777777" w:rsidR="00284822" w:rsidRDefault="00284822">
      <w:pPr>
        <w:spacing w:before="120" w:after="120"/>
        <w:rPr>
          <w:rFonts w:ascii="Rockwell" w:hAnsi="Rockwell"/>
          <w:szCs w:val="26"/>
        </w:rPr>
        <w:sectPr w:rsidR="00284822">
          <w:pgSz w:w="11906" w:h="16838"/>
          <w:pgMar w:top="1418" w:right="1418" w:bottom="1418" w:left="1418" w:header="720" w:footer="720" w:gutter="0"/>
          <w:cols w:space="720"/>
        </w:sectPr>
      </w:pPr>
    </w:p>
    <w:p w14:paraId="49AC9D36" w14:textId="77777777" w:rsidR="00284822" w:rsidRDefault="00284822">
      <w:pPr>
        <w:spacing w:before="120" w:after="120"/>
        <w:rPr>
          <w:rFonts w:ascii="Rockwell" w:hAnsi="Rockwell"/>
          <w:szCs w:val="26"/>
        </w:rPr>
      </w:pPr>
    </w:p>
    <w:p w14:paraId="7E1806BE" w14:textId="77777777" w:rsidR="00284822" w:rsidRDefault="00284822">
      <w:pPr>
        <w:spacing w:before="120" w:after="120"/>
        <w:rPr>
          <w:rFonts w:ascii="Rockwell" w:hAnsi="Rockwell"/>
          <w:szCs w:val="26"/>
        </w:rPr>
      </w:pPr>
    </w:p>
    <w:p w14:paraId="7AC796F7" w14:textId="77777777" w:rsidR="00284822" w:rsidRDefault="00284822">
      <w:pPr>
        <w:spacing w:before="120" w:after="120"/>
        <w:rPr>
          <w:rFonts w:ascii="Rockwell" w:hAnsi="Rockwell"/>
          <w:szCs w:val="26"/>
        </w:rPr>
      </w:pPr>
    </w:p>
    <w:p w14:paraId="55F769F4" w14:textId="5E29B7BE" w:rsidR="00284822" w:rsidRDefault="00284822">
      <w:pPr>
        <w:spacing w:before="120" w:after="120"/>
        <w:rPr>
          <w:rFonts w:ascii="Rockwell" w:hAnsi="Rockwell"/>
          <w:szCs w:val="26"/>
        </w:rPr>
      </w:pPr>
    </w:p>
    <w:p w14:paraId="0FA8A8F5" w14:textId="19820E57" w:rsidR="00284822" w:rsidRDefault="00284822">
      <w:pPr>
        <w:spacing w:before="120" w:after="120"/>
        <w:rPr>
          <w:rFonts w:ascii="Rockwell" w:hAnsi="Rockwell"/>
          <w:szCs w:val="26"/>
        </w:rPr>
      </w:pPr>
    </w:p>
    <w:p w14:paraId="54668762" w14:textId="0222BE81" w:rsidR="00284822" w:rsidRDefault="00284822">
      <w:pPr>
        <w:spacing w:before="120" w:after="120"/>
        <w:rPr>
          <w:rFonts w:ascii="Rockwell" w:hAnsi="Rockwell"/>
          <w:szCs w:val="26"/>
        </w:rPr>
      </w:pPr>
    </w:p>
    <w:p w14:paraId="7C64A645" w14:textId="09DA573C" w:rsidR="00284822" w:rsidRDefault="00284822">
      <w:pPr>
        <w:spacing w:before="120" w:after="120"/>
        <w:rPr>
          <w:rFonts w:ascii="Rockwell" w:hAnsi="Rockwell"/>
          <w:szCs w:val="26"/>
        </w:rPr>
      </w:pPr>
    </w:p>
    <w:p w14:paraId="3C4BA5F2" w14:textId="09F304C0" w:rsidR="00284822" w:rsidRDefault="00F77BF8">
      <w:pPr>
        <w:spacing w:before="120" w:after="120"/>
        <w:rPr>
          <w:rFonts w:ascii="Rockwell" w:hAnsi="Rockwell"/>
          <w:szCs w:val="26"/>
        </w:rPr>
      </w:pPr>
      <w:r>
        <w:rPr>
          <w:rFonts w:ascii="Rockwell" w:hAnsi="Rockwell"/>
          <w:noProof/>
          <w:szCs w:val="26"/>
        </w:rPr>
        <mc:AlternateContent>
          <mc:Choice Requires="wps">
            <w:drawing>
              <wp:anchor distT="0" distB="0" distL="114300" distR="114300" simplePos="0" relativeHeight="251662336" behindDoc="0" locked="0" layoutInCell="1" allowOverlap="1" wp14:anchorId="7C14B168" wp14:editId="4480C0B7">
                <wp:simplePos x="0" y="0"/>
                <wp:positionH relativeFrom="margin">
                  <wp:posOffset>309245</wp:posOffset>
                </wp:positionH>
                <wp:positionV relativeFrom="paragraph">
                  <wp:posOffset>320675</wp:posOffset>
                </wp:positionV>
                <wp:extent cx="5114925" cy="1590675"/>
                <wp:effectExtent l="19050" t="19050" r="47625" b="66675"/>
                <wp:wrapNone/>
                <wp:docPr id="59" name="Rectangle à coins arrondis 82"/>
                <wp:cNvGraphicFramePr/>
                <a:graphic xmlns:a="http://schemas.openxmlformats.org/drawingml/2006/main">
                  <a:graphicData uri="http://schemas.microsoft.com/office/word/2010/wordprocessingShape">
                    <wps:wsp>
                      <wps:cNvSpPr/>
                      <wps:spPr>
                        <a:xfrm>
                          <a:off x="0" y="0"/>
                          <a:ext cx="5114925" cy="1590675"/>
                        </a:xfrm>
                        <a:custGeom>
                          <a:avLst/>
                          <a:gdLst>
                            <a:gd name="f0" fmla="val 10800000"/>
                            <a:gd name="f1" fmla="val 5400000"/>
                            <a:gd name="f2" fmla="val 180"/>
                            <a:gd name="f3" fmla="val w"/>
                            <a:gd name="f4" fmla="val h"/>
                            <a:gd name="f5" fmla="val 0"/>
                            <a:gd name="f6" fmla="val 6238875"/>
                            <a:gd name="f7" fmla="val 1581150"/>
                            <a:gd name="f8" fmla="val 263525"/>
                            <a:gd name="f9" fmla="val 117984"/>
                            <a:gd name="f10" fmla="val 263524"/>
                            <a:gd name="f11" fmla="val 1317625"/>
                            <a:gd name="f12" fmla="val 1317624"/>
                            <a:gd name="f13" fmla="val 1463165"/>
                            <a:gd name="f14" fmla="val 1581149"/>
                            <a:gd name="f15" fmla="val 5975350"/>
                            <a:gd name="f16" fmla="val 6120890"/>
                            <a:gd name="f17" fmla="+- 0 0 -360"/>
                            <a:gd name="f18" fmla="+- 0 0 -90"/>
                            <a:gd name="f19" fmla="+- 0 0 -180"/>
                            <a:gd name="f20" fmla="+- 0 0 -270"/>
                            <a:gd name="f21" fmla="*/ f3 1 6238875"/>
                            <a:gd name="f22" fmla="*/ f4 1 1581150"/>
                            <a:gd name="f23" fmla="+- f7 0 f5"/>
                            <a:gd name="f24" fmla="+- f6 0 f5"/>
                            <a:gd name="f25" fmla="*/ f17 f0 1"/>
                            <a:gd name="f26" fmla="*/ f18 f0 1"/>
                            <a:gd name="f27" fmla="*/ f19 f0 1"/>
                            <a:gd name="f28" fmla="*/ f20 f0 1"/>
                            <a:gd name="f29" fmla="*/ f24 1 6238875"/>
                            <a:gd name="f30" fmla="*/ f23 1 1581150"/>
                            <a:gd name="f31" fmla="*/ 3119438 f24 1"/>
                            <a:gd name="f32" fmla="*/ 0 f23 1"/>
                            <a:gd name="f33" fmla="*/ 6238875 f24 1"/>
                            <a:gd name="f34" fmla="*/ 790575 f23 1"/>
                            <a:gd name="f35" fmla="*/ 1581150 f23 1"/>
                            <a:gd name="f36" fmla="*/ 0 f24 1"/>
                            <a:gd name="f37" fmla="*/ 77186 f24 1"/>
                            <a:gd name="f38" fmla="*/ 77186 f23 1"/>
                            <a:gd name="f39" fmla="*/ 6161689 f24 1"/>
                            <a:gd name="f40" fmla="*/ 1503964 f23 1"/>
                            <a:gd name="f41" fmla="*/ f25 1 f2"/>
                            <a:gd name="f42" fmla="*/ f26 1 f2"/>
                            <a:gd name="f43" fmla="*/ f27 1 f2"/>
                            <a:gd name="f44" fmla="*/ f28 1 f2"/>
                            <a:gd name="f45" fmla="*/ f31 1 6238875"/>
                            <a:gd name="f46" fmla="*/ f32 1 1581150"/>
                            <a:gd name="f47" fmla="*/ f33 1 6238875"/>
                            <a:gd name="f48" fmla="*/ f34 1 1581150"/>
                            <a:gd name="f49" fmla="*/ f35 1 1581150"/>
                            <a:gd name="f50" fmla="*/ f36 1 6238875"/>
                            <a:gd name="f51" fmla="*/ f37 1 6238875"/>
                            <a:gd name="f52" fmla="*/ f38 1 1581150"/>
                            <a:gd name="f53" fmla="*/ f39 1 6238875"/>
                            <a:gd name="f54" fmla="*/ f40 1 1581150"/>
                            <a:gd name="f55" fmla="+- f41 0 f1"/>
                            <a:gd name="f56" fmla="+- f42 0 f1"/>
                            <a:gd name="f57" fmla="+- f43 0 f1"/>
                            <a:gd name="f58" fmla="+- f44 0 f1"/>
                            <a:gd name="f59" fmla="*/ f45 1 f29"/>
                            <a:gd name="f60" fmla="*/ f46 1 f30"/>
                            <a:gd name="f61" fmla="*/ f47 1 f29"/>
                            <a:gd name="f62" fmla="*/ f48 1 f30"/>
                            <a:gd name="f63" fmla="*/ f49 1 f30"/>
                            <a:gd name="f64" fmla="*/ f50 1 f29"/>
                            <a:gd name="f65" fmla="*/ f51 1 f29"/>
                            <a:gd name="f66" fmla="*/ f53 1 f29"/>
                            <a:gd name="f67" fmla="*/ f52 1 f30"/>
                            <a:gd name="f68" fmla="*/ f54 1 f30"/>
                            <a:gd name="f69" fmla="*/ f65 f21 1"/>
                            <a:gd name="f70" fmla="*/ f66 f21 1"/>
                            <a:gd name="f71" fmla="*/ f68 f22 1"/>
                            <a:gd name="f72" fmla="*/ f67 f22 1"/>
                            <a:gd name="f73" fmla="*/ f59 f21 1"/>
                            <a:gd name="f74" fmla="*/ f60 f22 1"/>
                            <a:gd name="f75" fmla="*/ f61 f21 1"/>
                            <a:gd name="f76" fmla="*/ f62 f22 1"/>
                            <a:gd name="f77" fmla="*/ f63 f22 1"/>
                            <a:gd name="f78" fmla="*/ f64 f21 1"/>
                          </a:gdLst>
                          <a:ahLst/>
                          <a:cxnLst>
                            <a:cxn ang="3cd4">
                              <a:pos x="hc" y="t"/>
                            </a:cxn>
                            <a:cxn ang="0">
                              <a:pos x="r" y="vc"/>
                            </a:cxn>
                            <a:cxn ang="cd4">
                              <a:pos x="hc" y="b"/>
                            </a:cxn>
                            <a:cxn ang="cd2">
                              <a:pos x="l" y="vc"/>
                            </a:cxn>
                            <a:cxn ang="f55">
                              <a:pos x="f73" y="f74"/>
                            </a:cxn>
                            <a:cxn ang="f56">
                              <a:pos x="f75" y="f76"/>
                            </a:cxn>
                            <a:cxn ang="f57">
                              <a:pos x="f73" y="f77"/>
                            </a:cxn>
                            <a:cxn ang="f58">
                              <a:pos x="f78" y="f76"/>
                            </a:cxn>
                          </a:cxnLst>
                          <a:rect l="f69" t="f72" r="f70" b="f71"/>
                          <a:pathLst>
                            <a:path w="6238875" h="1581150">
                              <a:moveTo>
                                <a:pt x="f8" y="f5"/>
                              </a:moveTo>
                              <a:lnTo>
                                <a:pt x="f8" y="f5"/>
                              </a:lnTo>
                              <a:cubicBezTo>
                                <a:pt x="f9" y="f5"/>
                                <a:pt x="f5" y="f9"/>
                                <a:pt x="f5" y="f10"/>
                              </a:cubicBezTo>
                              <a:lnTo>
                                <a:pt x="f5" y="f11"/>
                              </a:lnTo>
                              <a:lnTo>
                                <a:pt x="f5" y="f12"/>
                              </a:lnTo>
                              <a:cubicBezTo>
                                <a:pt x="f5" y="f13"/>
                                <a:pt x="f9" y="f14"/>
                                <a:pt x="f10" y="f14"/>
                              </a:cubicBezTo>
                              <a:lnTo>
                                <a:pt x="f15" y="f7"/>
                              </a:lnTo>
                              <a:lnTo>
                                <a:pt x="f15" y="f14"/>
                              </a:lnTo>
                              <a:cubicBezTo>
                                <a:pt x="f16" y="f14"/>
                                <a:pt x="f6" y="f13"/>
                                <a:pt x="f6" y="f11"/>
                              </a:cubicBezTo>
                              <a:lnTo>
                                <a:pt x="f6" y="f8"/>
                              </a:lnTo>
                              <a:cubicBezTo>
                                <a:pt x="f6" y="f9"/>
                                <a:pt x="f16" y="f5"/>
                                <a:pt x="f15" y="f5"/>
                              </a:cubicBezTo>
                              <a:lnTo>
                                <a:pt x="f8" y="f5"/>
                              </a:lnTo>
                              <a:close/>
                            </a:path>
                          </a:pathLst>
                        </a:custGeom>
                        <a:gradFill flip="none" rotWithShape="1">
                          <a:gsLst>
                            <a:gs pos="0">
                              <a:srgbClr val="00A1DA">
                                <a:tint val="66000"/>
                                <a:satMod val="160000"/>
                              </a:srgbClr>
                            </a:gs>
                            <a:gs pos="50000">
                              <a:srgbClr val="00A1DA">
                                <a:tint val="44500"/>
                                <a:satMod val="160000"/>
                              </a:srgbClr>
                            </a:gs>
                            <a:gs pos="100000">
                              <a:srgbClr val="00A1DA">
                                <a:tint val="23500"/>
                                <a:satMod val="160000"/>
                              </a:srgbClr>
                            </a:gs>
                          </a:gsLst>
                          <a:lin ang="5400000" scaled="1"/>
                          <a:tileRect/>
                        </a:gradFill>
                        <a:ln w="28575" cap="flat">
                          <a:solidFill>
                            <a:schemeClr val="tx1"/>
                          </a:solidFill>
                          <a:prstDash val="solid"/>
                          <a:round/>
                        </a:ln>
                        <a:effectLst>
                          <a:outerShdw dist="28400" dir="3806097" algn="tl">
                            <a:srgbClr val="1F3763">
                              <a:alpha val="50000"/>
                            </a:srgbClr>
                          </a:outerShdw>
                        </a:effectLst>
                      </wps:spPr>
                      <wps:txbx>
                        <w:txbxContent>
                          <w:p w14:paraId="12763158" w14:textId="77777777" w:rsidR="003148F1" w:rsidRDefault="003148F1">
                            <w:pPr>
                              <w:pStyle w:val="Titre1"/>
                            </w:pPr>
                            <w:bookmarkStart w:id="416" w:name="_Toc73184164"/>
                            <w:bookmarkStart w:id="417" w:name="_Toc73183973"/>
                            <w:bookmarkStart w:id="418" w:name="_Toc72864391"/>
                          </w:p>
                          <w:p w14:paraId="5B4FC340" w14:textId="77777777" w:rsidR="003148F1" w:rsidRDefault="003148F1">
                            <w:pPr>
                              <w:pStyle w:val="Titre1"/>
                              <w:spacing w:before="120"/>
                              <w:rPr>
                                <w:rFonts w:ascii="Rockwell" w:hAnsi="Rockwell"/>
                              </w:rPr>
                            </w:pPr>
                            <w:bookmarkStart w:id="419" w:name="_Toc175048768"/>
                            <w:bookmarkStart w:id="420" w:name="_Toc170304785"/>
                            <w:bookmarkEnd w:id="416"/>
                            <w:bookmarkEnd w:id="417"/>
                            <w:bookmarkEnd w:id="418"/>
                            <w:r>
                              <w:rPr>
                                <w:rFonts w:ascii="Rockwell" w:hAnsi="Rockwell"/>
                              </w:rPr>
                              <w:t>ANNEXES</w:t>
                            </w:r>
                            <w:bookmarkEnd w:id="419"/>
                            <w:bookmarkEnd w:id="420"/>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7C14B168" id="Rectangle à coins arrondis 82" o:spid="_x0000_s1043" style="position:absolute;left:0;text-align:left;margin-left:24.35pt;margin-top:25.25pt;width:402.75pt;height:125.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6238875,15811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" adj="-11796480,,5400" path="m263525,r,c117984,,,117984,,263524l,1317625r,-1c,1463165,117984,1581149,263524,1581149r5711826,1l5975350,1581149v145540,,263525,-117984,263525,-263524l6238875,263525c6238875,117984,6120890,,5975350,l263525,xe" fillcolor="#87cbfe" strokecolor="black [3213]" strokeweight="2.25pt">
                <v:fill color2="#dceefd" rotate="t" colors="0 #87cbfe;.5 #b8ddfc;1 #dceefd" focus="100%" type="gradient"/>
                <v:stroke joinstyle="round"/>
                <v:shadow on="t" color="#1f3763" opacity=".5" origin="-.5,-.5" offset=".35281mm,.70561mm"/>
                <v:formulas/>
                <v:path arrowok="t" o:connecttype="custom" o:connectlocs="2557463,0;5114925,795338;2557463,1590675;0,795338;2557463,0;5114925,795338;2557463,1590675;0,795338" o:connectangles="270,0,90,180,270,0,90,180" textboxrect="77186,77186,6161689,1503964"/>
                <v:textbox>
                  <w:txbxContent>
                    <w:p w14:paraId="12763158" w14:textId="77777777" w:rsidR="003148F1" w:rsidRDefault="003148F1">
                      <w:pPr>
                        <w:pStyle w:val="Titre1"/>
                      </w:pPr>
                      <w:bookmarkStart w:id="421" w:name="_Toc73184164"/>
                      <w:bookmarkStart w:id="422" w:name="_Toc73183973"/>
                      <w:bookmarkStart w:id="423" w:name="_Toc72864391"/>
                    </w:p>
                    <w:p w14:paraId="5B4FC340" w14:textId="77777777" w:rsidR="003148F1" w:rsidRDefault="003148F1">
                      <w:pPr>
                        <w:pStyle w:val="Titre1"/>
                        <w:spacing w:before="120"/>
                        <w:rPr>
                          <w:rFonts w:ascii="Rockwell" w:hAnsi="Rockwell"/>
                        </w:rPr>
                      </w:pPr>
                      <w:bookmarkStart w:id="424" w:name="_Toc175048768"/>
                      <w:bookmarkStart w:id="425" w:name="_Toc170304785"/>
                      <w:bookmarkEnd w:id="421"/>
                      <w:bookmarkEnd w:id="422"/>
                      <w:bookmarkEnd w:id="423"/>
                      <w:r>
                        <w:rPr>
                          <w:rFonts w:ascii="Rockwell" w:hAnsi="Rockwell"/>
                        </w:rPr>
                        <w:t>ANNEXES</w:t>
                      </w:r>
                      <w:bookmarkEnd w:id="424"/>
                      <w:bookmarkEnd w:id="425"/>
                    </w:p>
                  </w:txbxContent>
                </v:textbox>
                <w10:wrap anchorx="margin"/>
              </v:shape>
            </w:pict>
          </mc:Fallback>
        </mc:AlternateContent>
      </w:r>
    </w:p>
    <w:p w14:paraId="3D29F893" w14:textId="77777777" w:rsidR="00284822" w:rsidRDefault="00284822">
      <w:pPr>
        <w:spacing w:before="120" w:after="120"/>
        <w:rPr>
          <w:rFonts w:ascii="Rockwell" w:hAnsi="Rockwell"/>
          <w:szCs w:val="26"/>
        </w:rPr>
      </w:pPr>
    </w:p>
    <w:p w14:paraId="0E31FA12" w14:textId="77777777" w:rsidR="00284822" w:rsidRDefault="00284822">
      <w:pPr>
        <w:spacing w:before="120" w:after="120"/>
        <w:rPr>
          <w:rFonts w:ascii="Rockwell" w:hAnsi="Rockwell"/>
          <w:szCs w:val="26"/>
        </w:rPr>
      </w:pPr>
    </w:p>
    <w:p w14:paraId="2E532FC6" w14:textId="77777777" w:rsidR="00284822" w:rsidRDefault="00284822">
      <w:pPr>
        <w:spacing w:before="120" w:after="120"/>
        <w:rPr>
          <w:rFonts w:ascii="Rockwell" w:hAnsi="Rockwell"/>
          <w:szCs w:val="26"/>
        </w:rPr>
      </w:pPr>
    </w:p>
    <w:p w14:paraId="485C915A" w14:textId="77777777" w:rsidR="00284822" w:rsidRDefault="00284822">
      <w:pPr>
        <w:spacing w:before="120" w:after="120"/>
        <w:rPr>
          <w:rFonts w:ascii="Rockwell" w:hAnsi="Rockwell"/>
          <w:szCs w:val="26"/>
        </w:rPr>
      </w:pPr>
    </w:p>
    <w:p w14:paraId="44B17828" w14:textId="77777777" w:rsidR="00284822" w:rsidRDefault="00284822">
      <w:pPr>
        <w:keepNext/>
        <w:keepLines/>
        <w:spacing w:before="120" w:after="120"/>
        <w:rPr>
          <w:rFonts w:ascii="Rockwell" w:hAnsi="Rockwell"/>
          <w:b/>
          <w:szCs w:val="26"/>
        </w:rPr>
        <w:sectPr w:rsidR="00284822">
          <w:pgSz w:w="11906" w:h="16838"/>
          <w:pgMar w:top="1418" w:right="1418" w:bottom="1418" w:left="1418" w:header="720" w:footer="720" w:gutter="0"/>
          <w:cols w:space="720"/>
        </w:sectPr>
      </w:pPr>
    </w:p>
    <w:p w14:paraId="3211FD60" w14:textId="77777777" w:rsidR="00284822" w:rsidRDefault="00284822">
      <w:pPr>
        <w:pStyle w:val="Paragraphedeliste"/>
        <w:keepNext/>
        <w:keepLines/>
        <w:ind w:left="2912"/>
        <w:rPr>
          <w:rFonts w:ascii="Rockwell" w:hAnsi="Rockwell"/>
          <w:b/>
        </w:rPr>
      </w:pPr>
    </w:p>
    <w:p w14:paraId="77321B5F" w14:textId="77777777" w:rsidR="00284822" w:rsidRDefault="00284822">
      <w:pPr>
        <w:pStyle w:val="Paragraphedeliste"/>
        <w:keepNext/>
        <w:keepLines/>
        <w:ind w:left="2912"/>
        <w:rPr>
          <w:rFonts w:ascii="Rockwell" w:hAnsi="Rockwell"/>
          <w:b/>
        </w:rPr>
      </w:pPr>
    </w:p>
    <w:p w14:paraId="58510100" w14:textId="77777777" w:rsidR="00284822" w:rsidRDefault="00284822">
      <w:pPr>
        <w:pStyle w:val="Paragraphedeliste"/>
        <w:keepNext/>
        <w:keepLines/>
        <w:ind w:left="2912"/>
        <w:rPr>
          <w:rFonts w:ascii="Rockwell" w:hAnsi="Rockwell"/>
          <w:b/>
        </w:rPr>
      </w:pPr>
    </w:p>
    <w:p w14:paraId="36A02FA6" w14:textId="77777777" w:rsidR="00284822" w:rsidRDefault="00284822">
      <w:pPr>
        <w:pStyle w:val="Paragraphedeliste"/>
        <w:keepNext/>
        <w:keepLines/>
        <w:ind w:left="2912"/>
        <w:rPr>
          <w:rFonts w:ascii="Rockwell" w:hAnsi="Rockwell"/>
          <w:b/>
        </w:rPr>
      </w:pPr>
    </w:p>
    <w:p w14:paraId="3A50B431" w14:textId="77777777" w:rsidR="00284822" w:rsidRDefault="00284822">
      <w:pPr>
        <w:pStyle w:val="Paragraphedeliste"/>
        <w:keepNext/>
        <w:keepLines/>
        <w:ind w:left="2912"/>
        <w:rPr>
          <w:rFonts w:ascii="Rockwell" w:hAnsi="Rockwell"/>
          <w:b/>
        </w:rPr>
      </w:pPr>
    </w:p>
    <w:p w14:paraId="451DA12E" w14:textId="77777777" w:rsidR="00284822" w:rsidRDefault="00F77BF8">
      <w:pPr>
        <w:spacing w:before="120" w:after="120"/>
        <w:rPr>
          <w:rFonts w:ascii="Rockwell" w:hAnsi="Rockwell"/>
          <w:szCs w:val="26"/>
        </w:rPr>
      </w:pPr>
      <w:r>
        <w:rPr>
          <w:rFonts w:ascii="Rockwell" w:hAnsi="Rockwell"/>
          <w:noProof/>
        </w:rPr>
        <mc:AlternateContent>
          <mc:Choice Requires="wps">
            <w:drawing>
              <wp:anchor distT="0" distB="0" distL="114300" distR="114300" simplePos="0" relativeHeight="251667456" behindDoc="0" locked="0" layoutInCell="1" allowOverlap="1" wp14:anchorId="40E6E8E7" wp14:editId="7581C526">
                <wp:simplePos x="0" y="0"/>
                <wp:positionH relativeFrom="column">
                  <wp:posOffset>-62230</wp:posOffset>
                </wp:positionH>
                <wp:positionV relativeFrom="paragraph">
                  <wp:posOffset>312420</wp:posOffset>
                </wp:positionV>
                <wp:extent cx="5838825" cy="1743075"/>
                <wp:effectExtent l="19050" t="19050" r="28575" b="28575"/>
                <wp:wrapNone/>
                <wp:docPr id="16" name="Rectangle 8"/>
                <wp:cNvGraphicFramePr/>
                <a:graphic xmlns:a="http://schemas.openxmlformats.org/drawingml/2006/main">
                  <a:graphicData uri="http://schemas.microsoft.com/office/word/2010/wordprocessingShape">
                    <wps:wsp>
                      <wps:cNvSpPr/>
                      <wps:spPr>
                        <a:xfrm>
                          <a:off x="0" y="0"/>
                          <a:ext cx="5838825" cy="1743075"/>
                        </a:xfrm>
                        <a:prstGeom prst="rect">
                          <a:avLst/>
                        </a:prstGeom>
                        <a:solidFill>
                          <a:sysClr val="window" lastClr="FFFFFF"/>
                        </a:solidFill>
                        <a:ln w="28575" cap="flat" cmpd="sng" algn="ctr">
                          <a:solidFill>
                            <a:srgbClr val="00B0F0"/>
                          </a:solidFill>
                          <a:prstDash val="lgDashDot"/>
                          <a:miter lim="800000"/>
                        </a:ln>
                        <a:effectLst/>
                      </wps:spPr>
                      <wps:txbx>
                        <w:txbxContent>
                          <w:p w14:paraId="5AC212F0" w14:textId="77777777" w:rsidR="003148F1" w:rsidRDefault="003148F1">
                            <w:pPr>
                              <w:spacing w:before="240" w:after="240" w:line="244" w:lineRule="auto"/>
                              <w:jc w:val="center"/>
                              <w:textAlignment w:val="auto"/>
                              <w:rPr>
                                <w:b/>
                                <w:sz w:val="10"/>
                                <w:szCs w:val="10"/>
                              </w:rPr>
                            </w:pPr>
                          </w:p>
                          <w:p w14:paraId="625D60B8" w14:textId="77777777" w:rsidR="003148F1" w:rsidRDefault="003148F1">
                            <w:pPr>
                              <w:jc w:val="center"/>
                              <w:rPr>
                                <w:rFonts w:ascii="Rockwell" w:hAnsi="Rockwell"/>
                                <w:b/>
                                <w:sz w:val="32"/>
                                <w:szCs w:val="32"/>
                              </w:rPr>
                            </w:pPr>
                            <w:r>
                              <w:rPr>
                                <w:rFonts w:ascii="Rockwell" w:hAnsi="Rockwell"/>
                                <w:b/>
                                <w:sz w:val="32"/>
                                <w:szCs w:val="32"/>
                              </w:rPr>
                              <w:t>ANNEXE 1 : ENTREPRISES DE PUBLICITE DECLAREES</w:t>
                            </w:r>
                          </w:p>
                          <w:p w14:paraId="33546363" w14:textId="77777777" w:rsidR="003148F1" w:rsidRDefault="003148F1">
                            <w:pPr>
                              <w:jc w:val="center"/>
                              <w:rPr>
                                <w:sz w:val="32"/>
                                <w:szCs w:val="32"/>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40E6E8E7" id="Rectangle 8" o:spid="_x0000_s1044" style="position:absolute;left:0;text-align:left;margin-left:-4.9pt;margin-top:24.6pt;width:459.75pt;height:137.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" fillcolor="window" strokecolor="#00b0f0" strokeweight="2.25pt">
                <v:stroke dashstyle="longDashDot"/>
                <v:textbox>
                  <w:txbxContent>
                    <w:p w14:paraId="5AC212F0" w14:textId="77777777" w:rsidR="003148F1" w:rsidRDefault="003148F1">
                      <w:pPr>
                        <w:spacing w:before="240" w:after="240" w:line="244" w:lineRule="auto"/>
                        <w:jc w:val="center"/>
                        <w:textAlignment w:val="auto"/>
                        <w:rPr>
                          <w:b/>
                          <w:sz w:val="10"/>
                          <w:szCs w:val="10"/>
                        </w:rPr>
                      </w:pPr>
                    </w:p>
                    <w:p w14:paraId="625D60B8" w14:textId="77777777" w:rsidR="003148F1" w:rsidRDefault="003148F1">
                      <w:pPr>
                        <w:jc w:val="center"/>
                        <w:rPr>
                          <w:rFonts w:ascii="Rockwell" w:hAnsi="Rockwell"/>
                          <w:b/>
                          <w:sz w:val="32"/>
                          <w:szCs w:val="32"/>
                        </w:rPr>
                      </w:pPr>
                      <w:r>
                        <w:rPr>
                          <w:rFonts w:ascii="Rockwell" w:hAnsi="Rockwell"/>
                          <w:b/>
                          <w:sz w:val="32"/>
                          <w:szCs w:val="32"/>
                        </w:rPr>
                        <w:t>ANNEXE 1 : ENTREPRISES DE PUBLICITE DECLAREES</w:t>
                      </w:r>
                    </w:p>
                    <w:p w14:paraId="33546363" w14:textId="77777777" w:rsidR="003148F1" w:rsidRDefault="003148F1">
                      <w:pPr>
                        <w:jc w:val="center"/>
                        <w:rPr>
                          <w:sz w:val="32"/>
                          <w:szCs w:val="32"/>
                        </w:rPr>
                      </w:pPr>
                    </w:p>
                  </w:txbxContent>
                </v:textbox>
              </v:rect>
            </w:pict>
          </mc:Fallback>
        </mc:AlternateContent>
      </w:r>
    </w:p>
    <w:p w14:paraId="1CBD3256" w14:textId="77777777" w:rsidR="00284822" w:rsidRDefault="00284822">
      <w:pPr>
        <w:spacing w:before="120" w:after="120"/>
        <w:rPr>
          <w:rFonts w:ascii="Rockwell" w:hAnsi="Rockwell"/>
          <w:szCs w:val="26"/>
        </w:rPr>
      </w:pPr>
    </w:p>
    <w:p w14:paraId="2140D1CE" w14:textId="77777777" w:rsidR="00284822" w:rsidRDefault="00284822">
      <w:pPr>
        <w:spacing w:before="120" w:after="120"/>
        <w:rPr>
          <w:rFonts w:ascii="Rockwell" w:hAnsi="Rockwell"/>
          <w:szCs w:val="26"/>
        </w:rPr>
      </w:pPr>
    </w:p>
    <w:p w14:paraId="4EBD8707" w14:textId="77777777" w:rsidR="00284822" w:rsidRDefault="00284822">
      <w:pPr>
        <w:spacing w:before="120" w:after="120"/>
        <w:rPr>
          <w:rFonts w:ascii="Rockwell" w:hAnsi="Rockwell"/>
          <w:szCs w:val="26"/>
        </w:rPr>
      </w:pPr>
    </w:p>
    <w:p w14:paraId="57F2046A" w14:textId="77777777" w:rsidR="00284822" w:rsidRDefault="00284822">
      <w:pPr>
        <w:spacing w:before="120" w:after="120"/>
        <w:rPr>
          <w:rFonts w:ascii="Rockwell" w:hAnsi="Rockwell"/>
          <w:szCs w:val="26"/>
        </w:rPr>
      </w:pPr>
    </w:p>
    <w:p w14:paraId="7AA02D6C" w14:textId="77777777" w:rsidR="00284822" w:rsidRDefault="00284822">
      <w:pPr>
        <w:spacing w:before="120" w:after="120"/>
        <w:rPr>
          <w:rFonts w:ascii="Rockwell" w:hAnsi="Rockwell"/>
          <w:szCs w:val="26"/>
        </w:rPr>
      </w:pPr>
    </w:p>
    <w:p w14:paraId="6DFB7D0C" w14:textId="77777777" w:rsidR="00284822" w:rsidRDefault="00284822">
      <w:pPr>
        <w:spacing w:before="120" w:after="120"/>
        <w:rPr>
          <w:rFonts w:ascii="Rockwell" w:hAnsi="Rockwell"/>
          <w:szCs w:val="26"/>
        </w:rPr>
      </w:pPr>
    </w:p>
    <w:p w14:paraId="509611FB" w14:textId="77777777" w:rsidR="00284822" w:rsidRDefault="00284822">
      <w:pPr>
        <w:spacing w:before="120" w:after="120"/>
        <w:rPr>
          <w:rFonts w:ascii="Rockwell" w:hAnsi="Rockwell"/>
          <w:szCs w:val="26"/>
        </w:rPr>
        <w:sectPr w:rsidR="00284822">
          <w:pgSz w:w="11906" w:h="16838"/>
          <w:pgMar w:top="1418" w:right="1418" w:bottom="1418" w:left="1418" w:header="720" w:footer="720" w:gutter="0"/>
          <w:cols w:space="720"/>
        </w:sectPr>
      </w:pPr>
    </w:p>
    <w:p w14:paraId="65D15D60" w14:textId="77777777" w:rsidR="00284822" w:rsidRDefault="00F77BF8">
      <w:pPr>
        <w:tabs>
          <w:tab w:val="left" w:pos="7787"/>
        </w:tabs>
        <w:spacing w:before="120" w:after="120"/>
        <w:rPr>
          <w:rFonts w:ascii="Rockwell" w:hAnsi="Rockwell"/>
          <w:szCs w:val="26"/>
        </w:rPr>
      </w:pPr>
      <w:r>
        <w:rPr>
          <w:rFonts w:ascii="Rockwell" w:hAnsi="Rockwell"/>
          <w:szCs w:val="26"/>
        </w:rPr>
        <w:lastRenderedPageBreak/>
        <w:tab/>
      </w:r>
      <w:r>
        <w:rPr>
          <w:rFonts w:ascii="Rockwell" w:hAnsi="Rockwell"/>
          <w:noProof/>
          <w:szCs w:val="26"/>
        </w:rPr>
        <w:drawing>
          <wp:inline distT="0" distB="0" distL="0" distR="0" wp14:anchorId="0E753DD7" wp14:editId="42D21E79">
            <wp:extent cx="5759450" cy="8261985"/>
            <wp:effectExtent l="0" t="0" r="0" b="5715"/>
            <wp:docPr id="48" name="Imag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 48"/>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a:xfrm>
                      <a:off x="0" y="0"/>
                      <a:ext cx="5759450" cy="8262289"/>
                    </a:xfrm>
                    <a:prstGeom prst="rect">
                      <a:avLst/>
                    </a:prstGeom>
                    <a:noFill/>
                    <a:ln>
                      <a:noFill/>
                    </a:ln>
                  </pic:spPr>
                </pic:pic>
              </a:graphicData>
            </a:graphic>
          </wp:inline>
        </w:drawing>
      </w:r>
    </w:p>
    <w:p w14:paraId="2BF810BB" w14:textId="77777777" w:rsidR="00284822" w:rsidRDefault="00F77BF8">
      <w:pPr>
        <w:tabs>
          <w:tab w:val="left" w:pos="7787"/>
        </w:tabs>
        <w:spacing w:before="120" w:after="120"/>
        <w:rPr>
          <w:rFonts w:ascii="Rockwell" w:hAnsi="Rockwell"/>
          <w:szCs w:val="26"/>
        </w:rPr>
      </w:pPr>
      <w:r>
        <w:rPr>
          <w:rFonts w:ascii="Rockwell" w:hAnsi="Rockwell"/>
          <w:noProof/>
          <w:szCs w:val="26"/>
        </w:rPr>
        <w:lastRenderedPageBreak/>
        <w:drawing>
          <wp:inline distT="0" distB="0" distL="0" distR="0" wp14:anchorId="11E7D8BC" wp14:editId="0672506F">
            <wp:extent cx="5496560" cy="7527290"/>
            <wp:effectExtent l="0" t="0" r="8890" b="0"/>
            <wp:docPr id="49" name="Imag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 49"/>
                    <pic:cNvPicPr>
                      <a:picLocks noChangeAspect="1" noChangeArrowheads="1"/>
                    </pic:cNvPicPr>
                  </pic:nvPicPr>
                  <pic:blipFill>
                    <a:blip r:embed="rId120" cstate="print">
                      <a:extLst>
                        <a:ext uri="{28A0092B-C50C-407E-A947-70E740481C1C}">
                          <a14:useLocalDpi xmlns:a14="http://schemas.microsoft.com/office/drawing/2010/main" val="0"/>
                        </a:ext>
                      </a:extLst>
                    </a:blip>
                    <a:srcRect r="4550" b="7492"/>
                    <a:stretch>
                      <a:fillRect/>
                    </a:stretch>
                  </pic:blipFill>
                  <pic:spPr>
                    <a:xfrm>
                      <a:off x="0" y="0"/>
                      <a:ext cx="5497395" cy="7528347"/>
                    </a:xfrm>
                    <a:prstGeom prst="rect">
                      <a:avLst/>
                    </a:prstGeom>
                    <a:noFill/>
                    <a:ln>
                      <a:noFill/>
                    </a:ln>
                  </pic:spPr>
                </pic:pic>
              </a:graphicData>
            </a:graphic>
          </wp:inline>
        </w:drawing>
      </w:r>
    </w:p>
    <w:p w14:paraId="35983264" w14:textId="77777777" w:rsidR="00284822" w:rsidRDefault="00284822">
      <w:pPr>
        <w:tabs>
          <w:tab w:val="left" w:pos="7787"/>
        </w:tabs>
        <w:spacing w:before="120" w:after="120"/>
        <w:rPr>
          <w:rFonts w:ascii="Rockwell" w:hAnsi="Rockwell"/>
          <w:szCs w:val="26"/>
        </w:rPr>
        <w:sectPr w:rsidR="00284822">
          <w:pgSz w:w="11906" w:h="16838"/>
          <w:pgMar w:top="1418" w:right="1418" w:bottom="1418" w:left="1418" w:header="720" w:footer="720" w:gutter="0"/>
          <w:cols w:space="720"/>
        </w:sectPr>
      </w:pPr>
    </w:p>
    <w:p w14:paraId="20C0F27D" w14:textId="77777777" w:rsidR="00284822" w:rsidRDefault="00F77BF8">
      <w:pPr>
        <w:tabs>
          <w:tab w:val="left" w:pos="7787"/>
        </w:tabs>
        <w:spacing w:before="120" w:after="120"/>
        <w:rPr>
          <w:rFonts w:ascii="Rockwell" w:hAnsi="Rockwell"/>
          <w:szCs w:val="26"/>
        </w:rPr>
      </w:pPr>
      <w:r>
        <w:rPr>
          <w:rFonts w:ascii="Rockwell" w:hAnsi="Rockwell"/>
          <w:noProof/>
          <w:szCs w:val="26"/>
        </w:rPr>
        <w:lastRenderedPageBreak/>
        <w:drawing>
          <wp:inline distT="0" distB="0" distL="0" distR="0" wp14:anchorId="6A846546" wp14:editId="742E1C0C">
            <wp:extent cx="8891270" cy="5655945"/>
            <wp:effectExtent l="0" t="0" r="5080" b="1905"/>
            <wp:docPr id="50" name="Imag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 50"/>
                    <pic:cNvPicPr>
                      <a:picLocks noChangeAspect="1" noChangeArrowheads="1"/>
                    </pic:cNvPicPr>
                  </pic:nvPicPr>
                  <pic:blipFill>
                    <a:blip r:embed="rId121" cstate="print">
                      <a:extLst>
                        <a:ext uri="{28A0092B-C50C-407E-A947-70E740481C1C}">
                          <a14:useLocalDpi xmlns:a14="http://schemas.microsoft.com/office/drawing/2010/main" val="0"/>
                        </a:ext>
                      </a:extLst>
                    </a:blip>
                    <a:srcRect l="-1" r="-1" b="9903"/>
                    <a:stretch>
                      <a:fillRect/>
                    </a:stretch>
                  </pic:blipFill>
                  <pic:spPr>
                    <a:xfrm>
                      <a:off x="0" y="0"/>
                      <a:ext cx="8891358" cy="5656577"/>
                    </a:xfrm>
                    <a:prstGeom prst="rect">
                      <a:avLst/>
                    </a:prstGeom>
                    <a:noFill/>
                    <a:ln>
                      <a:noFill/>
                    </a:ln>
                  </pic:spPr>
                </pic:pic>
              </a:graphicData>
            </a:graphic>
          </wp:inline>
        </w:drawing>
      </w:r>
    </w:p>
    <w:p w14:paraId="25235DFC" w14:textId="77777777" w:rsidR="00284822" w:rsidRDefault="00F77BF8">
      <w:pPr>
        <w:tabs>
          <w:tab w:val="left" w:pos="7787"/>
        </w:tabs>
        <w:spacing w:before="120" w:after="120"/>
        <w:rPr>
          <w:rFonts w:ascii="Rockwell" w:hAnsi="Rockwell"/>
          <w:szCs w:val="26"/>
        </w:rPr>
      </w:pPr>
      <w:r>
        <w:rPr>
          <w:rFonts w:ascii="Rockwell" w:hAnsi="Rockwell"/>
          <w:noProof/>
          <w:szCs w:val="26"/>
        </w:rPr>
        <w:lastRenderedPageBreak/>
        <w:drawing>
          <wp:inline distT="0" distB="0" distL="0" distR="0" wp14:anchorId="27F6EE99" wp14:editId="472C2F56">
            <wp:extent cx="8994775" cy="5560695"/>
            <wp:effectExtent l="0" t="0" r="0" b="1905"/>
            <wp:docPr id="51" name="Imag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 51"/>
                    <pic:cNvPicPr>
                      <a:picLocks noChangeAspect="1" noChangeArrowheads="1"/>
                    </pic:cNvPicPr>
                  </pic:nvPicPr>
                  <pic:blipFill>
                    <a:blip r:embed="rId122" cstate="print">
                      <a:extLst>
                        <a:ext uri="{28A0092B-C50C-407E-A947-70E740481C1C}">
                          <a14:useLocalDpi xmlns:a14="http://schemas.microsoft.com/office/drawing/2010/main" val="0"/>
                        </a:ext>
                      </a:extLst>
                    </a:blip>
                    <a:srcRect r="-1170" b="11427"/>
                    <a:stretch>
                      <a:fillRect/>
                    </a:stretch>
                  </pic:blipFill>
                  <pic:spPr>
                    <a:xfrm>
                      <a:off x="0" y="0"/>
                      <a:ext cx="8995234" cy="5560883"/>
                    </a:xfrm>
                    <a:prstGeom prst="rect">
                      <a:avLst/>
                    </a:prstGeom>
                    <a:noFill/>
                    <a:ln>
                      <a:noFill/>
                    </a:ln>
                  </pic:spPr>
                </pic:pic>
              </a:graphicData>
            </a:graphic>
          </wp:inline>
        </w:drawing>
      </w:r>
    </w:p>
    <w:p w14:paraId="58D94557" w14:textId="77777777" w:rsidR="00284822" w:rsidRDefault="00F77BF8">
      <w:pPr>
        <w:tabs>
          <w:tab w:val="left" w:pos="7787"/>
        </w:tabs>
        <w:spacing w:before="120" w:after="120"/>
        <w:rPr>
          <w:rFonts w:ascii="Rockwell" w:hAnsi="Rockwell"/>
          <w:szCs w:val="26"/>
        </w:rPr>
      </w:pPr>
      <w:r>
        <w:rPr>
          <w:rFonts w:ascii="Rockwell" w:hAnsi="Rockwell"/>
          <w:noProof/>
          <w:szCs w:val="26"/>
        </w:rPr>
        <w:lastRenderedPageBreak/>
        <w:drawing>
          <wp:inline distT="0" distB="0" distL="0" distR="0" wp14:anchorId="0520C239" wp14:editId="54C7BF3A">
            <wp:extent cx="8891270" cy="5624195"/>
            <wp:effectExtent l="0" t="0" r="5080" b="0"/>
            <wp:docPr id="52" name="Imag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 52"/>
                    <pic:cNvPicPr>
                      <a:picLocks noChangeAspect="1" noChangeArrowheads="1"/>
                    </pic:cNvPicPr>
                  </pic:nvPicPr>
                  <pic:blipFill>
                    <a:blip r:embed="rId123" cstate="print">
                      <a:extLst>
                        <a:ext uri="{28A0092B-C50C-407E-A947-70E740481C1C}">
                          <a14:useLocalDpi xmlns:a14="http://schemas.microsoft.com/office/drawing/2010/main" val="0"/>
                        </a:ext>
                      </a:extLst>
                    </a:blip>
                    <a:srcRect l="-1" r="-1" b="10411"/>
                    <a:stretch>
                      <a:fillRect/>
                    </a:stretch>
                  </pic:blipFill>
                  <pic:spPr>
                    <a:xfrm>
                      <a:off x="0" y="0"/>
                      <a:ext cx="8891358" cy="5624680"/>
                    </a:xfrm>
                    <a:prstGeom prst="rect">
                      <a:avLst/>
                    </a:prstGeom>
                    <a:noFill/>
                    <a:ln>
                      <a:noFill/>
                    </a:ln>
                  </pic:spPr>
                </pic:pic>
              </a:graphicData>
            </a:graphic>
          </wp:inline>
        </w:drawing>
      </w:r>
    </w:p>
    <w:p w14:paraId="22460EAC" w14:textId="77777777" w:rsidR="00284822" w:rsidRDefault="00F77BF8">
      <w:pPr>
        <w:tabs>
          <w:tab w:val="left" w:pos="7787"/>
        </w:tabs>
        <w:spacing w:before="120" w:after="120"/>
        <w:rPr>
          <w:rFonts w:ascii="Rockwell" w:hAnsi="Rockwell"/>
          <w:szCs w:val="26"/>
        </w:rPr>
      </w:pPr>
      <w:r>
        <w:rPr>
          <w:rFonts w:ascii="Rockwell" w:hAnsi="Rockwell"/>
          <w:noProof/>
          <w:szCs w:val="26"/>
        </w:rPr>
        <w:lastRenderedPageBreak/>
        <w:drawing>
          <wp:inline distT="0" distB="0" distL="0" distR="0" wp14:anchorId="0DFFE898" wp14:editId="2D8ABE80">
            <wp:extent cx="8696960" cy="5007610"/>
            <wp:effectExtent l="0" t="0" r="8890" b="2540"/>
            <wp:docPr id="60" name="Imag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 60"/>
                    <pic:cNvPicPr>
                      <a:picLocks noChangeAspect="1" noChangeArrowheads="1"/>
                    </pic:cNvPicPr>
                  </pic:nvPicPr>
                  <pic:blipFill>
                    <a:blip r:embed="rId124" cstate="print">
                      <a:extLst>
                        <a:ext uri="{28A0092B-C50C-407E-A947-70E740481C1C}">
                          <a14:useLocalDpi xmlns:a14="http://schemas.microsoft.com/office/drawing/2010/main" val="0"/>
                        </a:ext>
                      </a:extLst>
                    </a:blip>
                    <a:srcRect t="5775" r="2176" b="11799"/>
                    <a:stretch>
                      <a:fillRect/>
                    </a:stretch>
                  </pic:blipFill>
                  <pic:spPr>
                    <a:xfrm>
                      <a:off x="0" y="0"/>
                      <a:ext cx="8697850" cy="5008175"/>
                    </a:xfrm>
                    <a:prstGeom prst="rect">
                      <a:avLst/>
                    </a:prstGeom>
                    <a:noFill/>
                    <a:ln>
                      <a:noFill/>
                    </a:ln>
                  </pic:spPr>
                </pic:pic>
              </a:graphicData>
            </a:graphic>
          </wp:inline>
        </w:drawing>
      </w:r>
    </w:p>
    <w:p w14:paraId="74AD9DD2" w14:textId="77777777" w:rsidR="00284822" w:rsidRDefault="00F77BF8">
      <w:pPr>
        <w:tabs>
          <w:tab w:val="left" w:pos="7787"/>
        </w:tabs>
        <w:spacing w:before="120" w:after="120"/>
        <w:ind w:left="426"/>
        <w:rPr>
          <w:rFonts w:ascii="Rockwell" w:hAnsi="Rockwell"/>
          <w:szCs w:val="26"/>
        </w:rPr>
      </w:pPr>
      <w:r>
        <w:rPr>
          <w:rFonts w:ascii="Rockwell" w:hAnsi="Rockwell"/>
          <w:noProof/>
          <w:szCs w:val="26"/>
        </w:rPr>
        <w:lastRenderedPageBreak/>
        <w:drawing>
          <wp:inline distT="0" distB="0" distL="0" distR="0" wp14:anchorId="3EBAFF94" wp14:editId="26EBAAC2">
            <wp:extent cx="8745855" cy="5486400"/>
            <wp:effectExtent l="0" t="0" r="0" b="0"/>
            <wp:docPr id="63" name="Imag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 63"/>
                    <pic:cNvPicPr>
                      <a:picLocks noChangeAspect="1" noChangeArrowheads="1"/>
                    </pic:cNvPicPr>
                  </pic:nvPicPr>
                  <pic:blipFill>
                    <a:blip r:embed="rId125" cstate="print">
                      <a:extLst>
                        <a:ext uri="{28A0092B-C50C-407E-A947-70E740481C1C}">
                          <a14:useLocalDpi xmlns:a14="http://schemas.microsoft.com/office/drawing/2010/main" val="0"/>
                        </a:ext>
                      </a:extLst>
                    </a:blip>
                    <a:srcRect r="1820" b="10806"/>
                    <a:stretch>
                      <a:fillRect/>
                    </a:stretch>
                  </pic:blipFill>
                  <pic:spPr>
                    <a:xfrm>
                      <a:off x="0" y="0"/>
                      <a:ext cx="8752818" cy="5490501"/>
                    </a:xfrm>
                    <a:prstGeom prst="rect">
                      <a:avLst/>
                    </a:prstGeom>
                    <a:noFill/>
                    <a:ln>
                      <a:noFill/>
                    </a:ln>
                  </pic:spPr>
                </pic:pic>
              </a:graphicData>
            </a:graphic>
          </wp:inline>
        </w:drawing>
      </w:r>
    </w:p>
    <w:p w14:paraId="438C6A1D" w14:textId="77777777" w:rsidR="00284822" w:rsidRDefault="00F77BF8">
      <w:pPr>
        <w:tabs>
          <w:tab w:val="left" w:pos="7787"/>
        </w:tabs>
        <w:spacing w:before="120" w:after="120"/>
        <w:rPr>
          <w:rFonts w:ascii="Rockwell" w:hAnsi="Rockwell"/>
          <w:szCs w:val="26"/>
        </w:rPr>
      </w:pPr>
      <w:r>
        <w:rPr>
          <w:rFonts w:ascii="Rockwell" w:hAnsi="Rockwell"/>
          <w:noProof/>
          <w:szCs w:val="26"/>
        </w:rPr>
        <w:lastRenderedPageBreak/>
        <w:drawing>
          <wp:inline distT="0" distB="0" distL="0" distR="0" wp14:anchorId="3A028DB9" wp14:editId="0F03C35C">
            <wp:extent cx="8792845" cy="5518150"/>
            <wp:effectExtent l="0" t="0" r="8255" b="6350"/>
            <wp:docPr id="65" name="Imag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 65"/>
                    <pic:cNvPicPr>
                      <a:picLocks noChangeAspect="1" noChangeArrowheads="1"/>
                    </pic:cNvPicPr>
                  </pic:nvPicPr>
                  <pic:blipFill>
                    <a:blip r:embed="rId126" cstate="print">
                      <a:extLst>
                        <a:ext uri="{28A0092B-C50C-407E-A947-70E740481C1C}">
                          <a14:useLocalDpi xmlns:a14="http://schemas.microsoft.com/office/drawing/2010/main" val="0"/>
                        </a:ext>
                      </a:extLst>
                    </a:blip>
                    <a:srcRect r="1097" b="10732"/>
                    <a:stretch>
                      <a:fillRect/>
                    </a:stretch>
                  </pic:blipFill>
                  <pic:spPr>
                    <a:xfrm>
                      <a:off x="0" y="0"/>
                      <a:ext cx="8793718" cy="5518669"/>
                    </a:xfrm>
                    <a:prstGeom prst="rect">
                      <a:avLst/>
                    </a:prstGeom>
                    <a:noFill/>
                    <a:ln>
                      <a:noFill/>
                    </a:ln>
                  </pic:spPr>
                </pic:pic>
              </a:graphicData>
            </a:graphic>
          </wp:inline>
        </w:drawing>
      </w:r>
    </w:p>
    <w:p w14:paraId="7CCFB8DE" w14:textId="77777777" w:rsidR="00284822" w:rsidRDefault="00F77BF8">
      <w:pPr>
        <w:tabs>
          <w:tab w:val="left" w:pos="7787"/>
        </w:tabs>
        <w:spacing w:before="120" w:after="120"/>
        <w:rPr>
          <w:rFonts w:ascii="Rockwell" w:hAnsi="Rockwell"/>
          <w:szCs w:val="26"/>
        </w:rPr>
      </w:pPr>
      <w:r>
        <w:rPr>
          <w:rFonts w:ascii="Rockwell" w:hAnsi="Rockwell"/>
          <w:noProof/>
          <w:szCs w:val="26"/>
        </w:rPr>
        <w:lastRenderedPageBreak/>
        <w:drawing>
          <wp:inline distT="0" distB="0" distL="0" distR="0" wp14:anchorId="1E6A4909" wp14:editId="6E80A2FA">
            <wp:extent cx="8622665" cy="5379720"/>
            <wp:effectExtent l="0" t="0" r="6985" b="0"/>
            <wp:docPr id="67" name="Imag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 67"/>
                    <pic:cNvPicPr>
                      <a:picLocks noChangeAspect="1" noChangeArrowheads="1"/>
                    </pic:cNvPicPr>
                  </pic:nvPicPr>
                  <pic:blipFill>
                    <a:blip r:embed="rId127" cstate="print">
                      <a:extLst>
                        <a:ext uri="{28A0092B-C50C-407E-A947-70E740481C1C}">
                          <a14:useLocalDpi xmlns:a14="http://schemas.microsoft.com/office/drawing/2010/main" val="0"/>
                        </a:ext>
                      </a:extLst>
                    </a:blip>
                    <a:srcRect r="3016" b="11421"/>
                    <a:stretch>
                      <a:fillRect/>
                    </a:stretch>
                  </pic:blipFill>
                  <pic:spPr>
                    <a:xfrm>
                      <a:off x="0" y="0"/>
                      <a:ext cx="8623103" cy="5380136"/>
                    </a:xfrm>
                    <a:prstGeom prst="rect">
                      <a:avLst/>
                    </a:prstGeom>
                    <a:noFill/>
                    <a:ln>
                      <a:noFill/>
                    </a:ln>
                  </pic:spPr>
                </pic:pic>
              </a:graphicData>
            </a:graphic>
          </wp:inline>
        </w:drawing>
      </w:r>
    </w:p>
    <w:p w14:paraId="47F410CA" w14:textId="77777777" w:rsidR="00284822" w:rsidRDefault="00F77BF8">
      <w:pPr>
        <w:tabs>
          <w:tab w:val="left" w:pos="7787"/>
        </w:tabs>
        <w:spacing w:before="120" w:after="120"/>
        <w:ind w:left="426"/>
        <w:rPr>
          <w:rFonts w:ascii="Rockwell" w:hAnsi="Rockwell"/>
          <w:szCs w:val="26"/>
        </w:rPr>
      </w:pPr>
      <w:r>
        <w:rPr>
          <w:rFonts w:ascii="Rockwell" w:hAnsi="Rockwell"/>
          <w:noProof/>
          <w:szCs w:val="26"/>
        </w:rPr>
        <w:lastRenderedPageBreak/>
        <w:drawing>
          <wp:inline distT="0" distB="0" distL="0" distR="0" wp14:anchorId="57F94050" wp14:editId="102521B2">
            <wp:extent cx="8513445" cy="4676140"/>
            <wp:effectExtent l="0" t="0" r="1905" b="0"/>
            <wp:docPr id="69" name="Imag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 69"/>
                    <pic:cNvPicPr>
                      <a:picLocks noChangeAspect="1" noChangeArrowheads="1"/>
                    </pic:cNvPicPr>
                  </pic:nvPicPr>
                  <pic:blipFill>
                    <a:blip r:embed="rId128" cstate="print">
                      <a:extLst>
                        <a:ext uri="{28A0092B-C50C-407E-A947-70E740481C1C}">
                          <a14:useLocalDpi xmlns:a14="http://schemas.microsoft.com/office/drawing/2010/main" val="0"/>
                        </a:ext>
                      </a:extLst>
                    </a:blip>
                    <a:srcRect r="2412" b="13259"/>
                    <a:stretch>
                      <a:fillRect/>
                    </a:stretch>
                  </pic:blipFill>
                  <pic:spPr>
                    <a:xfrm>
                      <a:off x="0" y="0"/>
                      <a:ext cx="8531475" cy="4686669"/>
                    </a:xfrm>
                    <a:prstGeom prst="rect">
                      <a:avLst/>
                    </a:prstGeom>
                    <a:noFill/>
                    <a:ln>
                      <a:noFill/>
                    </a:ln>
                  </pic:spPr>
                </pic:pic>
              </a:graphicData>
            </a:graphic>
          </wp:inline>
        </w:drawing>
      </w:r>
    </w:p>
    <w:p w14:paraId="7934DDD6" w14:textId="77777777" w:rsidR="00284822" w:rsidRDefault="00F77BF8">
      <w:pPr>
        <w:tabs>
          <w:tab w:val="left" w:pos="7787"/>
        </w:tabs>
        <w:spacing w:before="120" w:after="120"/>
        <w:rPr>
          <w:rFonts w:ascii="Rockwell" w:hAnsi="Rockwell"/>
          <w:szCs w:val="26"/>
        </w:rPr>
      </w:pPr>
      <w:r>
        <w:rPr>
          <w:rFonts w:ascii="Rockwell" w:hAnsi="Rockwell"/>
          <w:noProof/>
          <w:szCs w:val="26"/>
        </w:rPr>
        <w:lastRenderedPageBreak/>
        <w:drawing>
          <wp:inline distT="0" distB="0" distL="0" distR="0" wp14:anchorId="7B8A5AF7" wp14:editId="05D0A381">
            <wp:extent cx="8930640" cy="5486400"/>
            <wp:effectExtent l="0" t="0" r="3810" b="0"/>
            <wp:docPr id="70" name="Imag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 70"/>
                    <pic:cNvPicPr>
                      <a:picLocks noChangeAspect="1" noChangeArrowheads="1"/>
                    </pic:cNvPicPr>
                  </pic:nvPicPr>
                  <pic:blipFill>
                    <a:blip r:embed="rId129">
                      <a:extLst>
                        <a:ext uri="{28A0092B-C50C-407E-A947-70E740481C1C}">
                          <a14:useLocalDpi xmlns:a14="http://schemas.microsoft.com/office/drawing/2010/main" val="0"/>
                        </a:ext>
                      </a:extLst>
                    </a:blip>
                    <a:srcRect r="6365" b="7697"/>
                    <a:stretch>
                      <a:fillRect/>
                    </a:stretch>
                  </pic:blipFill>
                  <pic:spPr>
                    <a:xfrm>
                      <a:off x="0" y="0"/>
                      <a:ext cx="8943170" cy="5493833"/>
                    </a:xfrm>
                    <a:prstGeom prst="rect">
                      <a:avLst/>
                    </a:prstGeom>
                    <a:noFill/>
                    <a:ln>
                      <a:noFill/>
                    </a:ln>
                  </pic:spPr>
                </pic:pic>
              </a:graphicData>
            </a:graphic>
          </wp:inline>
        </w:drawing>
      </w:r>
    </w:p>
    <w:p w14:paraId="7C2F4D61" w14:textId="77777777" w:rsidR="00284822" w:rsidRDefault="00F77BF8">
      <w:pPr>
        <w:tabs>
          <w:tab w:val="left" w:pos="7787"/>
        </w:tabs>
        <w:spacing w:before="120" w:after="120"/>
        <w:rPr>
          <w:rFonts w:ascii="Rockwell" w:hAnsi="Rockwell"/>
          <w:szCs w:val="26"/>
        </w:rPr>
      </w:pPr>
      <w:r>
        <w:rPr>
          <w:rFonts w:ascii="Rockwell" w:hAnsi="Rockwell"/>
          <w:noProof/>
          <w:szCs w:val="26"/>
        </w:rPr>
        <w:lastRenderedPageBreak/>
        <w:drawing>
          <wp:inline distT="0" distB="0" distL="0" distR="0" wp14:anchorId="301D4363" wp14:editId="6DAEF74B">
            <wp:extent cx="8654415" cy="5393690"/>
            <wp:effectExtent l="0" t="0" r="0" b="0"/>
            <wp:docPr id="71" name="Imag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 71"/>
                    <pic:cNvPicPr>
                      <a:picLocks noChangeAspect="1" noChangeArrowheads="1"/>
                    </pic:cNvPicPr>
                  </pic:nvPicPr>
                  <pic:blipFill>
                    <a:blip r:embed="rId130" cstate="print">
                      <a:extLst>
                        <a:ext uri="{28A0092B-C50C-407E-A947-70E740481C1C}">
                          <a14:useLocalDpi xmlns:a14="http://schemas.microsoft.com/office/drawing/2010/main" val="0"/>
                        </a:ext>
                      </a:extLst>
                    </a:blip>
                    <a:srcRect r="2363" b="10470"/>
                    <a:stretch>
                      <a:fillRect/>
                    </a:stretch>
                  </pic:blipFill>
                  <pic:spPr>
                    <a:xfrm>
                      <a:off x="0" y="0"/>
                      <a:ext cx="8662716" cy="5398986"/>
                    </a:xfrm>
                    <a:prstGeom prst="rect">
                      <a:avLst/>
                    </a:prstGeom>
                    <a:noFill/>
                    <a:ln>
                      <a:noFill/>
                    </a:ln>
                  </pic:spPr>
                </pic:pic>
              </a:graphicData>
            </a:graphic>
          </wp:inline>
        </w:drawing>
      </w:r>
    </w:p>
    <w:p w14:paraId="6549E3F7" w14:textId="77777777" w:rsidR="00284822" w:rsidRDefault="00F77BF8">
      <w:pPr>
        <w:tabs>
          <w:tab w:val="left" w:pos="7787"/>
        </w:tabs>
        <w:spacing w:before="120" w:after="120"/>
        <w:rPr>
          <w:rFonts w:ascii="Rockwell" w:hAnsi="Rockwell"/>
          <w:szCs w:val="26"/>
        </w:rPr>
        <w:sectPr w:rsidR="00284822">
          <w:pgSz w:w="16838" w:h="11906" w:orient="landscape"/>
          <w:pgMar w:top="1418" w:right="1418" w:bottom="1418" w:left="1418" w:header="720" w:footer="720" w:gutter="0"/>
          <w:cols w:space="720"/>
        </w:sectPr>
      </w:pPr>
      <w:r>
        <w:rPr>
          <w:rFonts w:ascii="Rockwell" w:hAnsi="Rockwell"/>
          <w:noProof/>
          <w:szCs w:val="26"/>
        </w:rPr>
        <w:lastRenderedPageBreak/>
        <w:drawing>
          <wp:inline distT="0" distB="0" distL="0" distR="0" wp14:anchorId="6C51D947" wp14:editId="1B095B54">
            <wp:extent cx="8463280" cy="5741035"/>
            <wp:effectExtent l="0" t="0" r="0" b="0"/>
            <wp:docPr id="72" name="Imag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 72"/>
                    <pic:cNvPicPr>
                      <a:picLocks noChangeAspect="1" noChangeArrowheads="1"/>
                    </pic:cNvPicPr>
                  </pic:nvPicPr>
                  <pic:blipFill>
                    <a:blip r:embed="rId131" cstate="print">
                      <a:extLst>
                        <a:ext uri="{28A0092B-C50C-407E-A947-70E740481C1C}">
                          <a14:useLocalDpi xmlns:a14="http://schemas.microsoft.com/office/drawing/2010/main" val="0"/>
                        </a:ext>
                      </a:extLst>
                    </a:blip>
                    <a:srcRect t="-1" r="4809" b="-11330"/>
                    <a:stretch>
                      <a:fillRect/>
                    </a:stretch>
                  </pic:blipFill>
                  <pic:spPr>
                    <a:xfrm>
                      <a:off x="0" y="0"/>
                      <a:ext cx="8463671" cy="5741686"/>
                    </a:xfrm>
                    <a:prstGeom prst="rect">
                      <a:avLst/>
                    </a:prstGeom>
                    <a:noFill/>
                    <a:ln>
                      <a:noFill/>
                    </a:ln>
                  </pic:spPr>
                </pic:pic>
              </a:graphicData>
            </a:graphic>
          </wp:inline>
        </w:drawing>
      </w:r>
    </w:p>
    <w:p w14:paraId="1CB86E30" w14:textId="77777777" w:rsidR="00284822" w:rsidRDefault="00F77BF8">
      <w:pPr>
        <w:tabs>
          <w:tab w:val="left" w:pos="7787"/>
        </w:tabs>
        <w:spacing w:before="120" w:after="120"/>
        <w:rPr>
          <w:rFonts w:ascii="Rockwell" w:hAnsi="Rockwell"/>
          <w:szCs w:val="26"/>
        </w:rPr>
        <w:sectPr w:rsidR="00284822">
          <w:pgSz w:w="11906" w:h="16838"/>
          <w:pgMar w:top="1418" w:right="1418" w:bottom="1418" w:left="1418" w:header="720" w:footer="720" w:gutter="0"/>
          <w:cols w:space="720"/>
        </w:sectPr>
      </w:pPr>
      <w:r>
        <w:rPr>
          <w:rFonts w:ascii="Rockwell" w:hAnsi="Rockwell"/>
          <w:noProof/>
          <w:szCs w:val="26"/>
        </w:rPr>
        <w:lastRenderedPageBreak/>
        <mc:AlternateContent>
          <mc:Choice Requires="wps">
            <w:drawing>
              <wp:anchor distT="0" distB="0" distL="114300" distR="114300" simplePos="0" relativeHeight="251665408" behindDoc="0" locked="0" layoutInCell="1" allowOverlap="1" wp14:anchorId="51015399" wp14:editId="3AF0E342">
                <wp:simplePos x="0" y="0"/>
                <wp:positionH relativeFrom="column">
                  <wp:posOffset>-205105</wp:posOffset>
                </wp:positionH>
                <wp:positionV relativeFrom="paragraph">
                  <wp:posOffset>3566795</wp:posOffset>
                </wp:positionV>
                <wp:extent cx="5934075" cy="1609725"/>
                <wp:effectExtent l="19050" t="19050" r="28575" b="28575"/>
                <wp:wrapNone/>
                <wp:docPr id="23" name="Rectangle 8"/>
                <wp:cNvGraphicFramePr/>
                <a:graphic xmlns:a="http://schemas.openxmlformats.org/drawingml/2006/main">
                  <a:graphicData uri="http://schemas.microsoft.com/office/word/2010/wordprocessingShape">
                    <wps:wsp>
                      <wps:cNvSpPr/>
                      <wps:spPr>
                        <a:xfrm>
                          <a:off x="0" y="0"/>
                          <a:ext cx="5934075" cy="1609725"/>
                        </a:xfrm>
                        <a:prstGeom prst="rect">
                          <a:avLst/>
                        </a:prstGeom>
                        <a:solidFill>
                          <a:sysClr val="window" lastClr="FFFFFF"/>
                        </a:solidFill>
                        <a:ln w="28575" cap="flat" cmpd="sng" algn="ctr">
                          <a:solidFill>
                            <a:srgbClr val="00B0F0"/>
                          </a:solidFill>
                          <a:prstDash val="lgDashDot"/>
                          <a:miter lim="800000"/>
                        </a:ln>
                        <a:effectLst/>
                      </wps:spPr>
                      <wps:txbx>
                        <w:txbxContent>
                          <w:p w14:paraId="068A4A27" w14:textId="77777777" w:rsidR="003148F1" w:rsidRDefault="003148F1">
                            <w:pPr>
                              <w:spacing w:line="244" w:lineRule="auto"/>
                              <w:jc w:val="center"/>
                              <w:textAlignment w:val="auto"/>
                              <w:rPr>
                                <w:b/>
                                <w:sz w:val="16"/>
                                <w:szCs w:val="16"/>
                              </w:rPr>
                            </w:pPr>
                          </w:p>
                          <w:p w14:paraId="024B6076" w14:textId="77777777" w:rsidR="003148F1" w:rsidRDefault="003148F1">
                            <w:pPr>
                              <w:jc w:val="center"/>
                              <w:rPr>
                                <w:rFonts w:ascii="Rockwell" w:hAnsi="Rockwell"/>
                                <w:b/>
                                <w:sz w:val="32"/>
                                <w:szCs w:val="32"/>
                              </w:rPr>
                            </w:pPr>
                            <w:r>
                              <w:rPr>
                                <w:rFonts w:ascii="Rockwell" w:hAnsi="Rockwell"/>
                                <w:b/>
                                <w:sz w:val="32"/>
                                <w:szCs w:val="32"/>
                              </w:rPr>
                              <w:t xml:space="preserve">ANNEXE 2 : </w:t>
                            </w:r>
                            <w:r>
                              <w:rPr>
                                <w:rFonts w:ascii="Rockwell" w:hAnsi="Rockwell"/>
                                <w:b/>
                                <w:sz w:val="32"/>
                                <w:szCs w:val="32"/>
                              </w:rPr>
                              <w:tab/>
                              <w:t>LISTE DES MEDIAS AUDIOVISUELS</w:t>
                            </w:r>
                          </w:p>
                          <w:p w14:paraId="20C03B60" w14:textId="77777777" w:rsidR="003148F1" w:rsidRDefault="003148F1">
                            <w:pPr>
                              <w:pStyle w:val="Lgende"/>
                              <w:jc w:val="center"/>
                              <w:rPr>
                                <w:rFonts w:ascii="Rockwell" w:hAnsi="Rockwell"/>
                                <w:sz w:val="32"/>
                                <w:szCs w:val="32"/>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51015399" id="_x0000_s1045" style="position:absolute;left:0;text-align:left;margin-left:-16.15pt;margin-top:280.85pt;width:467.25pt;height:126.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" fillcolor="window" strokecolor="#00b0f0" strokeweight="2.25pt">
                <v:stroke dashstyle="longDashDot"/>
                <v:textbox>
                  <w:txbxContent>
                    <w:p w14:paraId="068A4A27" w14:textId="77777777" w:rsidR="003148F1" w:rsidRDefault="003148F1">
                      <w:pPr>
                        <w:spacing w:line="244" w:lineRule="auto"/>
                        <w:jc w:val="center"/>
                        <w:textAlignment w:val="auto"/>
                        <w:rPr>
                          <w:b/>
                          <w:sz w:val="16"/>
                          <w:szCs w:val="16"/>
                        </w:rPr>
                      </w:pPr>
                    </w:p>
                    <w:p w14:paraId="024B6076" w14:textId="77777777" w:rsidR="003148F1" w:rsidRDefault="003148F1">
                      <w:pPr>
                        <w:jc w:val="center"/>
                        <w:rPr>
                          <w:rFonts w:ascii="Rockwell" w:hAnsi="Rockwell"/>
                          <w:b/>
                          <w:sz w:val="32"/>
                          <w:szCs w:val="32"/>
                        </w:rPr>
                      </w:pPr>
                      <w:r>
                        <w:rPr>
                          <w:rFonts w:ascii="Rockwell" w:hAnsi="Rockwell"/>
                          <w:b/>
                          <w:sz w:val="32"/>
                          <w:szCs w:val="32"/>
                        </w:rPr>
                        <w:t xml:space="preserve">ANNEXE 2 : </w:t>
                      </w:r>
                      <w:r>
                        <w:rPr>
                          <w:rFonts w:ascii="Rockwell" w:hAnsi="Rockwell"/>
                          <w:b/>
                          <w:sz w:val="32"/>
                          <w:szCs w:val="32"/>
                        </w:rPr>
                        <w:tab/>
                        <w:t>LISTE DES MEDIAS AUDIOVISUELS</w:t>
                      </w:r>
                    </w:p>
                    <w:p w14:paraId="20C03B60" w14:textId="77777777" w:rsidR="003148F1" w:rsidRDefault="003148F1">
                      <w:pPr>
                        <w:pStyle w:val="Lgende"/>
                        <w:jc w:val="center"/>
                        <w:rPr>
                          <w:rFonts w:ascii="Rockwell" w:hAnsi="Rockwell"/>
                          <w:sz w:val="32"/>
                          <w:szCs w:val="32"/>
                        </w:rPr>
                      </w:pPr>
                    </w:p>
                  </w:txbxContent>
                </v:textbox>
              </v:rect>
            </w:pict>
          </mc:Fallback>
        </mc:AlternateContent>
      </w:r>
      <w:r>
        <w:rPr>
          <w:rFonts w:ascii="Rockwell" w:hAnsi="Rockwell"/>
          <w:szCs w:val="26"/>
        </w:rPr>
        <w:tab/>
      </w:r>
    </w:p>
    <w:p w14:paraId="17381148" w14:textId="77777777" w:rsidR="00284822" w:rsidRDefault="00F77BF8">
      <w:pPr>
        <w:pStyle w:val="Paragraphedeliste"/>
        <w:numPr>
          <w:ilvl w:val="0"/>
          <w:numId w:val="52"/>
        </w:numPr>
        <w:ind w:left="1276" w:firstLine="556"/>
        <w:rPr>
          <w:rFonts w:ascii="Rockwell" w:hAnsi="Rockwell"/>
          <w:b/>
        </w:rPr>
      </w:pPr>
      <w:r>
        <w:rPr>
          <w:rFonts w:ascii="Rockwell" w:hAnsi="Rockwell"/>
          <w:b/>
        </w:rPr>
        <w:lastRenderedPageBreak/>
        <w:t>MEDIAS AUDIOVISUELS PRIVES</w:t>
      </w:r>
    </w:p>
    <w:p w14:paraId="5CFBB0C6" w14:textId="77777777" w:rsidR="00284822" w:rsidRDefault="00F77BF8">
      <w:pPr>
        <w:pStyle w:val="Paragraphedeliste"/>
        <w:numPr>
          <w:ilvl w:val="0"/>
          <w:numId w:val="53"/>
        </w:numPr>
        <w:ind w:left="1276" w:firstLine="273"/>
        <w:rPr>
          <w:rFonts w:ascii="Rockwell" w:hAnsi="Rockwell"/>
        </w:rPr>
      </w:pPr>
      <w:r>
        <w:rPr>
          <w:rFonts w:ascii="Rockwell" w:hAnsi="Rockwell"/>
        </w:rPr>
        <w:t>RADIODIFFUSIONS SONORES</w:t>
      </w:r>
    </w:p>
    <w:p w14:paraId="3EB98FEB" w14:textId="77777777" w:rsidR="00284822" w:rsidRDefault="00F77BF8">
      <w:pPr>
        <w:pStyle w:val="Paragraphedeliste"/>
        <w:numPr>
          <w:ilvl w:val="0"/>
          <w:numId w:val="54"/>
        </w:numPr>
        <w:ind w:left="1418" w:firstLine="273"/>
        <w:rPr>
          <w:rFonts w:ascii="Rockwell" w:hAnsi="Rockwell"/>
        </w:rPr>
      </w:pPr>
      <w:r>
        <w:rPr>
          <w:rFonts w:ascii="Rockwell" w:hAnsi="Rockwell"/>
        </w:rPr>
        <w:t>. Radios Confessionnelles : quarante (40)</w:t>
      </w:r>
    </w:p>
    <w:tbl>
      <w:tblPr>
        <w:tblW w:w="11492" w:type="dxa"/>
        <w:jc w:val="center"/>
        <w:tblLayout w:type="fixed"/>
        <w:tblCellMar>
          <w:left w:w="70" w:type="dxa"/>
          <w:right w:w="70" w:type="dxa"/>
        </w:tblCellMar>
        <w:tblLook w:val="04A0" w:firstRow="1" w:lastRow="0" w:firstColumn="1" w:lastColumn="0" w:noHBand="0" w:noVBand="1"/>
      </w:tblPr>
      <w:tblGrid>
        <w:gridCol w:w="993"/>
        <w:gridCol w:w="4956"/>
        <w:gridCol w:w="3402"/>
        <w:gridCol w:w="2141"/>
      </w:tblGrid>
      <w:tr w:rsidR="00284822" w14:paraId="4266B283" w14:textId="77777777">
        <w:trPr>
          <w:trHeight w:val="391"/>
          <w:jc w:val="center"/>
        </w:trPr>
        <w:tc>
          <w:tcPr>
            <w:tcW w:w="993" w:type="dxa"/>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bottom"/>
          </w:tcPr>
          <w:p w14:paraId="6FD30B1A" w14:textId="77777777" w:rsidR="00284822" w:rsidRDefault="00F77BF8">
            <w:pPr>
              <w:spacing w:before="120" w:after="120"/>
              <w:rPr>
                <w:rFonts w:ascii="Rockwell" w:hAnsi="Rockwell"/>
                <w:b/>
                <w:bCs/>
                <w:color w:val="000000"/>
                <w:szCs w:val="26"/>
              </w:rPr>
            </w:pPr>
            <w:r>
              <w:rPr>
                <w:rFonts w:ascii="Rockwell" w:hAnsi="Rockwell"/>
                <w:b/>
                <w:bCs/>
                <w:color w:val="000000"/>
                <w:szCs w:val="26"/>
              </w:rPr>
              <w:t>N°</w:t>
            </w:r>
          </w:p>
        </w:tc>
        <w:tc>
          <w:tcPr>
            <w:tcW w:w="4956" w:type="dxa"/>
            <w:tcBorders>
              <w:top w:val="single" w:sz="4" w:space="0" w:color="auto"/>
              <w:left w:val="nil"/>
              <w:bottom w:val="single" w:sz="4" w:space="0" w:color="auto"/>
              <w:right w:val="single" w:sz="4" w:space="0" w:color="auto"/>
            </w:tcBorders>
            <w:shd w:val="clear" w:color="auto" w:fill="BDD6EE" w:themeFill="accent1" w:themeFillTint="66"/>
            <w:noWrap/>
            <w:vAlign w:val="bottom"/>
          </w:tcPr>
          <w:p w14:paraId="0E5DD165" w14:textId="77777777" w:rsidR="00284822" w:rsidRDefault="00F77BF8">
            <w:pPr>
              <w:spacing w:before="120" w:after="120"/>
              <w:jc w:val="center"/>
              <w:rPr>
                <w:rFonts w:ascii="Rockwell" w:hAnsi="Rockwell"/>
                <w:b/>
                <w:bCs/>
                <w:color w:val="000000"/>
                <w:szCs w:val="26"/>
              </w:rPr>
            </w:pPr>
            <w:r>
              <w:rPr>
                <w:rFonts w:ascii="Rockwell" w:hAnsi="Rockwell"/>
                <w:b/>
                <w:bCs/>
                <w:color w:val="000000"/>
                <w:szCs w:val="26"/>
              </w:rPr>
              <w:t>Dénomination</w:t>
            </w:r>
          </w:p>
        </w:tc>
        <w:tc>
          <w:tcPr>
            <w:tcW w:w="3402" w:type="dxa"/>
            <w:tcBorders>
              <w:top w:val="single" w:sz="4" w:space="0" w:color="auto"/>
              <w:left w:val="nil"/>
              <w:bottom w:val="single" w:sz="4" w:space="0" w:color="auto"/>
              <w:right w:val="single" w:sz="4" w:space="0" w:color="auto"/>
            </w:tcBorders>
            <w:shd w:val="clear" w:color="auto" w:fill="BDD6EE" w:themeFill="accent1" w:themeFillTint="66"/>
            <w:noWrap/>
            <w:vAlign w:val="bottom"/>
          </w:tcPr>
          <w:p w14:paraId="4036C75D" w14:textId="77777777" w:rsidR="00284822" w:rsidRDefault="00F77BF8">
            <w:pPr>
              <w:spacing w:before="120" w:after="120"/>
              <w:jc w:val="center"/>
              <w:rPr>
                <w:rFonts w:ascii="Rockwell" w:hAnsi="Rockwell"/>
                <w:b/>
                <w:bCs/>
                <w:color w:val="000000"/>
                <w:szCs w:val="26"/>
              </w:rPr>
            </w:pPr>
            <w:r>
              <w:rPr>
                <w:rFonts w:ascii="Rockwell" w:hAnsi="Rockwell"/>
                <w:b/>
                <w:bCs/>
                <w:color w:val="000000"/>
                <w:szCs w:val="26"/>
              </w:rPr>
              <w:t>Localité/Province</w:t>
            </w:r>
          </w:p>
        </w:tc>
        <w:tc>
          <w:tcPr>
            <w:tcW w:w="2141" w:type="dxa"/>
            <w:tcBorders>
              <w:top w:val="single" w:sz="4" w:space="0" w:color="auto"/>
              <w:left w:val="nil"/>
              <w:bottom w:val="single" w:sz="4" w:space="0" w:color="auto"/>
              <w:right w:val="single" w:sz="4" w:space="0" w:color="auto"/>
            </w:tcBorders>
            <w:shd w:val="clear" w:color="auto" w:fill="BDD6EE" w:themeFill="accent1" w:themeFillTint="66"/>
            <w:noWrap/>
            <w:vAlign w:val="bottom"/>
          </w:tcPr>
          <w:p w14:paraId="108B130E" w14:textId="77777777" w:rsidR="00284822" w:rsidRDefault="00F77BF8">
            <w:pPr>
              <w:spacing w:before="120" w:after="120"/>
              <w:jc w:val="center"/>
              <w:rPr>
                <w:rFonts w:ascii="Rockwell" w:hAnsi="Rockwell"/>
                <w:b/>
                <w:bCs/>
                <w:color w:val="000000"/>
                <w:szCs w:val="26"/>
              </w:rPr>
            </w:pPr>
            <w:r>
              <w:rPr>
                <w:rFonts w:ascii="Rockwell" w:hAnsi="Rockwell"/>
                <w:b/>
                <w:bCs/>
                <w:color w:val="000000"/>
                <w:szCs w:val="26"/>
              </w:rPr>
              <w:t>Fréquence</w:t>
            </w:r>
          </w:p>
        </w:tc>
      </w:tr>
      <w:tr w:rsidR="00284822" w14:paraId="56DCB2AB"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8DB2ECB" w14:textId="77777777" w:rsidR="00284822" w:rsidRDefault="00F77BF8">
            <w:pPr>
              <w:spacing w:before="120" w:after="120"/>
              <w:jc w:val="center"/>
              <w:rPr>
                <w:rFonts w:ascii="Rockwell" w:hAnsi="Rockwell"/>
                <w:b/>
                <w:bCs/>
                <w:color w:val="000000"/>
                <w:szCs w:val="26"/>
              </w:rPr>
            </w:pPr>
            <w:r>
              <w:rPr>
                <w:rFonts w:ascii="Rockwell" w:hAnsi="Rockwell"/>
                <w:color w:val="000000"/>
                <w:szCs w:val="26"/>
              </w:rPr>
              <w:t>1</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0B9F0E78" w14:textId="77777777" w:rsidR="00284822" w:rsidRDefault="00F77BF8">
            <w:pPr>
              <w:spacing w:before="120" w:after="120"/>
              <w:jc w:val="left"/>
              <w:rPr>
                <w:rFonts w:ascii="Rockwell" w:hAnsi="Rockwell"/>
                <w:b/>
                <w:bCs/>
                <w:i/>
                <w:color w:val="000000"/>
                <w:szCs w:val="26"/>
              </w:rPr>
            </w:pPr>
            <w:r>
              <w:rPr>
                <w:rFonts w:ascii="Rockwell" w:hAnsi="Rockwell"/>
                <w:i/>
                <w:color w:val="000000"/>
                <w:szCs w:val="26"/>
              </w:rPr>
              <w:t>Radio Evangile Développement (RED)</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6FFADAA5" w14:textId="77777777" w:rsidR="00284822" w:rsidRDefault="00F77BF8">
            <w:pPr>
              <w:spacing w:before="120" w:after="120"/>
              <w:rPr>
                <w:rFonts w:ascii="Rockwell" w:hAnsi="Rockwell"/>
                <w:b/>
                <w:bCs/>
                <w:i/>
                <w:color w:val="000000"/>
                <w:szCs w:val="26"/>
              </w:rPr>
            </w:pPr>
            <w:r>
              <w:rPr>
                <w:rFonts w:ascii="Rockwell" w:hAnsi="Rockwell"/>
                <w:i/>
                <w:color w:val="000000"/>
                <w:szCs w:val="26"/>
              </w:rPr>
              <w:t>Ouagadougou/Kadiogo</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05A2EFF8" w14:textId="77777777" w:rsidR="00284822" w:rsidRDefault="00F77BF8">
            <w:pPr>
              <w:spacing w:before="120" w:after="120"/>
              <w:rPr>
                <w:rFonts w:ascii="Rockwell" w:hAnsi="Rockwell"/>
                <w:b/>
                <w:bCs/>
                <w:i/>
                <w:color w:val="000000"/>
                <w:szCs w:val="26"/>
              </w:rPr>
            </w:pPr>
            <w:r>
              <w:rPr>
                <w:rFonts w:ascii="Rockwell" w:hAnsi="Rockwell"/>
                <w:i/>
                <w:color w:val="000000"/>
                <w:szCs w:val="26"/>
              </w:rPr>
              <w:t>93.4 MHz</w:t>
            </w:r>
          </w:p>
        </w:tc>
      </w:tr>
      <w:tr w:rsidR="00284822" w14:paraId="48085F71"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BBF1F16" w14:textId="77777777" w:rsidR="00284822" w:rsidRDefault="00F77BF8">
            <w:pPr>
              <w:spacing w:before="120" w:after="120"/>
              <w:ind w:right="-489"/>
              <w:rPr>
                <w:rFonts w:ascii="Rockwell" w:hAnsi="Rockwell"/>
                <w:color w:val="000000"/>
                <w:szCs w:val="26"/>
              </w:rPr>
            </w:pPr>
            <w:r>
              <w:rPr>
                <w:rFonts w:ascii="Rockwell" w:hAnsi="Rockwell"/>
                <w:color w:val="000000"/>
                <w:szCs w:val="26"/>
              </w:rPr>
              <w:t xml:space="preserve">      2</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1E188E73" w14:textId="77777777" w:rsidR="00284822" w:rsidRDefault="00F77BF8">
            <w:pPr>
              <w:spacing w:before="120" w:after="120"/>
              <w:jc w:val="left"/>
              <w:rPr>
                <w:rFonts w:ascii="Rockwell" w:hAnsi="Rockwell"/>
                <w:color w:val="000000"/>
                <w:szCs w:val="26"/>
              </w:rPr>
            </w:pPr>
            <w:r>
              <w:rPr>
                <w:rFonts w:ascii="Rockwell" w:hAnsi="Rockwell"/>
                <w:color w:val="000000"/>
                <w:szCs w:val="26"/>
              </w:rPr>
              <w:t>Radio Evangile Développement (RED)</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2F1D8435" w14:textId="77777777" w:rsidR="00284822" w:rsidRDefault="00F77BF8">
            <w:pPr>
              <w:spacing w:before="120" w:after="120"/>
              <w:rPr>
                <w:rFonts w:ascii="Rockwell" w:hAnsi="Rockwell"/>
                <w:color w:val="000000"/>
                <w:szCs w:val="26"/>
              </w:rPr>
            </w:pPr>
            <w:r>
              <w:rPr>
                <w:rFonts w:ascii="Rockwell" w:hAnsi="Rockwell"/>
                <w:color w:val="000000"/>
                <w:szCs w:val="26"/>
              </w:rPr>
              <w:t>Ouahigouya/Yatenga</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1A65A219" w14:textId="77777777" w:rsidR="00284822" w:rsidRDefault="00F77BF8">
            <w:pPr>
              <w:spacing w:before="120" w:after="120"/>
              <w:rPr>
                <w:rFonts w:ascii="Rockwell" w:hAnsi="Rockwell"/>
                <w:color w:val="000000"/>
                <w:szCs w:val="26"/>
              </w:rPr>
            </w:pPr>
            <w:r>
              <w:rPr>
                <w:rFonts w:ascii="Rockwell" w:hAnsi="Rockwell"/>
                <w:color w:val="000000"/>
                <w:szCs w:val="26"/>
              </w:rPr>
              <w:t>104.00 MHz</w:t>
            </w:r>
          </w:p>
        </w:tc>
      </w:tr>
      <w:tr w:rsidR="00284822" w14:paraId="421FB5D1"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4423B09" w14:textId="77777777" w:rsidR="00284822" w:rsidRDefault="00F77BF8">
            <w:pPr>
              <w:spacing w:before="120" w:after="120"/>
              <w:jc w:val="center"/>
              <w:rPr>
                <w:rFonts w:ascii="Rockwell" w:hAnsi="Rockwell"/>
                <w:color w:val="000000"/>
                <w:szCs w:val="26"/>
              </w:rPr>
            </w:pPr>
            <w:r>
              <w:rPr>
                <w:rFonts w:ascii="Rockwell" w:hAnsi="Rockwell"/>
                <w:color w:val="000000"/>
                <w:szCs w:val="26"/>
              </w:rPr>
              <w:t>3</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7BDF7898" w14:textId="77777777" w:rsidR="00284822" w:rsidRDefault="00F77BF8">
            <w:pPr>
              <w:spacing w:before="120" w:after="120"/>
              <w:jc w:val="left"/>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Avé</w:t>
            </w:r>
            <w:proofErr w:type="spellEnd"/>
            <w:r>
              <w:rPr>
                <w:rFonts w:ascii="Rockwell" w:hAnsi="Rockwell"/>
                <w:color w:val="000000"/>
                <w:szCs w:val="26"/>
              </w:rPr>
              <w:t xml:space="preserve"> Maria</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4722657D"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0D9C596F" w14:textId="77777777" w:rsidR="00284822" w:rsidRDefault="00F77BF8">
            <w:pPr>
              <w:spacing w:before="120" w:after="120"/>
              <w:rPr>
                <w:rFonts w:ascii="Rockwell" w:hAnsi="Rockwell"/>
                <w:color w:val="000000"/>
                <w:szCs w:val="26"/>
              </w:rPr>
            </w:pPr>
            <w:r>
              <w:rPr>
                <w:rFonts w:ascii="Rockwell" w:hAnsi="Rockwell"/>
                <w:color w:val="000000"/>
                <w:szCs w:val="26"/>
              </w:rPr>
              <w:t>91.6 MHz</w:t>
            </w:r>
          </w:p>
        </w:tc>
      </w:tr>
      <w:tr w:rsidR="00284822" w14:paraId="0D2A0C0A"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58ED922" w14:textId="77777777" w:rsidR="00284822" w:rsidRDefault="00F77BF8">
            <w:pPr>
              <w:spacing w:before="120" w:after="120"/>
              <w:jc w:val="center"/>
              <w:rPr>
                <w:rFonts w:ascii="Rockwell" w:hAnsi="Rockwell"/>
                <w:color w:val="000000"/>
                <w:szCs w:val="26"/>
              </w:rPr>
            </w:pPr>
            <w:r>
              <w:rPr>
                <w:rFonts w:ascii="Rockwell" w:hAnsi="Rockwell"/>
                <w:color w:val="000000"/>
                <w:szCs w:val="26"/>
              </w:rPr>
              <w:t>4</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642CCEC2" w14:textId="77777777" w:rsidR="00284822" w:rsidRDefault="00F77BF8">
            <w:pPr>
              <w:spacing w:before="120" w:after="120"/>
              <w:jc w:val="left"/>
              <w:rPr>
                <w:rFonts w:ascii="Rockwell" w:hAnsi="Rockwell"/>
                <w:color w:val="000000"/>
                <w:szCs w:val="26"/>
              </w:rPr>
            </w:pPr>
            <w:r>
              <w:rPr>
                <w:rFonts w:ascii="Rockwell" w:hAnsi="Rockwell"/>
                <w:color w:val="000000"/>
                <w:szCs w:val="26"/>
              </w:rPr>
              <w:t>Radio Evangile Développement</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2604C76A" w14:textId="77777777" w:rsidR="00284822" w:rsidRDefault="00F77BF8">
            <w:pPr>
              <w:spacing w:before="120" w:after="120"/>
              <w:rPr>
                <w:rFonts w:ascii="Rockwell" w:hAnsi="Rockwell"/>
                <w:color w:val="000000"/>
                <w:szCs w:val="26"/>
              </w:rPr>
            </w:pPr>
            <w:r>
              <w:rPr>
                <w:rFonts w:ascii="Rockwell" w:hAnsi="Rockwell"/>
                <w:color w:val="000000"/>
                <w:szCs w:val="26"/>
              </w:rPr>
              <w:t>Bobo-Dioulasso/Houet</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2062E64E" w14:textId="77777777" w:rsidR="00284822" w:rsidRDefault="00F77BF8">
            <w:pPr>
              <w:spacing w:before="120" w:after="120"/>
              <w:rPr>
                <w:rFonts w:ascii="Rockwell" w:hAnsi="Rockwell"/>
                <w:color w:val="000000"/>
                <w:szCs w:val="26"/>
              </w:rPr>
            </w:pPr>
            <w:r>
              <w:rPr>
                <w:rFonts w:ascii="Rockwell" w:hAnsi="Rockwell"/>
                <w:color w:val="000000"/>
                <w:szCs w:val="26"/>
              </w:rPr>
              <w:t>106.300 MHz</w:t>
            </w:r>
          </w:p>
        </w:tc>
      </w:tr>
      <w:tr w:rsidR="00284822" w14:paraId="01F50BE7"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11C9CF9" w14:textId="77777777" w:rsidR="00284822" w:rsidRDefault="00F77BF8">
            <w:pPr>
              <w:spacing w:before="120" w:after="120"/>
              <w:jc w:val="center"/>
              <w:rPr>
                <w:rFonts w:ascii="Rockwell" w:hAnsi="Rockwell"/>
                <w:color w:val="000000"/>
                <w:szCs w:val="26"/>
              </w:rPr>
            </w:pPr>
            <w:r>
              <w:rPr>
                <w:rFonts w:ascii="Rockwell" w:hAnsi="Rockwell"/>
                <w:color w:val="000000"/>
                <w:szCs w:val="26"/>
              </w:rPr>
              <w:t>5</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61BEBEEB" w14:textId="77777777" w:rsidR="00284822" w:rsidRDefault="00F77BF8">
            <w:pPr>
              <w:spacing w:before="120" w:after="120"/>
              <w:jc w:val="left"/>
              <w:rPr>
                <w:rFonts w:ascii="Rockwell" w:hAnsi="Rockwell"/>
                <w:color w:val="000000"/>
                <w:szCs w:val="26"/>
              </w:rPr>
            </w:pPr>
            <w:r>
              <w:rPr>
                <w:rFonts w:ascii="Rockwell" w:hAnsi="Rockwell"/>
                <w:color w:val="000000"/>
                <w:szCs w:val="26"/>
              </w:rPr>
              <w:t>Radio Fréquence Espoir CEDICOM</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6DAF1BA1" w14:textId="77777777" w:rsidR="00284822" w:rsidRDefault="00F77BF8">
            <w:pPr>
              <w:spacing w:before="120" w:after="120"/>
              <w:rPr>
                <w:rFonts w:ascii="Rockwell" w:hAnsi="Rockwell"/>
                <w:color w:val="000000"/>
                <w:szCs w:val="26"/>
              </w:rPr>
            </w:pPr>
            <w:r>
              <w:rPr>
                <w:rFonts w:ascii="Rockwell" w:hAnsi="Rockwell"/>
                <w:color w:val="000000"/>
                <w:szCs w:val="26"/>
              </w:rPr>
              <w:t>Dédougou/Mouhoun</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71C3DCA8" w14:textId="77777777" w:rsidR="00284822" w:rsidRDefault="00F77BF8">
            <w:pPr>
              <w:spacing w:before="120" w:after="120"/>
              <w:rPr>
                <w:rFonts w:ascii="Rockwell" w:hAnsi="Rockwell"/>
                <w:color w:val="000000"/>
                <w:szCs w:val="26"/>
              </w:rPr>
            </w:pPr>
            <w:r>
              <w:rPr>
                <w:rFonts w:ascii="Rockwell" w:hAnsi="Rockwell"/>
                <w:color w:val="000000"/>
                <w:szCs w:val="26"/>
              </w:rPr>
              <w:t>96.800 MHz</w:t>
            </w:r>
          </w:p>
        </w:tc>
      </w:tr>
      <w:tr w:rsidR="00284822" w14:paraId="7C8BB001"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0D63B91" w14:textId="77777777" w:rsidR="00284822" w:rsidRDefault="00F77BF8">
            <w:pPr>
              <w:spacing w:before="120" w:after="120"/>
              <w:jc w:val="center"/>
              <w:rPr>
                <w:rFonts w:ascii="Rockwell" w:hAnsi="Rockwell"/>
                <w:color w:val="000000"/>
                <w:szCs w:val="26"/>
              </w:rPr>
            </w:pPr>
            <w:r>
              <w:rPr>
                <w:rFonts w:ascii="Rockwell" w:hAnsi="Rockwell"/>
                <w:color w:val="000000"/>
                <w:szCs w:val="26"/>
              </w:rPr>
              <w:t>6</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25B7E852" w14:textId="77777777" w:rsidR="00284822" w:rsidRDefault="00F77BF8">
            <w:pPr>
              <w:spacing w:before="120" w:after="120"/>
              <w:jc w:val="left"/>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Unitas</w:t>
            </w:r>
            <w:proofErr w:type="spellEnd"/>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1B585693" w14:textId="77777777" w:rsidR="00284822" w:rsidRDefault="00F77BF8">
            <w:pPr>
              <w:spacing w:before="120" w:after="120"/>
              <w:rPr>
                <w:rFonts w:ascii="Rockwell" w:hAnsi="Rockwell"/>
                <w:color w:val="000000"/>
                <w:szCs w:val="26"/>
              </w:rPr>
            </w:pPr>
            <w:r>
              <w:rPr>
                <w:rFonts w:ascii="Rockwell" w:hAnsi="Rockwell"/>
                <w:color w:val="000000"/>
                <w:szCs w:val="26"/>
              </w:rPr>
              <w:t>Diébougou/Bougouriba</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26FE1581" w14:textId="77777777" w:rsidR="00284822" w:rsidRDefault="00F77BF8">
            <w:pPr>
              <w:spacing w:before="120" w:after="120"/>
              <w:rPr>
                <w:rFonts w:ascii="Rockwell" w:hAnsi="Rockwell"/>
                <w:color w:val="000000"/>
                <w:szCs w:val="26"/>
              </w:rPr>
            </w:pPr>
            <w:r>
              <w:rPr>
                <w:rFonts w:ascii="Rockwell" w:hAnsi="Rockwell"/>
                <w:color w:val="000000"/>
                <w:szCs w:val="26"/>
              </w:rPr>
              <w:t>94.700 Mhz</w:t>
            </w:r>
          </w:p>
        </w:tc>
      </w:tr>
      <w:tr w:rsidR="00284822" w14:paraId="19FF316D"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5EC14C5" w14:textId="77777777" w:rsidR="00284822" w:rsidRDefault="00F77BF8">
            <w:pPr>
              <w:spacing w:before="120" w:after="120"/>
              <w:jc w:val="center"/>
              <w:rPr>
                <w:rFonts w:ascii="Rockwell" w:hAnsi="Rockwell"/>
                <w:color w:val="000000"/>
                <w:szCs w:val="26"/>
              </w:rPr>
            </w:pPr>
            <w:r>
              <w:rPr>
                <w:rFonts w:ascii="Rockwell" w:hAnsi="Rockwell"/>
                <w:color w:val="000000"/>
                <w:szCs w:val="26"/>
              </w:rPr>
              <w:t>7</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1CE58D87" w14:textId="77777777" w:rsidR="00284822" w:rsidRDefault="00F77BF8">
            <w:pPr>
              <w:spacing w:before="120" w:after="120"/>
              <w:jc w:val="left"/>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Taanba</w:t>
            </w:r>
            <w:proofErr w:type="spellEnd"/>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2D734438" w14:textId="77777777" w:rsidR="00284822" w:rsidRDefault="00F77BF8">
            <w:pPr>
              <w:spacing w:before="120" w:after="120"/>
              <w:rPr>
                <w:rFonts w:ascii="Rockwell" w:hAnsi="Rockwell"/>
                <w:color w:val="000000"/>
                <w:szCs w:val="26"/>
              </w:rPr>
            </w:pPr>
            <w:r>
              <w:rPr>
                <w:rFonts w:ascii="Rockwell" w:hAnsi="Rockwell"/>
                <w:color w:val="000000"/>
                <w:szCs w:val="26"/>
              </w:rPr>
              <w:t>Fada/Fada N'Gourma</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3A0CD975" w14:textId="77777777" w:rsidR="00284822" w:rsidRDefault="00F77BF8">
            <w:pPr>
              <w:spacing w:before="120" w:after="120"/>
              <w:rPr>
                <w:rFonts w:ascii="Rockwell" w:hAnsi="Rockwell"/>
                <w:color w:val="000000"/>
                <w:szCs w:val="26"/>
              </w:rPr>
            </w:pPr>
            <w:r>
              <w:rPr>
                <w:rFonts w:ascii="Rockwell" w:hAnsi="Rockwell"/>
                <w:color w:val="000000"/>
                <w:szCs w:val="26"/>
              </w:rPr>
              <w:t>98.8 MHz</w:t>
            </w:r>
          </w:p>
        </w:tc>
      </w:tr>
      <w:tr w:rsidR="00284822" w14:paraId="5614FFCB"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E17E6DB" w14:textId="77777777" w:rsidR="00284822" w:rsidRDefault="00F77BF8">
            <w:pPr>
              <w:spacing w:before="120" w:after="120"/>
              <w:jc w:val="center"/>
              <w:rPr>
                <w:rFonts w:ascii="Rockwell" w:hAnsi="Rockwell"/>
                <w:color w:val="000000"/>
                <w:szCs w:val="26"/>
              </w:rPr>
            </w:pPr>
            <w:r>
              <w:rPr>
                <w:rFonts w:ascii="Rockwell" w:hAnsi="Rockwell"/>
                <w:color w:val="000000"/>
                <w:szCs w:val="26"/>
              </w:rPr>
              <w:t>8</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26004B9B" w14:textId="77777777" w:rsidR="00284822" w:rsidRDefault="00F77BF8">
            <w:pPr>
              <w:spacing w:before="120" w:after="120"/>
              <w:jc w:val="left"/>
              <w:rPr>
                <w:rFonts w:ascii="Rockwell" w:hAnsi="Rockwell"/>
                <w:color w:val="000000"/>
                <w:szCs w:val="26"/>
              </w:rPr>
            </w:pPr>
            <w:r>
              <w:rPr>
                <w:rFonts w:ascii="Rockwell" w:hAnsi="Rockwell"/>
                <w:color w:val="000000"/>
                <w:szCs w:val="26"/>
              </w:rPr>
              <w:t>Radio Evangile du Sud-Ouest</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74615073" w14:textId="77777777" w:rsidR="00284822" w:rsidRDefault="00F77BF8">
            <w:pPr>
              <w:spacing w:before="120" w:after="120"/>
              <w:rPr>
                <w:rFonts w:ascii="Rockwell" w:hAnsi="Rockwell"/>
                <w:color w:val="000000"/>
                <w:szCs w:val="26"/>
              </w:rPr>
            </w:pPr>
            <w:r>
              <w:rPr>
                <w:rFonts w:ascii="Rockwell" w:hAnsi="Rockwell"/>
                <w:color w:val="000000"/>
                <w:szCs w:val="26"/>
              </w:rPr>
              <w:t>Gaoua/</w:t>
            </w:r>
            <w:proofErr w:type="spellStart"/>
            <w:r>
              <w:rPr>
                <w:rFonts w:ascii="Rockwell" w:hAnsi="Rockwell"/>
                <w:color w:val="000000"/>
                <w:szCs w:val="26"/>
              </w:rPr>
              <w:t>Poni</w:t>
            </w:r>
            <w:proofErr w:type="spellEnd"/>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54582F22" w14:textId="77777777" w:rsidR="00284822" w:rsidRDefault="00F77BF8">
            <w:pPr>
              <w:spacing w:before="120" w:after="120"/>
              <w:rPr>
                <w:rFonts w:ascii="Rockwell" w:hAnsi="Rockwell"/>
                <w:color w:val="000000"/>
                <w:szCs w:val="26"/>
              </w:rPr>
            </w:pPr>
            <w:r>
              <w:rPr>
                <w:rFonts w:ascii="Rockwell" w:hAnsi="Rockwell"/>
                <w:color w:val="000000"/>
                <w:szCs w:val="26"/>
              </w:rPr>
              <w:t>99.7 MHz</w:t>
            </w:r>
          </w:p>
        </w:tc>
      </w:tr>
      <w:tr w:rsidR="00284822" w14:paraId="08735800"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EA603C8" w14:textId="77777777" w:rsidR="00284822" w:rsidRDefault="00F77BF8">
            <w:pPr>
              <w:spacing w:before="120" w:after="120"/>
              <w:jc w:val="center"/>
              <w:rPr>
                <w:rFonts w:ascii="Rockwell" w:hAnsi="Rockwell"/>
                <w:color w:val="000000"/>
                <w:szCs w:val="26"/>
              </w:rPr>
            </w:pPr>
            <w:r>
              <w:rPr>
                <w:rFonts w:ascii="Rockwell" w:hAnsi="Rockwell"/>
                <w:color w:val="000000"/>
                <w:szCs w:val="26"/>
              </w:rPr>
              <w:t>9</w:t>
            </w:r>
          </w:p>
        </w:tc>
        <w:tc>
          <w:tcPr>
            <w:tcW w:w="4956" w:type="dxa"/>
            <w:tcBorders>
              <w:top w:val="single" w:sz="4" w:space="0" w:color="auto"/>
              <w:left w:val="nil"/>
              <w:bottom w:val="single" w:sz="4" w:space="0" w:color="auto"/>
              <w:right w:val="single" w:sz="4" w:space="0" w:color="auto"/>
            </w:tcBorders>
            <w:shd w:val="clear" w:color="auto" w:fill="FFFFFF" w:themeFill="background1"/>
            <w:noWrap/>
          </w:tcPr>
          <w:p w14:paraId="41EC0538" w14:textId="77777777" w:rsidR="00284822" w:rsidRDefault="00F77BF8">
            <w:pPr>
              <w:spacing w:before="120" w:after="120"/>
              <w:jc w:val="center"/>
              <w:rPr>
                <w:rFonts w:ascii="Rockwell" w:hAnsi="Rockwell"/>
                <w:color w:val="000000"/>
                <w:szCs w:val="26"/>
              </w:rPr>
            </w:pPr>
            <w:r>
              <w:rPr>
                <w:rFonts w:ascii="Rockwell" w:hAnsi="Rockwell"/>
                <w:color w:val="000000"/>
                <w:szCs w:val="26"/>
              </w:rPr>
              <w:t>Radio Notre Dame de la Réconciliation</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16910F09" w14:textId="77777777" w:rsidR="00284822" w:rsidRDefault="00F77BF8">
            <w:pPr>
              <w:spacing w:before="120" w:after="120"/>
              <w:rPr>
                <w:rFonts w:ascii="Rockwell" w:hAnsi="Rockwell"/>
                <w:color w:val="000000"/>
                <w:szCs w:val="26"/>
              </w:rPr>
            </w:pPr>
            <w:r>
              <w:rPr>
                <w:rFonts w:ascii="Rockwell" w:hAnsi="Rockwell"/>
                <w:color w:val="000000"/>
                <w:szCs w:val="26"/>
              </w:rPr>
              <w:t>Koudougou/Boulkiemdé</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55FA9001" w14:textId="77777777" w:rsidR="00284822" w:rsidRDefault="00F77BF8">
            <w:pPr>
              <w:spacing w:before="120" w:after="120"/>
              <w:rPr>
                <w:rFonts w:ascii="Rockwell" w:hAnsi="Rockwell"/>
                <w:color w:val="000000"/>
                <w:szCs w:val="26"/>
              </w:rPr>
            </w:pPr>
            <w:r>
              <w:rPr>
                <w:rFonts w:ascii="Rockwell" w:hAnsi="Rockwell"/>
                <w:color w:val="000000"/>
                <w:szCs w:val="26"/>
              </w:rPr>
              <w:t>105.8 MHz</w:t>
            </w:r>
          </w:p>
        </w:tc>
      </w:tr>
      <w:tr w:rsidR="00284822" w14:paraId="7FE6937D"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C039F1D" w14:textId="77777777" w:rsidR="00284822" w:rsidRDefault="00F77BF8">
            <w:pPr>
              <w:spacing w:before="120" w:after="120"/>
              <w:jc w:val="center"/>
              <w:rPr>
                <w:rFonts w:ascii="Rockwell" w:hAnsi="Rockwell"/>
                <w:color w:val="000000"/>
                <w:szCs w:val="26"/>
              </w:rPr>
            </w:pPr>
            <w:r>
              <w:rPr>
                <w:rFonts w:ascii="Rockwell" w:hAnsi="Rockwell"/>
                <w:color w:val="000000"/>
                <w:szCs w:val="26"/>
              </w:rPr>
              <w:lastRenderedPageBreak/>
              <w:t>10</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41FBEE55" w14:textId="77777777" w:rsidR="00284822" w:rsidRDefault="00F77BF8">
            <w:pPr>
              <w:spacing w:before="120" w:after="120"/>
              <w:jc w:val="left"/>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Natigm</w:t>
            </w:r>
            <w:proofErr w:type="spellEnd"/>
            <w:r>
              <w:rPr>
                <w:rFonts w:ascii="Rockwell" w:hAnsi="Rockwell"/>
                <w:color w:val="000000"/>
                <w:szCs w:val="26"/>
              </w:rPr>
              <w:t>-B-</w:t>
            </w:r>
            <w:proofErr w:type="spellStart"/>
            <w:r>
              <w:rPr>
                <w:rFonts w:ascii="Rockwell" w:hAnsi="Rockwell"/>
                <w:color w:val="000000"/>
                <w:szCs w:val="26"/>
              </w:rPr>
              <w:t>Zanga</w:t>
            </w:r>
            <w:proofErr w:type="spellEnd"/>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78F301B3" w14:textId="77777777" w:rsidR="00284822" w:rsidRDefault="00F77BF8">
            <w:pPr>
              <w:spacing w:before="120" w:after="120"/>
              <w:rPr>
                <w:rFonts w:ascii="Rockwell" w:hAnsi="Rockwell"/>
                <w:color w:val="000000"/>
                <w:szCs w:val="26"/>
              </w:rPr>
            </w:pPr>
            <w:proofErr w:type="spellStart"/>
            <w:r>
              <w:rPr>
                <w:rFonts w:ascii="Rockwell" w:hAnsi="Rockwell"/>
                <w:color w:val="000000"/>
                <w:szCs w:val="26"/>
              </w:rPr>
              <w:t>Yako</w:t>
            </w:r>
            <w:proofErr w:type="spellEnd"/>
            <w:r>
              <w:rPr>
                <w:rFonts w:ascii="Rockwell" w:hAnsi="Rockwell"/>
                <w:color w:val="000000"/>
                <w:szCs w:val="26"/>
              </w:rPr>
              <w:t>/Passoré</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1D953387" w14:textId="77777777" w:rsidR="00284822" w:rsidRDefault="00F77BF8">
            <w:pPr>
              <w:spacing w:before="120" w:after="120"/>
              <w:rPr>
                <w:rFonts w:ascii="Rockwell" w:hAnsi="Rockwell"/>
                <w:color w:val="000000"/>
                <w:szCs w:val="26"/>
              </w:rPr>
            </w:pPr>
            <w:r>
              <w:rPr>
                <w:rFonts w:ascii="Rockwell" w:hAnsi="Rockwell"/>
                <w:color w:val="000000"/>
                <w:szCs w:val="26"/>
              </w:rPr>
              <w:t>98.2 MHz</w:t>
            </w:r>
          </w:p>
        </w:tc>
      </w:tr>
      <w:tr w:rsidR="00284822" w14:paraId="4FD157DB"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BB50D42" w14:textId="77777777" w:rsidR="00284822" w:rsidRDefault="00F77BF8">
            <w:pPr>
              <w:spacing w:before="120" w:after="120"/>
              <w:jc w:val="center"/>
              <w:rPr>
                <w:rFonts w:ascii="Rockwell" w:hAnsi="Rockwell"/>
                <w:color w:val="000000"/>
                <w:szCs w:val="26"/>
              </w:rPr>
            </w:pPr>
            <w:r>
              <w:rPr>
                <w:rFonts w:ascii="Rockwell" w:hAnsi="Rockwell"/>
                <w:color w:val="000000"/>
                <w:szCs w:val="26"/>
              </w:rPr>
              <w:t>11</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7BCA77B6" w14:textId="77777777" w:rsidR="00284822" w:rsidRDefault="00F77BF8">
            <w:pPr>
              <w:spacing w:before="120" w:after="120"/>
              <w:jc w:val="left"/>
              <w:rPr>
                <w:rFonts w:ascii="Rockwell" w:hAnsi="Rockwell"/>
                <w:color w:val="000000"/>
                <w:szCs w:val="26"/>
              </w:rPr>
            </w:pPr>
            <w:r>
              <w:rPr>
                <w:rFonts w:ascii="Rockwell" w:hAnsi="Rockwell"/>
                <w:color w:val="000000"/>
                <w:szCs w:val="26"/>
              </w:rPr>
              <w:t>Radio Notre Dame du Sahel</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215F800C" w14:textId="77777777" w:rsidR="00284822" w:rsidRDefault="00F77BF8">
            <w:pPr>
              <w:spacing w:before="120" w:after="120"/>
              <w:rPr>
                <w:rFonts w:ascii="Rockwell" w:hAnsi="Rockwell"/>
                <w:color w:val="000000"/>
                <w:szCs w:val="26"/>
              </w:rPr>
            </w:pPr>
            <w:r>
              <w:rPr>
                <w:rFonts w:ascii="Rockwell" w:hAnsi="Rockwell"/>
                <w:color w:val="000000"/>
                <w:szCs w:val="26"/>
              </w:rPr>
              <w:t>Ouahigouya/Yatenga</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67C01ACF" w14:textId="77777777" w:rsidR="00284822" w:rsidRDefault="00F77BF8">
            <w:pPr>
              <w:spacing w:before="120" w:after="120"/>
              <w:rPr>
                <w:rFonts w:ascii="Rockwell" w:hAnsi="Rockwell"/>
                <w:color w:val="000000"/>
                <w:szCs w:val="26"/>
              </w:rPr>
            </w:pPr>
            <w:r>
              <w:rPr>
                <w:rFonts w:ascii="Rockwell" w:hAnsi="Rockwell"/>
                <w:color w:val="000000"/>
                <w:szCs w:val="26"/>
              </w:rPr>
              <w:t>102.6 MHz</w:t>
            </w:r>
          </w:p>
        </w:tc>
      </w:tr>
      <w:tr w:rsidR="00284822" w14:paraId="54CD1BBF"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D24528A" w14:textId="77777777" w:rsidR="00284822" w:rsidRDefault="00F77BF8">
            <w:pPr>
              <w:spacing w:before="120" w:after="120"/>
              <w:jc w:val="center"/>
              <w:rPr>
                <w:rFonts w:ascii="Rockwell" w:hAnsi="Rockwell"/>
                <w:color w:val="000000"/>
                <w:szCs w:val="26"/>
              </w:rPr>
            </w:pPr>
            <w:r>
              <w:rPr>
                <w:rFonts w:ascii="Rockwell" w:hAnsi="Rockwell"/>
                <w:color w:val="000000"/>
                <w:szCs w:val="26"/>
              </w:rPr>
              <w:t>12</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657F33C6" w14:textId="77777777" w:rsidR="00284822" w:rsidRDefault="00F77BF8">
            <w:pPr>
              <w:spacing w:before="120" w:after="120"/>
              <w:rPr>
                <w:rFonts w:ascii="Rockwell" w:hAnsi="Rockwell"/>
                <w:color w:val="000000"/>
                <w:szCs w:val="26"/>
              </w:rPr>
            </w:pPr>
            <w:r>
              <w:rPr>
                <w:rFonts w:ascii="Rockwell" w:hAnsi="Rockwell"/>
                <w:color w:val="000000"/>
                <w:szCs w:val="26"/>
              </w:rPr>
              <w:t>Radio Lumière Vie et Développement (LVD)</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5BF2233F"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733F0C70" w14:textId="77777777" w:rsidR="00284822" w:rsidRDefault="00F77BF8">
            <w:pPr>
              <w:spacing w:before="120" w:after="120"/>
              <w:rPr>
                <w:rFonts w:ascii="Rockwell" w:hAnsi="Rockwell"/>
                <w:color w:val="000000"/>
                <w:szCs w:val="26"/>
              </w:rPr>
            </w:pPr>
            <w:r>
              <w:rPr>
                <w:rFonts w:ascii="Rockwell" w:hAnsi="Rockwell"/>
                <w:color w:val="000000"/>
                <w:szCs w:val="26"/>
              </w:rPr>
              <w:t>98.1 MHz</w:t>
            </w:r>
          </w:p>
        </w:tc>
      </w:tr>
      <w:tr w:rsidR="00284822" w14:paraId="033B80DF"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BAE605A" w14:textId="77777777" w:rsidR="00284822" w:rsidRDefault="00F77BF8">
            <w:pPr>
              <w:spacing w:before="120" w:after="120"/>
              <w:jc w:val="center"/>
              <w:rPr>
                <w:rFonts w:ascii="Rockwell" w:hAnsi="Rockwell"/>
                <w:color w:val="000000"/>
                <w:szCs w:val="26"/>
              </w:rPr>
            </w:pPr>
            <w:r>
              <w:rPr>
                <w:rFonts w:ascii="Rockwell" w:hAnsi="Rockwell"/>
                <w:color w:val="000000"/>
                <w:szCs w:val="26"/>
              </w:rPr>
              <w:t>13</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4BB34119" w14:textId="77777777" w:rsidR="00284822" w:rsidRDefault="00F77BF8">
            <w:pPr>
              <w:spacing w:before="120" w:after="120"/>
              <w:rPr>
                <w:rFonts w:ascii="Rockwell" w:hAnsi="Rockwell"/>
                <w:color w:val="000000"/>
                <w:szCs w:val="26"/>
              </w:rPr>
            </w:pPr>
            <w:r>
              <w:rPr>
                <w:rFonts w:ascii="Rockwell" w:hAnsi="Rockwell"/>
                <w:color w:val="000000"/>
                <w:szCs w:val="26"/>
              </w:rPr>
              <w:t>Radio Alliance Chrétienne (RAC)</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36D54535" w14:textId="77777777" w:rsidR="00284822" w:rsidRDefault="00F77BF8">
            <w:pPr>
              <w:spacing w:before="120" w:after="120"/>
              <w:rPr>
                <w:rFonts w:ascii="Rockwell" w:hAnsi="Rockwell"/>
                <w:color w:val="000000"/>
                <w:szCs w:val="26"/>
              </w:rPr>
            </w:pPr>
            <w:r>
              <w:rPr>
                <w:rFonts w:ascii="Rockwell" w:hAnsi="Rockwell"/>
                <w:color w:val="000000"/>
                <w:szCs w:val="26"/>
              </w:rPr>
              <w:t>Bobo-Dioulasso/Houet</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2ECCD606" w14:textId="77777777" w:rsidR="00284822" w:rsidRDefault="00F77BF8">
            <w:pPr>
              <w:spacing w:before="120" w:after="120"/>
              <w:rPr>
                <w:rFonts w:ascii="Rockwell" w:hAnsi="Rockwell"/>
                <w:color w:val="000000"/>
                <w:szCs w:val="26"/>
              </w:rPr>
            </w:pPr>
            <w:r>
              <w:rPr>
                <w:rFonts w:ascii="Rockwell" w:hAnsi="Rockwell"/>
                <w:color w:val="000000"/>
                <w:szCs w:val="26"/>
              </w:rPr>
              <w:t>95.900 MHz</w:t>
            </w:r>
          </w:p>
        </w:tc>
      </w:tr>
      <w:tr w:rsidR="00284822" w14:paraId="76003682"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CCB9294" w14:textId="77777777" w:rsidR="00284822" w:rsidRDefault="00F77BF8">
            <w:pPr>
              <w:spacing w:before="120" w:after="120"/>
              <w:jc w:val="center"/>
              <w:rPr>
                <w:rFonts w:ascii="Rockwell" w:hAnsi="Rockwell"/>
                <w:color w:val="000000"/>
                <w:szCs w:val="26"/>
              </w:rPr>
            </w:pPr>
            <w:r>
              <w:rPr>
                <w:rFonts w:ascii="Rockwell" w:hAnsi="Rockwell"/>
                <w:color w:val="000000"/>
                <w:szCs w:val="26"/>
              </w:rPr>
              <w:t>14</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48C2E7A6"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Notre Dame de la Paix </w:t>
            </w:r>
            <w:proofErr w:type="gramStart"/>
            <w:r>
              <w:rPr>
                <w:rFonts w:ascii="Rockwell" w:hAnsi="Rockwell"/>
                <w:color w:val="000000"/>
                <w:szCs w:val="26"/>
              </w:rPr>
              <w:t>( Pax</w:t>
            </w:r>
            <w:proofErr w:type="gramEnd"/>
            <w:r>
              <w:rPr>
                <w:rFonts w:ascii="Rockwell" w:hAnsi="Rockwell"/>
                <w:color w:val="000000"/>
                <w:szCs w:val="26"/>
              </w:rPr>
              <w:t>)</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783D9867" w14:textId="77777777" w:rsidR="00284822" w:rsidRDefault="00F77BF8">
            <w:pPr>
              <w:spacing w:before="120" w:after="120"/>
              <w:rPr>
                <w:rFonts w:ascii="Rockwell" w:hAnsi="Rockwell"/>
                <w:color w:val="000000"/>
                <w:szCs w:val="26"/>
              </w:rPr>
            </w:pPr>
            <w:r>
              <w:rPr>
                <w:rFonts w:ascii="Rockwell" w:hAnsi="Rockwell"/>
                <w:color w:val="000000"/>
                <w:szCs w:val="26"/>
              </w:rPr>
              <w:t>Manga/Zoundwéogo</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6E0CA419" w14:textId="77777777" w:rsidR="00284822" w:rsidRDefault="00F77BF8">
            <w:pPr>
              <w:spacing w:before="120" w:after="120"/>
              <w:rPr>
                <w:rFonts w:ascii="Rockwell" w:hAnsi="Rockwell"/>
                <w:color w:val="000000"/>
                <w:szCs w:val="26"/>
              </w:rPr>
            </w:pPr>
            <w:r>
              <w:rPr>
                <w:rFonts w:ascii="Rockwell" w:hAnsi="Rockwell"/>
                <w:color w:val="000000"/>
                <w:szCs w:val="26"/>
              </w:rPr>
              <w:t>99 MHz</w:t>
            </w:r>
          </w:p>
        </w:tc>
      </w:tr>
      <w:tr w:rsidR="00284822" w14:paraId="6FB14372"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1381AEE" w14:textId="77777777" w:rsidR="00284822" w:rsidRDefault="00F77BF8">
            <w:pPr>
              <w:spacing w:before="120" w:after="120"/>
              <w:jc w:val="center"/>
              <w:rPr>
                <w:rFonts w:ascii="Rockwell" w:hAnsi="Rockwell"/>
                <w:color w:val="000000"/>
                <w:szCs w:val="26"/>
              </w:rPr>
            </w:pPr>
            <w:r>
              <w:rPr>
                <w:rFonts w:ascii="Rockwell" w:hAnsi="Rockwell"/>
                <w:color w:val="000000"/>
                <w:szCs w:val="26"/>
              </w:rPr>
              <w:t>15</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606DE01F"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Islamique </w:t>
            </w:r>
            <w:proofErr w:type="spellStart"/>
            <w:r>
              <w:rPr>
                <w:rFonts w:ascii="Rockwell" w:hAnsi="Rockwell"/>
                <w:color w:val="000000"/>
                <w:szCs w:val="26"/>
              </w:rPr>
              <w:t>Ahmadiyya</w:t>
            </w:r>
            <w:proofErr w:type="spellEnd"/>
            <w:r>
              <w:rPr>
                <w:rFonts w:ascii="Rockwell" w:hAnsi="Rockwell"/>
                <w:color w:val="000000"/>
                <w:szCs w:val="26"/>
              </w:rPr>
              <w:t xml:space="preserve"> (RIA)</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723BDFEC" w14:textId="77777777" w:rsidR="00284822" w:rsidRDefault="00F77BF8">
            <w:pPr>
              <w:spacing w:before="120" w:after="120"/>
              <w:rPr>
                <w:rFonts w:ascii="Rockwell" w:hAnsi="Rockwell"/>
                <w:color w:val="000000"/>
                <w:szCs w:val="26"/>
              </w:rPr>
            </w:pPr>
            <w:r>
              <w:rPr>
                <w:rFonts w:ascii="Rockwell" w:hAnsi="Rockwell"/>
                <w:color w:val="000000"/>
                <w:szCs w:val="26"/>
              </w:rPr>
              <w:t>Bobo-Dioulasso/Houet</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7E0A6428" w14:textId="77777777" w:rsidR="00284822" w:rsidRDefault="00F77BF8">
            <w:pPr>
              <w:spacing w:before="120" w:after="120"/>
              <w:rPr>
                <w:rFonts w:ascii="Rockwell" w:hAnsi="Rockwell"/>
                <w:color w:val="000000"/>
                <w:szCs w:val="26"/>
              </w:rPr>
            </w:pPr>
            <w:r>
              <w:rPr>
                <w:rFonts w:ascii="Rockwell" w:hAnsi="Rockwell"/>
                <w:color w:val="000000"/>
                <w:szCs w:val="26"/>
              </w:rPr>
              <w:t>103.5 MHz</w:t>
            </w:r>
          </w:p>
        </w:tc>
      </w:tr>
      <w:tr w:rsidR="00284822" w14:paraId="3BC8BD79"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E75626C" w14:textId="77777777" w:rsidR="00284822" w:rsidRDefault="00F77BF8">
            <w:pPr>
              <w:spacing w:before="120" w:after="120"/>
              <w:jc w:val="center"/>
              <w:rPr>
                <w:rFonts w:ascii="Rockwell" w:hAnsi="Rockwell"/>
                <w:color w:val="000000"/>
                <w:szCs w:val="26"/>
              </w:rPr>
            </w:pPr>
            <w:r>
              <w:rPr>
                <w:rFonts w:ascii="Rockwell" w:hAnsi="Rockwell"/>
                <w:color w:val="000000"/>
                <w:szCs w:val="26"/>
              </w:rPr>
              <w:t>16</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784DCCBB" w14:textId="77777777" w:rsidR="00284822" w:rsidRDefault="00F77BF8">
            <w:pPr>
              <w:spacing w:before="120" w:after="120"/>
              <w:rPr>
                <w:rFonts w:ascii="Rockwell" w:hAnsi="Rockwell"/>
                <w:color w:val="000000"/>
                <w:szCs w:val="26"/>
              </w:rPr>
            </w:pPr>
            <w:r>
              <w:rPr>
                <w:rFonts w:ascii="Rockwell" w:hAnsi="Rockwell"/>
                <w:color w:val="000000"/>
                <w:szCs w:val="26"/>
              </w:rPr>
              <w:t>Radio Evangile Développement (RED)</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5BB419BE" w14:textId="77777777" w:rsidR="00284822" w:rsidRDefault="00F77BF8">
            <w:pPr>
              <w:spacing w:before="120" w:after="120"/>
              <w:rPr>
                <w:rFonts w:ascii="Rockwell" w:hAnsi="Rockwell"/>
                <w:color w:val="000000"/>
                <w:szCs w:val="26"/>
              </w:rPr>
            </w:pPr>
            <w:r>
              <w:rPr>
                <w:rFonts w:ascii="Rockwell" w:hAnsi="Rockwell"/>
                <w:color w:val="000000"/>
                <w:szCs w:val="26"/>
              </w:rPr>
              <w:t>Houndé/Tuy</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274C78F3" w14:textId="77777777" w:rsidR="00284822" w:rsidRDefault="00F77BF8">
            <w:pPr>
              <w:spacing w:before="120" w:after="120"/>
              <w:rPr>
                <w:rFonts w:ascii="Rockwell" w:hAnsi="Rockwell"/>
                <w:color w:val="000000"/>
                <w:szCs w:val="26"/>
              </w:rPr>
            </w:pPr>
            <w:r>
              <w:rPr>
                <w:rFonts w:ascii="Rockwell" w:hAnsi="Rockwell"/>
                <w:color w:val="000000"/>
                <w:szCs w:val="26"/>
              </w:rPr>
              <w:t>95.5 MHz</w:t>
            </w:r>
          </w:p>
        </w:tc>
      </w:tr>
      <w:tr w:rsidR="00284822" w14:paraId="46F8E032"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F199178" w14:textId="77777777" w:rsidR="00284822" w:rsidRDefault="00F77BF8">
            <w:pPr>
              <w:spacing w:before="120" w:after="120"/>
              <w:jc w:val="center"/>
              <w:rPr>
                <w:rFonts w:ascii="Rockwell" w:hAnsi="Rockwell"/>
                <w:color w:val="000000"/>
                <w:szCs w:val="26"/>
              </w:rPr>
            </w:pPr>
            <w:r>
              <w:rPr>
                <w:rFonts w:ascii="Rockwell" w:hAnsi="Rockwell"/>
                <w:color w:val="000000"/>
                <w:szCs w:val="26"/>
              </w:rPr>
              <w:t>17</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32EE5926" w14:textId="77777777" w:rsidR="00284822" w:rsidRDefault="00F77BF8">
            <w:pPr>
              <w:spacing w:before="120" w:after="120"/>
              <w:rPr>
                <w:rFonts w:ascii="Rockwell" w:hAnsi="Rockwell"/>
                <w:color w:val="000000"/>
                <w:szCs w:val="26"/>
              </w:rPr>
            </w:pPr>
            <w:r>
              <w:rPr>
                <w:rFonts w:ascii="Rockwell" w:hAnsi="Rockwell"/>
                <w:color w:val="000000"/>
                <w:szCs w:val="26"/>
              </w:rPr>
              <w:t>Radio Evangile Développement (RED)</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7CDED540" w14:textId="77777777" w:rsidR="00284822" w:rsidRDefault="00F77BF8">
            <w:pPr>
              <w:spacing w:before="120" w:after="120"/>
              <w:rPr>
                <w:rFonts w:ascii="Rockwell" w:hAnsi="Rockwell"/>
                <w:color w:val="000000"/>
                <w:szCs w:val="26"/>
              </w:rPr>
            </w:pPr>
            <w:r>
              <w:rPr>
                <w:rFonts w:ascii="Rockwell" w:hAnsi="Rockwell"/>
                <w:color w:val="000000"/>
                <w:szCs w:val="26"/>
              </w:rPr>
              <w:t>Koudougou/Boulkiemdé</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0BA7FF46" w14:textId="77777777" w:rsidR="00284822" w:rsidRDefault="00F77BF8">
            <w:pPr>
              <w:spacing w:before="120" w:after="120"/>
              <w:rPr>
                <w:rFonts w:ascii="Rockwell" w:hAnsi="Rockwell"/>
                <w:color w:val="000000"/>
                <w:szCs w:val="26"/>
              </w:rPr>
            </w:pPr>
            <w:r>
              <w:rPr>
                <w:rFonts w:ascii="Rockwell" w:hAnsi="Rockwell"/>
                <w:color w:val="000000"/>
                <w:szCs w:val="26"/>
              </w:rPr>
              <w:t>95.4 MHz</w:t>
            </w:r>
          </w:p>
        </w:tc>
      </w:tr>
      <w:tr w:rsidR="00284822" w14:paraId="1E895F72"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4BDA7BE" w14:textId="77777777" w:rsidR="00284822" w:rsidRDefault="00F77BF8">
            <w:pPr>
              <w:spacing w:before="120" w:after="120"/>
              <w:jc w:val="center"/>
              <w:rPr>
                <w:rFonts w:ascii="Rockwell" w:hAnsi="Rockwell"/>
                <w:color w:val="000000"/>
                <w:szCs w:val="26"/>
              </w:rPr>
            </w:pPr>
            <w:r>
              <w:rPr>
                <w:rFonts w:ascii="Rockwell" w:hAnsi="Rockwell"/>
                <w:color w:val="000000"/>
                <w:szCs w:val="26"/>
              </w:rPr>
              <w:t>18</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0AD90C1A"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Al </w:t>
            </w:r>
            <w:proofErr w:type="spellStart"/>
            <w:r>
              <w:rPr>
                <w:rFonts w:ascii="Rockwell" w:hAnsi="Rockwell"/>
                <w:color w:val="000000"/>
                <w:szCs w:val="26"/>
              </w:rPr>
              <w:t>Mafaz</w:t>
            </w:r>
            <w:proofErr w:type="spellEnd"/>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43B20063" w14:textId="77777777" w:rsidR="00284822" w:rsidRDefault="00F77BF8">
            <w:pPr>
              <w:spacing w:before="120" w:after="120"/>
              <w:rPr>
                <w:rFonts w:ascii="Rockwell" w:hAnsi="Rockwell"/>
                <w:color w:val="000000"/>
                <w:szCs w:val="26"/>
              </w:rPr>
            </w:pPr>
            <w:r>
              <w:rPr>
                <w:rFonts w:ascii="Rockwell" w:hAnsi="Rockwell"/>
                <w:color w:val="000000"/>
                <w:szCs w:val="26"/>
              </w:rPr>
              <w:t>Bobo-Dioulasso/Houet</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1EC59F9F" w14:textId="77777777" w:rsidR="00284822" w:rsidRDefault="00F77BF8">
            <w:pPr>
              <w:spacing w:before="120" w:after="120"/>
              <w:rPr>
                <w:rFonts w:ascii="Rockwell" w:hAnsi="Rockwell"/>
                <w:color w:val="000000"/>
                <w:szCs w:val="26"/>
              </w:rPr>
            </w:pPr>
            <w:r>
              <w:rPr>
                <w:rFonts w:ascii="Rockwell" w:hAnsi="Rockwell"/>
                <w:color w:val="000000"/>
                <w:szCs w:val="26"/>
              </w:rPr>
              <w:t>93.500 MHz</w:t>
            </w:r>
          </w:p>
        </w:tc>
      </w:tr>
      <w:tr w:rsidR="00284822" w14:paraId="707C71FF"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71F533C" w14:textId="77777777" w:rsidR="00284822" w:rsidRDefault="00F77BF8">
            <w:pPr>
              <w:spacing w:before="120" w:after="120"/>
              <w:jc w:val="center"/>
              <w:rPr>
                <w:rFonts w:ascii="Rockwell" w:hAnsi="Rockwell"/>
                <w:color w:val="000000"/>
                <w:szCs w:val="26"/>
              </w:rPr>
            </w:pPr>
            <w:r>
              <w:rPr>
                <w:rFonts w:ascii="Rockwell" w:hAnsi="Rockwell"/>
                <w:color w:val="000000"/>
                <w:szCs w:val="26"/>
              </w:rPr>
              <w:t>19</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27C8EED4" w14:textId="77777777" w:rsidR="00284822" w:rsidRDefault="00F77BF8">
            <w:pPr>
              <w:spacing w:before="120" w:after="120"/>
              <w:rPr>
                <w:rFonts w:ascii="Rockwell" w:hAnsi="Rockwell"/>
                <w:color w:val="000000"/>
                <w:szCs w:val="26"/>
              </w:rPr>
            </w:pPr>
            <w:r>
              <w:rPr>
                <w:rFonts w:ascii="Rockwell" w:hAnsi="Rockwell"/>
                <w:color w:val="000000"/>
                <w:szCs w:val="26"/>
              </w:rPr>
              <w:t>Radio Al Houda</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627F002C"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3D368AED" w14:textId="77777777" w:rsidR="00284822" w:rsidRDefault="00F77BF8">
            <w:pPr>
              <w:spacing w:before="120" w:after="120"/>
              <w:rPr>
                <w:rFonts w:ascii="Rockwell" w:hAnsi="Rockwell"/>
                <w:color w:val="000000"/>
                <w:szCs w:val="26"/>
              </w:rPr>
            </w:pPr>
            <w:r>
              <w:rPr>
                <w:rFonts w:ascii="Rockwell" w:hAnsi="Rockwell"/>
                <w:color w:val="000000"/>
                <w:szCs w:val="26"/>
              </w:rPr>
              <w:t>98.5 MHz</w:t>
            </w:r>
          </w:p>
        </w:tc>
      </w:tr>
      <w:tr w:rsidR="00284822" w14:paraId="27AC737D"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12E43E9" w14:textId="77777777" w:rsidR="00284822" w:rsidRDefault="00F77BF8">
            <w:pPr>
              <w:spacing w:before="120" w:after="120"/>
              <w:jc w:val="center"/>
              <w:rPr>
                <w:rFonts w:ascii="Rockwell" w:hAnsi="Rockwell"/>
                <w:color w:val="000000"/>
                <w:szCs w:val="26"/>
              </w:rPr>
            </w:pPr>
            <w:r>
              <w:rPr>
                <w:rFonts w:ascii="Rockwell" w:hAnsi="Rockwell"/>
                <w:color w:val="000000"/>
                <w:szCs w:val="26"/>
              </w:rPr>
              <w:t>20</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16F040A7" w14:textId="77777777" w:rsidR="00284822" w:rsidRDefault="00F77BF8">
            <w:pPr>
              <w:spacing w:before="120" w:after="120"/>
              <w:rPr>
                <w:rFonts w:ascii="Rockwell" w:hAnsi="Rockwell"/>
                <w:color w:val="000000"/>
                <w:szCs w:val="26"/>
              </w:rPr>
            </w:pPr>
            <w:r>
              <w:rPr>
                <w:rFonts w:ascii="Rockwell" w:hAnsi="Rockwell"/>
                <w:color w:val="000000"/>
                <w:szCs w:val="26"/>
              </w:rPr>
              <w:t>Radio Evangélique Sourou/Nayala</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19ECF5A7" w14:textId="77777777" w:rsidR="00284822" w:rsidRDefault="00F77BF8">
            <w:pPr>
              <w:spacing w:before="120" w:after="120"/>
              <w:rPr>
                <w:rFonts w:ascii="Rockwell" w:hAnsi="Rockwell"/>
                <w:color w:val="000000"/>
                <w:szCs w:val="26"/>
              </w:rPr>
            </w:pPr>
            <w:r>
              <w:rPr>
                <w:rFonts w:ascii="Rockwell" w:hAnsi="Rockwell"/>
                <w:color w:val="000000"/>
                <w:szCs w:val="26"/>
              </w:rPr>
              <w:t>Tougan/Sourou</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3298B6E0" w14:textId="77777777" w:rsidR="00284822" w:rsidRDefault="00F77BF8">
            <w:pPr>
              <w:spacing w:before="120" w:after="120"/>
              <w:rPr>
                <w:rFonts w:ascii="Rockwell" w:hAnsi="Rockwell"/>
                <w:color w:val="000000"/>
                <w:szCs w:val="26"/>
              </w:rPr>
            </w:pPr>
            <w:r>
              <w:rPr>
                <w:rFonts w:ascii="Rockwell" w:hAnsi="Rockwell"/>
                <w:color w:val="000000"/>
                <w:szCs w:val="26"/>
              </w:rPr>
              <w:t>97.900 MHz</w:t>
            </w:r>
          </w:p>
        </w:tc>
      </w:tr>
      <w:tr w:rsidR="00284822" w14:paraId="0365960F"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DD73A29" w14:textId="77777777" w:rsidR="00284822" w:rsidRDefault="00F77BF8">
            <w:pPr>
              <w:spacing w:before="120" w:after="120"/>
              <w:jc w:val="center"/>
              <w:rPr>
                <w:rFonts w:ascii="Rockwell" w:hAnsi="Rockwell"/>
                <w:color w:val="000000"/>
                <w:szCs w:val="26"/>
              </w:rPr>
            </w:pPr>
            <w:r>
              <w:rPr>
                <w:rFonts w:ascii="Rockwell" w:hAnsi="Rockwell"/>
                <w:color w:val="000000"/>
                <w:szCs w:val="26"/>
              </w:rPr>
              <w:lastRenderedPageBreak/>
              <w:t>21</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64DEEFC3" w14:textId="77777777" w:rsidR="00284822" w:rsidRDefault="00F77BF8">
            <w:pPr>
              <w:spacing w:before="120" w:after="120"/>
              <w:rPr>
                <w:rFonts w:ascii="Rockwell" w:hAnsi="Rockwell"/>
                <w:color w:val="000000"/>
                <w:szCs w:val="26"/>
              </w:rPr>
            </w:pPr>
            <w:r>
              <w:rPr>
                <w:rFonts w:ascii="Rockwell" w:hAnsi="Rockwell"/>
                <w:color w:val="000000"/>
                <w:szCs w:val="26"/>
              </w:rPr>
              <w:t>Radio de l'Alliance Chrétienne (RAC)</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57A106DF" w14:textId="77777777" w:rsidR="00284822" w:rsidRDefault="00F77BF8">
            <w:pPr>
              <w:spacing w:before="120" w:after="120"/>
              <w:rPr>
                <w:rFonts w:ascii="Rockwell" w:hAnsi="Rockwell"/>
                <w:color w:val="000000"/>
                <w:szCs w:val="26"/>
              </w:rPr>
            </w:pPr>
            <w:r>
              <w:rPr>
                <w:rFonts w:ascii="Rockwell" w:hAnsi="Rockwell"/>
                <w:color w:val="000000"/>
                <w:szCs w:val="26"/>
              </w:rPr>
              <w:t>Banfora/Comoé</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57917C97" w14:textId="77777777" w:rsidR="00284822" w:rsidRDefault="00F77BF8">
            <w:pPr>
              <w:spacing w:before="120" w:after="120"/>
              <w:rPr>
                <w:rFonts w:ascii="Rockwell" w:hAnsi="Rockwell"/>
                <w:color w:val="000000"/>
                <w:szCs w:val="26"/>
              </w:rPr>
            </w:pPr>
            <w:r>
              <w:rPr>
                <w:rFonts w:ascii="Rockwell" w:hAnsi="Rockwell"/>
                <w:color w:val="000000"/>
                <w:szCs w:val="26"/>
              </w:rPr>
              <w:t>105.100 MHz</w:t>
            </w:r>
          </w:p>
        </w:tc>
      </w:tr>
      <w:tr w:rsidR="00284822" w14:paraId="26B0C766"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B3A71D2" w14:textId="77777777" w:rsidR="00284822" w:rsidRDefault="00F77BF8">
            <w:pPr>
              <w:spacing w:before="120" w:after="120"/>
              <w:jc w:val="center"/>
              <w:rPr>
                <w:rFonts w:ascii="Rockwell" w:hAnsi="Rockwell"/>
                <w:color w:val="000000"/>
                <w:szCs w:val="26"/>
              </w:rPr>
            </w:pPr>
            <w:r>
              <w:rPr>
                <w:rFonts w:ascii="Rockwell" w:hAnsi="Rockwell"/>
                <w:color w:val="000000"/>
                <w:szCs w:val="26"/>
              </w:rPr>
              <w:t>22</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3C2D8438"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Catholique </w:t>
            </w:r>
            <w:proofErr w:type="spellStart"/>
            <w:r>
              <w:rPr>
                <w:rFonts w:ascii="Rockwell" w:hAnsi="Rockwell"/>
                <w:color w:val="000000"/>
                <w:szCs w:val="26"/>
              </w:rPr>
              <w:t>Tériya</w:t>
            </w:r>
            <w:proofErr w:type="spellEnd"/>
            <w:r>
              <w:rPr>
                <w:rFonts w:ascii="Rockwell" w:hAnsi="Rockwell"/>
                <w:color w:val="000000"/>
                <w:szCs w:val="26"/>
              </w:rPr>
              <w:t xml:space="preserve"> (RCT)</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393626CB" w14:textId="77777777" w:rsidR="00284822" w:rsidRDefault="00F77BF8">
            <w:pPr>
              <w:spacing w:before="120" w:after="120"/>
              <w:rPr>
                <w:rFonts w:ascii="Rockwell" w:hAnsi="Rockwell"/>
                <w:color w:val="000000"/>
                <w:szCs w:val="26"/>
              </w:rPr>
            </w:pPr>
            <w:r>
              <w:rPr>
                <w:rFonts w:ascii="Rockwell" w:hAnsi="Rockwell"/>
                <w:color w:val="000000"/>
                <w:szCs w:val="26"/>
              </w:rPr>
              <w:t>Banfora/Comoé</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6D7B1A67" w14:textId="77777777" w:rsidR="00284822" w:rsidRDefault="00F77BF8">
            <w:pPr>
              <w:spacing w:before="120" w:after="120"/>
              <w:rPr>
                <w:rFonts w:ascii="Rockwell" w:hAnsi="Rockwell"/>
                <w:color w:val="000000"/>
                <w:szCs w:val="26"/>
              </w:rPr>
            </w:pPr>
            <w:r>
              <w:rPr>
                <w:rFonts w:ascii="Rockwell" w:hAnsi="Rockwell"/>
                <w:color w:val="000000"/>
                <w:szCs w:val="26"/>
              </w:rPr>
              <w:t>94.700 MHz</w:t>
            </w:r>
          </w:p>
        </w:tc>
      </w:tr>
      <w:tr w:rsidR="00284822" w14:paraId="58B3D730"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6DE4FC5" w14:textId="77777777" w:rsidR="00284822" w:rsidRDefault="00F77BF8">
            <w:pPr>
              <w:spacing w:before="120" w:after="120"/>
              <w:jc w:val="center"/>
              <w:rPr>
                <w:rFonts w:ascii="Rockwell" w:hAnsi="Rockwell"/>
                <w:color w:val="000000"/>
                <w:szCs w:val="26"/>
              </w:rPr>
            </w:pPr>
            <w:r>
              <w:rPr>
                <w:rFonts w:ascii="Rockwell" w:hAnsi="Rockwell"/>
                <w:color w:val="000000"/>
                <w:szCs w:val="26"/>
              </w:rPr>
              <w:t>23</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79A72FD9" w14:textId="77777777" w:rsidR="00284822" w:rsidRDefault="00F77BF8">
            <w:pPr>
              <w:spacing w:before="120" w:after="120"/>
              <w:rPr>
                <w:rFonts w:ascii="Rockwell" w:hAnsi="Rockwell"/>
                <w:color w:val="000000"/>
                <w:szCs w:val="26"/>
              </w:rPr>
            </w:pPr>
            <w:r>
              <w:rPr>
                <w:rFonts w:ascii="Rockwell" w:hAnsi="Rockwell"/>
                <w:color w:val="000000"/>
                <w:szCs w:val="26"/>
              </w:rPr>
              <w:t>Radio Etoile de Noel</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1DE39EA1" w14:textId="77777777" w:rsidR="00284822" w:rsidRDefault="00F77BF8">
            <w:pPr>
              <w:spacing w:before="120" w:after="120"/>
              <w:rPr>
                <w:rFonts w:ascii="Rockwell" w:hAnsi="Rockwell"/>
                <w:color w:val="000000"/>
                <w:szCs w:val="26"/>
              </w:rPr>
            </w:pPr>
            <w:r>
              <w:rPr>
                <w:rFonts w:ascii="Rockwell" w:hAnsi="Rockwell"/>
                <w:color w:val="000000"/>
                <w:szCs w:val="26"/>
              </w:rPr>
              <w:t>Bobo-Dioulasso/Houet</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404957A3" w14:textId="77777777" w:rsidR="00284822" w:rsidRDefault="00F77BF8">
            <w:pPr>
              <w:spacing w:before="120" w:after="120"/>
              <w:rPr>
                <w:rFonts w:ascii="Rockwell" w:hAnsi="Rockwell"/>
                <w:color w:val="000000"/>
                <w:szCs w:val="26"/>
              </w:rPr>
            </w:pPr>
            <w:r>
              <w:rPr>
                <w:rFonts w:ascii="Rockwell" w:hAnsi="Rockwell"/>
                <w:color w:val="000000"/>
                <w:szCs w:val="26"/>
              </w:rPr>
              <w:t>91.800 MHz</w:t>
            </w:r>
          </w:p>
        </w:tc>
      </w:tr>
      <w:tr w:rsidR="00284822" w14:paraId="477E9E88"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6533784" w14:textId="77777777" w:rsidR="00284822" w:rsidRDefault="00F77BF8">
            <w:pPr>
              <w:spacing w:before="120" w:after="120"/>
              <w:jc w:val="center"/>
              <w:rPr>
                <w:rFonts w:ascii="Rockwell" w:hAnsi="Rockwell"/>
                <w:color w:val="000000"/>
                <w:szCs w:val="26"/>
              </w:rPr>
            </w:pPr>
            <w:r>
              <w:rPr>
                <w:rFonts w:ascii="Rockwell" w:hAnsi="Rockwell"/>
                <w:color w:val="000000"/>
                <w:szCs w:val="26"/>
              </w:rPr>
              <w:t>24</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418565B8"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Ridwane</w:t>
            </w:r>
            <w:proofErr w:type="spellEnd"/>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359C2879"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42C981A0" w14:textId="77777777" w:rsidR="00284822" w:rsidRDefault="00F77BF8">
            <w:pPr>
              <w:spacing w:before="120" w:after="120"/>
              <w:rPr>
                <w:rFonts w:ascii="Rockwell" w:hAnsi="Rockwell"/>
                <w:color w:val="000000"/>
                <w:szCs w:val="26"/>
              </w:rPr>
            </w:pPr>
            <w:r>
              <w:rPr>
                <w:rFonts w:ascii="Rockwell" w:hAnsi="Rockwell"/>
                <w:color w:val="000000"/>
                <w:szCs w:val="26"/>
              </w:rPr>
              <w:t>100.300 MHz</w:t>
            </w:r>
          </w:p>
        </w:tc>
      </w:tr>
      <w:tr w:rsidR="00284822" w14:paraId="0438E2C4"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F94A537" w14:textId="77777777" w:rsidR="00284822" w:rsidRDefault="00F77BF8">
            <w:pPr>
              <w:spacing w:before="120" w:after="120"/>
              <w:jc w:val="center"/>
              <w:rPr>
                <w:rFonts w:ascii="Rockwell" w:hAnsi="Rockwell"/>
                <w:color w:val="000000"/>
                <w:szCs w:val="26"/>
              </w:rPr>
            </w:pPr>
            <w:r>
              <w:rPr>
                <w:rFonts w:ascii="Rockwell" w:hAnsi="Rockwell"/>
                <w:color w:val="000000"/>
                <w:szCs w:val="26"/>
              </w:rPr>
              <w:t>25</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649318B4"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Islamique </w:t>
            </w:r>
            <w:proofErr w:type="spellStart"/>
            <w:r>
              <w:rPr>
                <w:rFonts w:ascii="Rockwell" w:hAnsi="Rockwell"/>
                <w:color w:val="000000"/>
                <w:szCs w:val="26"/>
              </w:rPr>
              <w:t>Ahmadiyya</w:t>
            </w:r>
            <w:proofErr w:type="spellEnd"/>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7A27968A" w14:textId="77777777" w:rsidR="00284822" w:rsidRDefault="00F77BF8">
            <w:pPr>
              <w:spacing w:before="120" w:after="120"/>
              <w:rPr>
                <w:rFonts w:ascii="Rockwell" w:hAnsi="Rockwell"/>
                <w:color w:val="000000"/>
                <w:szCs w:val="26"/>
              </w:rPr>
            </w:pPr>
            <w:r>
              <w:rPr>
                <w:rFonts w:ascii="Rockwell" w:hAnsi="Rockwell"/>
                <w:color w:val="000000"/>
                <w:szCs w:val="26"/>
              </w:rPr>
              <w:t>Léo/Sissili</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5BC73493" w14:textId="77777777" w:rsidR="00284822" w:rsidRDefault="00F77BF8">
            <w:pPr>
              <w:spacing w:before="120" w:after="120"/>
              <w:rPr>
                <w:rFonts w:ascii="Rockwell" w:hAnsi="Rockwell"/>
                <w:color w:val="000000"/>
                <w:szCs w:val="26"/>
              </w:rPr>
            </w:pPr>
            <w:r>
              <w:rPr>
                <w:rFonts w:ascii="Rockwell" w:hAnsi="Rockwell"/>
                <w:color w:val="000000"/>
                <w:szCs w:val="26"/>
              </w:rPr>
              <w:t>91.300 MHz</w:t>
            </w:r>
          </w:p>
        </w:tc>
      </w:tr>
      <w:tr w:rsidR="00284822" w14:paraId="324B108B"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5603A3E" w14:textId="77777777" w:rsidR="00284822" w:rsidRDefault="00F77BF8">
            <w:pPr>
              <w:spacing w:before="120" w:after="120"/>
              <w:jc w:val="center"/>
              <w:rPr>
                <w:rFonts w:ascii="Rockwell" w:hAnsi="Rockwell"/>
                <w:color w:val="000000"/>
                <w:szCs w:val="26"/>
              </w:rPr>
            </w:pPr>
            <w:r>
              <w:rPr>
                <w:rFonts w:ascii="Rockwell" w:hAnsi="Rockwell"/>
                <w:color w:val="000000"/>
                <w:szCs w:val="26"/>
              </w:rPr>
              <w:t>26</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27A7297A"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Islamique </w:t>
            </w:r>
            <w:proofErr w:type="spellStart"/>
            <w:r>
              <w:rPr>
                <w:rFonts w:ascii="Rockwell" w:hAnsi="Rockwell"/>
                <w:color w:val="000000"/>
                <w:szCs w:val="26"/>
              </w:rPr>
              <w:t>Ahmadiyya</w:t>
            </w:r>
            <w:proofErr w:type="spellEnd"/>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52EEF5B3" w14:textId="77777777" w:rsidR="00284822" w:rsidRDefault="00F77BF8">
            <w:pPr>
              <w:spacing w:before="120" w:after="120"/>
              <w:rPr>
                <w:rFonts w:ascii="Rockwell" w:hAnsi="Rockwell"/>
                <w:color w:val="000000"/>
                <w:szCs w:val="26"/>
              </w:rPr>
            </w:pPr>
            <w:r>
              <w:rPr>
                <w:rFonts w:ascii="Rockwell" w:hAnsi="Rockwell"/>
                <w:color w:val="000000"/>
                <w:szCs w:val="26"/>
              </w:rPr>
              <w:t>Dori/Séno</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3454BFB3" w14:textId="77777777" w:rsidR="00284822" w:rsidRDefault="00F77BF8">
            <w:pPr>
              <w:spacing w:before="120" w:after="120"/>
              <w:rPr>
                <w:rFonts w:ascii="Rockwell" w:hAnsi="Rockwell"/>
                <w:color w:val="000000"/>
                <w:szCs w:val="26"/>
              </w:rPr>
            </w:pPr>
            <w:r>
              <w:rPr>
                <w:rFonts w:ascii="Rockwell" w:hAnsi="Rockwell"/>
                <w:color w:val="000000"/>
                <w:szCs w:val="26"/>
              </w:rPr>
              <w:t>101.00 MHz</w:t>
            </w:r>
          </w:p>
        </w:tc>
      </w:tr>
      <w:tr w:rsidR="00284822" w14:paraId="3EFD07B0"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4C66829" w14:textId="77777777" w:rsidR="00284822" w:rsidRDefault="00F77BF8">
            <w:pPr>
              <w:spacing w:before="120" w:after="120"/>
              <w:jc w:val="center"/>
              <w:rPr>
                <w:rFonts w:ascii="Rockwell" w:hAnsi="Rockwell"/>
                <w:color w:val="000000"/>
                <w:szCs w:val="26"/>
              </w:rPr>
            </w:pPr>
            <w:r>
              <w:rPr>
                <w:rFonts w:ascii="Rockwell" w:hAnsi="Rockwell"/>
                <w:color w:val="000000"/>
                <w:szCs w:val="26"/>
              </w:rPr>
              <w:t>27</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4A96A132" w14:textId="77777777" w:rsidR="00284822" w:rsidRDefault="00F77BF8">
            <w:pPr>
              <w:spacing w:before="120" w:after="120"/>
              <w:rPr>
                <w:rFonts w:ascii="Rockwell" w:hAnsi="Rockwell"/>
                <w:color w:val="000000"/>
                <w:szCs w:val="26"/>
              </w:rPr>
            </w:pPr>
            <w:r>
              <w:rPr>
                <w:rFonts w:ascii="Rockwell" w:hAnsi="Rockwell"/>
                <w:color w:val="000000"/>
                <w:szCs w:val="26"/>
              </w:rPr>
              <w:t>Radio Maria</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0FB2CCC4" w14:textId="77777777" w:rsidR="00284822" w:rsidRDefault="00F77BF8">
            <w:pPr>
              <w:spacing w:before="120" w:after="120"/>
              <w:rPr>
                <w:rFonts w:ascii="Rockwell" w:hAnsi="Rockwell"/>
                <w:color w:val="000000"/>
                <w:szCs w:val="26"/>
              </w:rPr>
            </w:pPr>
            <w:proofErr w:type="spellStart"/>
            <w:r>
              <w:rPr>
                <w:rFonts w:ascii="Rockwell" w:hAnsi="Rockwell"/>
                <w:color w:val="000000"/>
                <w:szCs w:val="26"/>
              </w:rPr>
              <w:t>Koupèla</w:t>
            </w:r>
            <w:proofErr w:type="spellEnd"/>
            <w:r>
              <w:rPr>
                <w:rFonts w:ascii="Rockwell" w:hAnsi="Rockwell"/>
                <w:color w:val="000000"/>
                <w:szCs w:val="26"/>
              </w:rPr>
              <w:t>/Kouritenga</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59662742" w14:textId="77777777" w:rsidR="00284822" w:rsidRDefault="00F77BF8">
            <w:pPr>
              <w:spacing w:before="120" w:after="120"/>
              <w:rPr>
                <w:rFonts w:ascii="Rockwell" w:hAnsi="Rockwell"/>
                <w:color w:val="000000"/>
                <w:szCs w:val="26"/>
              </w:rPr>
            </w:pPr>
            <w:r>
              <w:rPr>
                <w:rFonts w:ascii="Rockwell" w:hAnsi="Rockwell"/>
                <w:color w:val="000000"/>
                <w:szCs w:val="26"/>
              </w:rPr>
              <w:t>96.900 MHz</w:t>
            </w:r>
          </w:p>
        </w:tc>
      </w:tr>
      <w:tr w:rsidR="00284822" w14:paraId="3C1AA7F2"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C1CB652" w14:textId="77777777" w:rsidR="00284822" w:rsidRDefault="00F77BF8">
            <w:pPr>
              <w:spacing w:before="120" w:after="120"/>
              <w:jc w:val="center"/>
              <w:rPr>
                <w:rFonts w:ascii="Rockwell" w:hAnsi="Rockwell"/>
                <w:color w:val="000000"/>
                <w:szCs w:val="26"/>
              </w:rPr>
            </w:pPr>
            <w:r>
              <w:rPr>
                <w:rFonts w:ascii="Rockwell" w:hAnsi="Rockwell"/>
                <w:color w:val="000000"/>
                <w:szCs w:val="26"/>
              </w:rPr>
              <w:t>28</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448B10ED" w14:textId="77777777" w:rsidR="00284822" w:rsidRDefault="00F77BF8">
            <w:pPr>
              <w:spacing w:before="120" w:after="120"/>
              <w:rPr>
                <w:rFonts w:ascii="Rockwell" w:hAnsi="Rockwell"/>
                <w:color w:val="000000"/>
                <w:szCs w:val="26"/>
              </w:rPr>
            </w:pPr>
            <w:r>
              <w:rPr>
                <w:rFonts w:ascii="Rockwell" w:hAnsi="Rockwell"/>
                <w:color w:val="000000"/>
                <w:szCs w:val="26"/>
              </w:rPr>
              <w:t>Radio Notre Dame de Kaya</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26152339" w14:textId="77777777" w:rsidR="00284822" w:rsidRDefault="00F77BF8">
            <w:pPr>
              <w:spacing w:before="120" w:after="120"/>
              <w:rPr>
                <w:rFonts w:ascii="Rockwell" w:hAnsi="Rockwell"/>
                <w:color w:val="000000"/>
                <w:szCs w:val="26"/>
              </w:rPr>
            </w:pPr>
            <w:r>
              <w:rPr>
                <w:rFonts w:ascii="Rockwell" w:hAnsi="Rockwell"/>
                <w:color w:val="000000"/>
                <w:szCs w:val="26"/>
              </w:rPr>
              <w:t>Kaya/Sanmatenga</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13F5145B" w14:textId="77777777" w:rsidR="00284822" w:rsidRDefault="00F77BF8">
            <w:pPr>
              <w:spacing w:before="120" w:after="120"/>
              <w:rPr>
                <w:rFonts w:ascii="Rockwell" w:hAnsi="Rockwell"/>
                <w:color w:val="000000"/>
                <w:szCs w:val="26"/>
              </w:rPr>
            </w:pPr>
            <w:r>
              <w:rPr>
                <w:rFonts w:ascii="Rockwell" w:hAnsi="Rockwell"/>
                <w:color w:val="000000"/>
                <w:szCs w:val="26"/>
              </w:rPr>
              <w:t>102.900 MHz</w:t>
            </w:r>
          </w:p>
        </w:tc>
      </w:tr>
      <w:tr w:rsidR="00284822" w14:paraId="7D186A16"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5A9D44A" w14:textId="77777777" w:rsidR="00284822" w:rsidRDefault="00F77BF8">
            <w:pPr>
              <w:spacing w:before="120" w:after="120"/>
              <w:jc w:val="center"/>
              <w:rPr>
                <w:rFonts w:ascii="Rockwell" w:hAnsi="Rockwell"/>
                <w:color w:val="000000"/>
                <w:szCs w:val="26"/>
              </w:rPr>
            </w:pPr>
            <w:r>
              <w:rPr>
                <w:rFonts w:ascii="Rockwell" w:hAnsi="Rockwell"/>
                <w:color w:val="000000"/>
                <w:szCs w:val="26"/>
              </w:rPr>
              <w:t>29</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3F4211DF"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Kantigiya</w:t>
            </w:r>
            <w:proofErr w:type="spellEnd"/>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64B45C92" w14:textId="77777777" w:rsidR="00284822" w:rsidRDefault="00F77BF8">
            <w:pPr>
              <w:spacing w:before="120" w:after="120"/>
              <w:rPr>
                <w:rFonts w:ascii="Rockwell" w:hAnsi="Rockwell"/>
                <w:color w:val="000000"/>
                <w:szCs w:val="26"/>
              </w:rPr>
            </w:pPr>
            <w:r>
              <w:rPr>
                <w:rFonts w:ascii="Rockwell" w:hAnsi="Rockwell"/>
                <w:color w:val="000000"/>
                <w:szCs w:val="26"/>
              </w:rPr>
              <w:t>Nouna/Kossi</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76502E98" w14:textId="77777777" w:rsidR="00284822" w:rsidRDefault="00F77BF8">
            <w:pPr>
              <w:spacing w:before="120" w:after="120"/>
              <w:rPr>
                <w:rFonts w:ascii="Rockwell" w:hAnsi="Rockwell"/>
                <w:color w:val="000000"/>
                <w:szCs w:val="26"/>
              </w:rPr>
            </w:pPr>
            <w:r>
              <w:rPr>
                <w:rFonts w:ascii="Rockwell" w:hAnsi="Rockwell"/>
                <w:color w:val="000000"/>
                <w:szCs w:val="26"/>
              </w:rPr>
              <w:t>88.800 MHz</w:t>
            </w:r>
          </w:p>
        </w:tc>
      </w:tr>
      <w:tr w:rsidR="00284822" w14:paraId="67691BC6"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CAACB59" w14:textId="77777777" w:rsidR="00284822" w:rsidRDefault="00F77BF8">
            <w:pPr>
              <w:spacing w:before="120" w:after="120"/>
              <w:jc w:val="center"/>
              <w:rPr>
                <w:rFonts w:ascii="Rockwell" w:hAnsi="Rockwell"/>
                <w:color w:val="000000"/>
                <w:szCs w:val="26"/>
              </w:rPr>
            </w:pPr>
            <w:r>
              <w:rPr>
                <w:rFonts w:ascii="Rockwell" w:hAnsi="Rockwell"/>
                <w:color w:val="000000"/>
                <w:szCs w:val="26"/>
              </w:rPr>
              <w:t>30</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2F47EAD4" w14:textId="77777777" w:rsidR="00284822" w:rsidRDefault="00F77BF8">
            <w:pPr>
              <w:spacing w:before="120" w:after="120"/>
              <w:rPr>
                <w:rFonts w:ascii="Rockwell" w:hAnsi="Rockwell"/>
                <w:color w:val="000000"/>
                <w:szCs w:val="26"/>
              </w:rPr>
            </w:pPr>
            <w:r>
              <w:rPr>
                <w:rFonts w:ascii="Rockwell" w:hAnsi="Rockwell"/>
                <w:color w:val="000000"/>
                <w:szCs w:val="26"/>
              </w:rPr>
              <w:t>Radio Solidarité</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75088427" w14:textId="77777777" w:rsidR="00284822" w:rsidRDefault="00F77BF8">
            <w:pPr>
              <w:spacing w:before="120" w:after="120"/>
              <w:rPr>
                <w:rFonts w:ascii="Rockwell" w:hAnsi="Rockwell"/>
                <w:color w:val="000000"/>
                <w:szCs w:val="26"/>
              </w:rPr>
            </w:pPr>
            <w:r>
              <w:rPr>
                <w:rFonts w:ascii="Rockwell" w:hAnsi="Rockwell"/>
                <w:color w:val="000000"/>
                <w:szCs w:val="26"/>
              </w:rPr>
              <w:t>Ouahigouya/Yatenga</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62C2D4C3" w14:textId="77777777" w:rsidR="00284822" w:rsidRDefault="00F77BF8">
            <w:pPr>
              <w:spacing w:before="120" w:after="120"/>
              <w:rPr>
                <w:rFonts w:ascii="Rockwell" w:hAnsi="Rockwell"/>
                <w:color w:val="000000"/>
                <w:szCs w:val="26"/>
              </w:rPr>
            </w:pPr>
            <w:r>
              <w:rPr>
                <w:rFonts w:ascii="Rockwell" w:hAnsi="Rockwell"/>
                <w:color w:val="000000"/>
                <w:szCs w:val="26"/>
              </w:rPr>
              <w:t>89.900 MHz</w:t>
            </w:r>
          </w:p>
        </w:tc>
      </w:tr>
      <w:tr w:rsidR="00284822" w14:paraId="19BB81BB"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65B5A17" w14:textId="77777777" w:rsidR="00284822" w:rsidRDefault="00F77BF8">
            <w:pPr>
              <w:spacing w:before="120" w:after="120"/>
              <w:jc w:val="center"/>
              <w:rPr>
                <w:rFonts w:ascii="Rockwell" w:hAnsi="Rockwell"/>
                <w:color w:val="000000"/>
                <w:szCs w:val="26"/>
              </w:rPr>
            </w:pPr>
            <w:r>
              <w:rPr>
                <w:rFonts w:ascii="Rockwell" w:hAnsi="Rockwell"/>
                <w:color w:val="000000"/>
                <w:szCs w:val="26"/>
              </w:rPr>
              <w:t>31</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399BF20F" w14:textId="77777777" w:rsidR="00284822" w:rsidRDefault="00F77BF8">
            <w:pPr>
              <w:spacing w:before="120" w:after="120"/>
              <w:rPr>
                <w:rFonts w:ascii="Rockwell" w:hAnsi="Rockwell"/>
                <w:color w:val="000000"/>
                <w:szCs w:val="26"/>
              </w:rPr>
            </w:pPr>
            <w:r>
              <w:rPr>
                <w:rFonts w:ascii="Rockwell" w:hAnsi="Rockwell"/>
                <w:color w:val="000000"/>
                <w:szCs w:val="26"/>
              </w:rPr>
              <w:t>Radio Evangile Développement (RED)</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2EA1EACA" w14:textId="77777777" w:rsidR="00284822" w:rsidRDefault="00F77BF8">
            <w:pPr>
              <w:spacing w:before="120" w:after="120"/>
              <w:rPr>
                <w:rFonts w:ascii="Rockwell" w:hAnsi="Rockwell"/>
                <w:color w:val="000000"/>
                <w:szCs w:val="26"/>
              </w:rPr>
            </w:pPr>
            <w:r>
              <w:rPr>
                <w:rFonts w:ascii="Rockwell" w:hAnsi="Rockwell"/>
                <w:color w:val="000000"/>
                <w:szCs w:val="26"/>
              </w:rPr>
              <w:t>Fada/Fada N'Gourma</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14B909D9" w14:textId="77777777" w:rsidR="00284822" w:rsidRDefault="00F77BF8">
            <w:pPr>
              <w:spacing w:before="120" w:after="120"/>
              <w:rPr>
                <w:rFonts w:ascii="Rockwell" w:hAnsi="Rockwell"/>
                <w:color w:val="000000"/>
                <w:szCs w:val="26"/>
              </w:rPr>
            </w:pPr>
            <w:r>
              <w:rPr>
                <w:rFonts w:ascii="Rockwell" w:hAnsi="Rockwell"/>
                <w:color w:val="000000"/>
                <w:szCs w:val="26"/>
              </w:rPr>
              <w:t>94.00 MHz</w:t>
            </w:r>
          </w:p>
        </w:tc>
      </w:tr>
      <w:tr w:rsidR="00284822" w14:paraId="4A38669F"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96CA9BE" w14:textId="77777777" w:rsidR="00284822" w:rsidRDefault="00F77BF8">
            <w:pPr>
              <w:spacing w:before="120" w:after="120"/>
              <w:jc w:val="center"/>
              <w:rPr>
                <w:rFonts w:ascii="Rockwell" w:hAnsi="Rockwell"/>
                <w:color w:val="000000"/>
                <w:szCs w:val="26"/>
              </w:rPr>
            </w:pPr>
            <w:r>
              <w:rPr>
                <w:rFonts w:ascii="Rockwell" w:hAnsi="Rockwell"/>
                <w:color w:val="000000"/>
                <w:szCs w:val="26"/>
              </w:rPr>
              <w:t>32</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68B8AA73" w14:textId="77777777" w:rsidR="00284822" w:rsidRDefault="00F77BF8">
            <w:pPr>
              <w:spacing w:before="120" w:after="120"/>
              <w:rPr>
                <w:rFonts w:ascii="Rockwell" w:hAnsi="Rockwell"/>
                <w:color w:val="000000"/>
                <w:szCs w:val="26"/>
              </w:rPr>
            </w:pPr>
            <w:r>
              <w:rPr>
                <w:rFonts w:ascii="Rockwell" w:hAnsi="Rockwell"/>
                <w:color w:val="000000"/>
                <w:szCs w:val="26"/>
              </w:rPr>
              <w:t>Radio Alliance Chrétienne (RAC)</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0F6FE21C" w14:textId="77777777" w:rsidR="00284822" w:rsidRDefault="00F77BF8">
            <w:pPr>
              <w:spacing w:before="120" w:after="120"/>
              <w:rPr>
                <w:rFonts w:ascii="Rockwell" w:hAnsi="Rockwell"/>
                <w:color w:val="000000"/>
                <w:szCs w:val="26"/>
              </w:rPr>
            </w:pPr>
            <w:r>
              <w:rPr>
                <w:rFonts w:ascii="Rockwell" w:hAnsi="Rockwell"/>
                <w:color w:val="000000"/>
                <w:szCs w:val="26"/>
              </w:rPr>
              <w:t>Nouna/Kossi</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524207F7" w14:textId="77777777" w:rsidR="00284822" w:rsidRDefault="00F77BF8">
            <w:pPr>
              <w:spacing w:before="120" w:after="120"/>
              <w:rPr>
                <w:rFonts w:ascii="Rockwell" w:hAnsi="Rockwell"/>
                <w:color w:val="000000"/>
                <w:szCs w:val="26"/>
              </w:rPr>
            </w:pPr>
            <w:r>
              <w:rPr>
                <w:rFonts w:ascii="Rockwell" w:hAnsi="Rockwell"/>
                <w:color w:val="000000"/>
                <w:szCs w:val="26"/>
              </w:rPr>
              <w:t>106.700 MHz</w:t>
            </w:r>
          </w:p>
        </w:tc>
      </w:tr>
      <w:tr w:rsidR="00284822" w14:paraId="39827A5D"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0C5BE12" w14:textId="77777777" w:rsidR="00284822" w:rsidRDefault="00F77BF8">
            <w:pPr>
              <w:spacing w:before="120" w:after="120"/>
              <w:jc w:val="center"/>
              <w:rPr>
                <w:rFonts w:ascii="Rockwell" w:hAnsi="Rockwell"/>
                <w:color w:val="000000"/>
                <w:szCs w:val="26"/>
              </w:rPr>
            </w:pPr>
            <w:r>
              <w:rPr>
                <w:rFonts w:ascii="Rockwell" w:hAnsi="Rockwell"/>
                <w:color w:val="000000"/>
                <w:szCs w:val="26"/>
              </w:rPr>
              <w:lastRenderedPageBreak/>
              <w:t>33</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6D19B059"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Islamique </w:t>
            </w:r>
            <w:proofErr w:type="spellStart"/>
            <w:r>
              <w:rPr>
                <w:rFonts w:ascii="Rockwell" w:hAnsi="Rockwell"/>
                <w:color w:val="000000"/>
                <w:szCs w:val="26"/>
              </w:rPr>
              <w:t>Ahmadiyya</w:t>
            </w:r>
            <w:proofErr w:type="spellEnd"/>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0D8F3142" w14:textId="77777777" w:rsidR="00284822" w:rsidRDefault="00F77BF8">
            <w:pPr>
              <w:spacing w:before="120" w:after="120"/>
              <w:rPr>
                <w:rFonts w:ascii="Rockwell" w:hAnsi="Rockwell"/>
                <w:color w:val="000000"/>
                <w:szCs w:val="26"/>
              </w:rPr>
            </w:pPr>
            <w:r>
              <w:rPr>
                <w:rFonts w:ascii="Rockwell" w:hAnsi="Rockwell"/>
                <w:color w:val="000000"/>
                <w:szCs w:val="26"/>
              </w:rPr>
              <w:t>Dédougou/Mouhoun</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49616C3F" w14:textId="77777777" w:rsidR="00284822" w:rsidRDefault="00F77BF8">
            <w:pPr>
              <w:spacing w:before="120" w:after="120"/>
              <w:rPr>
                <w:rFonts w:ascii="Rockwell" w:hAnsi="Rockwell"/>
                <w:color w:val="000000"/>
                <w:szCs w:val="26"/>
              </w:rPr>
            </w:pPr>
            <w:r>
              <w:rPr>
                <w:rFonts w:ascii="Rockwell" w:hAnsi="Rockwell"/>
                <w:color w:val="000000"/>
                <w:szCs w:val="26"/>
              </w:rPr>
              <w:t>107.200 MHz</w:t>
            </w:r>
          </w:p>
        </w:tc>
      </w:tr>
      <w:tr w:rsidR="00284822" w14:paraId="18A90783"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D9D1494" w14:textId="77777777" w:rsidR="00284822" w:rsidRDefault="00F77BF8">
            <w:pPr>
              <w:spacing w:before="120" w:after="120"/>
              <w:jc w:val="center"/>
              <w:rPr>
                <w:rFonts w:ascii="Rockwell" w:hAnsi="Rockwell"/>
                <w:color w:val="000000"/>
                <w:szCs w:val="26"/>
              </w:rPr>
            </w:pPr>
            <w:r>
              <w:rPr>
                <w:rFonts w:ascii="Rockwell" w:hAnsi="Rockwell"/>
                <w:color w:val="000000"/>
                <w:szCs w:val="26"/>
              </w:rPr>
              <w:t>34</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6E2B66F3"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Catholique </w:t>
            </w:r>
            <w:proofErr w:type="spellStart"/>
            <w:r>
              <w:rPr>
                <w:rFonts w:ascii="Rockwell" w:hAnsi="Rockwell"/>
                <w:color w:val="000000"/>
                <w:szCs w:val="26"/>
              </w:rPr>
              <w:t>Némaro</w:t>
            </w:r>
            <w:proofErr w:type="spellEnd"/>
            <w:r>
              <w:rPr>
                <w:rFonts w:ascii="Rockwell" w:hAnsi="Rockwell"/>
                <w:color w:val="000000"/>
                <w:szCs w:val="26"/>
              </w:rPr>
              <w:t xml:space="preserve"> </w:t>
            </w:r>
            <w:proofErr w:type="spellStart"/>
            <w:r>
              <w:rPr>
                <w:rFonts w:ascii="Rockwell" w:hAnsi="Rockwell"/>
                <w:color w:val="000000"/>
                <w:szCs w:val="26"/>
              </w:rPr>
              <w:t>Zien</w:t>
            </w:r>
            <w:proofErr w:type="spellEnd"/>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12197BC8" w14:textId="77777777" w:rsidR="00284822" w:rsidRDefault="00F77BF8">
            <w:pPr>
              <w:spacing w:before="120" w:after="120"/>
              <w:rPr>
                <w:rFonts w:ascii="Rockwell" w:hAnsi="Rockwell"/>
                <w:color w:val="000000"/>
                <w:szCs w:val="26"/>
              </w:rPr>
            </w:pPr>
            <w:r>
              <w:rPr>
                <w:rFonts w:ascii="Rockwell" w:hAnsi="Rockwell"/>
                <w:color w:val="000000"/>
                <w:szCs w:val="26"/>
              </w:rPr>
              <w:t>Léo/Sissili</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76AE52BD" w14:textId="77777777" w:rsidR="00284822" w:rsidRDefault="00F77BF8">
            <w:pPr>
              <w:spacing w:before="120" w:after="120"/>
              <w:rPr>
                <w:rFonts w:ascii="Rockwell" w:hAnsi="Rockwell"/>
                <w:color w:val="000000"/>
                <w:szCs w:val="26"/>
              </w:rPr>
            </w:pPr>
            <w:r>
              <w:rPr>
                <w:rFonts w:ascii="Rockwell" w:hAnsi="Rockwell"/>
                <w:color w:val="000000"/>
                <w:szCs w:val="26"/>
              </w:rPr>
              <w:t>101.300 MHz</w:t>
            </w:r>
          </w:p>
        </w:tc>
      </w:tr>
      <w:tr w:rsidR="00284822" w14:paraId="11BD2C02"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791E0F7" w14:textId="77777777" w:rsidR="00284822" w:rsidRDefault="00F77BF8">
            <w:pPr>
              <w:spacing w:before="120" w:after="120"/>
              <w:jc w:val="center"/>
              <w:rPr>
                <w:rFonts w:ascii="Rockwell" w:hAnsi="Rockwell"/>
                <w:color w:val="000000"/>
                <w:szCs w:val="26"/>
              </w:rPr>
            </w:pPr>
            <w:r>
              <w:rPr>
                <w:rFonts w:ascii="Rockwell" w:hAnsi="Rockwell"/>
                <w:color w:val="000000"/>
                <w:szCs w:val="26"/>
              </w:rPr>
              <w:t>35</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22703C4C" w14:textId="77777777" w:rsidR="00284822" w:rsidRDefault="00F77BF8">
            <w:pPr>
              <w:spacing w:before="120" w:after="120"/>
              <w:rPr>
                <w:rFonts w:ascii="Rockwell" w:hAnsi="Rockwell"/>
                <w:color w:val="000000"/>
                <w:szCs w:val="26"/>
              </w:rPr>
            </w:pPr>
            <w:r>
              <w:rPr>
                <w:rFonts w:ascii="Rockwell" w:hAnsi="Rockwell"/>
                <w:color w:val="000000"/>
                <w:szCs w:val="26"/>
              </w:rPr>
              <w:t>Radio El-Bethel</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46C5FDE9"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34AAA65E" w14:textId="77777777" w:rsidR="00284822" w:rsidRDefault="00F77BF8">
            <w:pPr>
              <w:spacing w:before="120" w:after="120"/>
              <w:rPr>
                <w:rFonts w:ascii="Rockwell" w:hAnsi="Rockwell"/>
                <w:color w:val="000000"/>
                <w:szCs w:val="26"/>
              </w:rPr>
            </w:pPr>
            <w:r>
              <w:rPr>
                <w:rFonts w:ascii="Rockwell" w:hAnsi="Rockwell"/>
                <w:color w:val="000000"/>
                <w:szCs w:val="26"/>
              </w:rPr>
              <w:t>95.700 MHz</w:t>
            </w:r>
          </w:p>
        </w:tc>
      </w:tr>
      <w:tr w:rsidR="00284822" w14:paraId="422B6AAF"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14E039F" w14:textId="77777777" w:rsidR="00284822" w:rsidRDefault="00F77BF8">
            <w:pPr>
              <w:spacing w:before="120" w:after="120"/>
              <w:jc w:val="center"/>
              <w:rPr>
                <w:rFonts w:ascii="Rockwell" w:hAnsi="Rockwell"/>
                <w:color w:val="000000"/>
                <w:szCs w:val="26"/>
              </w:rPr>
            </w:pPr>
            <w:r>
              <w:rPr>
                <w:rFonts w:ascii="Rockwell" w:hAnsi="Rockwell"/>
                <w:color w:val="000000"/>
                <w:szCs w:val="26"/>
              </w:rPr>
              <w:t>36</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48EDBBC2" w14:textId="77777777" w:rsidR="00284822" w:rsidRDefault="00F77BF8">
            <w:pPr>
              <w:spacing w:before="120" w:after="120"/>
              <w:rPr>
                <w:rFonts w:ascii="Rockwell" w:hAnsi="Rockwell"/>
                <w:color w:val="000000"/>
                <w:szCs w:val="26"/>
              </w:rPr>
            </w:pPr>
            <w:r>
              <w:rPr>
                <w:rFonts w:ascii="Rockwell" w:hAnsi="Rockwell"/>
                <w:color w:val="000000"/>
                <w:szCs w:val="26"/>
              </w:rPr>
              <w:t>Radio IQRA</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6348E8E0"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7F1ACCB0" w14:textId="77777777" w:rsidR="00284822" w:rsidRDefault="00F77BF8">
            <w:pPr>
              <w:spacing w:before="120" w:after="120"/>
              <w:rPr>
                <w:rFonts w:ascii="Rockwell" w:hAnsi="Rockwell"/>
                <w:color w:val="000000"/>
                <w:szCs w:val="26"/>
              </w:rPr>
            </w:pPr>
            <w:r>
              <w:rPr>
                <w:rFonts w:ascii="Rockwell" w:hAnsi="Rockwell"/>
                <w:color w:val="000000"/>
                <w:szCs w:val="26"/>
              </w:rPr>
              <w:t>96.100 MHz</w:t>
            </w:r>
          </w:p>
        </w:tc>
      </w:tr>
      <w:tr w:rsidR="00284822" w14:paraId="3B6F1BDF"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6A88109" w14:textId="77777777" w:rsidR="00284822" w:rsidRDefault="00F77BF8">
            <w:pPr>
              <w:spacing w:before="120" w:after="120"/>
              <w:jc w:val="center"/>
              <w:rPr>
                <w:rFonts w:ascii="Rockwell" w:hAnsi="Rockwell"/>
                <w:color w:val="000000"/>
                <w:szCs w:val="26"/>
              </w:rPr>
            </w:pPr>
            <w:r>
              <w:rPr>
                <w:rFonts w:ascii="Rockwell" w:hAnsi="Rockwell"/>
                <w:color w:val="000000"/>
                <w:szCs w:val="26"/>
              </w:rPr>
              <w:t>37</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596AF85B" w14:textId="77777777" w:rsidR="00284822" w:rsidRDefault="00F77BF8">
            <w:pPr>
              <w:spacing w:before="120" w:after="120"/>
              <w:rPr>
                <w:rFonts w:ascii="Rockwell" w:hAnsi="Rockwell"/>
                <w:color w:val="000000"/>
                <w:szCs w:val="26"/>
              </w:rPr>
            </w:pPr>
            <w:r>
              <w:rPr>
                <w:rFonts w:ascii="Rockwell" w:hAnsi="Rockwell"/>
                <w:color w:val="000000"/>
                <w:szCs w:val="26"/>
              </w:rPr>
              <w:t>Radio Evangile Développement (RED)</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77C69CD6" w14:textId="77777777" w:rsidR="00284822" w:rsidRDefault="00F77BF8">
            <w:pPr>
              <w:spacing w:before="120" w:after="120"/>
              <w:rPr>
                <w:rFonts w:ascii="Rockwell" w:hAnsi="Rockwell"/>
                <w:color w:val="000000"/>
                <w:szCs w:val="26"/>
              </w:rPr>
            </w:pPr>
            <w:r>
              <w:rPr>
                <w:rFonts w:ascii="Rockwell" w:hAnsi="Rockwell"/>
                <w:color w:val="000000"/>
                <w:szCs w:val="26"/>
              </w:rPr>
              <w:t>Léo/Sissili</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197BBF85" w14:textId="77777777" w:rsidR="00284822" w:rsidRDefault="00F77BF8">
            <w:pPr>
              <w:spacing w:before="120" w:after="120"/>
              <w:rPr>
                <w:rFonts w:ascii="Rockwell" w:hAnsi="Rockwell"/>
                <w:color w:val="000000"/>
                <w:szCs w:val="26"/>
              </w:rPr>
            </w:pPr>
            <w:r>
              <w:rPr>
                <w:rFonts w:ascii="Rockwell" w:hAnsi="Rockwell"/>
                <w:color w:val="000000"/>
                <w:szCs w:val="26"/>
              </w:rPr>
              <w:t>97.8 MHz</w:t>
            </w:r>
          </w:p>
        </w:tc>
      </w:tr>
      <w:tr w:rsidR="00284822" w14:paraId="52AAF81F"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08D0996" w14:textId="77777777" w:rsidR="00284822" w:rsidRDefault="00F77BF8">
            <w:pPr>
              <w:spacing w:before="120" w:after="120"/>
              <w:jc w:val="center"/>
              <w:rPr>
                <w:rFonts w:ascii="Rockwell" w:hAnsi="Rockwell"/>
                <w:color w:val="000000"/>
                <w:szCs w:val="26"/>
              </w:rPr>
            </w:pPr>
            <w:r>
              <w:rPr>
                <w:rFonts w:ascii="Rockwell" w:hAnsi="Rockwell"/>
                <w:color w:val="000000"/>
                <w:szCs w:val="26"/>
              </w:rPr>
              <w:t>38</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2DB59596" w14:textId="77777777" w:rsidR="00284822" w:rsidRDefault="00F77BF8">
            <w:pPr>
              <w:spacing w:before="120" w:after="120"/>
              <w:rPr>
                <w:rFonts w:ascii="Rockwell" w:hAnsi="Rockwell"/>
                <w:color w:val="000000"/>
                <w:szCs w:val="26"/>
              </w:rPr>
            </w:pPr>
            <w:r>
              <w:rPr>
                <w:rFonts w:ascii="Rockwell" w:hAnsi="Rockwell"/>
                <w:color w:val="000000"/>
                <w:szCs w:val="26"/>
              </w:rPr>
              <w:t>Radio Evangile Développement (RED)</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2A386A05" w14:textId="77777777" w:rsidR="00284822" w:rsidRDefault="00F77BF8">
            <w:pPr>
              <w:spacing w:before="120" w:after="120"/>
              <w:rPr>
                <w:rFonts w:ascii="Rockwell" w:hAnsi="Rockwell"/>
                <w:color w:val="000000"/>
                <w:szCs w:val="26"/>
              </w:rPr>
            </w:pPr>
            <w:proofErr w:type="spellStart"/>
            <w:r>
              <w:rPr>
                <w:rFonts w:ascii="Rockwell" w:hAnsi="Rockwell"/>
                <w:color w:val="000000"/>
                <w:szCs w:val="26"/>
              </w:rPr>
              <w:t>Yako</w:t>
            </w:r>
            <w:proofErr w:type="spellEnd"/>
            <w:r>
              <w:rPr>
                <w:rFonts w:ascii="Rockwell" w:hAnsi="Rockwell"/>
                <w:color w:val="000000"/>
                <w:szCs w:val="26"/>
              </w:rPr>
              <w:t>/Passoré</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51480314" w14:textId="77777777" w:rsidR="00284822" w:rsidRDefault="00F77BF8">
            <w:pPr>
              <w:spacing w:before="120" w:after="120"/>
              <w:rPr>
                <w:rFonts w:ascii="Rockwell" w:hAnsi="Rockwell"/>
                <w:color w:val="000000"/>
                <w:szCs w:val="26"/>
              </w:rPr>
            </w:pPr>
            <w:r>
              <w:rPr>
                <w:rFonts w:ascii="Rockwell" w:hAnsi="Rockwell"/>
                <w:color w:val="000000"/>
                <w:szCs w:val="26"/>
              </w:rPr>
              <w:t>91.700 MHz</w:t>
            </w:r>
          </w:p>
        </w:tc>
      </w:tr>
      <w:tr w:rsidR="00284822" w14:paraId="3E0808FE"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3FD9FA6" w14:textId="77777777" w:rsidR="00284822" w:rsidRDefault="00F77BF8">
            <w:pPr>
              <w:spacing w:before="120" w:after="120"/>
              <w:jc w:val="center"/>
              <w:rPr>
                <w:rFonts w:ascii="Rockwell" w:hAnsi="Rockwell"/>
                <w:color w:val="000000"/>
                <w:szCs w:val="26"/>
              </w:rPr>
            </w:pPr>
            <w:r>
              <w:rPr>
                <w:rFonts w:ascii="Rockwell" w:hAnsi="Rockwell"/>
                <w:color w:val="000000"/>
                <w:szCs w:val="26"/>
              </w:rPr>
              <w:t>39</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33E24360"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Al </w:t>
            </w:r>
            <w:proofErr w:type="spellStart"/>
            <w:r>
              <w:rPr>
                <w:rFonts w:ascii="Rockwell" w:hAnsi="Rockwell"/>
                <w:color w:val="000000"/>
                <w:szCs w:val="26"/>
              </w:rPr>
              <w:t>Fadjir</w:t>
            </w:r>
            <w:proofErr w:type="spellEnd"/>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0A3F89D4"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42973639" w14:textId="77777777" w:rsidR="00284822" w:rsidRDefault="00F77BF8">
            <w:pPr>
              <w:spacing w:before="120" w:after="120"/>
              <w:rPr>
                <w:rFonts w:ascii="Rockwell" w:hAnsi="Rockwell"/>
                <w:color w:val="000000"/>
                <w:szCs w:val="26"/>
              </w:rPr>
            </w:pPr>
            <w:r>
              <w:rPr>
                <w:rFonts w:ascii="Rockwell" w:hAnsi="Rockwell"/>
                <w:color w:val="000000"/>
                <w:szCs w:val="26"/>
              </w:rPr>
              <w:t>101.6 MHz</w:t>
            </w:r>
          </w:p>
        </w:tc>
      </w:tr>
      <w:tr w:rsidR="00284822" w14:paraId="46279A91" w14:textId="77777777">
        <w:trPr>
          <w:trHeight w:val="567"/>
          <w:jc w:val="center"/>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54DBB69" w14:textId="77777777" w:rsidR="00284822" w:rsidRDefault="00F77BF8">
            <w:pPr>
              <w:spacing w:before="120" w:after="120"/>
              <w:jc w:val="center"/>
              <w:rPr>
                <w:rFonts w:ascii="Rockwell" w:hAnsi="Rockwell"/>
                <w:color w:val="000000"/>
                <w:szCs w:val="26"/>
              </w:rPr>
            </w:pPr>
            <w:r>
              <w:rPr>
                <w:rFonts w:ascii="Rockwell" w:hAnsi="Rockwell"/>
                <w:color w:val="000000"/>
                <w:szCs w:val="26"/>
              </w:rPr>
              <w:t>40</w:t>
            </w:r>
          </w:p>
        </w:tc>
        <w:tc>
          <w:tcPr>
            <w:tcW w:w="4956" w:type="dxa"/>
            <w:tcBorders>
              <w:top w:val="single" w:sz="4" w:space="0" w:color="auto"/>
              <w:left w:val="nil"/>
              <w:bottom w:val="single" w:sz="4" w:space="0" w:color="auto"/>
              <w:right w:val="single" w:sz="4" w:space="0" w:color="auto"/>
            </w:tcBorders>
            <w:shd w:val="clear" w:color="auto" w:fill="FFFFFF" w:themeFill="background1"/>
            <w:noWrap/>
            <w:vAlign w:val="bottom"/>
          </w:tcPr>
          <w:p w14:paraId="221B7B65"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Viim</w:t>
            </w:r>
            <w:proofErr w:type="spellEnd"/>
            <w:r>
              <w:rPr>
                <w:rFonts w:ascii="Rockwell" w:hAnsi="Rockwell"/>
                <w:color w:val="000000"/>
                <w:szCs w:val="26"/>
              </w:rPr>
              <w:t xml:space="preserve"> </w:t>
            </w:r>
            <w:proofErr w:type="spellStart"/>
            <w:r>
              <w:rPr>
                <w:rFonts w:ascii="Rockwell" w:hAnsi="Rockwell"/>
                <w:color w:val="000000"/>
                <w:szCs w:val="26"/>
              </w:rPr>
              <w:t>Koèga</w:t>
            </w:r>
            <w:proofErr w:type="spellEnd"/>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135999C7" w14:textId="77777777" w:rsidR="00284822" w:rsidRDefault="00F77BF8">
            <w:pPr>
              <w:spacing w:before="120" w:after="120"/>
              <w:rPr>
                <w:rFonts w:ascii="Rockwell" w:hAnsi="Rockwell"/>
                <w:color w:val="000000"/>
                <w:szCs w:val="26"/>
              </w:rPr>
            </w:pPr>
            <w:r>
              <w:rPr>
                <w:rFonts w:ascii="Rockwell" w:hAnsi="Rockwell"/>
                <w:color w:val="000000"/>
                <w:szCs w:val="26"/>
              </w:rPr>
              <w:t>Koudougou/Boulkiemdé</w:t>
            </w:r>
          </w:p>
        </w:tc>
        <w:tc>
          <w:tcPr>
            <w:tcW w:w="2141" w:type="dxa"/>
            <w:tcBorders>
              <w:top w:val="single" w:sz="4" w:space="0" w:color="auto"/>
              <w:left w:val="nil"/>
              <w:bottom w:val="single" w:sz="4" w:space="0" w:color="auto"/>
              <w:right w:val="single" w:sz="4" w:space="0" w:color="auto"/>
            </w:tcBorders>
            <w:shd w:val="clear" w:color="auto" w:fill="FFFFFF" w:themeFill="background1"/>
            <w:noWrap/>
            <w:vAlign w:val="bottom"/>
          </w:tcPr>
          <w:p w14:paraId="6F6D10BA" w14:textId="77777777" w:rsidR="00284822" w:rsidRDefault="00F77BF8">
            <w:pPr>
              <w:spacing w:before="120" w:after="120"/>
              <w:rPr>
                <w:rFonts w:ascii="Rockwell" w:hAnsi="Rockwell"/>
                <w:color w:val="000000"/>
                <w:szCs w:val="26"/>
              </w:rPr>
            </w:pPr>
            <w:r>
              <w:rPr>
                <w:rFonts w:ascii="Rockwell" w:hAnsi="Rockwell"/>
                <w:color w:val="000000"/>
                <w:szCs w:val="26"/>
              </w:rPr>
              <w:t>89.9 MHz</w:t>
            </w:r>
          </w:p>
        </w:tc>
      </w:tr>
    </w:tbl>
    <w:p w14:paraId="77837D0C" w14:textId="77777777" w:rsidR="00284822" w:rsidRDefault="00284822">
      <w:pPr>
        <w:spacing w:before="120" w:after="120"/>
        <w:rPr>
          <w:rFonts w:ascii="Rockwell" w:hAnsi="Rockwell"/>
          <w:szCs w:val="26"/>
        </w:rPr>
        <w:sectPr w:rsidR="00284822">
          <w:pgSz w:w="16838" w:h="11906" w:orient="landscape"/>
          <w:pgMar w:top="1418" w:right="1418" w:bottom="1418" w:left="1418" w:header="720" w:footer="720" w:gutter="0"/>
          <w:cols w:space="720"/>
        </w:sectPr>
      </w:pPr>
    </w:p>
    <w:p w14:paraId="52A5AE47" w14:textId="77777777" w:rsidR="00284822" w:rsidRDefault="00F77BF8">
      <w:pPr>
        <w:pStyle w:val="Paragraphedeliste"/>
        <w:numPr>
          <w:ilvl w:val="0"/>
          <w:numId w:val="54"/>
        </w:numPr>
        <w:rPr>
          <w:rFonts w:ascii="Rockwell" w:hAnsi="Rockwell"/>
        </w:rPr>
      </w:pPr>
      <w:r>
        <w:rPr>
          <w:rFonts w:ascii="Rockwell" w:hAnsi="Rockwell"/>
        </w:rPr>
        <w:lastRenderedPageBreak/>
        <w:t>Radios communautaires : cinquante-cinq (55)</w:t>
      </w:r>
    </w:p>
    <w:tbl>
      <w:tblPr>
        <w:tblW w:w="13462" w:type="dxa"/>
        <w:jc w:val="center"/>
        <w:tblLayout w:type="fixed"/>
        <w:tblCellMar>
          <w:left w:w="70" w:type="dxa"/>
          <w:right w:w="70" w:type="dxa"/>
        </w:tblCellMar>
        <w:tblLook w:val="04A0" w:firstRow="1" w:lastRow="0" w:firstColumn="1" w:lastColumn="0" w:noHBand="0" w:noVBand="1"/>
      </w:tblPr>
      <w:tblGrid>
        <w:gridCol w:w="988"/>
        <w:gridCol w:w="4819"/>
        <w:gridCol w:w="3969"/>
        <w:gridCol w:w="3686"/>
      </w:tblGrid>
      <w:tr w:rsidR="00284822" w14:paraId="06601806"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bottom"/>
          </w:tcPr>
          <w:p w14:paraId="391BB13C" w14:textId="77777777" w:rsidR="00284822" w:rsidRDefault="00F77BF8">
            <w:pPr>
              <w:spacing w:before="120" w:after="120"/>
              <w:jc w:val="center"/>
              <w:rPr>
                <w:rFonts w:ascii="Rockwell" w:hAnsi="Rockwell"/>
                <w:b/>
                <w:bCs/>
                <w:color w:val="000000"/>
                <w:szCs w:val="26"/>
              </w:rPr>
            </w:pPr>
            <w:r>
              <w:rPr>
                <w:rFonts w:ascii="Rockwell" w:hAnsi="Rockwell"/>
                <w:b/>
                <w:bCs/>
                <w:color w:val="000000"/>
                <w:szCs w:val="26"/>
              </w:rPr>
              <w:t>N°</w:t>
            </w:r>
          </w:p>
        </w:tc>
        <w:tc>
          <w:tcPr>
            <w:tcW w:w="4819" w:type="dxa"/>
            <w:tcBorders>
              <w:top w:val="single" w:sz="4" w:space="0" w:color="auto"/>
              <w:left w:val="nil"/>
              <w:bottom w:val="single" w:sz="4" w:space="0" w:color="auto"/>
              <w:right w:val="single" w:sz="4" w:space="0" w:color="auto"/>
            </w:tcBorders>
            <w:shd w:val="clear" w:color="auto" w:fill="BDD6EE" w:themeFill="accent1" w:themeFillTint="66"/>
            <w:noWrap/>
            <w:vAlign w:val="bottom"/>
          </w:tcPr>
          <w:p w14:paraId="766B23A9" w14:textId="77777777" w:rsidR="00284822" w:rsidRDefault="00F77BF8">
            <w:pPr>
              <w:spacing w:before="120" w:after="120"/>
              <w:jc w:val="center"/>
              <w:rPr>
                <w:rFonts w:ascii="Rockwell" w:hAnsi="Rockwell"/>
                <w:b/>
                <w:bCs/>
                <w:color w:val="000000"/>
                <w:szCs w:val="26"/>
              </w:rPr>
            </w:pPr>
            <w:r>
              <w:rPr>
                <w:rFonts w:ascii="Rockwell" w:hAnsi="Rockwell"/>
                <w:b/>
                <w:bCs/>
                <w:color w:val="000000"/>
                <w:szCs w:val="26"/>
              </w:rPr>
              <w:t>Dénomination</w:t>
            </w:r>
          </w:p>
        </w:tc>
        <w:tc>
          <w:tcPr>
            <w:tcW w:w="3969" w:type="dxa"/>
            <w:tcBorders>
              <w:top w:val="single" w:sz="4" w:space="0" w:color="auto"/>
              <w:left w:val="nil"/>
              <w:bottom w:val="single" w:sz="4" w:space="0" w:color="auto"/>
              <w:right w:val="single" w:sz="4" w:space="0" w:color="auto"/>
            </w:tcBorders>
            <w:shd w:val="clear" w:color="auto" w:fill="BDD6EE" w:themeFill="accent1" w:themeFillTint="66"/>
            <w:noWrap/>
            <w:vAlign w:val="bottom"/>
          </w:tcPr>
          <w:p w14:paraId="0743F492" w14:textId="77777777" w:rsidR="00284822" w:rsidRDefault="00F77BF8">
            <w:pPr>
              <w:spacing w:before="120" w:after="120"/>
              <w:jc w:val="center"/>
              <w:rPr>
                <w:rFonts w:ascii="Rockwell" w:hAnsi="Rockwell"/>
                <w:b/>
                <w:bCs/>
                <w:color w:val="000000"/>
                <w:szCs w:val="26"/>
              </w:rPr>
            </w:pPr>
            <w:r>
              <w:rPr>
                <w:rFonts w:ascii="Rockwell" w:hAnsi="Rockwell"/>
                <w:b/>
                <w:bCs/>
                <w:color w:val="000000"/>
                <w:szCs w:val="26"/>
              </w:rPr>
              <w:t>Localité/Province</w:t>
            </w:r>
          </w:p>
        </w:tc>
        <w:tc>
          <w:tcPr>
            <w:tcW w:w="3686" w:type="dxa"/>
            <w:tcBorders>
              <w:top w:val="single" w:sz="4" w:space="0" w:color="auto"/>
              <w:left w:val="nil"/>
              <w:bottom w:val="single" w:sz="4" w:space="0" w:color="auto"/>
              <w:right w:val="single" w:sz="4" w:space="0" w:color="auto"/>
            </w:tcBorders>
            <w:shd w:val="clear" w:color="auto" w:fill="BDD6EE" w:themeFill="accent1" w:themeFillTint="66"/>
            <w:noWrap/>
            <w:vAlign w:val="bottom"/>
          </w:tcPr>
          <w:p w14:paraId="550A475A" w14:textId="77777777" w:rsidR="00284822" w:rsidRDefault="00F77BF8">
            <w:pPr>
              <w:spacing w:before="120" w:after="120"/>
              <w:jc w:val="center"/>
              <w:rPr>
                <w:rFonts w:ascii="Rockwell" w:hAnsi="Rockwell"/>
                <w:b/>
                <w:bCs/>
                <w:color w:val="000000"/>
                <w:szCs w:val="26"/>
              </w:rPr>
            </w:pPr>
            <w:r>
              <w:rPr>
                <w:rFonts w:ascii="Rockwell" w:hAnsi="Rockwell"/>
                <w:b/>
                <w:bCs/>
                <w:color w:val="000000"/>
                <w:szCs w:val="26"/>
              </w:rPr>
              <w:t>Fréquence</w:t>
            </w:r>
          </w:p>
        </w:tc>
      </w:tr>
      <w:tr w:rsidR="00284822" w14:paraId="065E6BB9" w14:textId="77777777">
        <w:trPr>
          <w:trHeight w:val="454"/>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F8646DE" w14:textId="77777777" w:rsidR="00284822" w:rsidRDefault="00F77BF8">
            <w:pPr>
              <w:spacing w:before="120" w:after="120"/>
              <w:jc w:val="left"/>
              <w:rPr>
                <w:rFonts w:ascii="Rockwell" w:hAnsi="Rockwell"/>
                <w:color w:val="000000"/>
                <w:szCs w:val="26"/>
              </w:rPr>
            </w:pPr>
            <w:r>
              <w:rPr>
                <w:rFonts w:ascii="Rockwell" w:hAnsi="Rockwell"/>
                <w:color w:val="000000"/>
                <w:szCs w:val="26"/>
              </w:rPr>
              <w:t>1</w:t>
            </w:r>
          </w:p>
        </w:tc>
        <w:tc>
          <w:tcPr>
            <w:tcW w:w="4819" w:type="dxa"/>
            <w:tcBorders>
              <w:top w:val="single" w:sz="4" w:space="0" w:color="auto"/>
              <w:left w:val="nil"/>
              <w:bottom w:val="single" w:sz="4" w:space="0" w:color="auto"/>
              <w:right w:val="single" w:sz="4" w:space="0" w:color="auto"/>
            </w:tcBorders>
            <w:shd w:val="clear" w:color="auto" w:fill="FFFFFF" w:themeFill="background1"/>
            <w:noWrap/>
          </w:tcPr>
          <w:p w14:paraId="4D597E53"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Salankoloto</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7D502185"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0622F6B0" w14:textId="77777777" w:rsidR="00284822" w:rsidRDefault="00F77BF8">
            <w:pPr>
              <w:spacing w:before="120" w:after="120"/>
              <w:jc w:val="center"/>
              <w:rPr>
                <w:rFonts w:ascii="Rockwell" w:hAnsi="Rockwell"/>
                <w:color w:val="000000"/>
                <w:szCs w:val="26"/>
              </w:rPr>
            </w:pPr>
            <w:r>
              <w:rPr>
                <w:rFonts w:ascii="Rockwell" w:hAnsi="Rockwell"/>
                <w:color w:val="000000"/>
                <w:szCs w:val="26"/>
              </w:rPr>
              <w:t>97.300 MHz</w:t>
            </w:r>
          </w:p>
        </w:tc>
      </w:tr>
      <w:tr w:rsidR="00284822" w14:paraId="0E0B7025" w14:textId="77777777">
        <w:trPr>
          <w:trHeight w:val="454"/>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F574B01" w14:textId="77777777" w:rsidR="00284822" w:rsidRDefault="00F77BF8">
            <w:pPr>
              <w:spacing w:before="120" w:after="120"/>
              <w:jc w:val="left"/>
              <w:rPr>
                <w:rFonts w:ascii="Rockwell" w:hAnsi="Rockwell"/>
                <w:color w:val="000000"/>
                <w:szCs w:val="26"/>
              </w:rPr>
            </w:pPr>
            <w:r>
              <w:rPr>
                <w:rFonts w:ascii="Rockwell" w:hAnsi="Rockwell"/>
                <w:color w:val="000000"/>
                <w:szCs w:val="26"/>
              </w:rPr>
              <w:t>2</w:t>
            </w:r>
          </w:p>
        </w:tc>
        <w:tc>
          <w:tcPr>
            <w:tcW w:w="4819" w:type="dxa"/>
            <w:tcBorders>
              <w:top w:val="single" w:sz="4" w:space="0" w:color="auto"/>
              <w:left w:val="nil"/>
              <w:bottom w:val="single" w:sz="4" w:space="0" w:color="auto"/>
              <w:right w:val="single" w:sz="4" w:space="0" w:color="auto"/>
            </w:tcBorders>
            <w:shd w:val="clear" w:color="auto" w:fill="FFFFFF" w:themeFill="background1"/>
            <w:noWrap/>
            <w:vAlign w:val="bottom"/>
          </w:tcPr>
          <w:p w14:paraId="02E56B6A" w14:textId="77777777" w:rsidR="00284822" w:rsidRDefault="00F77BF8">
            <w:pPr>
              <w:spacing w:before="120" w:after="120"/>
              <w:rPr>
                <w:rFonts w:ascii="Rockwell" w:hAnsi="Rockwell"/>
                <w:color w:val="000000"/>
                <w:szCs w:val="26"/>
              </w:rPr>
            </w:pPr>
            <w:r>
              <w:rPr>
                <w:rFonts w:ascii="Rockwell" w:hAnsi="Rockwell"/>
                <w:color w:val="000000"/>
                <w:szCs w:val="26"/>
              </w:rPr>
              <w:t>La Voix du Paysan</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36567356" w14:textId="77777777" w:rsidR="00284822" w:rsidRDefault="00F77BF8">
            <w:pPr>
              <w:spacing w:before="120" w:after="120"/>
              <w:rPr>
                <w:rFonts w:ascii="Rockwell" w:hAnsi="Rockwell"/>
                <w:color w:val="000000"/>
                <w:szCs w:val="26"/>
              </w:rPr>
            </w:pPr>
            <w:r>
              <w:rPr>
                <w:rFonts w:ascii="Rockwell" w:hAnsi="Rockwell"/>
                <w:color w:val="000000"/>
                <w:szCs w:val="26"/>
              </w:rPr>
              <w:t>Ouahigouya/Yatenga</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2D937C11" w14:textId="77777777" w:rsidR="00284822" w:rsidRDefault="00F77BF8">
            <w:pPr>
              <w:spacing w:before="120" w:after="120"/>
              <w:jc w:val="center"/>
              <w:rPr>
                <w:rFonts w:ascii="Rockwell" w:hAnsi="Rockwell"/>
                <w:color w:val="000000"/>
                <w:szCs w:val="26"/>
              </w:rPr>
            </w:pPr>
            <w:r>
              <w:rPr>
                <w:rFonts w:ascii="Rockwell" w:hAnsi="Rockwell"/>
                <w:color w:val="000000"/>
                <w:szCs w:val="26"/>
              </w:rPr>
              <w:t>97.00 MHz</w:t>
            </w:r>
          </w:p>
        </w:tc>
      </w:tr>
      <w:tr w:rsidR="00284822" w14:paraId="366AEA0C" w14:textId="77777777">
        <w:trPr>
          <w:trHeight w:val="454"/>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7D9F85B" w14:textId="77777777" w:rsidR="00284822" w:rsidRDefault="00F77BF8">
            <w:pPr>
              <w:spacing w:before="120" w:after="120"/>
              <w:jc w:val="left"/>
              <w:rPr>
                <w:rFonts w:ascii="Rockwell" w:hAnsi="Rockwell"/>
                <w:color w:val="000000"/>
                <w:szCs w:val="26"/>
              </w:rPr>
            </w:pPr>
            <w:r>
              <w:rPr>
                <w:rFonts w:ascii="Rockwell" w:hAnsi="Rockwell"/>
                <w:color w:val="000000"/>
                <w:szCs w:val="26"/>
              </w:rPr>
              <w:t>3</w:t>
            </w:r>
          </w:p>
        </w:tc>
        <w:tc>
          <w:tcPr>
            <w:tcW w:w="4819" w:type="dxa"/>
            <w:tcBorders>
              <w:top w:val="single" w:sz="4" w:space="0" w:color="auto"/>
              <w:left w:val="nil"/>
              <w:bottom w:val="single" w:sz="4" w:space="0" w:color="auto"/>
              <w:right w:val="single" w:sz="4" w:space="0" w:color="auto"/>
            </w:tcBorders>
            <w:shd w:val="clear" w:color="auto" w:fill="FFFFFF" w:themeFill="background1"/>
            <w:noWrap/>
            <w:vAlign w:val="bottom"/>
          </w:tcPr>
          <w:p w14:paraId="3019AEC0" w14:textId="77777777" w:rsidR="00284822" w:rsidRDefault="00F77BF8">
            <w:pPr>
              <w:spacing w:before="120" w:after="120"/>
              <w:rPr>
                <w:rFonts w:ascii="Rockwell" w:hAnsi="Rockwell"/>
                <w:color w:val="000000"/>
                <w:szCs w:val="26"/>
              </w:rPr>
            </w:pPr>
            <w:r>
              <w:rPr>
                <w:rFonts w:ascii="Rockwell" w:hAnsi="Rockwell"/>
                <w:color w:val="000000"/>
                <w:szCs w:val="26"/>
              </w:rPr>
              <w:t>Radio Vive le Paysan</w:t>
            </w:r>
          </w:p>
        </w:tc>
        <w:tc>
          <w:tcPr>
            <w:tcW w:w="3969" w:type="dxa"/>
            <w:tcBorders>
              <w:top w:val="single" w:sz="4" w:space="0" w:color="auto"/>
              <w:left w:val="nil"/>
              <w:bottom w:val="single" w:sz="4" w:space="0" w:color="auto"/>
              <w:right w:val="single" w:sz="4" w:space="0" w:color="auto"/>
            </w:tcBorders>
            <w:shd w:val="clear" w:color="auto" w:fill="FFFFFF" w:themeFill="background1"/>
            <w:noWrap/>
          </w:tcPr>
          <w:p w14:paraId="6451C09B" w14:textId="77777777" w:rsidR="00284822" w:rsidRDefault="00F77BF8">
            <w:pPr>
              <w:spacing w:before="120" w:after="120"/>
              <w:rPr>
                <w:rFonts w:ascii="Rockwell" w:hAnsi="Rockwell"/>
                <w:color w:val="000000"/>
                <w:szCs w:val="26"/>
              </w:rPr>
            </w:pPr>
            <w:r>
              <w:rPr>
                <w:rFonts w:ascii="Rockwell" w:hAnsi="Rockwell"/>
                <w:color w:val="000000"/>
                <w:szCs w:val="26"/>
              </w:rPr>
              <w:t>Saponé /Bazèga</w:t>
            </w:r>
          </w:p>
        </w:tc>
        <w:tc>
          <w:tcPr>
            <w:tcW w:w="3686" w:type="dxa"/>
            <w:tcBorders>
              <w:top w:val="single" w:sz="4" w:space="0" w:color="auto"/>
              <w:left w:val="nil"/>
              <w:bottom w:val="single" w:sz="4" w:space="0" w:color="auto"/>
              <w:right w:val="single" w:sz="4" w:space="0" w:color="auto"/>
            </w:tcBorders>
            <w:shd w:val="clear" w:color="auto" w:fill="FFFFFF" w:themeFill="background1"/>
            <w:noWrap/>
          </w:tcPr>
          <w:p w14:paraId="2F56F7BD" w14:textId="77777777" w:rsidR="00284822" w:rsidRDefault="00F77BF8">
            <w:pPr>
              <w:spacing w:before="120" w:after="120"/>
              <w:jc w:val="center"/>
              <w:rPr>
                <w:rFonts w:ascii="Rockwell" w:hAnsi="Rockwell"/>
                <w:color w:val="000000"/>
                <w:szCs w:val="26"/>
              </w:rPr>
            </w:pPr>
            <w:r>
              <w:rPr>
                <w:rFonts w:ascii="Rockwell" w:hAnsi="Rockwell"/>
                <w:color w:val="000000"/>
                <w:szCs w:val="26"/>
              </w:rPr>
              <w:t>107.0 MHz</w:t>
            </w:r>
          </w:p>
        </w:tc>
      </w:tr>
      <w:tr w:rsidR="00284822" w14:paraId="36EB2953" w14:textId="77777777">
        <w:trPr>
          <w:trHeight w:val="454"/>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EA1A6C6" w14:textId="77777777" w:rsidR="00284822" w:rsidRDefault="00F77BF8">
            <w:pPr>
              <w:spacing w:before="120" w:after="120"/>
              <w:jc w:val="left"/>
              <w:rPr>
                <w:rFonts w:ascii="Rockwell" w:hAnsi="Rockwell"/>
                <w:color w:val="000000"/>
                <w:szCs w:val="26"/>
              </w:rPr>
            </w:pPr>
            <w:r>
              <w:rPr>
                <w:rFonts w:ascii="Rockwell" w:hAnsi="Rockwell"/>
                <w:color w:val="000000"/>
                <w:szCs w:val="26"/>
              </w:rPr>
              <w:t>4</w:t>
            </w:r>
          </w:p>
        </w:tc>
        <w:tc>
          <w:tcPr>
            <w:tcW w:w="4819" w:type="dxa"/>
            <w:tcBorders>
              <w:top w:val="single" w:sz="4" w:space="0" w:color="auto"/>
              <w:left w:val="nil"/>
              <w:bottom w:val="single" w:sz="4" w:space="0" w:color="auto"/>
              <w:right w:val="single" w:sz="4" w:space="0" w:color="auto"/>
            </w:tcBorders>
            <w:shd w:val="clear" w:color="auto" w:fill="FFFFFF" w:themeFill="background1"/>
            <w:noWrap/>
          </w:tcPr>
          <w:p w14:paraId="5A87E0A8" w14:textId="77777777" w:rsidR="00284822" w:rsidRDefault="00F77BF8">
            <w:pPr>
              <w:spacing w:before="120" w:after="120"/>
              <w:rPr>
                <w:rFonts w:ascii="Rockwell" w:hAnsi="Rockwell"/>
                <w:color w:val="000000"/>
                <w:szCs w:val="26"/>
              </w:rPr>
            </w:pPr>
            <w:r>
              <w:rPr>
                <w:rFonts w:ascii="Rockwell" w:hAnsi="Rockwell"/>
                <w:color w:val="000000"/>
                <w:szCs w:val="26"/>
              </w:rPr>
              <w:t>Radio Palabre</w:t>
            </w:r>
          </w:p>
        </w:tc>
        <w:tc>
          <w:tcPr>
            <w:tcW w:w="3969" w:type="dxa"/>
            <w:tcBorders>
              <w:top w:val="single" w:sz="4" w:space="0" w:color="auto"/>
              <w:left w:val="nil"/>
              <w:bottom w:val="single" w:sz="4" w:space="0" w:color="auto"/>
              <w:right w:val="single" w:sz="4" w:space="0" w:color="auto"/>
            </w:tcBorders>
            <w:shd w:val="clear" w:color="auto" w:fill="FFFFFF" w:themeFill="background1"/>
            <w:noWrap/>
          </w:tcPr>
          <w:p w14:paraId="29C267FF" w14:textId="77777777" w:rsidR="00284822" w:rsidRDefault="00F77BF8">
            <w:pPr>
              <w:spacing w:before="120" w:after="120"/>
              <w:rPr>
                <w:rFonts w:ascii="Rockwell" w:hAnsi="Rockwell"/>
                <w:color w:val="000000"/>
                <w:szCs w:val="26"/>
              </w:rPr>
            </w:pPr>
            <w:r>
              <w:rPr>
                <w:rFonts w:ascii="Rockwell" w:hAnsi="Rockwell"/>
                <w:color w:val="000000"/>
                <w:szCs w:val="26"/>
              </w:rPr>
              <w:t>Koudougou/Boulkiemdé</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221C68BF" w14:textId="77777777" w:rsidR="00284822" w:rsidRDefault="00F77BF8">
            <w:pPr>
              <w:spacing w:before="120" w:after="120"/>
              <w:jc w:val="center"/>
              <w:rPr>
                <w:rFonts w:ascii="Rockwell" w:hAnsi="Rockwell"/>
                <w:color w:val="000000"/>
                <w:szCs w:val="26"/>
              </w:rPr>
            </w:pPr>
            <w:r>
              <w:rPr>
                <w:rFonts w:ascii="Rockwell" w:hAnsi="Rockwell"/>
                <w:color w:val="000000"/>
                <w:szCs w:val="26"/>
              </w:rPr>
              <w:t>92.2 MHz</w:t>
            </w:r>
          </w:p>
        </w:tc>
      </w:tr>
      <w:tr w:rsidR="00284822" w14:paraId="2D996454" w14:textId="77777777">
        <w:trPr>
          <w:trHeight w:val="454"/>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69D28FE" w14:textId="77777777" w:rsidR="00284822" w:rsidRDefault="00F77BF8">
            <w:pPr>
              <w:spacing w:before="120" w:after="120"/>
              <w:jc w:val="left"/>
              <w:rPr>
                <w:rFonts w:ascii="Rockwell" w:hAnsi="Rockwell"/>
                <w:color w:val="000000"/>
                <w:szCs w:val="26"/>
              </w:rPr>
            </w:pPr>
            <w:r>
              <w:rPr>
                <w:rFonts w:ascii="Rockwell" w:hAnsi="Rockwell"/>
                <w:color w:val="000000"/>
                <w:szCs w:val="26"/>
              </w:rPr>
              <w:t>5</w:t>
            </w:r>
          </w:p>
        </w:tc>
        <w:tc>
          <w:tcPr>
            <w:tcW w:w="4819" w:type="dxa"/>
            <w:tcBorders>
              <w:top w:val="single" w:sz="4" w:space="0" w:color="auto"/>
              <w:left w:val="nil"/>
              <w:bottom w:val="single" w:sz="4" w:space="0" w:color="auto"/>
              <w:right w:val="single" w:sz="4" w:space="0" w:color="auto"/>
            </w:tcBorders>
            <w:shd w:val="clear" w:color="auto" w:fill="FFFFFF" w:themeFill="background1"/>
            <w:noWrap/>
          </w:tcPr>
          <w:p w14:paraId="063AA24C"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Munyu</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tcPr>
          <w:p w14:paraId="1270E134" w14:textId="77777777" w:rsidR="00284822" w:rsidRDefault="00F77BF8">
            <w:pPr>
              <w:spacing w:before="120" w:after="120"/>
              <w:rPr>
                <w:rFonts w:ascii="Rockwell" w:hAnsi="Rockwell"/>
                <w:color w:val="000000"/>
                <w:szCs w:val="26"/>
              </w:rPr>
            </w:pPr>
            <w:r>
              <w:rPr>
                <w:rFonts w:ascii="Rockwell" w:hAnsi="Rockwell"/>
                <w:color w:val="000000"/>
                <w:szCs w:val="26"/>
              </w:rPr>
              <w:t>Banfora/Comoé</w:t>
            </w:r>
          </w:p>
        </w:tc>
        <w:tc>
          <w:tcPr>
            <w:tcW w:w="3686" w:type="dxa"/>
            <w:tcBorders>
              <w:top w:val="single" w:sz="4" w:space="0" w:color="auto"/>
              <w:left w:val="nil"/>
              <w:bottom w:val="single" w:sz="4" w:space="0" w:color="auto"/>
              <w:right w:val="single" w:sz="4" w:space="0" w:color="auto"/>
            </w:tcBorders>
            <w:shd w:val="clear" w:color="auto" w:fill="FFFFFF" w:themeFill="background1"/>
            <w:noWrap/>
          </w:tcPr>
          <w:p w14:paraId="0F7C4616" w14:textId="77777777" w:rsidR="00284822" w:rsidRDefault="00F77BF8">
            <w:pPr>
              <w:spacing w:before="120" w:after="120"/>
              <w:jc w:val="center"/>
              <w:rPr>
                <w:rFonts w:ascii="Rockwell" w:hAnsi="Rockwell"/>
                <w:color w:val="000000"/>
                <w:szCs w:val="26"/>
              </w:rPr>
            </w:pPr>
            <w:r>
              <w:rPr>
                <w:rFonts w:ascii="Rockwell" w:hAnsi="Rockwell"/>
                <w:color w:val="000000"/>
                <w:szCs w:val="26"/>
              </w:rPr>
              <w:t>95.2 MHz</w:t>
            </w:r>
          </w:p>
        </w:tc>
      </w:tr>
      <w:tr w:rsidR="00284822" w14:paraId="0DE4F468" w14:textId="77777777">
        <w:trPr>
          <w:trHeight w:val="454"/>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0AAB60A" w14:textId="77777777" w:rsidR="00284822" w:rsidRDefault="00F77BF8">
            <w:pPr>
              <w:spacing w:before="120" w:after="120"/>
              <w:jc w:val="left"/>
              <w:rPr>
                <w:rFonts w:ascii="Rockwell" w:hAnsi="Rockwell"/>
                <w:color w:val="000000"/>
                <w:szCs w:val="26"/>
              </w:rPr>
            </w:pPr>
            <w:r>
              <w:rPr>
                <w:rFonts w:ascii="Rockwell" w:hAnsi="Rockwell"/>
                <w:color w:val="000000"/>
                <w:szCs w:val="26"/>
              </w:rPr>
              <w:t>6</w:t>
            </w:r>
          </w:p>
        </w:tc>
        <w:tc>
          <w:tcPr>
            <w:tcW w:w="4819" w:type="dxa"/>
            <w:tcBorders>
              <w:top w:val="single" w:sz="4" w:space="0" w:color="auto"/>
              <w:left w:val="nil"/>
              <w:bottom w:val="single" w:sz="4" w:space="0" w:color="auto"/>
              <w:right w:val="single" w:sz="4" w:space="0" w:color="auto"/>
            </w:tcBorders>
            <w:shd w:val="clear" w:color="auto" w:fill="FFFFFF" w:themeFill="background1"/>
            <w:noWrap/>
          </w:tcPr>
          <w:p w14:paraId="6016A16E"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Manegda</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tcPr>
          <w:p w14:paraId="5F3BE648" w14:textId="77777777" w:rsidR="00284822" w:rsidRDefault="00F77BF8">
            <w:pPr>
              <w:spacing w:before="120" w:after="120"/>
              <w:rPr>
                <w:rFonts w:ascii="Rockwell" w:hAnsi="Rockwell"/>
                <w:color w:val="000000"/>
                <w:szCs w:val="26"/>
              </w:rPr>
            </w:pPr>
            <w:r>
              <w:rPr>
                <w:rFonts w:ascii="Rockwell" w:hAnsi="Rockwell"/>
                <w:color w:val="000000"/>
                <w:szCs w:val="26"/>
              </w:rPr>
              <w:t>Kaya/Sanmatenga</w:t>
            </w:r>
          </w:p>
        </w:tc>
        <w:tc>
          <w:tcPr>
            <w:tcW w:w="3686" w:type="dxa"/>
            <w:tcBorders>
              <w:top w:val="single" w:sz="4" w:space="0" w:color="auto"/>
              <w:left w:val="nil"/>
              <w:bottom w:val="single" w:sz="4" w:space="0" w:color="auto"/>
              <w:right w:val="single" w:sz="4" w:space="0" w:color="auto"/>
            </w:tcBorders>
            <w:shd w:val="clear" w:color="auto" w:fill="FFFFFF" w:themeFill="background1"/>
            <w:noWrap/>
          </w:tcPr>
          <w:p w14:paraId="17FE3286" w14:textId="77777777" w:rsidR="00284822" w:rsidRDefault="00F77BF8">
            <w:pPr>
              <w:spacing w:before="120" w:after="120"/>
              <w:jc w:val="center"/>
              <w:rPr>
                <w:rFonts w:ascii="Rockwell" w:hAnsi="Rockwell"/>
                <w:color w:val="000000"/>
                <w:szCs w:val="26"/>
              </w:rPr>
            </w:pPr>
            <w:r>
              <w:rPr>
                <w:rFonts w:ascii="Rockwell" w:hAnsi="Rockwell"/>
                <w:color w:val="000000"/>
                <w:szCs w:val="26"/>
              </w:rPr>
              <w:t>99.4 MHz</w:t>
            </w:r>
          </w:p>
        </w:tc>
      </w:tr>
      <w:tr w:rsidR="00284822" w14:paraId="17515B3B" w14:textId="77777777">
        <w:trPr>
          <w:trHeight w:val="454"/>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380F653" w14:textId="77777777" w:rsidR="00284822" w:rsidRDefault="00F77BF8">
            <w:pPr>
              <w:spacing w:before="120" w:after="120"/>
              <w:jc w:val="left"/>
              <w:rPr>
                <w:rFonts w:ascii="Rockwell" w:hAnsi="Rockwell"/>
                <w:color w:val="000000"/>
                <w:szCs w:val="26"/>
              </w:rPr>
            </w:pPr>
            <w:r>
              <w:rPr>
                <w:rFonts w:ascii="Rockwell" w:hAnsi="Rockwell"/>
                <w:color w:val="000000"/>
                <w:szCs w:val="26"/>
              </w:rPr>
              <w:t>7</w:t>
            </w:r>
          </w:p>
        </w:tc>
        <w:tc>
          <w:tcPr>
            <w:tcW w:w="4819" w:type="dxa"/>
            <w:tcBorders>
              <w:top w:val="single" w:sz="4" w:space="0" w:color="auto"/>
              <w:left w:val="nil"/>
              <w:bottom w:val="single" w:sz="4" w:space="0" w:color="auto"/>
              <w:right w:val="single" w:sz="4" w:space="0" w:color="auto"/>
            </w:tcBorders>
            <w:shd w:val="clear" w:color="auto" w:fill="FFFFFF" w:themeFill="background1"/>
            <w:noWrap/>
          </w:tcPr>
          <w:p w14:paraId="25769F00"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Kakoadb</w:t>
            </w:r>
            <w:proofErr w:type="spellEnd"/>
            <w:r>
              <w:rPr>
                <w:rFonts w:ascii="Rockwell" w:hAnsi="Rockwell"/>
                <w:color w:val="000000"/>
                <w:szCs w:val="26"/>
              </w:rPr>
              <w:t xml:space="preserve"> Yam </w:t>
            </w:r>
            <w:proofErr w:type="spellStart"/>
            <w:r>
              <w:rPr>
                <w:rFonts w:ascii="Rockwell" w:hAnsi="Rockwell"/>
                <w:color w:val="000000"/>
                <w:szCs w:val="26"/>
              </w:rPr>
              <w:t>Vénégré</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tcPr>
          <w:p w14:paraId="52BE9C77" w14:textId="77777777" w:rsidR="00284822" w:rsidRDefault="00F77BF8">
            <w:pPr>
              <w:spacing w:before="120" w:after="120"/>
              <w:rPr>
                <w:rFonts w:ascii="Rockwell" w:hAnsi="Rockwell"/>
                <w:color w:val="000000"/>
                <w:szCs w:val="26"/>
              </w:rPr>
            </w:pPr>
            <w:r>
              <w:rPr>
                <w:rFonts w:ascii="Rockwell" w:hAnsi="Rockwell"/>
                <w:color w:val="000000"/>
                <w:szCs w:val="26"/>
              </w:rPr>
              <w:t>Ziniaré/Oubritenga</w:t>
            </w:r>
          </w:p>
        </w:tc>
        <w:tc>
          <w:tcPr>
            <w:tcW w:w="3686" w:type="dxa"/>
            <w:tcBorders>
              <w:top w:val="single" w:sz="4" w:space="0" w:color="auto"/>
              <w:left w:val="nil"/>
              <w:bottom w:val="single" w:sz="4" w:space="0" w:color="auto"/>
              <w:right w:val="single" w:sz="4" w:space="0" w:color="auto"/>
            </w:tcBorders>
            <w:shd w:val="clear" w:color="auto" w:fill="FFFFFF" w:themeFill="background1"/>
            <w:noWrap/>
          </w:tcPr>
          <w:p w14:paraId="7585566C" w14:textId="77777777" w:rsidR="00284822" w:rsidRDefault="00F77BF8">
            <w:pPr>
              <w:spacing w:before="120" w:after="120"/>
              <w:jc w:val="center"/>
              <w:rPr>
                <w:rFonts w:ascii="Rockwell" w:hAnsi="Rockwell"/>
                <w:color w:val="000000"/>
                <w:szCs w:val="26"/>
              </w:rPr>
            </w:pPr>
            <w:r>
              <w:rPr>
                <w:rFonts w:ascii="Rockwell" w:hAnsi="Rockwell"/>
                <w:color w:val="000000"/>
                <w:szCs w:val="26"/>
              </w:rPr>
              <w:t>107.7 MHz</w:t>
            </w:r>
          </w:p>
        </w:tc>
      </w:tr>
      <w:tr w:rsidR="00284822" w14:paraId="592DE34C" w14:textId="77777777">
        <w:trPr>
          <w:trHeight w:val="454"/>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725B2CA" w14:textId="77777777" w:rsidR="00284822" w:rsidRDefault="00F77BF8">
            <w:pPr>
              <w:spacing w:before="120" w:after="120"/>
              <w:jc w:val="left"/>
              <w:rPr>
                <w:rFonts w:ascii="Rockwell" w:hAnsi="Rockwell"/>
                <w:color w:val="000000"/>
                <w:szCs w:val="26"/>
              </w:rPr>
            </w:pPr>
            <w:r>
              <w:rPr>
                <w:rFonts w:ascii="Rockwell" w:hAnsi="Rockwell"/>
                <w:color w:val="000000"/>
                <w:szCs w:val="26"/>
              </w:rPr>
              <w:t>8</w:t>
            </w:r>
          </w:p>
        </w:tc>
        <w:tc>
          <w:tcPr>
            <w:tcW w:w="4819" w:type="dxa"/>
            <w:tcBorders>
              <w:top w:val="single" w:sz="4" w:space="0" w:color="auto"/>
              <w:left w:val="nil"/>
              <w:bottom w:val="single" w:sz="4" w:space="0" w:color="auto"/>
              <w:right w:val="single" w:sz="4" w:space="0" w:color="auto"/>
            </w:tcBorders>
            <w:shd w:val="clear" w:color="auto" w:fill="FFFFFF" w:themeFill="background1"/>
            <w:noWrap/>
          </w:tcPr>
          <w:p w14:paraId="6C48A661"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Goulou</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tcPr>
          <w:p w14:paraId="3A23BD84" w14:textId="77777777" w:rsidR="00284822" w:rsidRDefault="00F77BF8">
            <w:pPr>
              <w:spacing w:before="120" w:after="120"/>
              <w:rPr>
                <w:rFonts w:ascii="Rockwell" w:hAnsi="Rockwell"/>
                <w:color w:val="000000"/>
                <w:szCs w:val="26"/>
              </w:rPr>
            </w:pPr>
            <w:r>
              <w:rPr>
                <w:rFonts w:ascii="Rockwell" w:hAnsi="Rockwell"/>
                <w:color w:val="000000"/>
                <w:szCs w:val="26"/>
              </w:rPr>
              <w:t>Pô/Nahouri</w:t>
            </w:r>
          </w:p>
        </w:tc>
        <w:tc>
          <w:tcPr>
            <w:tcW w:w="3686" w:type="dxa"/>
            <w:tcBorders>
              <w:top w:val="single" w:sz="4" w:space="0" w:color="auto"/>
              <w:left w:val="nil"/>
              <w:bottom w:val="single" w:sz="4" w:space="0" w:color="auto"/>
              <w:right w:val="single" w:sz="4" w:space="0" w:color="auto"/>
            </w:tcBorders>
            <w:shd w:val="clear" w:color="auto" w:fill="FFFFFF" w:themeFill="background1"/>
            <w:noWrap/>
          </w:tcPr>
          <w:p w14:paraId="082A488C" w14:textId="77777777" w:rsidR="00284822" w:rsidRDefault="00F77BF8">
            <w:pPr>
              <w:spacing w:before="120" w:after="120"/>
              <w:jc w:val="center"/>
              <w:rPr>
                <w:rFonts w:ascii="Rockwell" w:hAnsi="Rockwell"/>
                <w:color w:val="000000"/>
                <w:szCs w:val="26"/>
              </w:rPr>
            </w:pPr>
            <w:r>
              <w:rPr>
                <w:rFonts w:ascii="Rockwell" w:hAnsi="Rockwell"/>
                <w:color w:val="000000"/>
                <w:szCs w:val="26"/>
              </w:rPr>
              <w:t>99.500 MHz</w:t>
            </w:r>
          </w:p>
        </w:tc>
      </w:tr>
      <w:tr w:rsidR="00284822" w14:paraId="07C1C171" w14:textId="77777777">
        <w:trPr>
          <w:trHeight w:val="454"/>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075BC8A" w14:textId="77777777" w:rsidR="00284822" w:rsidRDefault="00F77BF8">
            <w:pPr>
              <w:spacing w:before="120" w:after="120"/>
              <w:jc w:val="left"/>
              <w:rPr>
                <w:rFonts w:ascii="Rockwell" w:hAnsi="Rockwell"/>
                <w:color w:val="000000"/>
                <w:szCs w:val="26"/>
              </w:rPr>
            </w:pPr>
            <w:r>
              <w:rPr>
                <w:rFonts w:ascii="Rockwell" w:hAnsi="Rockwell"/>
                <w:color w:val="000000"/>
                <w:szCs w:val="26"/>
              </w:rPr>
              <w:t>9</w:t>
            </w:r>
          </w:p>
        </w:tc>
        <w:tc>
          <w:tcPr>
            <w:tcW w:w="4819" w:type="dxa"/>
            <w:tcBorders>
              <w:top w:val="single" w:sz="4" w:space="0" w:color="auto"/>
              <w:left w:val="nil"/>
              <w:bottom w:val="single" w:sz="4" w:space="0" w:color="auto"/>
              <w:right w:val="single" w:sz="4" w:space="0" w:color="auto"/>
            </w:tcBorders>
            <w:shd w:val="clear" w:color="auto" w:fill="FFFFFF" w:themeFill="background1"/>
            <w:noWrap/>
          </w:tcPr>
          <w:p w14:paraId="4FCEE37B"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Nayinéré</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4EF9CE5C" w14:textId="77777777" w:rsidR="00284822" w:rsidRDefault="00F77BF8">
            <w:pPr>
              <w:spacing w:before="120" w:after="120"/>
              <w:rPr>
                <w:rFonts w:ascii="Rockwell" w:hAnsi="Rockwell"/>
                <w:color w:val="000000"/>
                <w:szCs w:val="26"/>
              </w:rPr>
            </w:pPr>
            <w:r>
              <w:rPr>
                <w:rFonts w:ascii="Rockwell" w:hAnsi="Rockwell"/>
                <w:color w:val="000000"/>
                <w:szCs w:val="26"/>
              </w:rPr>
              <w:t>Boulsa/Namentenga</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606E6FBE" w14:textId="77777777" w:rsidR="00284822" w:rsidRDefault="00F77BF8">
            <w:pPr>
              <w:spacing w:before="120" w:after="120"/>
              <w:jc w:val="center"/>
              <w:rPr>
                <w:rFonts w:ascii="Rockwell" w:hAnsi="Rockwell"/>
                <w:color w:val="000000"/>
                <w:szCs w:val="26"/>
              </w:rPr>
            </w:pPr>
            <w:r>
              <w:rPr>
                <w:rFonts w:ascii="Rockwell" w:hAnsi="Rockwell"/>
                <w:color w:val="000000"/>
                <w:szCs w:val="26"/>
              </w:rPr>
              <w:t>92.00 MHz</w:t>
            </w:r>
          </w:p>
        </w:tc>
      </w:tr>
      <w:tr w:rsidR="00284822" w14:paraId="2DA6FC2D" w14:textId="77777777">
        <w:trPr>
          <w:trHeight w:val="454"/>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F26B15E" w14:textId="77777777" w:rsidR="00284822" w:rsidRDefault="00F77BF8">
            <w:pPr>
              <w:spacing w:before="120" w:after="120"/>
              <w:jc w:val="left"/>
              <w:rPr>
                <w:rFonts w:ascii="Rockwell" w:hAnsi="Rockwell"/>
                <w:color w:val="000000"/>
                <w:szCs w:val="26"/>
              </w:rPr>
            </w:pPr>
            <w:r>
              <w:rPr>
                <w:rFonts w:ascii="Rockwell" w:hAnsi="Rockwell"/>
                <w:color w:val="000000"/>
                <w:szCs w:val="26"/>
              </w:rPr>
              <w:t>10</w:t>
            </w:r>
          </w:p>
        </w:tc>
        <w:tc>
          <w:tcPr>
            <w:tcW w:w="4819" w:type="dxa"/>
            <w:tcBorders>
              <w:top w:val="single" w:sz="4" w:space="0" w:color="auto"/>
              <w:left w:val="nil"/>
              <w:bottom w:val="single" w:sz="4" w:space="0" w:color="auto"/>
              <w:right w:val="single" w:sz="4" w:space="0" w:color="auto"/>
            </w:tcBorders>
            <w:shd w:val="clear" w:color="auto" w:fill="FFFFFF" w:themeFill="background1"/>
            <w:noWrap/>
          </w:tcPr>
          <w:p w14:paraId="7A6F2827"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Walde</w:t>
            </w:r>
            <w:proofErr w:type="spellEnd"/>
            <w:r>
              <w:rPr>
                <w:rFonts w:ascii="Rockwell" w:hAnsi="Rockwell"/>
                <w:color w:val="000000"/>
                <w:szCs w:val="26"/>
              </w:rPr>
              <w:t xml:space="preserve"> EJEF</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15646B8A" w14:textId="77777777" w:rsidR="00284822" w:rsidRDefault="00F77BF8">
            <w:pPr>
              <w:spacing w:before="120" w:after="120"/>
              <w:rPr>
                <w:rFonts w:ascii="Rockwell" w:hAnsi="Rockwell"/>
                <w:color w:val="000000"/>
                <w:szCs w:val="26"/>
              </w:rPr>
            </w:pPr>
            <w:r>
              <w:rPr>
                <w:rFonts w:ascii="Rockwell" w:hAnsi="Rockwell"/>
                <w:color w:val="000000"/>
                <w:szCs w:val="26"/>
              </w:rPr>
              <w:t>Gorom-Gorom/</w:t>
            </w:r>
            <w:proofErr w:type="spellStart"/>
            <w:r>
              <w:rPr>
                <w:rFonts w:ascii="Rockwell" w:hAnsi="Rockwell"/>
                <w:color w:val="000000"/>
                <w:szCs w:val="26"/>
              </w:rPr>
              <w:t>Oudalan</w:t>
            </w:r>
            <w:proofErr w:type="spellEnd"/>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487E3AEA" w14:textId="77777777" w:rsidR="00284822" w:rsidRDefault="00F77BF8">
            <w:pPr>
              <w:spacing w:before="120" w:after="120"/>
              <w:jc w:val="center"/>
              <w:rPr>
                <w:rFonts w:ascii="Rockwell" w:hAnsi="Rockwell"/>
                <w:color w:val="000000"/>
                <w:szCs w:val="26"/>
              </w:rPr>
            </w:pPr>
            <w:r>
              <w:rPr>
                <w:rFonts w:ascii="Rockwell" w:hAnsi="Rockwell"/>
                <w:color w:val="000000"/>
                <w:szCs w:val="26"/>
              </w:rPr>
              <w:t>92.200 MHz</w:t>
            </w:r>
          </w:p>
        </w:tc>
      </w:tr>
      <w:tr w:rsidR="00284822" w14:paraId="2B8BEB9D" w14:textId="77777777">
        <w:trPr>
          <w:trHeight w:val="454"/>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A2503AA" w14:textId="77777777" w:rsidR="00284822" w:rsidRDefault="00F77BF8">
            <w:pPr>
              <w:spacing w:before="120" w:after="120"/>
              <w:jc w:val="left"/>
              <w:rPr>
                <w:rFonts w:ascii="Rockwell" w:hAnsi="Rockwell"/>
                <w:color w:val="000000"/>
                <w:szCs w:val="26"/>
              </w:rPr>
            </w:pPr>
            <w:r>
              <w:rPr>
                <w:rFonts w:ascii="Rockwell" w:hAnsi="Rockwell"/>
                <w:color w:val="000000"/>
                <w:szCs w:val="26"/>
              </w:rPr>
              <w:lastRenderedPageBreak/>
              <w:t>11</w:t>
            </w:r>
          </w:p>
        </w:tc>
        <w:tc>
          <w:tcPr>
            <w:tcW w:w="4819" w:type="dxa"/>
            <w:tcBorders>
              <w:top w:val="single" w:sz="4" w:space="0" w:color="auto"/>
              <w:left w:val="nil"/>
              <w:bottom w:val="single" w:sz="4" w:space="0" w:color="auto"/>
              <w:right w:val="single" w:sz="4" w:space="0" w:color="auto"/>
            </w:tcBorders>
            <w:shd w:val="clear" w:color="auto" w:fill="FFFFFF" w:themeFill="background1"/>
            <w:noWrap/>
          </w:tcPr>
          <w:p w14:paraId="790A8F3C"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Gambidi</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tcPr>
          <w:p w14:paraId="2525E204"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3686" w:type="dxa"/>
            <w:tcBorders>
              <w:top w:val="single" w:sz="4" w:space="0" w:color="auto"/>
              <w:left w:val="nil"/>
              <w:bottom w:val="single" w:sz="4" w:space="0" w:color="auto"/>
              <w:right w:val="single" w:sz="4" w:space="0" w:color="auto"/>
            </w:tcBorders>
            <w:shd w:val="clear" w:color="auto" w:fill="FFFFFF" w:themeFill="background1"/>
            <w:noWrap/>
          </w:tcPr>
          <w:p w14:paraId="395C789D" w14:textId="77777777" w:rsidR="00284822" w:rsidRDefault="00F77BF8">
            <w:pPr>
              <w:spacing w:before="120" w:after="120"/>
              <w:jc w:val="center"/>
              <w:rPr>
                <w:rFonts w:ascii="Rockwell" w:hAnsi="Rockwell"/>
                <w:color w:val="000000"/>
                <w:szCs w:val="26"/>
              </w:rPr>
            </w:pPr>
            <w:r>
              <w:rPr>
                <w:rFonts w:ascii="Rockwell" w:hAnsi="Rockwell"/>
                <w:color w:val="000000"/>
                <w:szCs w:val="26"/>
              </w:rPr>
              <w:t>97.700 MHz</w:t>
            </w:r>
          </w:p>
        </w:tc>
      </w:tr>
      <w:tr w:rsidR="00284822" w14:paraId="724199F0" w14:textId="77777777">
        <w:trPr>
          <w:trHeight w:val="454"/>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1DAB1F0" w14:textId="77777777" w:rsidR="00284822" w:rsidRDefault="00F77BF8">
            <w:pPr>
              <w:spacing w:before="120" w:after="120"/>
              <w:jc w:val="left"/>
              <w:rPr>
                <w:rFonts w:ascii="Rockwell" w:hAnsi="Rockwell"/>
                <w:color w:val="000000"/>
                <w:szCs w:val="26"/>
              </w:rPr>
            </w:pPr>
            <w:r>
              <w:rPr>
                <w:rFonts w:ascii="Rockwell" w:hAnsi="Rockwell"/>
                <w:color w:val="000000"/>
                <w:szCs w:val="26"/>
              </w:rPr>
              <w:t>12</w:t>
            </w:r>
          </w:p>
        </w:tc>
        <w:tc>
          <w:tcPr>
            <w:tcW w:w="4819" w:type="dxa"/>
            <w:tcBorders>
              <w:top w:val="single" w:sz="4" w:space="0" w:color="auto"/>
              <w:left w:val="nil"/>
              <w:bottom w:val="single" w:sz="4" w:space="0" w:color="auto"/>
              <w:right w:val="single" w:sz="4" w:space="0" w:color="auto"/>
            </w:tcBorders>
            <w:shd w:val="clear" w:color="auto" w:fill="FFFFFF" w:themeFill="background1"/>
            <w:noWrap/>
          </w:tcPr>
          <w:p w14:paraId="2DE91E1A" w14:textId="77777777" w:rsidR="00284822" w:rsidRDefault="00F77BF8">
            <w:pPr>
              <w:spacing w:before="120" w:after="120"/>
              <w:rPr>
                <w:rFonts w:ascii="Rockwell" w:hAnsi="Rockwell"/>
                <w:color w:val="000000"/>
                <w:szCs w:val="26"/>
              </w:rPr>
            </w:pPr>
            <w:r>
              <w:rPr>
                <w:rFonts w:ascii="Rockwell" w:hAnsi="Rockwell"/>
                <w:color w:val="000000"/>
                <w:szCs w:val="26"/>
              </w:rPr>
              <w:t>Radio des Cotonniers</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6334A415" w14:textId="77777777" w:rsidR="00284822" w:rsidRDefault="00F77BF8">
            <w:pPr>
              <w:spacing w:before="120" w:after="120"/>
              <w:rPr>
                <w:rFonts w:ascii="Rockwell" w:hAnsi="Rockwell"/>
                <w:color w:val="000000"/>
                <w:szCs w:val="26"/>
              </w:rPr>
            </w:pPr>
            <w:r>
              <w:rPr>
                <w:rFonts w:ascii="Rockwell" w:hAnsi="Rockwell"/>
                <w:color w:val="000000"/>
                <w:szCs w:val="26"/>
              </w:rPr>
              <w:t>Solenzo/Banwa</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7587B542" w14:textId="77777777" w:rsidR="00284822" w:rsidRDefault="00F77BF8">
            <w:pPr>
              <w:spacing w:before="120" w:after="120"/>
              <w:jc w:val="center"/>
              <w:rPr>
                <w:rFonts w:ascii="Rockwell" w:hAnsi="Rockwell"/>
                <w:szCs w:val="26"/>
              </w:rPr>
            </w:pPr>
            <w:r>
              <w:rPr>
                <w:rFonts w:ascii="Rockwell" w:hAnsi="Rockwell"/>
                <w:szCs w:val="26"/>
              </w:rPr>
              <w:t>95.100 MHz</w:t>
            </w:r>
          </w:p>
        </w:tc>
      </w:tr>
      <w:tr w:rsidR="00284822" w14:paraId="6AB59C32"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9BB7ADB" w14:textId="77777777" w:rsidR="00284822" w:rsidRDefault="00F77BF8">
            <w:pPr>
              <w:spacing w:before="120" w:after="120"/>
              <w:jc w:val="left"/>
              <w:rPr>
                <w:rFonts w:ascii="Rockwell" w:hAnsi="Rockwell"/>
                <w:color w:val="000000"/>
                <w:szCs w:val="26"/>
              </w:rPr>
            </w:pPr>
            <w:r>
              <w:rPr>
                <w:rFonts w:ascii="Rockwell" w:hAnsi="Rockwell"/>
                <w:color w:val="000000"/>
                <w:szCs w:val="26"/>
              </w:rPr>
              <w:t>13</w:t>
            </w:r>
          </w:p>
        </w:tc>
        <w:tc>
          <w:tcPr>
            <w:tcW w:w="4819" w:type="dxa"/>
            <w:tcBorders>
              <w:top w:val="single" w:sz="4" w:space="0" w:color="auto"/>
              <w:left w:val="nil"/>
              <w:bottom w:val="single" w:sz="4" w:space="0" w:color="auto"/>
              <w:right w:val="single" w:sz="4" w:space="0" w:color="auto"/>
            </w:tcBorders>
            <w:shd w:val="clear" w:color="auto" w:fill="FFFFFF" w:themeFill="background1"/>
            <w:noWrap/>
          </w:tcPr>
          <w:p w14:paraId="08650857"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Némaro</w:t>
            </w:r>
            <w:proofErr w:type="spellEnd"/>
            <w:r>
              <w:rPr>
                <w:rFonts w:ascii="Rockwell" w:hAnsi="Rockwell"/>
                <w:color w:val="000000"/>
                <w:szCs w:val="26"/>
              </w:rPr>
              <w:t xml:space="preserve"> de Cassou (RNC)</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26FDB0D9" w14:textId="77777777" w:rsidR="00284822" w:rsidRDefault="00F77BF8">
            <w:pPr>
              <w:spacing w:before="120" w:after="120"/>
              <w:rPr>
                <w:rFonts w:ascii="Rockwell" w:hAnsi="Rockwell"/>
                <w:color w:val="000000"/>
                <w:szCs w:val="26"/>
              </w:rPr>
            </w:pPr>
            <w:proofErr w:type="spellStart"/>
            <w:r>
              <w:rPr>
                <w:rFonts w:ascii="Rockwell" w:hAnsi="Rockwell"/>
                <w:color w:val="000000"/>
                <w:szCs w:val="26"/>
              </w:rPr>
              <w:t>Kassou</w:t>
            </w:r>
            <w:proofErr w:type="spellEnd"/>
            <w:r>
              <w:rPr>
                <w:rFonts w:ascii="Rockwell" w:hAnsi="Rockwell"/>
                <w:color w:val="000000"/>
                <w:szCs w:val="26"/>
              </w:rPr>
              <w:t>/</w:t>
            </w:r>
            <w:proofErr w:type="spellStart"/>
            <w:r>
              <w:rPr>
                <w:rFonts w:ascii="Rockwell" w:hAnsi="Rockwell"/>
                <w:color w:val="000000"/>
                <w:szCs w:val="26"/>
              </w:rPr>
              <w:t>Ziro</w:t>
            </w:r>
            <w:proofErr w:type="spellEnd"/>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6D7633FE" w14:textId="77777777" w:rsidR="00284822" w:rsidRDefault="00F77BF8">
            <w:pPr>
              <w:spacing w:before="120" w:after="120"/>
              <w:jc w:val="center"/>
              <w:rPr>
                <w:rFonts w:ascii="Rockwell" w:hAnsi="Rockwell"/>
                <w:color w:val="000000"/>
                <w:szCs w:val="26"/>
              </w:rPr>
            </w:pPr>
            <w:r>
              <w:rPr>
                <w:rFonts w:ascii="Rockwell" w:hAnsi="Rockwell"/>
                <w:color w:val="000000"/>
                <w:szCs w:val="26"/>
              </w:rPr>
              <w:t>94.200 MHz</w:t>
            </w:r>
          </w:p>
        </w:tc>
      </w:tr>
      <w:tr w:rsidR="00284822" w14:paraId="500EEECB"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4360CFE" w14:textId="77777777" w:rsidR="00284822" w:rsidRDefault="00F77BF8">
            <w:pPr>
              <w:spacing w:before="120" w:after="120"/>
              <w:jc w:val="left"/>
              <w:rPr>
                <w:rFonts w:ascii="Rockwell" w:hAnsi="Rockwell"/>
                <w:color w:val="000000"/>
                <w:szCs w:val="26"/>
              </w:rPr>
            </w:pPr>
            <w:r>
              <w:rPr>
                <w:rFonts w:ascii="Rockwell" w:hAnsi="Rockwell"/>
                <w:color w:val="000000"/>
                <w:szCs w:val="26"/>
              </w:rPr>
              <w:t>14</w:t>
            </w:r>
          </w:p>
        </w:tc>
        <w:tc>
          <w:tcPr>
            <w:tcW w:w="4819" w:type="dxa"/>
            <w:tcBorders>
              <w:top w:val="single" w:sz="4" w:space="0" w:color="auto"/>
              <w:left w:val="nil"/>
              <w:bottom w:val="single" w:sz="4" w:space="0" w:color="auto"/>
              <w:right w:val="single" w:sz="4" w:space="0" w:color="auto"/>
            </w:tcBorders>
            <w:shd w:val="clear" w:color="auto" w:fill="FFFFFF" w:themeFill="background1"/>
            <w:noWrap/>
          </w:tcPr>
          <w:p w14:paraId="389D5C84"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Pengdwendé</w:t>
            </w:r>
            <w:proofErr w:type="spellEnd"/>
            <w:r>
              <w:rPr>
                <w:rFonts w:ascii="Rockwell" w:hAnsi="Rockwell"/>
                <w:color w:val="000000"/>
                <w:szCs w:val="26"/>
              </w:rPr>
              <w:t xml:space="preserve"> </w:t>
            </w:r>
          </w:p>
        </w:tc>
        <w:tc>
          <w:tcPr>
            <w:tcW w:w="3969" w:type="dxa"/>
            <w:tcBorders>
              <w:top w:val="single" w:sz="4" w:space="0" w:color="auto"/>
              <w:left w:val="nil"/>
              <w:bottom w:val="single" w:sz="4" w:space="0" w:color="auto"/>
              <w:right w:val="single" w:sz="4" w:space="0" w:color="auto"/>
            </w:tcBorders>
            <w:shd w:val="clear" w:color="auto" w:fill="FFFFFF" w:themeFill="background1"/>
            <w:noWrap/>
          </w:tcPr>
          <w:p w14:paraId="07F3118B" w14:textId="77777777" w:rsidR="00284822" w:rsidRDefault="00F77BF8">
            <w:pPr>
              <w:spacing w:before="120" w:after="120"/>
              <w:rPr>
                <w:rFonts w:ascii="Rockwell" w:hAnsi="Rockwell"/>
                <w:color w:val="000000"/>
                <w:szCs w:val="26"/>
              </w:rPr>
            </w:pPr>
            <w:r>
              <w:rPr>
                <w:rFonts w:ascii="Rockwell" w:hAnsi="Rockwell"/>
                <w:color w:val="000000"/>
                <w:szCs w:val="26"/>
              </w:rPr>
              <w:t>Sabou/</w:t>
            </w:r>
            <w:proofErr w:type="spellStart"/>
            <w:r>
              <w:rPr>
                <w:rFonts w:ascii="Rockwell" w:hAnsi="Rockwell"/>
                <w:color w:val="000000"/>
                <w:szCs w:val="26"/>
              </w:rPr>
              <w:t>Bulkiemdé</w:t>
            </w:r>
            <w:proofErr w:type="spellEnd"/>
          </w:p>
        </w:tc>
        <w:tc>
          <w:tcPr>
            <w:tcW w:w="3686" w:type="dxa"/>
            <w:tcBorders>
              <w:top w:val="single" w:sz="4" w:space="0" w:color="auto"/>
              <w:left w:val="nil"/>
              <w:bottom w:val="single" w:sz="4" w:space="0" w:color="auto"/>
              <w:right w:val="single" w:sz="4" w:space="0" w:color="auto"/>
            </w:tcBorders>
            <w:shd w:val="clear" w:color="auto" w:fill="FFFFFF" w:themeFill="background1"/>
            <w:noWrap/>
          </w:tcPr>
          <w:p w14:paraId="12F4AFF4" w14:textId="77777777" w:rsidR="00284822" w:rsidRDefault="00F77BF8">
            <w:pPr>
              <w:spacing w:before="120" w:after="120"/>
              <w:jc w:val="center"/>
              <w:rPr>
                <w:rFonts w:ascii="Rockwell" w:hAnsi="Rockwell"/>
                <w:color w:val="000000"/>
                <w:szCs w:val="26"/>
              </w:rPr>
            </w:pPr>
            <w:r>
              <w:rPr>
                <w:rFonts w:ascii="Rockwell" w:hAnsi="Rockwell"/>
                <w:color w:val="000000"/>
                <w:szCs w:val="26"/>
              </w:rPr>
              <w:t>97.400 MHz</w:t>
            </w:r>
          </w:p>
        </w:tc>
      </w:tr>
      <w:tr w:rsidR="00284822" w14:paraId="13B1BA37"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7EBC2B4" w14:textId="77777777" w:rsidR="00284822" w:rsidRDefault="00F77BF8">
            <w:pPr>
              <w:spacing w:before="120" w:after="120"/>
              <w:jc w:val="left"/>
              <w:rPr>
                <w:rFonts w:ascii="Rockwell" w:hAnsi="Rockwell"/>
                <w:color w:val="000000"/>
                <w:szCs w:val="26"/>
              </w:rPr>
            </w:pPr>
            <w:r>
              <w:rPr>
                <w:rFonts w:ascii="Rockwell" w:hAnsi="Rockwell"/>
                <w:color w:val="000000"/>
                <w:szCs w:val="26"/>
              </w:rPr>
              <w:t>15</w:t>
            </w:r>
          </w:p>
        </w:tc>
        <w:tc>
          <w:tcPr>
            <w:tcW w:w="4819" w:type="dxa"/>
            <w:tcBorders>
              <w:top w:val="single" w:sz="4" w:space="0" w:color="auto"/>
              <w:left w:val="nil"/>
              <w:bottom w:val="single" w:sz="4" w:space="0" w:color="auto"/>
              <w:right w:val="single" w:sz="4" w:space="0" w:color="auto"/>
            </w:tcBorders>
            <w:shd w:val="clear" w:color="auto" w:fill="FFFFFF" w:themeFill="background1"/>
            <w:noWrap/>
          </w:tcPr>
          <w:p w14:paraId="5A994EE0"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Laafi</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tcPr>
          <w:p w14:paraId="4673DF43" w14:textId="77777777" w:rsidR="00284822" w:rsidRDefault="00F77BF8">
            <w:pPr>
              <w:spacing w:before="120" w:after="120"/>
              <w:rPr>
                <w:rFonts w:ascii="Rockwell" w:hAnsi="Rockwell"/>
                <w:color w:val="000000"/>
                <w:szCs w:val="26"/>
              </w:rPr>
            </w:pPr>
            <w:r>
              <w:rPr>
                <w:rFonts w:ascii="Rockwell" w:hAnsi="Rockwell"/>
                <w:color w:val="000000"/>
                <w:szCs w:val="26"/>
              </w:rPr>
              <w:t>Zorgho/Ganzourgou</w:t>
            </w:r>
          </w:p>
        </w:tc>
        <w:tc>
          <w:tcPr>
            <w:tcW w:w="3686" w:type="dxa"/>
            <w:tcBorders>
              <w:top w:val="single" w:sz="4" w:space="0" w:color="auto"/>
              <w:left w:val="nil"/>
              <w:bottom w:val="single" w:sz="4" w:space="0" w:color="auto"/>
              <w:right w:val="single" w:sz="4" w:space="0" w:color="auto"/>
            </w:tcBorders>
            <w:shd w:val="clear" w:color="auto" w:fill="FFFFFF" w:themeFill="background1"/>
            <w:noWrap/>
          </w:tcPr>
          <w:p w14:paraId="6648D8CA" w14:textId="77777777" w:rsidR="00284822" w:rsidRDefault="00F77BF8">
            <w:pPr>
              <w:spacing w:before="120" w:after="120"/>
              <w:jc w:val="center"/>
              <w:rPr>
                <w:rFonts w:ascii="Rockwell" w:hAnsi="Rockwell"/>
                <w:color w:val="000000"/>
                <w:szCs w:val="26"/>
              </w:rPr>
            </w:pPr>
            <w:r>
              <w:rPr>
                <w:rFonts w:ascii="Rockwell" w:hAnsi="Rockwell"/>
                <w:color w:val="000000"/>
                <w:szCs w:val="26"/>
              </w:rPr>
              <w:t>95.6 MHz</w:t>
            </w:r>
          </w:p>
        </w:tc>
      </w:tr>
      <w:tr w:rsidR="00284822" w14:paraId="581CDE15"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4419AFC" w14:textId="77777777" w:rsidR="00284822" w:rsidRDefault="00F77BF8">
            <w:pPr>
              <w:spacing w:before="120" w:after="120"/>
              <w:jc w:val="left"/>
              <w:rPr>
                <w:rFonts w:ascii="Rockwell" w:hAnsi="Rockwell"/>
                <w:color w:val="000000"/>
                <w:szCs w:val="26"/>
              </w:rPr>
            </w:pPr>
            <w:r>
              <w:rPr>
                <w:rFonts w:ascii="Rockwell" w:hAnsi="Rockwell"/>
                <w:color w:val="000000"/>
                <w:szCs w:val="26"/>
              </w:rPr>
              <w:t>16</w:t>
            </w:r>
          </w:p>
        </w:tc>
        <w:tc>
          <w:tcPr>
            <w:tcW w:w="4819" w:type="dxa"/>
            <w:tcBorders>
              <w:top w:val="single" w:sz="4" w:space="0" w:color="auto"/>
              <w:left w:val="nil"/>
              <w:bottom w:val="single" w:sz="4" w:space="0" w:color="auto"/>
              <w:right w:val="single" w:sz="4" w:space="0" w:color="auto"/>
            </w:tcBorders>
            <w:shd w:val="clear" w:color="auto" w:fill="FFFFFF" w:themeFill="background1"/>
            <w:noWrap/>
          </w:tcPr>
          <w:p w14:paraId="03E38892" w14:textId="77777777" w:rsidR="00284822" w:rsidRDefault="00F77BF8">
            <w:pPr>
              <w:spacing w:before="120" w:after="120"/>
              <w:rPr>
                <w:rFonts w:ascii="Rockwell" w:hAnsi="Rockwell"/>
                <w:color w:val="000000"/>
                <w:szCs w:val="26"/>
              </w:rPr>
            </w:pPr>
            <w:r>
              <w:rPr>
                <w:rFonts w:ascii="Rockwell" w:hAnsi="Rockwell"/>
                <w:color w:val="000000"/>
                <w:szCs w:val="26"/>
              </w:rPr>
              <w:t>Radio des Ecoles</w:t>
            </w:r>
          </w:p>
        </w:tc>
        <w:tc>
          <w:tcPr>
            <w:tcW w:w="3969" w:type="dxa"/>
            <w:tcBorders>
              <w:top w:val="single" w:sz="4" w:space="0" w:color="auto"/>
              <w:left w:val="nil"/>
              <w:bottom w:val="single" w:sz="4" w:space="0" w:color="auto"/>
              <w:right w:val="single" w:sz="4" w:space="0" w:color="auto"/>
            </w:tcBorders>
            <w:shd w:val="clear" w:color="auto" w:fill="FFFFFF" w:themeFill="background1"/>
            <w:noWrap/>
          </w:tcPr>
          <w:p w14:paraId="4AFB0668" w14:textId="77777777" w:rsidR="00284822" w:rsidRDefault="00F77BF8">
            <w:pPr>
              <w:spacing w:before="120" w:after="120"/>
              <w:jc w:val="left"/>
              <w:rPr>
                <w:rFonts w:ascii="Rockwell" w:hAnsi="Rockwell"/>
                <w:color w:val="000000"/>
                <w:szCs w:val="26"/>
              </w:rPr>
            </w:pPr>
            <w:r>
              <w:rPr>
                <w:rFonts w:ascii="Rockwell" w:hAnsi="Rockwell"/>
                <w:color w:val="000000"/>
                <w:szCs w:val="26"/>
              </w:rPr>
              <w:t>Ouagadougou/Kadiogo</w:t>
            </w:r>
          </w:p>
        </w:tc>
        <w:tc>
          <w:tcPr>
            <w:tcW w:w="3686" w:type="dxa"/>
            <w:tcBorders>
              <w:top w:val="single" w:sz="4" w:space="0" w:color="auto"/>
              <w:left w:val="nil"/>
              <w:bottom w:val="single" w:sz="4" w:space="0" w:color="auto"/>
              <w:right w:val="single" w:sz="4" w:space="0" w:color="auto"/>
            </w:tcBorders>
            <w:shd w:val="clear" w:color="auto" w:fill="FFFFFF" w:themeFill="background1"/>
            <w:noWrap/>
          </w:tcPr>
          <w:p w14:paraId="1B31948E" w14:textId="77777777" w:rsidR="00284822" w:rsidRDefault="00F77BF8">
            <w:pPr>
              <w:spacing w:before="120" w:after="120"/>
              <w:jc w:val="left"/>
              <w:rPr>
                <w:rFonts w:ascii="Rockwell" w:hAnsi="Rockwell"/>
                <w:color w:val="000000"/>
                <w:szCs w:val="26"/>
              </w:rPr>
            </w:pPr>
            <w:r>
              <w:rPr>
                <w:rFonts w:ascii="Rockwell" w:hAnsi="Rockwell"/>
                <w:color w:val="000000"/>
                <w:szCs w:val="26"/>
              </w:rPr>
              <w:t>106.400 MHz</w:t>
            </w:r>
          </w:p>
        </w:tc>
      </w:tr>
      <w:tr w:rsidR="00284822" w14:paraId="0E8E89D4"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680A4F1" w14:textId="77777777" w:rsidR="00284822" w:rsidRDefault="00F77BF8">
            <w:pPr>
              <w:spacing w:before="120" w:after="120"/>
              <w:jc w:val="left"/>
              <w:rPr>
                <w:rFonts w:ascii="Rockwell" w:hAnsi="Rockwell"/>
                <w:color w:val="000000"/>
                <w:szCs w:val="26"/>
              </w:rPr>
            </w:pPr>
            <w:r>
              <w:rPr>
                <w:rFonts w:ascii="Rockwell" w:hAnsi="Rockwell"/>
                <w:color w:val="000000"/>
                <w:szCs w:val="26"/>
              </w:rPr>
              <w:t>17</w:t>
            </w:r>
          </w:p>
        </w:tc>
        <w:tc>
          <w:tcPr>
            <w:tcW w:w="4819" w:type="dxa"/>
            <w:tcBorders>
              <w:top w:val="single" w:sz="4" w:space="0" w:color="auto"/>
              <w:left w:val="nil"/>
              <w:bottom w:val="single" w:sz="4" w:space="0" w:color="auto"/>
              <w:right w:val="single" w:sz="4" w:space="0" w:color="auto"/>
            </w:tcBorders>
            <w:shd w:val="clear" w:color="auto" w:fill="FFFFFF" w:themeFill="background1"/>
            <w:noWrap/>
          </w:tcPr>
          <w:p w14:paraId="70449F2B"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Loudon</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tcPr>
          <w:p w14:paraId="139B2ADC" w14:textId="77777777" w:rsidR="00284822" w:rsidRDefault="00F77BF8">
            <w:pPr>
              <w:spacing w:before="120" w:after="120"/>
              <w:jc w:val="left"/>
              <w:rPr>
                <w:rFonts w:ascii="Rockwell" w:hAnsi="Rockwell"/>
                <w:color w:val="000000"/>
                <w:szCs w:val="26"/>
              </w:rPr>
            </w:pPr>
            <w:r>
              <w:rPr>
                <w:rFonts w:ascii="Rockwell" w:hAnsi="Rockwell"/>
                <w:color w:val="000000"/>
                <w:szCs w:val="26"/>
              </w:rPr>
              <w:t>Sapouy/ZIRO</w:t>
            </w:r>
          </w:p>
        </w:tc>
        <w:tc>
          <w:tcPr>
            <w:tcW w:w="3686" w:type="dxa"/>
            <w:tcBorders>
              <w:top w:val="single" w:sz="4" w:space="0" w:color="auto"/>
              <w:left w:val="nil"/>
              <w:bottom w:val="single" w:sz="4" w:space="0" w:color="auto"/>
              <w:right w:val="single" w:sz="4" w:space="0" w:color="auto"/>
            </w:tcBorders>
            <w:shd w:val="clear" w:color="auto" w:fill="FFFFFF" w:themeFill="background1"/>
            <w:noWrap/>
          </w:tcPr>
          <w:p w14:paraId="42C805AD" w14:textId="77777777" w:rsidR="00284822" w:rsidRDefault="00F77BF8">
            <w:pPr>
              <w:spacing w:before="120" w:after="120"/>
              <w:jc w:val="left"/>
              <w:rPr>
                <w:rFonts w:ascii="Rockwell" w:hAnsi="Rockwell"/>
                <w:color w:val="000000"/>
                <w:szCs w:val="26"/>
              </w:rPr>
            </w:pPr>
            <w:r>
              <w:rPr>
                <w:rFonts w:ascii="Rockwell" w:hAnsi="Rockwell"/>
                <w:color w:val="000000"/>
                <w:szCs w:val="26"/>
              </w:rPr>
              <w:t>104.9 MHz</w:t>
            </w:r>
          </w:p>
        </w:tc>
      </w:tr>
      <w:tr w:rsidR="00284822" w14:paraId="06802920"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D4A448A" w14:textId="77777777" w:rsidR="00284822" w:rsidRDefault="00F77BF8">
            <w:pPr>
              <w:spacing w:before="120" w:after="120"/>
              <w:jc w:val="left"/>
              <w:rPr>
                <w:rFonts w:ascii="Rockwell" w:hAnsi="Rockwell"/>
                <w:color w:val="000000"/>
                <w:szCs w:val="26"/>
              </w:rPr>
            </w:pPr>
            <w:r>
              <w:rPr>
                <w:rFonts w:ascii="Rockwell" w:hAnsi="Rockwell"/>
                <w:color w:val="000000"/>
                <w:szCs w:val="26"/>
              </w:rPr>
              <w:t>18</w:t>
            </w:r>
          </w:p>
        </w:tc>
        <w:tc>
          <w:tcPr>
            <w:tcW w:w="4819" w:type="dxa"/>
            <w:tcBorders>
              <w:top w:val="single" w:sz="4" w:space="0" w:color="auto"/>
              <w:left w:val="nil"/>
              <w:bottom w:val="single" w:sz="4" w:space="0" w:color="auto"/>
              <w:right w:val="single" w:sz="4" w:space="0" w:color="auto"/>
            </w:tcBorders>
            <w:shd w:val="clear" w:color="auto" w:fill="FFFFFF" w:themeFill="background1"/>
            <w:noWrap/>
          </w:tcPr>
          <w:p w14:paraId="75341049" w14:textId="77777777" w:rsidR="00284822" w:rsidRDefault="00F77BF8">
            <w:pPr>
              <w:spacing w:before="120" w:after="120"/>
              <w:rPr>
                <w:rFonts w:ascii="Rockwell" w:hAnsi="Rockwell"/>
                <w:color w:val="000000"/>
                <w:szCs w:val="26"/>
              </w:rPr>
            </w:pPr>
            <w:r>
              <w:rPr>
                <w:rFonts w:ascii="Rockwell" w:hAnsi="Rockwell"/>
                <w:color w:val="000000"/>
                <w:szCs w:val="26"/>
              </w:rPr>
              <w:t>Radio Pag-la-</w:t>
            </w:r>
            <w:proofErr w:type="spellStart"/>
            <w:r>
              <w:rPr>
                <w:rFonts w:ascii="Rockwell" w:hAnsi="Rockwell"/>
                <w:color w:val="000000"/>
                <w:szCs w:val="26"/>
              </w:rPr>
              <w:t>Yiri</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tcPr>
          <w:p w14:paraId="6961BC86" w14:textId="77777777" w:rsidR="00284822" w:rsidRDefault="00F77BF8">
            <w:pPr>
              <w:spacing w:before="120" w:after="120"/>
              <w:jc w:val="left"/>
              <w:rPr>
                <w:rFonts w:ascii="Rockwell" w:hAnsi="Rockwell"/>
                <w:color w:val="000000"/>
                <w:szCs w:val="26"/>
              </w:rPr>
            </w:pPr>
            <w:r>
              <w:rPr>
                <w:rFonts w:ascii="Rockwell" w:hAnsi="Rockwell"/>
                <w:color w:val="000000"/>
                <w:szCs w:val="26"/>
              </w:rPr>
              <w:t>Zabré/Boulgou</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658A5232" w14:textId="77777777" w:rsidR="00284822" w:rsidRDefault="00F77BF8">
            <w:pPr>
              <w:spacing w:before="120" w:after="120"/>
              <w:jc w:val="left"/>
              <w:rPr>
                <w:rFonts w:ascii="Rockwell" w:hAnsi="Rockwell"/>
                <w:color w:val="000000"/>
                <w:szCs w:val="26"/>
              </w:rPr>
            </w:pPr>
            <w:r>
              <w:rPr>
                <w:rFonts w:ascii="Rockwell" w:hAnsi="Rockwell"/>
                <w:color w:val="000000"/>
                <w:szCs w:val="26"/>
              </w:rPr>
              <w:t>94.300 MHz</w:t>
            </w:r>
          </w:p>
        </w:tc>
      </w:tr>
      <w:tr w:rsidR="00284822" w14:paraId="3695000B"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DB665BF" w14:textId="77777777" w:rsidR="00284822" w:rsidRDefault="00F77BF8">
            <w:pPr>
              <w:spacing w:before="120" w:after="120"/>
              <w:jc w:val="left"/>
              <w:rPr>
                <w:rFonts w:ascii="Rockwell" w:hAnsi="Rockwell"/>
                <w:color w:val="000000"/>
                <w:szCs w:val="26"/>
              </w:rPr>
            </w:pPr>
            <w:r>
              <w:rPr>
                <w:rFonts w:ascii="Rockwell" w:hAnsi="Rockwell"/>
                <w:color w:val="000000"/>
                <w:szCs w:val="26"/>
              </w:rPr>
              <w:t>19</w:t>
            </w:r>
          </w:p>
        </w:tc>
        <w:tc>
          <w:tcPr>
            <w:tcW w:w="4819" w:type="dxa"/>
            <w:tcBorders>
              <w:top w:val="single" w:sz="4" w:space="0" w:color="auto"/>
              <w:left w:val="nil"/>
              <w:bottom w:val="single" w:sz="4" w:space="0" w:color="auto"/>
              <w:right w:val="single" w:sz="4" w:space="0" w:color="auto"/>
            </w:tcBorders>
            <w:shd w:val="clear" w:color="auto" w:fill="FFFFFF" w:themeFill="background1"/>
            <w:noWrap/>
          </w:tcPr>
          <w:p w14:paraId="596A4845" w14:textId="77777777" w:rsidR="00284822" w:rsidRDefault="00F77BF8">
            <w:pPr>
              <w:spacing w:before="120" w:after="120"/>
              <w:rPr>
                <w:rFonts w:ascii="Rockwell" w:hAnsi="Rockwell"/>
                <w:color w:val="000000"/>
                <w:szCs w:val="26"/>
              </w:rPr>
            </w:pPr>
            <w:r>
              <w:rPr>
                <w:rFonts w:ascii="Rockwell" w:hAnsi="Rockwell"/>
                <w:color w:val="000000"/>
                <w:szCs w:val="26"/>
              </w:rPr>
              <w:t>Radio Fada FM</w:t>
            </w:r>
          </w:p>
        </w:tc>
        <w:tc>
          <w:tcPr>
            <w:tcW w:w="3969" w:type="dxa"/>
            <w:tcBorders>
              <w:top w:val="single" w:sz="4" w:space="0" w:color="auto"/>
              <w:left w:val="nil"/>
              <w:bottom w:val="single" w:sz="4" w:space="0" w:color="auto"/>
              <w:right w:val="single" w:sz="4" w:space="0" w:color="auto"/>
            </w:tcBorders>
            <w:shd w:val="clear" w:color="auto" w:fill="FFFFFF" w:themeFill="background1"/>
            <w:noWrap/>
          </w:tcPr>
          <w:p w14:paraId="5D6370E2" w14:textId="77777777" w:rsidR="00284822" w:rsidRDefault="00F77BF8">
            <w:pPr>
              <w:spacing w:before="120" w:after="120"/>
              <w:jc w:val="left"/>
              <w:rPr>
                <w:rFonts w:ascii="Rockwell" w:hAnsi="Rockwell"/>
                <w:color w:val="000000"/>
                <w:szCs w:val="26"/>
              </w:rPr>
            </w:pPr>
            <w:r>
              <w:rPr>
                <w:rFonts w:ascii="Rockwell" w:hAnsi="Rockwell"/>
                <w:color w:val="000000"/>
                <w:szCs w:val="26"/>
              </w:rPr>
              <w:t>Fada N'Gourma/Gourma</w:t>
            </w:r>
          </w:p>
        </w:tc>
        <w:tc>
          <w:tcPr>
            <w:tcW w:w="3686" w:type="dxa"/>
            <w:tcBorders>
              <w:top w:val="single" w:sz="4" w:space="0" w:color="auto"/>
              <w:left w:val="nil"/>
              <w:bottom w:val="single" w:sz="4" w:space="0" w:color="auto"/>
              <w:right w:val="single" w:sz="4" w:space="0" w:color="auto"/>
            </w:tcBorders>
            <w:shd w:val="clear" w:color="auto" w:fill="FFFFFF" w:themeFill="background1"/>
            <w:noWrap/>
          </w:tcPr>
          <w:p w14:paraId="4AEE6492" w14:textId="77777777" w:rsidR="00284822" w:rsidRDefault="00F77BF8">
            <w:pPr>
              <w:spacing w:before="120" w:after="120"/>
              <w:jc w:val="left"/>
              <w:rPr>
                <w:rFonts w:ascii="Rockwell" w:hAnsi="Rockwell"/>
                <w:color w:val="000000"/>
                <w:szCs w:val="26"/>
              </w:rPr>
            </w:pPr>
            <w:r>
              <w:rPr>
                <w:rFonts w:ascii="Rockwell" w:hAnsi="Rockwell"/>
                <w:color w:val="000000"/>
                <w:szCs w:val="26"/>
              </w:rPr>
              <w:t>95.500 MHz</w:t>
            </w:r>
          </w:p>
        </w:tc>
      </w:tr>
      <w:tr w:rsidR="00284822" w14:paraId="1B23F793"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D2F7905" w14:textId="77777777" w:rsidR="00284822" w:rsidRDefault="00F77BF8">
            <w:pPr>
              <w:spacing w:before="120" w:after="120"/>
              <w:jc w:val="left"/>
              <w:rPr>
                <w:rFonts w:ascii="Rockwell" w:hAnsi="Rockwell"/>
                <w:color w:val="000000"/>
                <w:szCs w:val="26"/>
              </w:rPr>
            </w:pPr>
            <w:r>
              <w:rPr>
                <w:rFonts w:ascii="Rockwell" w:hAnsi="Rockwell"/>
                <w:color w:val="000000"/>
                <w:szCs w:val="26"/>
              </w:rPr>
              <w:t>20</w:t>
            </w:r>
          </w:p>
        </w:tc>
        <w:tc>
          <w:tcPr>
            <w:tcW w:w="4819" w:type="dxa"/>
            <w:tcBorders>
              <w:top w:val="single" w:sz="4" w:space="0" w:color="auto"/>
              <w:left w:val="nil"/>
              <w:bottom w:val="single" w:sz="4" w:space="0" w:color="auto"/>
              <w:right w:val="single" w:sz="4" w:space="0" w:color="auto"/>
            </w:tcBorders>
            <w:shd w:val="clear" w:color="auto" w:fill="FFFFFF" w:themeFill="background1"/>
            <w:noWrap/>
          </w:tcPr>
          <w:p w14:paraId="7142722E" w14:textId="77777777" w:rsidR="00284822" w:rsidRDefault="00F77BF8">
            <w:pPr>
              <w:spacing w:before="120" w:after="120"/>
              <w:jc w:val="left"/>
              <w:rPr>
                <w:rFonts w:ascii="Rockwell" w:hAnsi="Rockwell"/>
                <w:color w:val="000000"/>
                <w:szCs w:val="26"/>
              </w:rPr>
            </w:pPr>
            <w:r>
              <w:rPr>
                <w:rFonts w:ascii="Rockwell" w:hAnsi="Rockwell"/>
                <w:color w:val="000000"/>
                <w:szCs w:val="26"/>
              </w:rPr>
              <w:t>Radio FM Femmes et Développement communautaire</w:t>
            </w:r>
          </w:p>
        </w:tc>
        <w:tc>
          <w:tcPr>
            <w:tcW w:w="3969" w:type="dxa"/>
            <w:tcBorders>
              <w:top w:val="single" w:sz="4" w:space="0" w:color="auto"/>
              <w:left w:val="nil"/>
              <w:bottom w:val="single" w:sz="4" w:space="0" w:color="auto"/>
              <w:right w:val="single" w:sz="4" w:space="0" w:color="auto"/>
            </w:tcBorders>
            <w:shd w:val="clear" w:color="auto" w:fill="FFFFFF" w:themeFill="background1"/>
            <w:noWrap/>
          </w:tcPr>
          <w:p w14:paraId="1D2345D9" w14:textId="77777777" w:rsidR="00284822" w:rsidRDefault="00F77BF8">
            <w:pPr>
              <w:spacing w:before="120" w:after="120"/>
              <w:jc w:val="left"/>
              <w:rPr>
                <w:rFonts w:ascii="Rockwell" w:hAnsi="Rockwell"/>
                <w:color w:val="000000"/>
                <w:szCs w:val="26"/>
              </w:rPr>
            </w:pPr>
            <w:r>
              <w:rPr>
                <w:rFonts w:ascii="Rockwell" w:hAnsi="Rockwell"/>
                <w:color w:val="000000"/>
                <w:szCs w:val="26"/>
              </w:rPr>
              <w:t>Arbollé/Passoré</w:t>
            </w:r>
          </w:p>
        </w:tc>
        <w:tc>
          <w:tcPr>
            <w:tcW w:w="3686" w:type="dxa"/>
            <w:tcBorders>
              <w:top w:val="single" w:sz="4" w:space="0" w:color="auto"/>
              <w:left w:val="nil"/>
              <w:bottom w:val="single" w:sz="4" w:space="0" w:color="auto"/>
              <w:right w:val="single" w:sz="4" w:space="0" w:color="auto"/>
            </w:tcBorders>
            <w:shd w:val="clear" w:color="auto" w:fill="FFFFFF" w:themeFill="background1"/>
            <w:noWrap/>
          </w:tcPr>
          <w:p w14:paraId="6D3B687A" w14:textId="77777777" w:rsidR="00284822" w:rsidRDefault="00F77BF8">
            <w:pPr>
              <w:spacing w:before="120" w:after="120"/>
              <w:jc w:val="left"/>
              <w:rPr>
                <w:rFonts w:ascii="Rockwell" w:hAnsi="Rockwell"/>
                <w:color w:val="000000"/>
                <w:szCs w:val="26"/>
              </w:rPr>
            </w:pPr>
            <w:r>
              <w:rPr>
                <w:rFonts w:ascii="Rockwell" w:hAnsi="Rockwell"/>
                <w:color w:val="000000"/>
                <w:szCs w:val="26"/>
              </w:rPr>
              <w:t>96.9 MHz</w:t>
            </w:r>
          </w:p>
        </w:tc>
      </w:tr>
      <w:tr w:rsidR="00284822" w14:paraId="1B324FF5"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DDD8191" w14:textId="77777777" w:rsidR="00284822" w:rsidRDefault="00F77BF8">
            <w:pPr>
              <w:spacing w:before="120" w:after="120"/>
              <w:jc w:val="left"/>
              <w:rPr>
                <w:rFonts w:ascii="Rockwell" w:hAnsi="Rockwell"/>
                <w:color w:val="000000"/>
                <w:szCs w:val="26"/>
              </w:rPr>
            </w:pPr>
            <w:r>
              <w:rPr>
                <w:rFonts w:ascii="Rockwell" w:hAnsi="Rockwell"/>
                <w:color w:val="000000"/>
                <w:szCs w:val="26"/>
              </w:rPr>
              <w:t>21</w:t>
            </w:r>
          </w:p>
        </w:tc>
        <w:tc>
          <w:tcPr>
            <w:tcW w:w="4819" w:type="dxa"/>
            <w:tcBorders>
              <w:top w:val="single" w:sz="4" w:space="0" w:color="auto"/>
              <w:left w:val="nil"/>
              <w:bottom w:val="single" w:sz="4" w:space="0" w:color="auto"/>
              <w:right w:val="single" w:sz="4" w:space="0" w:color="auto"/>
            </w:tcBorders>
            <w:shd w:val="clear" w:color="auto" w:fill="FFFFFF" w:themeFill="background1"/>
            <w:noWrap/>
          </w:tcPr>
          <w:p w14:paraId="45C0763C"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Djawoampo</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tcPr>
          <w:p w14:paraId="0384BE7B" w14:textId="77777777" w:rsidR="00284822" w:rsidRDefault="00F77BF8">
            <w:pPr>
              <w:spacing w:before="120" w:after="120"/>
              <w:jc w:val="left"/>
              <w:rPr>
                <w:rFonts w:ascii="Rockwell" w:hAnsi="Rockwell"/>
                <w:color w:val="000000"/>
                <w:szCs w:val="26"/>
              </w:rPr>
            </w:pPr>
            <w:r>
              <w:rPr>
                <w:rFonts w:ascii="Rockwell" w:hAnsi="Rockwell"/>
                <w:color w:val="000000"/>
                <w:szCs w:val="26"/>
              </w:rPr>
              <w:t>Bogandé/Gnagna</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168C30A1" w14:textId="77777777" w:rsidR="00284822" w:rsidRDefault="00F77BF8">
            <w:pPr>
              <w:spacing w:before="120" w:after="120"/>
              <w:jc w:val="left"/>
              <w:rPr>
                <w:rFonts w:ascii="Rockwell" w:hAnsi="Rockwell"/>
                <w:color w:val="000000"/>
                <w:szCs w:val="26"/>
              </w:rPr>
            </w:pPr>
            <w:r>
              <w:rPr>
                <w:rFonts w:ascii="Rockwell" w:hAnsi="Rockwell"/>
                <w:color w:val="000000"/>
                <w:szCs w:val="26"/>
              </w:rPr>
              <w:t>98.00 MHz</w:t>
            </w:r>
          </w:p>
        </w:tc>
      </w:tr>
      <w:tr w:rsidR="00284822" w14:paraId="0BE07F99"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43217B5" w14:textId="77777777" w:rsidR="00284822" w:rsidRDefault="00F77BF8">
            <w:pPr>
              <w:spacing w:before="120" w:after="120"/>
              <w:jc w:val="left"/>
              <w:rPr>
                <w:rFonts w:ascii="Rockwell" w:hAnsi="Rockwell"/>
                <w:color w:val="000000"/>
                <w:szCs w:val="26"/>
              </w:rPr>
            </w:pPr>
            <w:r>
              <w:rPr>
                <w:rFonts w:ascii="Rockwell" w:hAnsi="Rockwell"/>
                <w:color w:val="000000"/>
                <w:szCs w:val="26"/>
              </w:rPr>
              <w:lastRenderedPageBreak/>
              <w:t>22</w:t>
            </w:r>
          </w:p>
        </w:tc>
        <w:tc>
          <w:tcPr>
            <w:tcW w:w="4819" w:type="dxa"/>
            <w:tcBorders>
              <w:top w:val="single" w:sz="4" w:space="0" w:color="auto"/>
              <w:left w:val="nil"/>
              <w:bottom w:val="single" w:sz="4" w:space="0" w:color="auto"/>
              <w:right w:val="single" w:sz="4" w:space="0" w:color="auto"/>
            </w:tcBorders>
            <w:shd w:val="clear" w:color="auto" w:fill="FFFFFF" w:themeFill="background1"/>
            <w:noWrap/>
          </w:tcPr>
          <w:p w14:paraId="40C47350" w14:textId="77777777" w:rsidR="00284822" w:rsidRDefault="00F77BF8">
            <w:pPr>
              <w:spacing w:before="120" w:after="120"/>
              <w:rPr>
                <w:rFonts w:ascii="Rockwell" w:hAnsi="Rockwell"/>
                <w:color w:val="000000"/>
                <w:szCs w:val="26"/>
              </w:rPr>
            </w:pPr>
            <w:r>
              <w:rPr>
                <w:rFonts w:ascii="Rockwell" w:hAnsi="Rockwell"/>
                <w:color w:val="000000"/>
                <w:szCs w:val="26"/>
              </w:rPr>
              <w:t>Radio Lutte contre la désertification (RLCD)</w:t>
            </w:r>
          </w:p>
        </w:tc>
        <w:tc>
          <w:tcPr>
            <w:tcW w:w="3969" w:type="dxa"/>
            <w:tcBorders>
              <w:top w:val="single" w:sz="4" w:space="0" w:color="auto"/>
              <w:left w:val="nil"/>
              <w:bottom w:val="single" w:sz="4" w:space="0" w:color="auto"/>
              <w:right w:val="single" w:sz="4" w:space="0" w:color="auto"/>
            </w:tcBorders>
            <w:shd w:val="clear" w:color="auto" w:fill="FFFFFF" w:themeFill="background1"/>
            <w:noWrap/>
          </w:tcPr>
          <w:p w14:paraId="4B88A7F1" w14:textId="77777777" w:rsidR="00284822" w:rsidRDefault="00F77BF8">
            <w:pPr>
              <w:spacing w:before="120" w:after="120"/>
              <w:jc w:val="left"/>
              <w:rPr>
                <w:rFonts w:ascii="Rockwell" w:hAnsi="Rockwell"/>
                <w:color w:val="000000"/>
                <w:szCs w:val="26"/>
              </w:rPr>
            </w:pPr>
            <w:r>
              <w:rPr>
                <w:rFonts w:ascii="Rockwell" w:hAnsi="Rockwell"/>
                <w:color w:val="000000"/>
                <w:szCs w:val="26"/>
              </w:rPr>
              <w:t>Djibo/Soum</w:t>
            </w:r>
          </w:p>
        </w:tc>
        <w:tc>
          <w:tcPr>
            <w:tcW w:w="3686" w:type="dxa"/>
            <w:tcBorders>
              <w:top w:val="single" w:sz="4" w:space="0" w:color="auto"/>
              <w:left w:val="nil"/>
              <w:bottom w:val="single" w:sz="4" w:space="0" w:color="auto"/>
              <w:right w:val="single" w:sz="4" w:space="0" w:color="auto"/>
            </w:tcBorders>
            <w:shd w:val="clear" w:color="auto" w:fill="FFFFFF" w:themeFill="background1"/>
            <w:noWrap/>
          </w:tcPr>
          <w:p w14:paraId="549FA742" w14:textId="77777777" w:rsidR="00284822" w:rsidRDefault="00F77BF8">
            <w:pPr>
              <w:spacing w:before="120" w:after="120"/>
              <w:jc w:val="left"/>
              <w:rPr>
                <w:rFonts w:ascii="Rockwell" w:hAnsi="Rockwell"/>
                <w:color w:val="000000"/>
                <w:szCs w:val="26"/>
              </w:rPr>
            </w:pPr>
            <w:r>
              <w:rPr>
                <w:rFonts w:ascii="Rockwell" w:hAnsi="Rockwell"/>
                <w:color w:val="000000"/>
                <w:szCs w:val="26"/>
              </w:rPr>
              <w:t>98.6 MHz</w:t>
            </w:r>
          </w:p>
        </w:tc>
      </w:tr>
      <w:tr w:rsidR="00284822" w14:paraId="7193EE20"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E8BC448" w14:textId="77777777" w:rsidR="00284822" w:rsidRDefault="00F77BF8">
            <w:pPr>
              <w:spacing w:before="120" w:after="120"/>
              <w:jc w:val="left"/>
              <w:rPr>
                <w:rFonts w:ascii="Rockwell" w:hAnsi="Rockwell"/>
                <w:color w:val="000000"/>
                <w:szCs w:val="26"/>
              </w:rPr>
            </w:pPr>
            <w:r>
              <w:rPr>
                <w:rFonts w:ascii="Rockwell" w:hAnsi="Rockwell"/>
                <w:color w:val="000000"/>
                <w:szCs w:val="26"/>
              </w:rPr>
              <w:t>23</w:t>
            </w:r>
          </w:p>
        </w:tc>
        <w:tc>
          <w:tcPr>
            <w:tcW w:w="4819" w:type="dxa"/>
            <w:tcBorders>
              <w:top w:val="single" w:sz="4" w:space="0" w:color="auto"/>
              <w:left w:val="nil"/>
              <w:bottom w:val="single" w:sz="4" w:space="0" w:color="auto"/>
              <w:right w:val="single" w:sz="4" w:space="0" w:color="auto"/>
            </w:tcBorders>
            <w:shd w:val="clear" w:color="auto" w:fill="FFFFFF" w:themeFill="background1"/>
            <w:noWrap/>
          </w:tcPr>
          <w:p w14:paraId="12F5E4BC" w14:textId="77777777" w:rsidR="00284822" w:rsidRDefault="00F77BF8">
            <w:pPr>
              <w:spacing w:before="120" w:after="120"/>
              <w:rPr>
                <w:rFonts w:ascii="Rockwell" w:hAnsi="Rockwell"/>
                <w:color w:val="000000"/>
                <w:szCs w:val="26"/>
              </w:rPr>
            </w:pPr>
            <w:r>
              <w:rPr>
                <w:rFonts w:ascii="Rockwell" w:hAnsi="Rockwell"/>
                <w:color w:val="000000"/>
                <w:szCs w:val="26"/>
              </w:rPr>
              <w:t>Radio Manivelle</w:t>
            </w:r>
          </w:p>
        </w:tc>
        <w:tc>
          <w:tcPr>
            <w:tcW w:w="3969" w:type="dxa"/>
            <w:tcBorders>
              <w:top w:val="single" w:sz="4" w:space="0" w:color="auto"/>
              <w:left w:val="nil"/>
              <w:bottom w:val="single" w:sz="4" w:space="0" w:color="auto"/>
              <w:right w:val="single" w:sz="4" w:space="0" w:color="auto"/>
            </w:tcBorders>
            <w:shd w:val="clear" w:color="auto" w:fill="FFFFFF" w:themeFill="background1"/>
            <w:noWrap/>
          </w:tcPr>
          <w:p w14:paraId="7E54CD52" w14:textId="77777777" w:rsidR="00284822" w:rsidRDefault="00F77BF8">
            <w:pPr>
              <w:spacing w:before="120" w:after="120"/>
              <w:jc w:val="left"/>
              <w:rPr>
                <w:rFonts w:ascii="Rockwell" w:hAnsi="Rockwell"/>
                <w:color w:val="000000"/>
                <w:szCs w:val="26"/>
              </w:rPr>
            </w:pPr>
            <w:r>
              <w:rPr>
                <w:rFonts w:ascii="Rockwell" w:hAnsi="Rockwell"/>
                <w:color w:val="000000"/>
                <w:szCs w:val="26"/>
              </w:rPr>
              <w:t>Dano/</w:t>
            </w:r>
            <w:proofErr w:type="spellStart"/>
            <w:r>
              <w:rPr>
                <w:rFonts w:ascii="Rockwell" w:hAnsi="Rockwell"/>
                <w:color w:val="000000"/>
                <w:szCs w:val="26"/>
              </w:rPr>
              <w:t>Ioba</w:t>
            </w:r>
            <w:proofErr w:type="spellEnd"/>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1655B881" w14:textId="77777777" w:rsidR="00284822" w:rsidRDefault="00F77BF8">
            <w:pPr>
              <w:spacing w:before="120" w:after="120"/>
              <w:jc w:val="left"/>
              <w:rPr>
                <w:rFonts w:ascii="Rockwell" w:hAnsi="Rockwell"/>
                <w:color w:val="000000"/>
                <w:szCs w:val="26"/>
              </w:rPr>
            </w:pPr>
            <w:r>
              <w:rPr>
                <w:rFonts w:ascii="Rockwell" w:hAnsi="Rockwell"/>
                <w:color w:val="000000"/>
                <w:szCs w:val="26"/>
              </w:rPr>
              <w:t>92.00 MHz</w:t>
            </w:r>
          </w:p>
        </w:tc>
      </w:tr>
      <w:tr w:rsidR="00284822" w14:paraId="3E3D40D0" w14:textId="77777777">
        <w:trPr>
          <w:trHeight w:val="616"/>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323237B" w14:textId="77777777" w:rsidR="00284822" w:rsidRDefault="00F77BF8">
            <w:pPr>
              <w:spacing w:before="120" w:after="120"/>
              <w:jc w:val="left"/>
              <w:rPr>
                <w:rFonts w:ascii="Rockwell" w:hAnsi="Rockwell"/>
                <w:color w:val="000000"/>
                <w:szCs w:val="26"/>
              </w:rPr>
            </w:pPr>
            <w:r>
              <w:rPr>
                <w:rFonts w:ascii="Rockwell" w:hAnsi="Rockwell"/>
                <w:color w:val="000000"/>
                <w:szCs w:val="26"/>
              </w:rPr>
              <w:t>24</w:t>
            </w:r>
          </w:p>
        </w:tc>
        <w:tc>
          <w:tcPr>
            <w:tcW w:w="4819" w:type="dxa"/>
            <w:tcBorders>
              <w:top w:val="single" w:sz="4" w:space="0" w:color="auto"/>
              <w:left w:val="nil"/>
              <w:bottom w:val="single" w:sz="4" w:space="0" w:color="auto"/>
              <w:right w:val="single" w:sz="4" w:space="0" w:color="auto"/>
            </w:tcBorders>
            <w:shd w:val="clear" w:color="auto" w:fill="FFFFFF" w:themeFill="background1"/>
            <w:noWrap/>
            <w:vAlign w:val="bottom"/>
          </w:tcPr>
          <w:p w14:paraId="06150838" w14:textId="77777777" w:rsidR="00284822" w:rsidRDefault="00F77BF8">
            <w:pPr>
              <w:spacing w:before="120" w:after="120"/>
              <w:rPr>
                <w:rFonts w:ascii="Rockwell" w:hAnsi="Rockwell"/>
                <w:color w:val="000000"/>
                <w:szCs w:val="26"/>
              </w:rPr>
            </w:pPr>
            <w:r>
              <w:rPr>
                <w:rFonts w:ascii="Rockwell" w:hAnsi="Rockwell"/>
                <w:color w:val="000000"/>
                <w:szCs w:val="26"/>
              </w:rPr>
              <w:t>Radio Tin-</w:t>
            </w:r>
            <w:proofErr w:type="spellStart"/>
            <w:r>
              <w:rPr>
                <w:rFonts w:ascii="Rockwell" w:hAnsi="Rockwell"/>
                <w:color w:val="000000"/>
                <w:szCs w:val="26"/>
              </w:rPr>
              <w:t>Taani</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6FE8FA59" w14:textId="77777777" w:rsidR="00284822" w:rsidRDefault="00F77BF8">
            <w:pPr>
              <w:spacing w:before="120" w:after="120"/>
              <w:jc w:val="left"/>
              <w:rPr>
                <w:rFonts w:ascii="Rockwell" w:hAnsi="Rockwell"/>
                <w:color w:val="000000"/>
                <w:szCs w:val="26"/>
              </w:rPr>
            </w:pPr>
            <w:r>
              <w:rPr>
                <w:rFonts w:ascii="Rockwell" w:hAnsi="Rockwell"/>
                <w:color w:val="000000"/>
                <w:szCs w:val="26"/>
              </w:rPr>
              <w:t>Kantchari/Tapoa</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57D91667" w14:textId="77777777" w:rsidR="00284822" w:rsidRDefault="00F77BF8">
            <w:pPr>
              <w:spacing w:before="120" w:after="120"/>
              <w:jc w:val="left"/>
              <w:rPr>
                <w:rFonts w:ascii="Rockwell" w:hAnsi="Rockwell"/>
                <w:color w:val="000000"/>
                <w:szCs w:val="26"/>
              </w:rPr>
            </w:pPr>
            <w:r>
              <w:rPr>
                <w:rFonts w:ascii="Rockwell" w:hAnsi="Rockwell"/>
                <w:color w:val="000000"/>
                <w:szCs w:val="26"/>
              </w:rPr>
              <w:t>100.00 MHz</w:t>
            </w:r>
          </w:p>
        </w:tc>
      </w:tr>
      <w:tr w:rsidR="00284822" w14:paraId="5AECEB27" w14:textId="77777777">
        <w:trPr>
          <w:trHeight w:val="42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EEC4BC5" w14:textId="77777777" w:rsidR="00284822" w:rsidRDefault="00F77BF8">
            <w:pPr>
              <w:spacing w:before="120" w:after="120"/>
              <w:jc w:val="left"/>
              <w:rPr>
                <w:rFonts w:ascii="Rockwell" w:hAnsi="Rockwell"/>
                <w:color w:val="000000"/>
                <w:szCs w:val="26"/>
              </w:rPr>
            </w:pPr>
            <w:r>
              <w:rPr>
                <w:rFonts w:ascii="Rockwell" w:hAnsi="Rockwell"/>
                <w:color w:val="000000"/>
                <w:szCs w:val="26"/>
              </w:rPr>
              <w:t>25</w:t>
            </w:r>
          </w:p>
        </w:tc>
        <w:tc>
          <w:tcPr>
            <w:tcW w:w="4819" w:type="dxa"/>
            <w:tcBorders>
              <w:top w:val="single" w:sz="4" w:space="0" w:color="auto"/>
              <w:left w:val="nil"/>
              <w:bottom w:val="single" w:sz="4" w:space="0" w:color="auto"/>
              <w:right w:val="single" w:sz="4" w:space="0" w:color="auto"/>
            </w:tcBorders>
            <w:shd w:val="clear" w:color="auto" w:fill="FFFFFF" w:themeFill="background1"/>
            <w:noWrap/>
            <w:vAlign w:val="bottom"/>
          </w:tcPr>
          <w:p w14:paraId="5A23A719"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Salaki</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24CE3E74" w14:textId="77777777" w:rsidR="00284822" w:rsidRDefault="00F77BF8">
            <w:pPr>
              <w:spacing w:before="120" w:after="120"/>
              <w:jc w:val="left"/>
              <w:rPr>
                <w:rFonts w:ascii="Rockwell" w:hAnsi="Rockwell"/>
                <w:color w:val="000000"/>
                <w:szCs w:val="26"/>
              </w:rPr>
            </w:pPr>
            <w:r>
              <w:rPr>
                <w:rFonts w:ascii="Rockwell" w:hAnsi="Rockwell"/>
                <w:color w:val="000000"/>
                <w:szCs w:val="26"/>
              </w:rPr>
              <w:t>Dédougou/Mouhoun</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173EAFDA" w14:textId="77777777" w:rsidR="00284822" w:rsidRDefault="00F77BF8">
            <w:pPr>
              <w:spacing w:before="120" w:after="120"/>
              <w:jc w:val="left"/>
              <w:rPr>
                <w:rFonts w:ascii="Rockwell" w:hAnsi="Rockwell"/>
                <w:color w:val="000000"/>
                <w:szCs w:val="26"/>
              </w:rPr>
            </w:pPr>
            <w:r>
              <w:rPr>
                <w:rFonts w:ascii="Rockwell" w:hAnsi="Rockwell"/>
                <w:color w:val="000000"/>
                <w:szCs w:val="26"/>
              </w:rPr>
              <w:t>100.100 MHz</w:t>
            </w:r>
          </w:p>
        </w:tc>
      </w:tr>
      <w:tr w:rsidR="00284822" w14:paraId="60594461"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E061068" w14:textId="77777777" w:rsidR="00284822" w:rsidRDefault="00F77BF8">
            <w:pPr>
              <w:spacing w:before="120" w:after="120"/>
              <w:jc w:val="left"/>
              <w:rPr>
                <w:rFonts w:ascii="Rockwell" w:hAnsi="Rockwell"/>
                <w:color w:val="000000"/>
                <w:szCs w:val="26"/>
              </w:rPr>
            </w:pPr>
            <w:r>
              <w:rPr>
                <w:rFonts w:ascii="Rockwell" w:hAnsi="Rockwell"/>
                <w:color w:val="000000"/>
                <w:szCs w:val="26"/>
              </w:rPr>
              <w:t>26</w:t>
            </w:r>
          </w:p>
        </w:tc>
        <w:tc>
          <w:tcPr>
            <w:tcW w:w="4819" w:type="dxa"/>
            <w:tcBorders>
              <w:top w:val="single" w:sz="4" w:space="0" w:color="auto"/>
              <w:left w:val="nil"/>
              <w:bottom w:val="single" w:sz="4" w:space="0" w:color="auto"/>
              <w:right w:val="single" w:sz="4" w:space="0" w:color="auto"/>
            </w:tcBorders>
            <w:shd w:val="clear" w:color="auto" w:fill="FFFFFF" w:themeFill="background1"/>
            <w:noWrap/>
          </w:tcPr>
          <w:p w14:paraId="59B04C6F" w14:textId="77777777" w:rsidR="00284822" w:rsidRDefault="00F77BF8">
            <w:pPr>
              <w:spacing w:before="120" w:after="120"/>
              <w:rPr>
                <w:rFonts w:ascii="Rockwell" w:hAnsi="Rockwell"/>
                <w:color w:val="000000"/>
                <w:szCs w:val="26"/>
              </w:rPr>
            </w:pPr>
            <w:r>
              <w:rPr>
                <w:rFonts w:ascii="Rockwell" w:hAnsi="Rockwell"/>
                <w:color w:val="000000"/>
                <w:szCs w:val="26"/>
              </w:rPr>
              <w:t>Radio Eveil</w:t>
            </w:r>
          </w:p>
        </w:tc>
        <w:tc>
          <w:tcPr>
            <w:tcW w:w="3969" w:type="dxa"/>
            <w:tcBorders>
              <w:top w:val="single" w:sz="4" w:space="0" w:color="auto"/>
              <w:left w:val="nil"/>
              <w:bottom w:val="single" w:sz="4" w:space="0" w:color="auto"/>
              <w:right w:val="single" w:sz="4" w:space="0" w:color="auto"/>
            </w:tcBorders>
            <w:shd w:val="clear" w:color="auto" w:fill="FFFFFF" w:themeFill="background1"/>
            <w:noWrap/>
          </w:tcPr>
          <w:p w14:paraId="5B711251" w14:textId="77777777" w:rsidR="00284822" w:rsidRDefault="00F77BF8">
            <w:pPr>
              <w:spacing w:before="120" w:after="120"/>
              <w:jc w:val="left"/>
              <w:rPr>
                <w:rFonts w:ascii="Rockwell" w:hAnsi="Rockwell"/>
                <w:color w:val="000000"/>
                <w:szCs w:val="26"/>
              </w:rPr>
            </w:pPr>
            <w:r>
              <w:rPr>
                <w:rFonts w:ascii="Rockwell" w:hAnsi="Rockwell"/>
                <w:color w:val="000000"/>
                <w:szCs w:val="26"/>
              </w:rPr>
              <w:t>Bogandé/Gnagna</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1BD89F05" w14:textId="77777777" w:rsidR="00284822" w:rsidRDefault="00F77BF8">
            <w:pPr>
              <w:spacing w:before="120" w:after="120"/>
              <w:jc w:val="left"/>
              <w:rPr>
                <w:rFonts w:ascii="Rockwell" w:hAnsi="Rockwell"/>
                <w:color w:val="000000"/>
                <w:szCs w:val="26"/>
              </w:rPr>
            </w:pPr>
            <w:r>
              <w:rPr>
                <w:rFonts w:ascii="Rockwell" w:hAnsi="Rockwell"/>
                <w:color w:val="000000"/>
                <w:szCs w:val="26"/>
              </w:rPr>
              <w:t>101.500 MHz</w:t>
            </w:r>
          </w:p>
        </w:tc>
      </w:tr>
      <w:tr w:rsidR="00284822" w14:paraId="30E56EDA"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BA1149A" w14:textId="77777777" w:rsidR="00284822" w:rsidRDefault="00F77BF8">
            <w:pPr>
              <w:spacing w:before="120" w:after="120"/>
              <w:jc w:val="left"/>
              <w:rPr>
                <w:rFonts w:ascii="Rockwell" w:hAnsi="Rockwell"/>
                <w:color w:val="FF0000"/>
                <w:szCs w:val="26"/>
              </w:rPr>
            </w:pPr>
            <w:r>
              <w:rPr>
                <w:rFonts w:ascii="Rockwell" w:hAnsi="Rockwell"/>
                <w:color w:val="000000" w:themeColor="text1"/>
                <w:szCs w:val="26"/>
              </w:rPr>
              <w:t>27</w:t>
            </w:r>
          </w:p>
        </w:tc>
        <w:tc>
          <w:tcPr>
            <w:tcW w:w="4819" w:type="dxa"/>
            <w:tcBorders>
              <w:top w:val="single" w:sz="4" w:space="0" w:color="auto"/>
              <w:left w:val="nil"/>
              <w:bottom w:val="single" w:sz="4" w:space="0" w:color="auto"/>
              <w:right w:val="single" w:sz="4" w:space="0" w:color="auto"/>
            </w:tcBorders>
            <w:shd w:val="clear" w:color="auto" w:fill="FFFFFF" w:themeFill="background1"/>
            <w:noWrap/>
          </w:tcPr>
          <w:p w14:paraId="4DA05034" w14:textId="77777777" w:rsidR="00284822" w:rsidRDefault="00F77BF8">
            <w:pPr>
              <w:spacing w:before="120" w:after="120"/>
              <w:rPr>
                <w:rFonts w:ascii="Rockwell" w:hAnsi="Rockwell"/>
                <w:color w:val="FF0000"/>
                <w:szCs w:val="26"/>
              </w:rPr>
            </w:pPr>
            <w:r>
              <w:rPr>
                <w:rFonts w:ascii="Rockwell" w:hAnsi="Rockwell"/>
                <w:color w:val="000000" w:themeColor="text1"/>
                <w:szCs w:val="26"/>
              </w:rPr>
              <w:t xml:space="preserve">Radio </w:t>
            </w:r>
            <w:proofErr w:type="spellStart"/>
            <w:r>
              <w:rPr>
                <w:rFonts w:ascii="Rockwell" w:hAnsi="Rockwell"/>
                <w:color w:val="000000" w:themeColor="text1"/>
                <w:szCs w:val="26"/>
              </w:rPr>
              <w:t>Neerwaya</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tcPr>
          <w:p w14:paraId="1A31C930" w14:textId="77777777" w:rsidR="00284822" w:rsidRDefault="00F77BF8">
            <w:pPr>
              <w:spacing w:before="120" w:after="120"/>
              <w:jc w:val="left"/>
              <w:rPr>
                <w:rFonts w:ascii="Rockwell" w:hAnsi="Rockwell"/>
                <w:color w:val="FF0000"/>
                <w:szCs w:val="26"/>
              </w:rPr>
            </w:pPr>
            <w:r>
              <w:rPr>
                <w:rFonts w:ascii="Rockwell" w:hAnsi="Rockwell"/>
                <w:color w:val="000000" w:themeColor="text1"/>
                <w:szCs w:val="26"/>
              </w:rPr>
              <w:t>Kongoussi/Bam</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02FFF84E" w14:textId="77777777" w:rsidR="00284822" w:rsidRDefault="00F77BF8">
            <w:pPr>
              <w:spacing w:before="120" w:after="120"/>
              <w:jc w:val="left"/>
              <w:rPr>
                <w:rFonts w:ascii="Rockwell" w:hAnsi="Rockwell"/>
                <w:color w:val="FF0000"/>
                <w:szCs w:val="26"/>
              </w:rPr>
            </w:pPr>
            <w:r>
              <w:rPr>
                <w:rFonts w:ascii="Rockwell" w:hAnsi="Rockwell"/>
                <w:color w:val="000000" w:themeColor="text1"/>
                <w:szCs w:val="26"/>
              </w:rPr>
              <w:t>99.700 MHz</w:t>
            </w:r>
          </w:p>
        </w:tc>
      </w:tr>
      <w:tr w:rsidR="00284822" w14:paraId="15CBB5E5"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CDA629C" w14:textId="77777777" w:rsidR="00284822" w:rsidRDefault="00F77BF8">
            <w:pPr>
              <w:spacing w:before="120" w:after="120"/>
              <w:jc w:val="left"/>
              <w:rPr>
                <w:rFonts w:ascii="Rockwell" w:hAnsi="Rockwell"/>
                <w:color w:val="000000"/>
                <w:szCs w:val="26"/>
              </w:rPr>
            </w:pPr>
            <w:r>
              <w:rPr>
                <w:rFonts w:ascii="Rockwell" w:hAnsi="Rockwell"/>
                <w:color w:val="000000"/>
                <w:szCs w:val="26"/>
              </w:rPr>
              <w:t>28</w:t>
            </w:r>
          </w:p>
        </w:tc>
        <w:tc>
          <w:tcPr>
            <w:tcW w:w="4819" w:type="dxa"/>
            <w:tcBorders>
              <w:top w:val="single" w:sz="4" w:space="0" w:color="auto"/>
              <w:left w:val="nil"/>
              <w:bottom w:val="single" w:sz="4" w:space="0" w:color="auto"/>
              <w:right w:val="single" w:sz="4" w:space="0" w:color="auto"/>
            </w:tcBorders>
            <w:shd w:val="clear" w:color="auto" w:fill="FFFFFF" w:themeFill="background1"/>
            <w:noWrap/>
            <w:vAlign w:val="bottom"/>
          </w:tcPr>
          <w:p w14:paraId="1105DB1C"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Pognéré</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28B36BF5" w14:textId="77777777" w:rsidR="00284822" w:rsidRDefault="00F77BF8">
            <w:pPr>
              <w:spacing w:before="120" w:after="120"/>
              <w:jc w:val="left"/>
              <w:rPr>
                <w:rFonts w:ascii="Rockwell" w:hAnsi="Rockwell"/>
                <w:color w:val="000000"/>
                <w:szCs w:val="26"/>
              </w:rPr>
            </w:pPr>
            <w:r>
              <w:rPr>
                <w:rFonts w:ascii="Rockwell" w:hAnsi="Rockwell"/>
                <w:color w:val="000000"/>
                <w:szCs w:val="26"/>
              </w:rPr>
              <w:t>Pouytenga/Kouritenga</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064164FB" w14:textId="77777777" w:rsidR="00284822" w:rsidRDefault="00F77BF8">
            <w:pPr>
              <w:spacing w:before="120" w:after="120"/>
              <w:jc w:val="left"/>
              <w:rPr>
                <w:rFonts w:ascii="Rockwell" w:hAnsi="Rockwell"/>
                <w:szCs w:val="26"/>
              </w:rPr>
            </w:pPr>
            <w:r>
              <w:rPr>
                <w:rFonts w:ascii="Rockwell" w:hAnsi="Rockwell"/>
                <w:szCs w:val="26"/>
              </w:rPr>
              <w:t>100.200 MHz</w:t>
            </w:r>
          </w:p>
        </w:tc>
      </w:tr>
      <w:tr w:rsidR="00284822" w14:paraId="778D9E04"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30DDB52" w14:textId="77777777" w:rsidR="00284822" w:rsidRDefault="00F77BF8">
            <w:pPr>
              <w:spacing w:before="120" w:after="120"/>
              <w:jc w:val="left"/>
              <w:rPr>
                <w:rFonts w:ascii="Rockwell" w:hAnsi="Rockwell"/>
                <w:color w:val="000000"/>
                <w:szCs w:val="26"/>
              </w:rPr>
            </w:pPr>
            <w:r>
              <w:rPr>
                <w:rFonts w:ascii="Rockwell" w:hAnsi="Rockwell"/>
                <w:color w:val="000000"/>
                <w:szCs w:val="26"/>
              </w:rPr>
              <w:t>29</w:t>
            </w:r>
          </w:p>
        </w:tc>
        <w:tc>
          <w:tcPr>
            <w:tcW w:w="4819" w:type="dxa"/>
            <w:tcBorders>
              <w:top w:val="single" w:sz="4" w:space="0" w:color="auto"/>
              <w:left w:val="nil"/>
              <w:bottom w:val="single" w:sz="4" w:space="0" w:color="auto"/>
              <w:right w:val="single" w:sz="4" w:space="0" w:color="auto"/>
            </w:tcBorders>
            <w:shd w:val="clear" w:color="auto" w:fill="FFFFFF" w:themeFill="background1"/>
            <w:noWrap/>
            <w:vAlign w:val="center"/>
          </w:tcPr>
          <w:p w14:paraId="05A3BD6C"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Wuelo</w:t>
            </w:r>
            <w:proofErr w:type="spellEnd"/>
            <w:r>
              <w:rPr>
                <w:rFonts w:ascii="Rockwell" w:hAnsi="Rockwell"/>
                <w:color w:val="000000"/>
                <w:szCs w:val="26"/>
              </w:rPr>
              <w:t>-Ho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center"/>
          </w:tcPr>
          <w:p w14:paraId="75A68989" w14:textId="77777777" w:rsidR="00284822" w:rsidRDefault="00F77BF8">
            <w:pPr>
              <w:spacing w:before="120" w:after="120"/>
              <w:jc w:val="left"/>
              <w:rPr>
                <w:rFonts w:ascii="Rockwell" w:hAnsi="Rockwell"/>
                <w:color w:val="000000"/>
                <w:szCs w:val="26"/>
              </w:rPr>
            </w:pPr>
            <w:proofErr w:type="spellStart"/>
            <w:r>
              <w:rPr>
                <w:rFonts w:ascii="Rockwell" w:hAnsi="Rockwell"/>
                <w:color w:val="000000"/>
                <w:szCs w:val="26"/>
              </w:rPr>
              <w:t>Bondoukuy</w:t>
            </w:r>
            <w:proofErr w:type="spellEnd"/>
            <w:r>
              <w:rPr>
                <w:rFonts w:ascii="Rockwell" w:hAnsi="Rockwell"/>
                <w:color w:val="000000"/>
                <w:szCs w:val="26"/>
              </w:rPr>
              <w:t>/Mouhoun</w:t>
            </w:r>
          </w:p>
        </w:tc>
        <w:tc>
          <w:tcPr>
            <w:tcW w:w="3686" w:type="dxa"/>
            <w:tcBorders>
              <w:top w:val="single" w:sz="4" w:space="0" w:color="auto"/>
              <w:left w:val="nil"/>
              <w:bottom w:val="single" w:sz="4" w:space="0" w:color="auto"/>
              <w:right w:val="single" w:sz="4" w:space="0" w:color="auto"/>
            </w:tcBorders>
            <w:shd w:val="clear" w:color="auto" w:fill="FFFFFF" w:themeFill="background1"/>
            <w:noWrap/>
          </w:tcPr>
          <w:p w14:paraId="10F73A8B" w14:textId="77777777" w:rsidR="00284822" w:rsidRDefault="00F77BF8">
            <w:pPr>
              <w:spacing w:before="120" w:after="120"/>
              <w:jc w:val="left"/>
              <w:rPr>
                <w:rFonts w:ascii="Rockwell" w:hAnsi="Rockwell"/>
                <w:color w:val="000000"/>
                <w:szCs w:val="26"/>
              </w:rPr>
            </w:pPr>
            <w:r>
              <w:rPr>
                <w:rFonts w:ascii="Rockwell" w:hAnsi="Rockwell"/>
                <w:color w:val="000000"/>
                <w:szCs w:val="26"/>
              </w:rPr>
              <w:t>90.8 MHz</w:t>
            </w:r>
          </w:p>
        </w:tc>
      </w:tr>
      <w:tr w:rsidR="00284822" w14:paraId="2E567979"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EF3F026" w14:textId="77777777" w:rsidR="00284822" w:rsidRDefault="00F77BF8">
            <w:pPr>
              <w:spacing w:before="120" w:after="120"/>
              <w:jc w:val="left"/>
              <w:rPr>
                <w:rFonts w:ascii="Rockwell" w:hAnsi="Rockwell"/>
                <w:color w:val="000000"/>
                <w:szCs w:val="26"/>
              </w:rPr>
            </w:pPr>
            <w:r>
              <w:rPr>
                <w:rFonts w:ascii="Rockwell" w:hAnsi="Rockwell"/>
                <w:color w:val="000000"/>
                <w:szCs w:val="26"/>
              </w:rPr>
              <w:t>30</w:t>
            </w:r>
          </w:p>
        </w:tc>
        <w:tc>
          <w:tcPr>
            <w:tcW w:w="4819" w:type="dxa"/>
            <w:tcBorders>
              <w:top w:val="single" w:sz="4" w:space="0" w:color="auto"/>
              <w:left w:val="nil"/>
              <w:bottom w:val="single" w:sz="4" w:space="0" w:color="auto"/>
              <w:right w:val="single" w:sz="4" w:space="0" w:color="auto"/>
            </w:tcBorders>
            <w:shd w:val="clear" w:color="auto" w:fill="FFFFFF" w:themeFill="background1"/>
            <w:noWrap/>
          </w:tcPr>
          <w:p w14:paraId="3F509C79"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Baasnéré</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tcPr>
          <w:p w14:paraId="128FB06A" w14:textId="77777777" w:rsidR="00284822" w:rsidRDefault="00F77BF8">
            <w:pPr>
              <w:spacing w:before="120" w:after="120"/>
              <w:rPr>
                <w:rFonts w:ascii="Rockwell" w:hAnsi="Rockwell"/>
                <w:color w:val="000000"/>
                <w:szCs w:val="26"/>
              </w:rPr>
            </w:pPr>
            <w:r>
              <w:rPr>
                <w:rFonts w:ascii="Rockwell" w:hAnsi="Rockwell"/>
                <w:color w:val="000000"/>
                <w:szCs w:val="26"/>
              </w:rPr>
              <w:t>Tougouri/Namentenga</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2D6F9FE9" w14:textId="77777777" w:rsidR="00284822" w:rsidRDefault="00F77BF8">
            <w:pPr>
              <w:spacing w:before="120" w:after="120"/>
              <w:jc w:val="center"/>
              <w:rPr>
                <w:rFonts w:ascii="Rockwell" w:hAnsi="Rockwell"/>
                <w:color w:val="000000"/>
                <w:szCs w:val="26"/>
              </w:rPr>
            </w:pPr>
            <w:r>
              <w:rPr>
                <w:rFonts w:ascii="Rockwell" w:hAnsi="Rockwell"/>
                <w:color w:val="000000"/>
                <w:szCs w:val="26"/>
              </w:rPr>
              <w:t>98.500 MHz</w:t>
            </w:r>
          </w:p>
        </w:tc>
      </w:tr>
      <w:tr w:rsidR="00284822" w14:paraId="7E8B934B"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67EE9E7" w14:textId="77777777" w:rsidR="00284822" w:rsidRDefault="00F77BF8">
            <w:pPr>
              <w:spacing w:before="120" w:after="120"/>
              <w:rPr>
                <w:rFonts w:ascii="Rockwell" w:hAnsi="Rockwell"/>
                <w:color w:val="000000"/>
                <w:szCs w:val="26"/>
              </w:rPr>
            </w:pPr>
            <w:r>
              <w:rPr>
                <w:rFonts w:ascii="Rockwell" w:hAnsi="Rockwell"/>
                <w:color w:val="000000"/>
                <w:szCs w:val="26"/>
              </w:rPr>
              <w:t>31</w:t>
            </w:r>
          </w:p>
        </w:tc>
        <w:tc>
          <w:tcPr>
            <w:tcW w:w="4819" w:type="dxa"/>
            <w:tcBorders>
              <w:top w:val="single" w:sz="4" w:space="0" w:color="auto"/>
              <w:left w:val="nil"/>
              <w:bottom w:val="single" w:sz="4" w:space="0" w:color="auto"/>
              <w:right w:val="single" w:sz="4" w:space="0" w:color="auto"/>
            </w:tcBorders>
            <w:shd w:val="clear" w:color="auto" w:fill="FFFFFF" w:themeFill="background1"/>
            <w:noWrap/>
          </w:tcPr>
          <w:p w14:paraId="0DE01FAF"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Bama</w:t>
            </w:r>
            <w:proofErr w:type="spellEnd"/>
            <w:r>
              <w:rPr>
                <w:rFonts w:ascii="Rockwell" w:hAnsi="Rockwell"/>
                <w:color w:val="000000"/>
                <w:szCs w:val="26"/>
              </w:rPr>
              <w:t xml:space="preserve"> Pilé</w:t>
            </w:r>
          </w:p>
        </w:tc>
        <w:tc>
          <w:tcPr>
            <w:tcW w:w="3969" w:type="dxa"/>
            <w:tcBorders>
              <w:top w:val="single" w:sz="4" w:space="0" w:color="auto"/>
              <w:left w:val="nil"/>
              <w:bottom w:val="single" w:sz="4" w:space="0" w:color="auto"/>
              <w:right w:val="single" w:sz="4" w:space="0" w:color="auto"/>
            </w:tcBorders>
            <w:shd w:val="clear" w:color="auto" w:fill="FFFFFF" w:themeFill="background1"/>
            <w:noWrap/>
          </w:tcPr>
          <w:p w14:paraId="6A2C2B1A" w14:textId="77777777" w:rsidR="00284822" w:rsidRDefault="00F77BF8">
            <w:pPr>
              <w:spacing w:before="120" w:after="120"/>
              <w:rPr>
                <w:rFonts w:ascii="Rockwell" w:hAnsi="Rockwell"/>
                <w:color w:val="000000"/>
                <w:szCs w:val="26"/>
              </w:rPr>
            </w:pPr>
            <w:proofErr w:type="spellStart"/>
            <w:r>
              <w:rPr>
                <w:rFonts w:ascii="Rockwell" w:hAnsi="Rockwell"/>
                <w:color w:val="000000"/>
                <w:szCs w:val="26"/>
              </w:rPr>
              <w:t>Bama</w:t>
            </w:r>
            <w:proofErr w:type="spellEnd"/>
            <w:r>
              <w:rPr>
                <w:rFonts w:ascii="Rockwell" w:hAnsi="Rockwell"/>
                <w:color w:val="000000"/>
                <w:szCs w:val="26"/>
              </w:rPr>
              <w:t>/Houet</w:t>
            </w:r>
          </w:p>
        </w:tc>
        <w:tc>
          <w:tcPr>
            <w:tcW w:w="3686" w:type="dxa"/>
            <w:tcBorders>
              <w:top w:val="single" w:sz="4" w:space="0" w:color="auto"/>
              <w:left w:val="nil"/>
              <w:bottom w:val="single" w:sz="4" w:space="0" w:color="auto"/>
              <w:right w:val="single" w:sz="4" w:space="0" w:color="auto"/>
            </w:tcBorders>
            <w:shd w:val="clear" w:color="auto" w:fill="FFFFFF" w:themeFill="background1"/>
            <w:noWrap/>
          </w:tcPr>
          <w:p w14:paraId="3B7E7CEE" w14:textId="77777777" w:rsidR="00284822" w:rsidRDefault="00F77BF8">
            <w:pPr>
              <w:spacing w:before="120" w:after="120"/>
              <w:jc w:val="center"/>
              <w:rPr>
                <w:rFonts w:ascii="Rockwell" w:hAnsi="Rockwell"/>
                <w:color w:val="000000"/>
                <w:szCs w:val="26"/>
              </w:rPr>
            </w:pPr>
            <w:r>
              <w:rPr>
                <w:rFonts w:ascii="Rockwell" w:hAnsi="Rockwell"/>
                <w:color w:val="000000"/>
                <w:szCs w:val="26"/>
              </w:rPr>
              <w:t>97.100 MHz</w:t>
            </w:r>
          </w:p>
        </w:tc>
      </w:tr>
      <w:tr w:rsidR="00284822" w14:paraId="7A722CF3"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B9EA679" w14:textId="77777777" w:rsidR="00284822" w:rsidRDefault="00F77BF8">
            <w:pPr>
              <w:spacing w:before="120" w:after="120"/>
              <w:rPr>
                <w:rFonts w:ascii="Rockwell" w:hAnsi="Rockwell"/>
                <w:color w:val="000000"/>
                <w:szCs w:val="26"/>
              </w:rPr>
            </w:pPr>
            <w:r>
              <w:rPr>
                <w:rFonts w:ascii="Rockwell" w:hAnsi="Rockwell"/>
                <w:color w:val="000000"/>
                <w:szCs w:val="26"/>
              </w:rPr>
              <w:t>32</w:t>
            </w:r>
          </w:p>
        </w:tc>
        <w:tc>
          <w:tcPr>
            <w:tcW w:w="4819" w:type="dxa"/>
            <w:tcBorders>
              <w:top w:val="single" w:sz="4" w:space="0" w:color="auto"/>
              <w:left w:val="nil"/>
              <w:bottom w:val="single" w:sz="4" w:space="0" w:color="auto"/>
              <w:right w:val="single" w:sz="4" w:space="0" w:color="auto"/>
            </w:tcBorders>
            <w:shd w:val="clear" w:color="auto" w:fill="FFFFFF" w:themeFill="background1"/>
            <w:noWrap/>
          </w:tcPr>
          <w:p w14:paraId="20653E1C"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Buamitandi</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tcPr>
          <w:p w14:paraId="670C7CF4" w14:textId="77777777" w:rsidR="00284822" w:rsidRDefault="00F77BF8">
            <w:pPr>
              <w:spacing w:before="120" w:after="120"/>
              <w:rPr>
                <w:rFonts w:ascii="Rockwell" w:hAnsi="Rockwell"/>
                <w:color w:val="000000"/>
                <w:szCs w:val="26"/>
              </w:rPr>
            </w:pPr>
            <w:r>
              <w:rPr>
                <w:rFonts w:ascii="Rockwell" w:hAnsi="Rockwell"/>
                <w:color w:val="000000"/>
                <w:szCs w:val="26"/>
              </w:rPr>
              <w:t>Kantchari/Tapoa</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6522931A" w14:textId="77777777" w:rsidR="00284822" w:rsidRDefault="00F77BF8">
            <w:pPr>
              <w:spacing w:before="120" w:after="120"/>
              <w:jc w:val="center"/>
              <w:rPr>
                <w:rFonts w:ascii="Rockwell" w:hAnsi="Rockwell"/>
                <w:color w:val="000000"/>
                <w:szCs w:val="26"/>
              </w:rPr>
            </w:pPr>
            <w:r>
              <w:rPr>
                <w:rFonts w:ascii="Rockwell" w:hAnsi="Rockwell"/>
                <w:color w:val="000000"/>
                <w:szCs w:val="26"/>
              </w:rPr>
              <w:t>93.500 MHz</w:t>
            </w:r>
          </w:p>
        </w:tc>
      </w:tr>
      <w:tr w:rsidR="00284822" w14:paraId="4A9E9576"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93364AF" w14:textId="77777777" w:rsidR="00284822" w:rsidRDefault="00F77BF8">
            <w:pPr>
              <w:spacing w:before="120" w:after="120"/>
              <w:rPr>
                <w:rFonts w:ascii="Rockwell" w:hAnsi="Rockwell"/>
                <w:color w:val="000000"/>
                <w:szCs w:val="26"/>
              </w:rPr>
            </w:pPr>
            <w:r>
              <w:rPr>
                <w:rFonts w:ascii="Rockwell" w:hAnsi="Rockwell"/>
                <w:color w:val="000000"/>
                <w:szCs w:val="26"/>
              </w:rPr>
              <w:lastRenderedPageBreak/>
              <w:t>33</w:t>
            </w:r>
          </w:p>
        </w:tc>
        <w:tc>
          <w:tcPr>
            <w:tcW w:w="4819" w:type="dxa"/>
            <w:tcBorders>
              <w:top w:val="single" w:sz="4" w:space="0" w:color="auto"/>
              <w:left w:val="nil"/>
              <w:bottom w:val="single" w:sz="4" w:space="0" w:color="auto"/>
              <w:right w:val="single" w:sz="4" w:space="0" w:color="auto"/>
            </w:tcBorders>
            <w:shd w:val="clear" w:color="auto" w:fill="FFFFFF" w:themeFill="background1"/>
            <w:noWrap/>
          </w:tcPr>
          <w:p w14:paraId="13AA518A" w14:textId="77777777" w:rsidR="00284822" w:rsidRDefault="00F77BF8">
            <w:pPr>
              <w:spacing w:before="120" w:after="120"/>
              <w:rPr>
                <w:rFonts w:ascii="Rockwell" w:hAnsi="Rockwell"/>
                <w:color w:val="000000"/>
                <w:szCs w:val="26"/>
              </w:rPr>
            </w:pPr>
            <w:r>
              <w:rPr>
                <w:rFonts w:ascii="Rockwell" w:hAnsi="Rockwell"/>
                <w:color w:val="000000"/>
                <w:szCs w:val="26"/>
              </w:rPr>
              <w:t xml:space="preserve"> </w:t>
            </w:r>
            <w:proofErr w:type="spellStart"/>
            <w:r>
              <w:rPr>
                <w:rFonts w:ascii="Rockwell" w:hAnsi="Rockwell"/>
                <w:color w:val="000000"/>
                <w:szCs w:val="26"/>
              </w:rPr>
              <w:t>Radion</w:t>
            </w:r>
            <w:proofErr w:type="spellEnd"/>
            <w:r>
              <w:rPr>
                <w:rFonts w:ascii="Rockwell" w:hAnsi="Rockwell"/>
                <w:color w:val="000000"/>
                <w:szCs w:val="26"/>
              </w:rPr>
              <w:t xml:space="preserve"> Fadima FM</w:t>
            </w:r>
          </w:p>
        </w:tc>
        <w:tc>
          <w:tcPr>
            <w:tcW w:w="3969" w:type="dxa"/>
            <w:tcBorders>
              <w:top w:val="single" w:sz="4" w:space="0" w:color="auto"/>
              <w:left w:val="nil"/>
              <w:bottom w:val="single" w:sz="4" w:space="0" w:color="auto"/>
              <w:right w:val="single" w:sz="4" w:space="0" w:color="auto"/>
            </w:tcBorders>
            <w:shd w:val="clear" w:color="auto" w:fill="FFFFFF" w:themeFill="background1"/>
            <w:noWrap/>
          </w:tcPr>
          <w:p w14:paraId="0806C4F2" w14:textId="77777777" w:rsidR="00284822" w:rsidRDefault="00F77BF8">
            <w:pPr>
              <w:spacing w:before="120" w:after="120"/>
              <w:rPr>
                <w:rFonts w:ascii="Rockwell" w:hAnsi="Rockwell"/>
                <w:color w:val="000000"/>
                <w:szCs w:val="26"/>
              </w:rPr>
            </w:pPr>
            <w:r>
              <w:rPr>
                <w:rFonts w:ascii="Rockwell" w:hAnsi="Rockwell"/>
                <w:color w:val="000000"/>
                <w:szCs w:val="26"/>
              </w:rPr>
              <w:t>Koubri/Kadiogo</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06BE3908" w14:textId="77777777" w:rsidR="00284822" w:rsidRDefault="00F77BF8">
            <w:pPr>
              <w:spacing w:before="120" w:after="120"/>
              <w:jc w:val="center"/>
              <w:rPr>
                <w:rFonts w:ascii="Rockwell" w:hAnsi="Rockwell"/>
                <w:color w:val="000000"/>
                <w:szCs w:val="26"/>
              </w:rPr>
            </w:pPr>
            <w:r>
              <w:rPr>
                <w:rFonts w:ascii="Rockwell" w:hAnsi="Rockwell"/>
                <w:color w:val="000000"/>
                <w:szCs w:val="26"/>
              </w:rPr>
              <w:t>106.00 MHz</w:t>
            </w:r>
          </w:p>
        </w:tc>
      </w:tr>
      <w:tr w:rsidR="00284822" w14:paraId="135B2120"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0D8BA7E" w14:textId="77777777" w:rsidR="00284822" w:rsidRDefault="00F77BF8">
            <w:pPr>
              <w:spacing w:before="120" w:after="120"/>
              <w:rPr>
                <w:rFonts w:ascii="Rockwell" w:hAnsi="Rockwell"/>
                <w:color w:val="000000"/>
                <w:szCs w:val="26"/>
              </w:rPr>
            </w:pPr>
            <w:r>
              <w:rPr>
                <w:rFonts w:ascii="Rockwell" w:hAnsi="Rockwell"/>
                <w:color w:val="000000"/>
                <w:szCs w:val="26"/>
              </w:rPr>
              <w:t>34</w:t>
            </w:r>
          </w:p>
        </w:tc>
        <w:tc>
          <w:tcPr>
            <w:tcW w:w="4819" w:type="dxa"/>
            <w:tcBorders>
              <w:top w:val="single" w:sz="4" w:space="0" w:color="auto"/>
              <w:left w:val="nil"/>
              <w:bottom w:val="single" w:sz="4" w:space="0" w:color="auto"/>
              <w:right w:val="single" w:sz="4" w:space="0" w:color="auto"/>
            </w:tcBorders>
            <w:shd w:val="clear" w:color="auto" w:fill="FFFFFF" w:themeFill="background1"/>
            <w:noWrap/>
          </w:tcPr>
          <w:p w14:paraId="55773975" w14:textId="77777777" w:rsidR="00284822" w:rsidRDefault="00F77BF8">
            <w:pPr>
              <w:spacing w:before="120" w:after="120"/>
              <w:rPr>
                <w:rFonts w:ascii="Rockwell" w:hAnsi="Rockwell"/>
                <w:color w:val="000000"/>
                <w:szCs w:val="26"/>
              </w:rPr>
            </w:pPr>
            <w:r>
              <w:rPr>
                <w:rFonts w:ascii="Rockwell" w:hAnsi="Rockwell"/>
                <w:szCs w:val="26"/>
              </w:rPr>
              <w:t xml:space="preserve">Radio </w:t>
            </w:r>
            <w:proofErr w:type="spellStart"/>
            <w:r>
              <w:rPr>
                <w:rFonts w:ascii="Rockwell" w:hAnsi="Rockwell"/>
                <w:szCs w:val="26"/>
              </w:rPr>
              <w:t>Zaam</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tcPr>
          <w:p w14:paraId="59E4147F" w14:textId="77777777" w:rsidR="00284822" w:rsidRDefault="00F77BF8">
            <w:pPr>
              <w:spacing w:before="120" w:after="120"/>
              <w:rPr>
                <w:rFonts w:ascii="Rockwell" w:hAnsi="Rockwell"/>
                <w:color w:val="000000"/>
                <w:szCs w:val="26"/>
              </w:rPr>
            </w:pPr>
            <w:r>
              <w:rPr>
                <w:rFonts w:ascii="Rockwell" w:hAnsi="Rockwell"/>
                <w:color w:val="000000"/>
                <w:szCs w:val="26"/>
              </w:rPr>
              <w:t>Pissila/Sanmatenga</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1DF3218F" w14:textId="77777777" w:rsidR="00284822" w:rsidRDefault="00F77BF8">
            <w:pPr>
              <w:spacing w:before="120" w:after="120"/>
              <w:jc w:val="center"/>
              <w:rPr>
                <w:rFonts w:ascii="Rockwell" w:hAnsi="Rockwell"/>
                <w:color w:val="000000"/>
                <w:szCs w:val="26"/>
              </w:rPr>
            </w:pPr>
            <w:r>
              <w:rPr>
                <w:rFonts w:ascii="Rockwell" w:hAnsi="Rockwell"/>
                <w:color w:val="000000"/>
                <w:szCs w:val="26"/>
              </w:rPr>
              <w:t>106.500 MHz</w:t>
            </w:r>
          </w:p>
        </w:tc>
      </w:tr>
      <w:tr w:rsidR="00284822" w14:paraId="3C86948C"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A12889E" w14:textId="77777777" w:rsidR="00284822" w:rsidRDefault="00F77BF8">
            <w:pPr>
              <w:spacing w:before="120" w:after="120"/>
              <w:rPr>
                <w:rFonts w:ascii="Rockwell" w:hAnsi="Rockwell"/>
                <w:color w:val="000000"/>
                <w:szCs w:val="26"/>
              </w:rPr>
            </w:pPr>
            <w:r>
              <w:rPr>
                <w:rFonts w:ascii="Rockwell" w:hAnsi="Rockwell"/>
                <w:color w:val="000000"/>
                <w:szCs w:val="26"/>
              </w:rPr>
              <w:t>35</w:t>
            </w:r>
          </w:p>
        </w:tc>
        <w:tc>
          <w:tcPr>
            <w:tcW w:w="4819" w:type="dxa"/>
            <w:tcBorders>
              <w:top w:val="single" w:sz="4" w:space="0" w:color="auto"/>
              <w:left w:val="nil"/>
              <w:bottom w:val="single" w:sz="4" w:space="0" w:color="auto"/>
              <w:right w:val="single" w:sz="4" w:space="0" w:color="auto"/>
            </w:tcBorders>
            <w:shd w:val="clear" w:color="auto" w:fill="FFFFFF" w:themeFill="background1"/>
            <w:noWrap/>
            <w:vAlign w:val="bottom"/>
          </w:tcPr>
          <w:p w14:paraId="240FCD86" w14:textId="77777777" w:rsidR="00284822" w:rsidRDefault="00F77BF8">
            <w:pPr>
              <w:spacing w:before="120" w:after="120"/>
              <w:rPr>
                <w:rFonts w:ascii="Rockwell" w:hAnsi="Rockwell"/>
                <w:color w:val="000000"/>
                <w:szCs w:val="26"/>
              </w:rPr>
            </w:pPr>
            <w:r>
              <w:rPr>
                <w:rFonts w:ascii="Rockwell" w:hAnsi="Rockwell"/>
                <w:color w:val="000000"/>
                <w:szCs w:val="26"/>
              </w:rPr>
              <w:t>Radio Dounia FM</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0D4C4308" w14:textId="77777777" w:rsidR="00284822" w:rsidRDefault="00F77BF8">
            <w:pPr>
              <w:spacing w:before="120" w:after="120"/>
              <w:rPr>
                <w:rFonts w:ascii="Rockwell" w:hAnsi="Rockwell"/>
                <w:color w:val="000000"/>
                <w:szCs w:val="26"/>
              </w:rPr>
            </w:pPr>
            <w:proofErr w:type="spellStart"/>
            <w:r>
              <w:rPr>
                <w:rFonts w:ascii="Rockwell" w:hAnsi="Rockwell"/>
                <w:color w:val="000000"/>
                <w:szCs w:val="26"/>
              </w:rPr>
              <w:t>Boussé</w:t>
            </w:r>
            <w:proofErr w:type="spellEnd"/>
            <w:r>
              <w:rPr>
                <w:rFonts w:ascii="Rockwell" w:hAnsi="Rockwell"/>
                <w:color w:val="000000"/>
                <w:szCs w:val="26"/>
              </w:rPr>
              <w:t>/Kourwéogo</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41B449F8" w14:textId="77777777" w:rsidR="00284822" w:rsidRDefault="00F77BF8">
            <w:pPr>
              <w:spacing w:before="120" w:after="120"/>
              <w:jc w:val="center"/>
              <w:rPr>
                <w:rFonts w:ascii="Rockwell" w:hAnsi="Rockwell"/>
                <w:color w:val="000000"/>
                <w:szCs w:val="26"/>
              </w:rPr>
            </w:pPr>
            <w:r>
              <w:rPr>
                <w:rFonts w:ascii="Rockwell" w:hAnsi="Rockwell"/>
                <w:color w:val="000000"/>
                <w:szCs w:val="26"/>
              </w:rPr>
              <w:t>89.300 MHz</w:t>
            </w:r>
          </w:p>
        </w:tc>
      </w:tr>
      <w:tr w:rsidR="00284822" w14:paraId="49D4C0C4"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1FD9674" w14:textId="77777777" w:rsidR="00284822" w:rsidRDefault="00F77BF8">
            <w:pPr>
              <w:spacing w:before="120" w:after="120"/>
              <w:rPr>
                <w:rFonts w:ascii="Rockwell" w:hAnsi="Rockwell"/>
                <w:color w:val="000000"/>
                <w:szCs w:val="26"/>
              </w:rPr>
            </w:pPr>
            <w:r>
              <w:rPr>
                <w:rFonts w:ascii="Rockwell" w:hAnsi="Rockwell"/>
                <w:color w:val="000000"/>
                <w:szCs w:val="26"/>
              </w:rPr>
              <w:t>36</w:t>
            </w:r>
          </w:p>
        </w:tc>
        <w:tc>
          <w:tcPr>
            <w:tcW w:w="4819" w:type="dxa"/>
            <w:tcBorders>
              <w:top w:val="single" w:sz="4" w:space="0" w:color="auto"/>
              <w:left w:val="nil"/>
              <w:bottom w:val="single" w:sz="4" w:space="0" w:color="auto"/>
              <w:right w:val="single" w:sz="4" w:space="0" w:color="auto"/>
            </w:tcBorders>
            <w:shd w:val="clear" w:color="auto" w:fill="FFFFFF" w:themeFill="background1"/>
            <w:noWrap/>
            <w:vAlign w:val="bottom"/>
          </w:tcPr>
          <w:p w14:paraId="4881A094" w14:textId="77777777" w:rsidR="00284822" w:rsidRDefault="00F77BF8">
            <w:pPr>
              <w:spacing w:before="120" w:after="120"/>
              <w:rPr>
                <w:rFonts w:ascii="Rockwell" w:hAnsi="Rockwell"/>
                <w:color w:val="000000"/>
                <w:szCs w:val="26"/>
              </w:rPr>
            </w:pPr>
            <w:r>
              <w:rPr>
                <w:rFonts w:ascii="Rockwell" w:hAnsi="Rockwell"/>
                <w:color w:val="000000"/>
                <w:szCs w:val="26"/>
              </w:rPr>
              <w:t>Radio Liberté</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2FFA2FB3"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2C04A904" w14:textId="77777777" w:rsidR="00284822" w:rsidRDefault="00F77BF8">
            <w:pPr>
              <w:spacing w:before="120" w:after="120"/>
              <w:jc w:val="center"/>
              <w:rPr>
                <w:rFonts w:ascii="Rockwell" w:hAnsi="Rockwell"/>
                <w:color w:val="000000"/>
                <w:szCs w:val="26"/>
              </w:rPr>
            </w:pPr>
            <w:r>
              <w:rPr>
                <w:rFonts w:ascii="Rockwell" w:hAnsi="Rockwell"/>
                <w:color w:val="000000"/>
                <w:szCs w:val="26"/>
              </w:rPr>
              <w:t>92.800 MHz</w:t>
            </w:r>
          </w:p>
        </w:tc>
      </w:tr>
      <w:tr w:rsidR="00284822" w14:paraId="4A3D521A"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1F3EF88" w14:textId="77777777" w:rsidR="00284822" w:rsidRDefault="00F77BF8">
            <w:pPr>
              <w:spacing w:before="120" w:after="120"/>
              <w:rPr>
                <w:rFonts w:ascii="Rockwell" w:hAnsi="Rockwell"/>
                <w:color w:val="000000"/>
                <w:szCs w:val="26"/>
              </w:rPr>
            </w:pPr>
            <w:r>
              <w:rPr>
                <w:rFonts w:ascii="Rockwell" w:hAnsi="Rockwell"/>
                <w:color w:val="000000"/>
                <w:szCs w:val="26"/>
              </w:rPr>
              <w:t>37</w:t>
            </w:r>
          </w:p>
        </w:tc>
        <w:tc>
          <w:tcPr>
            <w:tcW w:w="4819" w:type="dxa"/>
            <w:tcBorders>
              <w:top w:val="single" w:sz="4" w:space="0" w:color="auto"/>
              <w:left w:val="nil"/>
              <w:bottom w:val="single" w:sz="4" w:space="0" w:color="auto"/>
              <w:right w:val="single" w:sz="4" w:space="0" w:color="auto"/>
            </w:tcBorders>
            <w:shd w:val="clear" w:color="auto" w:fill="FFFFFF" w:themeFill="background1"/>
            <w:noWrap/>
            <w:vAlign w:val="bottom"/>
          </w:tcPr>
          <w:p w14:paraId="0638DD19"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Manupugisa</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4E86AD66" w14:textId="77777777" w:rsidR="00284822" w:rsidRDefault="00F77BF8">
            <w:pPr>
              <w:spacing w:before="120" w:after="120"/>
              <w:rPr>
                <w:rFonts w:ascii="Rockwell" w:hAnsi="Rockwell"/>
                <w:color w:val="000000"/>
                <w:szCs w:val="26"/>
              </w:rPr>
            </w:pPr>
            <w:r>
              <w:rPr>
                <w:rFonts w:ascii="Rockwell" w:hAnsi="Rockwell"/>
                <w:color w:val="000000"/>
                <w:szCs w:val="26"/>
              </w:rPr>
              <w:t>Piéla/Gnagna</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1FB6FE0F" w14:textId="77777777" w:rsidR="00284822" w:rsidRDefault="00F77BF8">
            <w:pPr>
              <w:spacing w:before="120" w:after="120"/>
              <w:jc w:val="center"/>
              <w:rPr>
                <w:rFonts w:ascii="Rockwell" w:hAnsi="Rockwell"/>
                <w:color w:val="000000"/>
                <w:szCs w:val="26"/>
              </w:rPr>
            </w:pPr>
            <w:r>
              <w:rPr>
                <w:rFonts w:ascii="Rockwell" w:hAnsi="Rockwell"/>
                <w:color w:val="000000"/>
                <w:szCs w:val="26"/>
              </w:rPr>
              <w:t>105.100 MHz</w:t>
            </w:r>
          </w:p>
        </w:tc>
      </w:tr>
      <w:tr w:rsidR="00284822" w14:paraId="7225850D"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D838251" w14:textId="77777777" w:rsidR="00284822" w:rsidRDefault="00F77BF8">
            <w:pPr>
              <w:spacing w:before="120" w:after="120"/>
              <w:jc w:val="left"/>
              <w:rPr>
                <w:rFonts w:ascii="Rockwell" w:hAnsi="Rockwell"/>
                <w:color w:val="000000"/>
                <w:szCs w:val="26"/>
              </w:rPr>
            </w:pPr>
            <w:r>
              <w:rPr>
                <w:rFonts w:ascii="Rockwell" w:hAnsi="Rockwell"/>
                <w:color w:val="000000"/>
                <w:szCs w:val="26"/>
              </w:rPr>
              <w:t>38</w:t>
            </w:r>
          </w:p>
        </w:tc>
        <w:tc>
          <w:tcPr>
            <w:tcW w:w="4819" w:type="dxa"/>
            <w:tcBorders>
              <w:top w:val="single" w:sz="4" w:space="0" w:color="auto"/>
              <w:left w:val="nil"/>
              <w:bottom w:val="single" w:sz="4" w:space="0" w:color="auto"/>
              <w:right w:val="single" w:sz="4" w:space="0" w:color="auto"/>
            </w:tcBorders>
            <w:shd w:val="clear" w:color="auto" w:fill="FFFFFF" w:themeFill="background1"/>
            <w:noWrap/>
            <w:vAlign w:val="bottom"/>
          </w:tcPr>
          <w:p w14:paraId="292B3338" w14:textId="77777777" w:rsidR="00284822" w:rsidRDefault="00F77BF8">
            <w:pPr>
              <w:spacing w:before="120" w:after="120"/>
              <w:rPr>
                <w:rFonts w:ascii="Rockwell" w:hAnsi="Rockwell"/>
                <w:color w:val="000000"/>
                <w:szCs w:val="26"/>
              </w:rPr>
            </w:pPr>
            <w:r>
              <w:rPr>
                <w:rFonts w:ascii="Rockwell" w:hAnsi="Rockwell"/>
                <w:color w:val="000000"/>
                <w:szCs w:val="26"/>
              </w:rPr>
              <w:t>Radio Tin Tua</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7958C45B" w14:textId="77777777" w:rsidR="00284822" w:rsidRDefault="00F77BF8">
            <w:pPr>
              <w:spacing w:before="120" w:after="120"/>
              <w:rPr>
                <w:rFonts w:ascii="Rockwell" w:hAnsi="Rockwell"/>
                <w:color w:val="000000"/>
                <w:szCs w:val="26"/>
              </w:rPr>
            </w:pPr>
            <w:r>
              <w:rPr>
                <w:rFonts w:ascii="Rockwell" w:hAnsi="Rockwell"/>
                <w:color w:val="000000"/>
                <w:szCs w:val="26"/>
              </w:rPr>
              <w:t>Fada N'Gourma/Gourma</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5D71CF2B" w14:textId="77777777" w:rsidR="00284822" w:rsidRDefault="00F77BF8">
            <w:pPr>
              <w:spacing w:before="120" w:after="120"/>
              <w:jc w:val="center"/>
              <w:rPr>
                <w:rFonts w:ascii="Rockwell" w:hAnsi="Rockwell"/>
                <w:color w:val="000000"/>
                <w:szCs w:val="26"/>
              </w:rPr>
            </w:pPr>
            <w:r>
              <w:rPr>
                <w:rFonts w:ascii="Rockwell" w:hAnsi="Rockwell"/>
                <w:color w:val="000000"/>
                <w:szCs w:val="26"/>
              </w:rPr>
              <w:t>105.900 MHz</w:t>
            </w:r>
          </w:p>
        </w:tc>
      </w:tr>
      <w:tr w:rsidR="00284822" w14:paraId="66E4506B"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46E3B29" w14:textId="77777777" w:rsidR="00284822" w:rsidRDefault="00F77BF8">
            <w:pPr>
              <w:spacing w:before="120" w:after="120"/>
              <w:jc w:val="left"/>
              <w:rPr>
                <w:rFonts w:ascii="Rockwell" w:hAnsi="Rockwell"/>
                <w:color w:val="000000"/>
                <w:szCs w:val="26"/>
              </w:rPr>
            </w:pPr>
            <w:r>
              <w:rPr>
                <w:rFonts w:ascii="Rockwell" w:hAnsi="Rockwell"/>
                <w:color w:val="000000"/>
                <w:szCs w:val="26"/>
              </w:rPr>
              <w:t>39</w:t>
            </w:r>
          </w:p>
        </w:tc>
        <w:tc>
          <w:tcPr>
            <w:tcW w:w="4819" w:type="dxa"/>
            <w:tcBorders>
              <w:top w:val="single" w:sz="4" w:space="0" w:color="auto"/>
              <w:left w:val="nil"/>
              <w:bottom w:val="single" w:sz="4" w:space="0" w:color="auto"/>
              <w:right w:val="single" w:sz="4" w:space="0" w:color="auto"/>
            </w:tcBorders>
            <w:shd w:val="clear" w:color="auto" w:fill="FFFFFF" w:themeFill="background1"/>
            <w:noWrap/>
            <w:vAlign w:val="bottom"/>
          </w:tcPr>
          <w:p w14:paraId="33E05C0D" w14:textId="77777777" w:rsidR="00284822" w:rsidRDefault="00F77BF8">
            <w:pPr>
              <w:spacing w:before="120" w:after="120"/>
              <w:rPr>
                <w:rFonts w:ascii="Rockwell" w:hAnsi="Rockwell"/>
                <w:color w:val="000000"/>
                <w:szCs w:val="26"/>
              </w:rPr>
            </w:pPr>
            <w:r>
              <w:rPr>
                <w:rFonts w:ascii="Rockwell" w:hAnsi="Rockwell"/>
                <w:color w:val="000000"/>
                <w:szCs w:val="26"/>
              </w:rPr>
              <w:t>Radio M'</w:t>
            </w:r>
            <w:proofErr w:type="spellStart"/>
            <w:r>
              <w:rPr>
                <w:rFonts w:ascii="Rockwell" w:hAnsi="Rockwell"/>
                <w:color w:val="000000"/>
                <w:szCs w:val="26"/>
              </w:rPr>
              <w:t>Ballo</w:t>
            </w:r>
            <w:proofErr w:type="spellEnd"/>
            <w:r>
              <w:rPr>
                <w:rFonts w:ascii="Rockwell" w:hAnsi="Rockwell"/>
                <w:color w:val="000000"/>
                <w:szCs w:val="26"/>
              </w:rPr>
              <w:t xml:space="preserve"> </w:t>
            </w:r>
            <w:proofErr w:type="spellStart"/>
            <w:r>
              <w:rPr>
                <w:rFonts w:ascii="Rockwell" w:hAnsi="Rockwell"/>
                <w:color w:val="000000"/>
                <w:szCs w:val="26"/>
              </w:rPr>
              <w:t>Anndal</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4138357D" w14:textId="77777777" w:rsidR="00284822" w:rsidRDefault="00F77BF8">
            <w:pPr>
              <w:spacing w:before="120" w:after="120"/>
              <w:rPr>
                <w:rFonts w:ascii="Rockwell" w:hAnsi="Rockwell"/>
                <w:color w:val="000000"/>
                <w:szCs w:val="26"/>
              </w:rPr>
            </w:pPr>
            <w:proofErr w:type="spellStart"/>
            <w:r>
              <w:rPr>
                <w:rFonts w:ascii="Rockwell" w:hAnsi="Rockwell"/>
                <w:color w:val="000000"/>
                <w:szCs w:val="26"/>
              </w:rPr>
              <w:t>Tangangari</w:t>
            </w:r>
            <w:proofErr w:type="spellEnd"/>
            <w:r>
              <w:rPr>
                <w:rFonts w:ascii="Rockwell" w:hAnsi="Rockwell"/>
                <w:color w:val="000000"/>
                <w:szCs w:val="26"/>
              </w:rPr>
              <w:t>/Yagha</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2468E34A" w14:textId="77777777" w:rsidR="00284822" w:rsidRDefault="00F77BF8">
            <w:pPr>
              <w:spacing w:before="120" w:after="120"/>
              <w:jc w:val="center"/>
              <w:rPr>
                <w:rFonts w:ascii="Rockwell" w:hAnsi="Rockwell"/>
                <w:color w:val="000000"/>
                <w:szCs w:val="26"/>
              </w:rPr>
            </w:pPr>
            <w:r>
              <w:rPr>
                <w:rFonts w:ascii="Rockwell" w:hAnsi="Rockwell"/>
                <w:color w:val="000000"/>
                <w:szCs w:val="26"/>
              </w:rPr>
              <w:t>92.500 MHz</w:t>
            </w:r>
          </w:p>
        </w:tc>
      </w:tr>
      <w:tr w:rsidR="00284822" w14:paraId="5F7E8F5F"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FEDFE19" w14:textId="77777777" w:rsidR="00284822" w:rsidRDefault="00F77BF8">
            <w:pPr>
              <w:spacing w:before="120" w:after="120"/>
              <w:jc w:val="left"/>
              <w:rPr>
                <w:rFonts w:ascii="Rockwell" w:hAnsi="Rockwell"/>
                <w:color w:val="000000"/>
                <w:szCs w:val="26"/>
              </w:rPr>
            </w:pPr>
            <w:r>
              <w:rPr>
                <w:rFonts w:ascii="Rockwell" w:hAnsi="Rockwell"/>
                <w:color w:val="000000"/>
                <w:szCs w:val="26"/>
              </w:rPr>
              <w:t>40</w:t>
            </w:r>
          </w:p>
        </w:tc>
        <w:tc>
          <w:tcPr>
            <w:tcW w:w="4819" w:type="dxa"/>
            <w:tcBorders>
              <w:top w:val="single" w:sz="4" w:space="0" w:color="auto"/>
              <w:left w:val="nil"/>
              <w:bottom w:val="single" w:sz="4" w:space="0" w:color="auto"/>
              <w:right w:val="single" w:sz="4" w:space="0" w:color="auto"/>
            </w:tcBorders>
            <w:shd w:val="clear" w:color="auto" w:fill="FFFFFF" w:themeFill="background1"/>
            <w:noWrap/>
            <w:vAlign w:val="bottom"/>
          </w:tcPr>
          <w:p w14:paraId="4839EE22" w14:textId="77777777" w:rsidR="00284822" w:rsidRDefault="00F77BF8">
            <w:pPr>
              <w:spacing w:before="120" w:after="120"/>
              <w:rPr>
                <w:rFonts w:ascii="Rockwell" w:hAnsi="Rockwell"/>
                <w:color w:val="000000"/>
                <w:szCs w:val="26"/>
              </w:rPr>
            </w:pPr>
            <w:r>
              <w:rPr>
                <w:rFonts w:ascii="Rockwell" w:hAnsi="Rockwell"/>
                <w:color w:val="000000"/>
                <w:szCs w:val="26"/>
              </w:rPr>
              <w:t>Radio La Voix des Hippopotames</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71715B26" w14:textId="77777777" w:rsidR="00284822" w:rsidRDefault="00F77BF8">
            <w:pPr>
              <w:spacing w:before="120" w:after="120"/>
              <w:rPr>
                <w:rFonts w:ascii="Rockwell" w:hAnsi="Rockwell"/>
                <w:color w:val="000000"/>
                <w:szCs w:val="26"/>
              </w:rPr>
            </w:pPr>
            <w:proofErr w:type="spellStart"/>
            <w:r>
              <w:rPr>
                <w:rFonts w:ascii="Rockwell" w:hAnsi="Rockwell"/>
                <w:color w:val="000000"/>
                <w:szCs w:val="26"/>
              </w:rPr>
              <w:t>Bama</w:t>
            </w:r>
            <w:proofErr w:type="spellEnd"/>
            <w:r>
              <w:rPr>
                <w:rFonts w:ascii="Rockwell" w:hAnsi="Rockwell"/>
                <w:color w:val="000000"/>
                <w:szCs w:val="26"/>
              </w:rPr>
              <w:t>/Houet</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24C2C7FA" w14:textId="77777777" w:rsidR="00284822" w:rsidRDefault="00F77BF8">
            <w:pPr>
              <w:spacing w:before="120" w:after="120"/>
              <w:jc w:val="center"/>
              <w:rPr>
                <w:rFonts w:ascii="Rockwell" w:hAnsi="Rockwell"/>
                <w:color w:val="000000"/>
                <w:szCs w:val="26"/>
              </w:rPr>
            </w:pPr>
            <w:r>
              <w:rPr>
                <w:rFonts w:ascii="Rockwell" w:hAnsi="Rockwell"/>
                <w:color w:val="000000"/>
                <w:szCs w:val="26"/>
              </w:rPr>
              <w:t>89.200 MHz</w:t>
            </w:r>
          </w:p>
        </w:tc>
      </w:tr>
      <w:tr w:rsidR="00284822" w14:paraId="143D4FCF"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54F0947" w14:textId="77777777" w:rsidR="00284822" w:rsidRDefault="00F77BF8">
            <w:pPr>
              <w:spacing w:before="120" w:after="120"/>
              <w:rPr>
                <w:rFonts w:ascii="Rockwell" w:hAnsi="Rockwell"/>
                <w:color w:val="000000"/>
                <w:szCs w:val="26"/>
              </w:rPr>
            </w:pPr>
            <w:r>
              <w:rPr>
                <w:rFonts w:ascii="Rockwell" w:hAnsi="Rockwell"/>
                <w:color w:val="000000"/>
                <w:szCs w:val="26"/>
              </w:rPr>
              <w:t>41</w:t>
            </w:r>
          </w:p>
        </w:tc>
        <w:tc>
          <w:tcPr>
            <w:tcW w:w="4819" w:type="dxa"/>
            <w:tcBorders>
              <w:top w:val="single" w:sz="4" w:space="0" w:color="auto"/>
              <w:left w:val="nil"/>
              <w:bottom w:val="single" w:sz="4" w:space="0" w:color="auto"/>
              <w:right w:val="single" w:sz="4" w:space="0" w:color="auto"/>
            </w:tcBorders>
            <w:shd w:val="clear" w:color="auto" w:fill="FFFFFF" w:themeFill="background1"/>
            <w:noWrap/>
            <w:vAlign w:val="bottom"/>
          </w:tcPr>
          <w:p w14:paraId="1423B380"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Buayaba</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38A9ECA6" w14:textId="77777777" w:rsidR="00284822" w:rsidRDefault="00F77BF8">
            <w:pPr>
              <w:spacing w:before="120" w:after="120"/>
              <w:rPr>
                <w:rFonts w:ascii="Rockwell" w:hAnsi="Rockwell"/>
                <w:color w:val="000000"/>
                <w:szCs w:val="26"/>
              </w:rPr>
            </w:pPr>
            <w:r>
              <w:rPr>
                <w:rFonts w:ascii="Rockwell" w:hAnsi="Rockwell"/>
                <w:color w:val="000000"/>
                <w:szCs w:val="26"/>
              </w:rPr>
              <w:t>Diapaga/Tapoa</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69E86A27" w14:textId="77777777" w:rsidR="00284822" w:rsidRDefault="00F77BF8">
            <w:pPr>
              <w:spacing w:before="120" w:after="120"/>
              <w:jc w:val="center"/>
              <w:rPr>
                <w:rFonts w:ascii="Rockwell" w:hAnsi="Rockwell"/>
                <w:color w:val="000000"/>
                <w:szCs w:val="26"/>
              </w:rPr>
            </w:pPr>
            <w:r>
              <w:rPr>
                <w:rFonts w:ascii="Rockwell" w:hAnsi="Rockwell"/>
                <w:color w:val="000000"/>
                <w:szCs w:val="26"/>
              </w:rPr>
              <w:t>96.2 MHz</w:t>
            </w:r>
          </w:p>
        </w:tc>
      </w:tr>
      <w:tr w:rsidR="00284822" w14:paraId="53C58925"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F2B726C" w14:textId="77777777" w:rsidR="00284822" w:rsidRDefault="00F77BF8">
            <w:pPr>
              <w:spacing w:before="120" w:after="120"/>
              <w:rPr>
                <w:rFonts w:ascii="Rockwell" w:hAnsi="Rockwell"/>
                <w:color w:val="000000"/>
                <w:szCs w:val="26"/>
              </w:rPr>
            </w:pPr>
            <w:r>
              <w:rPr>
                <w:rFonts w:ascii="Rockwell" w:hAnsi="Rockwell"/>
                <w:color w:val="000000"/>
                <w:szCs w:val="26"/>
              </w:rPr>
              <w:t>42</w:t>
            </w:r>
          </w:p>
        </w:tc>
        <w:tc>
          <w:tcPr>
            <w:tcW w:w="4819" w:type="dxa"/>
            <w:tcBorders>
              <w:top w:val="single" w:sz="4" w:space="0" w:color="auto"/>
              <w:left w:val="nil"/>
              <w:bottom w:val="single" w:sz="4" w:space="0" w:color="auto"/>
              <w:right w:val="single" w:sz="4" w:space="0" w:color="auto"/>
            </w:tcBorders>
            <w:shd w:val="clear" w:color="auto" w:fill="FFFFFF" w:themeFill="background1"/>
            <w:noWrap/>
            <w:vAlign w:val="bottom"/>
          </w:tcPr>
          <w:p w14:paraId="10D151E2" w14:textId="77777777" w:rsidR="00284822" w:rsidRDefault="00F77BF8">
            <w:pPr>
              <w:spacing w:before="120" w:after="120"/>
              <w:rPr>
                <w:rFonts w:ascii="Rockwell" w:hAnsi="Rockwell"/>
                <w:color w:val="000000"/>
                <w:szCs w:val="26"/>
              </w:rPr>
            </w:pPr>
            <w:r>
              <w:rPr>
                <w:rFonts w:ascii="Rockwell" w:hAnsi="Rockwell"/>
                <w:color w:val="000000"/>
                <w:szCs w:val="26"/>
              </w:rPr>
              <w:t>Radio Intégration (</w:t>
            </w:r>
            <w:proofErr w:type="spellStart"/>
            <w:r>
              <w:rPr>
                <w:rFonts w:ascii="Rockwell" w:hAnsi="Rockwell"/>
                <w:color w:val="000000"/>
                <w:szCs w:val="26"/>
              </w:rPr>
              <w:t>Zekoula</w:t>
            </w:r>
            <w:proofErr w:type="spellEnd"/>
            <w:r>
              <w:rPr>
                <w:rFonts w:ascii="Rockwell" w:hAnsi="Rockwell"/>
                <w:color w:val="000000"/>
                <w:szCs w:val="26"/>
              </w:rPr>
              <w:t xml:space="preserve"> FM)</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493F0ADE" w14:textId="77777777" w:rsidR="00284822" w:rsidRDefault="00F77BF8">
            <w:pPr>
              <w:spacing w:before="120" w:after="120"/>
              <w:rPr>
                <w:rFonts w:ascii="Rockwell" w:hAnsi="Rockwell"/>
                <w:color w:val="000000"/>
                <w:szCs w:val="26"/>
              </w:rPr>
            </w:pPr>
            <w:r>
              <w:rPr>
                <w:rFonts w:ascii="Rockwell" w:hAnsi="Rockwell"/>
                <w:color w:val="000000"/>
                <w:szCs w:val="26"/>
              </w:rPr>
              <w:t>Bittou/Boulgou</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1290B03B" w14:textId="77777777" w:rsidR="00284822" w:rsidRDefault="00F77BF8">
            <w:pPr>
              <w:spacing w:before="120" w:after="120"/>
              <w:jc w:val="center"/>
              <w:rPr>
                <w:rFonts w:ascii="Rockwell" w:hAnsi="Rockwell"/>
                <w:color w:val="000000"/>
                <w:szCs w:val="26"/>
              </w:rPr>
            </w:pPr>
            <w:r>
              <w:rPr>
                <w:rFonts w:ascii="Rockwell" w:hAnsi="Rockwell"/>
                <w:color w:val="000000"/>
                <w:szCs w:val="26"/>
              </w:rPr>
              <w:t>88.00 MHz</w:t>
            </w:r>
          </w:p>
        </w:tc>
      </w:tr>
      <w:tr w:rsidR="00284822" w14:paraId="60B58E8C"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C2B35BE" w14:textId="77777777" w:rsidR="00284822" w:rsidRDefault="00F77BF8">
            <w:pPr>
              <w:spacing w:before="120" w:after="120"/>
              <w:rPr>
                <w:rFonts w:ascii="Rockwell" w:hAnsi="Rockwell"/>
                <w:color w:val="000000"/>
                <w:szCs w:val="26"/>
              </w:rPr>
            </w:pPr>
            <w:r>
              <w:rPr>
                <w:rFonts w:ascii="Rockwell" w:hAnsi="Rockwell"/>
                <w:color w:val="000000"/>
                <w:szCs w:val="26"/>
              </w:rPr>
              <w:t>43</w:t>
            </w:r>
          </w:p>
        </w:tc>
        <w:tc>
          <w:tcPr>
            <w:tcW w:w="4819" w:type="dxa"/>
            <w:tcBorders>
              <w:top w:val="single" w:sz="4" w:space="0" w:color="auto"/>
              <w:left w:val="nil"/>
              <w:bottom w:val="single" w:sz="4" w:space="0" w:color="auto"/>
              <w:right w:val="single" w:sz="4" w:space="0" w:color="auto"/>
            </w:tcBorders>
            <w:shd w:val="clear" w:color="auto" w:fill="FFFFFF" w:themeFill="background1"/>
            <w:noWrap/>
            <w:vAlign w:val="bottom"/>
          </w:tcPr>
          <w:p w14:paraId="00B9AA0C"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Dauphin FM </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6DBD30AD" w14:textId="77777777" w:rsidR="00284822" w:rsidRDefault="00F77BF8">
            <w:pPr>
              <w:spacing w:before="120" w:after="120"/>
              <w:rPr>
                <w:rFonts w:ascii="Rockwell" w:hAnsi="Rockwell"/>
                <w:color w:val="000000"/>
                <w:szCs w:val="26"/>
              </w:rPr>
            </w:pPr>
            <w:r>
              <w:rPr>
                <w:rFonts w:ascii="Rockwell" w:hAnsi="Rockwell"/>
                <w:color w:val="000000"/>
                <w:szCs w:val="26"/>
              </w:rPr>
              <w:t>Koupéla/Kouritenga</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0E013E09" w14:textId="77777777" w:rsidR="00284822" w:rsidRDefault="00F77BF8">
            <w:pPr>
              <w:spacing w:before="120" w:after="120"/>
              <w:jc w:val="center"/>
              <w:rPr>
                <w:rFonts w:ascii="Rockwell" w:hAnsi="Rockwell"/>
                <w:color w:val="000000"/>
                <w:szCs w:val="26"/>
              </w:rPr>
            </w:pPr>
            <w:r>
              <w:rPr>
                <w:rFonts w:ascii="Rockwell" w:hAnsi="Rockwell"/>
                <w:color w:val="000000"/>
                <w:szCs w:val="26"/>
              </w:rPr>
              <w:t>90.6 MHz</w:t>
            </w:r>
          </w:p>
        </w:tc>
      </w:tr>
      <w:tr w:rsidR="00284822" w14:paraId="23AC7112"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02A824D" w14:textId="77777777" w:rsidR="00284822" w:rsidRDefault="00F77BF8">
            <w:pPr>
              <w:spacing w:before="120" w:after="120"/>
              <w:rPr>
                <w:rFonts w:ascii="Rockwell" w:hAnsi="Rockwell"/>
                <w:color w:val="000000"/>
                <w:szCs w:val="26"/>
              </w:rPr>
            </w:pPr>
            <w:r>
              <w:rPr>
                <w:rFonts w:ascii="Rockwell" w:hAnsi="Rockwell"/>
                <w:color w:val="000000"/>
                <w:szCs w:val="26"/>
              </w:rPr>
              <w:t>44</w:t>
            </w:r>
          </w:p>
        </w:tc>
        <w:tc>
          <w:tcPr>
            <w:tcW w:w="4819" w:type="dxa"/>
            <w:tcBorders>
              <w:top w:val="single" w:sz="4" w:space="0" w:color="auto"/>
              <w:left w:val="nil"/>
              <w:bottom w:val="single" w:sz="4" w:space="0" w:color="auto"/>
              <w:right w:val="single" w:sz="4" w:space="0" w:color="auto"/>
            </w:tcBorders>
            <w:shd w:val="clear" w:color="auto" w:fill="FFFFFF" w:themeFill="background1"/>
            <w:noWrap/>
            <w:vAlign w:val="bottom"/>
          </w:tcPr>
          <w:p w14:paraId="69D59DF6" w14:textId="77777777" w:rsidR="00284822" w:rsidRDefault="00F77BF8">
            <w:pPr>
              <w:spacing w:before="120" w:after="120"/>
              <w:rPr>
                <w:rFonts w:ascii="Rockwell" w:hAnsi="Rockwell"/>
                <w:color w:val="000000"/>
                <w:szCs w:val="26"/>
              </w:rPr>
            </w:pPr>
            <w:r>
              <w:rPr>
                <w:rFonts w:ascii="Rockwell" w:hAnsi="Rockwell"/>
                <w:color w:val="000000"/>
                <w:szCs w:val="26"/>
              </w:rPr>
              <w:t>Radio Sud FM</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4319C5FA" w14:textId="77777777" w:rsidR="00284822" w:rsidRDefault="00F77BF8">
            <w:pPr>
              <w:spacing w:before="120" w:after="120"/>
              <w:rPr>
                <w:rFonts w:ascii="Rockwell" w:hAnsi="Rockwell"/>
                <w:color w:val="000000"/>
                <w:szCs w:val="26"/>
              </w:rPr>
            </w:pPr>
            <w:r>
              <w:rPr>
                <w:rFonts w:ascii="Rockwell" w:hAnsi="Rockwell"/>
                <w:color w:val="000000"/>
                <w:szCs w:val="26"/>
              </w:rPr>
              <w:t>Nobéré/Zoundwéogo</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4ECCD8F8" w14:textId="77777777" w:rsidR="00284822" w:rsidRDefault="00F77BF8">
            <w:pPr>
              <w:spacing w:before="120" w:after="120"/>
              <w:jc w:val="center"/>
              <w:rPr>
                <w:rFonts w:ascii="Rockwell" w:hAnsi="Rockwell"/>
                <w:color w:val="000000"/>
                <w:szCs w:val="26"/>
              </w:rPr>
            </w:pPr>
            <w:r>
              <w:rPr>
                <w:rFonts w:ascii="Rockwell" w:hAnsi="Rockwell"/>
                <w:color w:val="000000"/>
                <w:szCs w:val="26"/>
              </w:rPr>
              <w:t>89.4 MHz</w:t>
            </w:r>
          </w:p>
        </w:tc>
      </w:tr>
      <w:tr w:rsidR="00284822" w14:paraId="78944FD4"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97A8440" w14:textId="77777777" w:rsidR="00284822" w:rsidRDefault="00F77BF8">
            <w:pPr>
              <w:spacing w:before="120" w:after="120"/>
              <w:rPr>
                <w:rFonts w:ascii="Rockwell" w:hAnsi="Rockwell"/>
                <w:color w:val="000000"/>
                <w:szCs w:val="26"/>
              </w:rPr>
            </w:pPr>
            <w:r>
              <w:rPr>
                <w:rFonts w:ascii="Rockwell" w:hAnsi="Rockwell"/>
                <w:color w:val="000000"/>
                <w:szCs w:val="26"/>
              </w:rPr>
              <w:lastRenderedPageBreak/>
              <w:t>45</w:t>
            </w:r>
          </w:p>
        </w:tc>
        <w:tc>
          <w:tcPr>
            <w:tcW w:w="4819" w:type="dxa"/>
            <w:tcBorders>
              <w:top w:val="single" w:sz="4" w:space="0" w:color="auto"/>
              <w:left w:val="nil"/>
              <w:bottom w:val="single" w:sz="4" w:space="0" w:color="auto"/>
              <w:right w:val="single" w:sz="4" w:space="0" w:color="auto"/>
            </w:tcBorders>
            <w:shd w:val="clear" w:color="auto" w:fill="FFFFFF" w:themeFill="background1"/>
            <w:noWrap/>
            <w:vAlign w:val="bottom"/>
          </w:tcPr>
          <w:p w14:paraId="5C305461" w14:textId="77777777" w:rsidR="00284822" w:rsidRDefault="00F77BF8">
            <w:pPr>
              <w:spacing w:before="120" w:after="120"/>
              <w:rPr>
                <w:rFonts w:ascii="Rockwell" w:hAnsi="Rockwell"/>
                <w:color w:val="000000"/>
                <w:szCs w:val="26"/>
              </w:rPr>
            </w:pPr>
            <w:r>
              <w:rPr>
                <w:rFonts w:ascii="Rockwell" w:hAnsi="Rockwell"/>
                <w:color w:val="000000"/>
                <w:szCs w:val="26"/>
              </w:rPr>
              <w:t>Radio La Voix du Sahel</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4521F1DE" w14:textId="77777777" w:rsidR="00284822" w:rsidRDefault="00F77BF8">
            <w:pPr>
              <w:spacing w:before="120" w:after="120"/>
              <w:rPr>
                <w:rFonts w:ascii="Rockwell" w:hAnsi="Rockwell"/>
                <w:color w:val="000000"/>
                <w:szCs w:val="26"/>
              </w:rPr>
            </w:pPr>
            <w:proofErr w:type="spellStart"/>
            <w:r>
              <w:rPr>
                <w:rFonts w:ascii="Rockwell" w:hAnsi="Rockwell"/>
                <w:color w:val="000000"/>
                <w:szCs w:val="26"/>
              </w:rPr>
              <w:t>Gorom-Gorm</w:t>
            </w:r>
            <w:proofErr w:type="spellEnd"/>
            <w:r>
              <w:rPr>
                <w:rFonts w:ascii="Rockwell" w:hAnsi="Rockwell"/>
                <w:color w:val="000000"/>
                <w:szCs w:val="26"/>
              </w:rPr>
              <w:t>/</w:t>
            </w:r>
            <w:proofErr w:type="spellStart"/>
            <w:r>
              <w:rPr>
                <w:rFonts w:ascii="Rockwell" w:hAnsi="Rockwell"/>
                <w:color w:val="000000"/>
                <w:szCs w:val="26"/>
              </w:rPr>
              <w:t>Oudalan</w:t>
            </w:r>
            <w:proofErr w:type="spellEnd"/>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4248A951" w14:textId="77777777" w:rsidR="00284822" w:rsidRDefault="00F77BF8">
            <w:pPr>
              <w:spacing w:before="120" w:after="120"/>
              <w:jc w:val="center"/>
              <w:rPr>
                <w:rFonts w:ascii="Rockwell" w:hAnsi="Rockwell"/>
                <w:color w:val="000000"/>
                <w:szCs w:val="26"/>
              </w:rPr>
            </w:pPr>
            <w:r>
              <w:rPr>
                <w:rFonts w:ascii="Rockwell" w:hAnsi="Rockwell"/>
                <w:color w:val="000000"/>
                <w:szCs w:val="26"/>
              </w:rPr>
              <w:t>89.3 MHz</w:t>
            </w:r>
          </w:p>
        </w:tc>
      </w:tr>
      <w:tr w:rsidR="00284822" w14:paraId="611EFCDD"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CC77C30" w14:textId="77777777" w:rsidR="00284822" w:rsidRDefault="00F77BF8">
            <w:pPr>
              <w:spacing w:before="120" w:after="120"/>
              <w:rPr>
                <w:rFonts w:ascii="Rockwell" w:hAnsi="Rockwell"/>
                <w:color w:val="000000"/>
                <w:szCs w:val="26"/>
              </w:rPr>
            </w:pPr>
            <w:r>
              <w:rPr>
                <w:rFonts w:ascii="Rockwell" w:hAnsi="Rockwell"/>
                <w:color w:val="000000"/>
                <w:szCs w:val="26"/>
              </w:rPr>
              <w:t>46</w:t>
            </w:r>
          </w:p>
        </w:tc>
        <w:tc>
          <w:tcPr>
            <w:tcW w:w="4819" w:type="dxa"/>
            <w:tcBorders>
              <w:top w:val="single" w:sz="4" w:space="0" w:color="auto"/>
              <w:left w:val="nil"/>
              <w:bottom w:val="single" w:sz="4" w:space="0" w:color="auto"/>
              <w:right w:val="single" w:sz="4" w:space="0" w:color="auto"/>
            </w:tcBorders>
            <w:shd w:val="clear" w:color="auto" w:fill="FFFFFF" w:themeFill="background1"/>
            <w:noWrap/>
            <w:vAlign w:val="bottom"/>
          </w:tcPr>
          <w:p w14:paraId="3BF42729"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Argoutar</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208F3520" w14:textId="77777777" w:rsidR="00284822" w:rsidRDefault="00F77BF8">
            <w:pPr>
              <w:spacing w:before="120" w:after="120"/>
              <w:rPr>
                <w:rFonts w:ascii="Rockwell" w:hAnsi="Rockwell"/>
                <w:color w:val="000000"/>
                <w:szCs w:val="26"/>
              </w:rPr>
            </w:pPr>
            <w:r>
              <w:rPr>
                <w:rFonts w:ascii="Rockwell" w:hAnsi="Rockwell"/>
                <w:color w:val="000000"/>
                <w:szCs w:val="26"/>
              </w:rPr>
              <w:t>Dissin/</w:t>
            </w:r>
            <w:proofErr w:type="spellStart"/>
            <w:r>
              <w:rPr>
                <w:rFonts w:ascii="Rockwell" w:hAnsi="Rockwell"/>
                <w:color w:val="000000"/>
                <w:szCs w:val="26"/>
              </w:rPr>
              <w:t>Ioba</w:t>
            </w:r>
            <w:proofErr w:type="spellEnd"/>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30F5CF50" w14:textId="77777777" w:rsidR="00284822" w:rsidRDefault="00F77BF8">
            <w:pPr>
              <w:spacing w:before="120" w:after="120"/>
              <w:jc w:val="center"/>
              <w:rPr>
                <w:rFonts w:ascii="Rockwell" w:hAnsi="Rockwell"/>
                <w:color w:val="000000"/>
                <w:szCs w:val="26"/>
              </w:rPr>
            </w:pPr>
            <w:r>
              <w:rPr>
                <w:rFonts w:ascii="Rockwell" w:hAnsi="Rockwell"/>
                <w:color w:val="000000"/>
                <w:szCs w:val="26"/>
              </w:rPr>
              <w:t>105.1 MHz</w:t>
            </w:r>
          </w:p>
        </w:tc>
      </w:tr>
      <w:tr w:rsidR="00284822" w14:paraId="2D2793E7"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CD78B17" w14:textId="77777777" w:rsidR="00284822" w:rsidRDefault="00F77BF8">
            <w:pPr>
              <w:spacing w:before="120" w:after="120"/>
              <w:rPr>
                <w:rFonts w:ascii="Rockwell" w:hAnsi="Rockwell"/>
                <w:color w:val="000000"/>
                <w:szCs w:val="26"/>
              </w:rPr>
            </w:pPr>
            <w:r>
              <w:rPr>
                <w:rFonts w:ascii="Rockwell" w:hAnsi="Rockwell"/>
                <w:color w:val="000000"/>
                <w:szCs w:val="26"/>
              </w:rPr>
              <w:t>47</w:t>
            </w:r>
          </w:p>
        </w:tc>
        <w:tc>
          <w:tcPr>
            <w:tcW w:w="4819" w:type="dxa"/>
            <w:tcBorders>
              <w:top w:val="single" w:sz="4" w:space="0" w:color="auto"/>
              <w:left w:val="nil"/>
              <w:bottom w:val="single" w:sz="4" w:space="0" w:color="auto"/>
              <w:right w:val="single" w:sz="4" w:space="0" w:color="auto"/>
            </w:tcBorders>
            <w:shd w:val="clear" w:color="auto" w:fill="FFFFFF" w:themeFill="background1"/>
            <w:noWrap/>
            <w:vAlign w:val="bottom"/>
          </w:tcPr>
          <w:p w14:paraId="73FFE544" w14:textId="77777777" w:rsidR="00284822" w:rsidRDefault="00F77BF8">
            <w:pPr>
              <w:spacing w:before="120" w:after="120"/>
              <w:rPr>
                <w:rFonts w:ascii="Rockwell" w:hAnsi="Rockwell"/>
                <w:color w:val="000000"/>
                <w:szCs w:val="26"/>
              </w:rPr>
            </w:pPr>
            <w:r>
              <w:rPr>
                <w:rFonts w:ascii="Rockwell" w:hAnsi="Rockwell"/>
                <w:color w:val="000000"/>
                <w:szCs w:val="26"/>
              </w:rPr>
              <w:t>Radio Développement Solidaire Durable (Radio DEVSO)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3B0B61E8" w14:textId="77777777" w:rsidR="00284822" w:rsidRDefault="00F77BF8">
            <w:pPr>
              <w:spacing w:before="120" w:after="120"/>
              <w:rPr>
                <w:rFonts w:ascii="Rockwell" w:hAnsi="Rockwell"/>
                <w:color w:val="000000"/>
                <w:szCs w:val="26"/>
              </w:rPr>
            </w:pPr>
            <w:proofErr w:type="spellStart"/>
            <w:r>
              <w:rPr>
                <w:rFonts w:ascii="Rockwell" w:hAnsi="Rockwell"/>
                <w:color w:val="000000"/>
                <w:szCs w:val="26"/>
              </w:rPr>
              <w:t>Nadiagou</w:t>
            </w:r>
            <w:proofErr w:type="spellEnd"/>
            <w:r>
              <w:rPr>
                <w:rFonts w:ascii="Rockwell" w:hAnsi="Rockwell"/>
                <w:color w:val="000000"/>
                <w:szCs w:val="26"/>
              </w:rPr>
              <w:t xml:space="preserve"> (</w:t>
            </w:r>
            <w:proofErr w:type="spellStart"/>
            <w:r>
              <w:rPr>
                <w:rFonts w:ascii="Rockwell" w:hAnsi="Rockwell"/>
                <w:color w:val="000000"/>
                <w:szCs w:val="26"/>
              </w:rPr>
              <w:t>Pama</w:t>
            </w:r>
            <w:proofErr w:type="spellEnd"/>
            <w:r>
              <w:rPr>
                <w:rFonts w:ascii="Rockwell" w:hAnsi="Rockwell"/>
                <w:color w:val="000000"/>
                <w:szCs w:val="26"/>
              </w:rPr>
              <w:t>)/Kompienga</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3EB7D307" w14:textId="77777777" w:rsidR="00284822" w:rsidRDefault="00F77BF8">
            <w:pPr>
              <w:spacing w:before="120" w:after="120"/>
              <w:jc w:val="center"/>
              <w:rPr>
                <w:rFonts w:ascii="Rockwell" w:hAnsi="Rockwell"/>
                <w:color w:val="000000"/>
                <w:szCs w:val="26"/>
              </w:rPr>
            </w:pPr>
            <w:r>
              <w:rPr>
                <w:rFonts w:ascii="Rockwell" w:hAnsi="Rockwell"/>
                <w:color w:val="000000"/>
                <w:szCs w:val="26"/>
              </w:rPr>
              <w:t>88.3 MHz</w:t>
            </w:r>
          </w:p>
        </w:tc>
      </w:tr>
      <w:tr w:rsidR="00284822" w14:paraId="4C2A8D97"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261CF05" w14:textId="77777777" w:rsidR="00284822" w:rsidRDefault="00F77BF8">
            <w:pPr>
              <w:spacing w:before="120" w:after="120"/>
              <w:ind w:left="-142"/>
              <w:rPr>
                <w:rFonts w:ascii="Rockwell" w:hAnsi="Rockwell"/>
                <w:color w:val="000000"/>
                <w:szCs w:val="26"/>
              </w:rPr>
            </w:pPr>
            <w:r>
              <w:rPr>
                <w:rFonts w:ascii="Rockwell" w:hAnsi="Rockwell"/>
                <w:color w:val="000000"/>
                <w:szCs w:val="26"/>
              </w:rPr>
              <w:t>48</w:t>
            </w:r>
          </w:p>
        </w:tc>
        <w:tc>
          <w:tcPr>
            <w:tcW w:w="4819" w:type="dxa"/>
            <w:tcBorders>
              <w:top w:val="single" w:sz="4" w:space="0" w:color="auto"/>
              <w:left w:val="nil"/>
              <w:bottom w:val="single" w:sz="4" w:space="0" w:color="auto"/>
              <w:right w:val="single" w:sz="4" w:space="0" w:color="auto"/>
            </w:tcBorders>
            <w:shd w:val="clear" w:color="auto" w:fill="FFFFFF" w:themeFill="background1"/>
            <w:noWrap/>
            <w:vAlign w:val="bottom"/>
          </w:tcPr>
          <w:p w14:paraId="5D4FE54E"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Nôbiel</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5D1CD027" w14:textId="77777777" w:rsidR="00284822" w:rsidRDefault="00F77BF8">
            <w:pPr>
              <w:spacing w:before="120" w:after="120"/>
              <w:rPr>
                <w:rFonts w:ascii="Rockwell" w:hAnsi="Rockwell"/>
                <w:color w:val="000000"/>
                <w:szCs w:val="26"/>
              </w:rPr>
            </w:pPr>
            <w:r>
              <w:rPr>
                <w:rFonts w:ascii="Rockwell" w:hAnsi="Rockwell"/>
                <w:color w:val="000000"/>
                <w:szCs w:val="26"/>
              </w:rPr>
              <w:t>Gaoua/</w:t>
            </w:r>
            <w:proofErr w:type="spellStart"/>
            <w:r>
              <w:rPr>
                <w:rFonts w:ascii="Rockwell" w:hAnsi="Rockwell"/>
                <w:color w:val="000000"/>
                <w:szCs w:val="26"/>
              </w:rPr>
              <w:t>Poni</w:t>
            </w:r>
            <w:proofErr w:type="spellEnd"/>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356A5ACF" w14:textId="77777777" w:rsidR="00284822" w:rsidRDefault="00F77BF8">
            <w:pPr>
              <w:spacing w:before="120" w:after="120"/>
              <w:jc w:val="center"/>
              <w:rPr>
                <w:rFonts w:ascii="Rockwell" w:hAnsi="Rockwell"/>
                <w:color w:val="000000"/>
                <w:szCs w:val="26"/>
              </w:rPr>
            </w:pPr>
            <w:r>
              <w:rPr>
                <w:rFonts w:ascii="Rockwell" w:hAnsi="Rockwell"/>
                <w:color w:val="000000"/>
                <w:szCs w:val="26"/>
              </w:rPr>
              <w:t>103.4MHz</w:t>
            </w:r>
          </w:p>
        </w:tc>
      </w:tr>
      <w:tr w:rsidR="00284822" w14:paraId="3FB38DA4"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786C442" w14:textId="77777777" w:rsidR="00284822" w:rsidRDefault="00F77BF8">
            <w:pPr>
              <w:spacing w:before="120" w:after="120"/>
              <w:rPr>
                <w:rFonts w:ascii="Rockwell" w:hAnsi="Rockwell"/>
                <w:color w:val="000000"/>
                <w:szCs w:val="26"/>
              </w:rPr>
            </w:pPr>
            <w:r>
              <w:rPr>
                <w:rFonts w:ascii="Rockwell" w:hAnsi="Rockwell"/>
                <w:color w:val="000000"/>
                <w:szCs w:val="26"/>
              </w:rPr>
              <w:t>49</w:t>
            </w:r>
          </w:p>
        </w:tc>
        <w:tc>
          <w:tcPr>
            <w:tcW w:w="4819" w:type="dxa"/>
            <w:tcBorders>
              <w:top w:val="single" w:sz="4" w:space="0" w:color="auto"/>
              <w:left w:val="nil"/>
              <w:bottom w:val="single" w:sz="4" w:space="0" w:color="auto"/>
              <w:right w:val="single" w:sz="4" w:space="0" w:color="auto"/>
            </w:tcBorders>
            <w:shd w:val="clear" w:color="auto" w:fill="FFFFFF" w:themeFill="background1"/>
            <w:noWrap/>
            <w:vAlign w:val="bottom"/>
          </w:tcPr>
          <w:p w14:paraId="2823C8C2"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Sirebaï</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7FD97777" w14:textId="77777777" w:rsidR="00284822" w:rsidRDefault="00F77BF8">
            <w:pPr>
              <w:spacing w:before="120" w:after="120"/>
              <w:rPr>
                <w:rFonts w:ascii="Rockwell" w:hAnsi="Rockwell"/>
                <w:color w:val="000000"/>
                <w:szCs w:val="26"/>
              </w:rPr>
            </w:pPr>
            <w:r>
              <w:rPr>
                <w:rFonts w:ascii="Rockwell" w:hAnsi="Rockwell"/>
                <w:color w:val="000000"/>
                <w:szCs w:val="26"/>
              </w:rPr>
              <w:t>Niangoloko/Comoé</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54C90AE3" w14:textId="77777777" w:rsidR="00284822" w:rsidRDefault="00F77BF8">
            <w:pPr>
              <w:spacing w:before="120" w:after="120"/>
              <w:jc w:val="center"/>
              <w:rPr>
                <w:rFonts w:ascii="Rockwell" w:hAnsi="Rockwell"/>
                <w:color w:val="000000"/>
                <w:szCs w:val="26"/>
              </w:rPr>
            </w:pPr>
            <w:r>
              <w:rPr>
                <w:rFonts w:ascii="Rockwell" w:hAnsi="Rockwell"/>
                <w:color w:val="000000"/>
                <w:szCs w:val="26"/>
              </w:rPr>
              <w:t>90.3 MHz</w:t>
            </w:r>
          </w:p>
        </w:tc>
      </w:tr>
      <w:tr w:rsidR="00284822" w14:paraId="02E18A91"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64DAAFC" w14:textId="77777777" w:rsidR="00284822" w:rsidRDefault="00F77BF8">
            <w:pPr>
              <w:spacing w:before="120" w:after="120"/>
              <w:rPr>
                <w:rFonts w:ascii="Rockwell" w:hAnsi="Rockwell"/>
                <w:color w:val="000000"/>
                <w:szCs w:val="26"/>
              </w:rPr>
            </w:pPr>
            <w:r>
              <w:rPr>
                <w:rFonts w:ascii="Rockwell" w:hAnsi="Rockwell"/>
                <w:color w:val="000000"/>
                <w:szCs w:val="26"/>
              </w:rPr>
              <w:t>50</w:t>
            </w:r>
          </w:p>
        </w:tc>
        <w:tc>
          <w:tcPr>
            <w:tcW w:w="4819" w:type="dxa"/>
            <w:tcBorders>
              <w:top w:val="single" w:sz="4" w:space="0" w:color="auto"/>
              <w:left w:val="nil"/>
              <w:bottom w:val="single" w:sz="4" w:space="0" w:color="auto"/>
              <w:right w:val="single" w:sz="4" w:space="0" w:color="auto"/>
            </w:tcBorders>
            <w:shd w:val="clear" w:color="auto" w:fill="FFFFFF" w:themeFill="background1"/>
            <w:noWrap/>
            <w:vAlign w:val="bottom"/>
          </w:tcPr>
          <w:p w14:paraId="4CA580A7"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Woassa</w:t>
            </w:r>
            <w:proofErr w:type="spellEnd"/>
            <w:r>
              <w:rPr>
                <w:rFonts w:ascii="Rockwell" w:hAnsi="Rockwell"/>
                <w:color w:val="000000"/>
                <w:szCs w:val="26"/>
              </w:rPr>
              <w:t>-La Voix du Sourou Nayala</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04457138" w14:textId="77777777" w:rsidR="00284822" w:rsidRDefault="00F77BF8">
            <w:pPr>
              <w:spacing w:before="120" w:after="120"/>
              <w:rPr>
                <w:rFonts w:ascii="Rockwell" w:hAnsi="Rockwell"/>
                <w:color w:val="000000"/>
                <w:szCs w:val="26"/>
              </w:rPr>
            </w:pPr>
            <w:proofErr w:type="spellStart"/>
            <w:r>
              <w:rPr>
                <w:rFonts w:ascii="Rockwell" w:hAnsi="Rockwell"/>
                <w:color w:val="000000"/>
                <w:szCs w:val="26"/>
              </w:rPr>
              <w:t>Yaba</w:t>
            </w:r>
            <w:proofErr w:type="spellEnd"/>
            <w:r>
              <w:rPr>
                <w:rFonts w:ascii="Rockwell" w:hAnsi="Rockwell"/>
                <w:color w:val="000000"/>
                <w:szCs w:val="26"/>
              </w:rPr>
              <w:t>/Nayala</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7715300E" w14:textId="77777777" w:rsidR="00284822" w:rsidRDefault="00F77BF8">
            <w:pPr>
              <w:spacing w:before="120" w:after="120"/>
              <w:jc w:val="center"/>
              <w:rPr>
                <w:rFonts w:ascii="Rockwell" w:hAnsi="Rockwell"/>
                <w:color w:val="000000"/>
                <w:szCs w:val="26"/>
              </w:rPr>
            </w:pPr>
            <w:r>
              <w:rPr>
                <w:rFonts w:ascii="Rockwell" w:hAnsi="Rockwell"/>
                <w:color w:val="000000"/>
                <w:szCs w:val="26"/>
              </w:rPr>
              <w:t>90.00 MHz</w:t>
            </w:r>
          </w:p>
        </w:tc>
      </w:tr>
      <w:tr w:rsidR="00284822" w14:paraId="5081D46E"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18D8B5C" w14:textId="77777777" w:rsidR="00284822" w:rsidRDefault="00F77BF8">
            <w:pPr>
              <w:spacing w:before="120" w:after="120"/>
              <w:rPr>
                <w:rFonts w:ascii="Rockwell" w:hAnsi="Rockwell"/>
                <w:color w:val="000000"/>
                <w:szCs w:val="26"/>
              </w:rPr>
            </w:pPr>
            <w:r>
              <w:rPr>
                <w:rFonts w:ascii="Rockwell" w:hAnsi="Rockwell"/>
                <w:color w:val="000000"/>
                <w:szCs w:val="26"/>
              </w:rPr>
              <w:t>51</w:t>
            </w:r>
          </w:p>
        </w:tc>
        <w:tc>
          <w:tcPr>
            <w:tcW w:w="4819" w:type="dxa"/>
            <w:tcBorders>
              <w:top w:val="single" w:sz="4" w:space="0" w:color="auto"/>
              <w:left w:val="nil"/>
              <w:bottom w:val="single" w:sz="4" w:space="0" w:color="auto"/>
              <w:right w:val="single" w:sz="4" w:space="0" w:color="auto"/>
            </w:tcBorders>
            <w:shd w:val="clear" w:color="auto" w:fill="FFFFFF" w:themeFill="background1"/>
            <w:noWrap/>
            <w:vAlign w:val="bottom"/>
          </w:tcPr>
          <w:p w14:paraId="4E28021E" w14:textId="77777777" w:rsidR="00284822" w:rsidRDefault="00F77BF8">
            <w:pPr>
              <w:spacing w:before="120" w:after="120"/>
              <w:rPr>
                <w:rFonts w:ascii="Rockwell" w:hAnsi="Rockwell"/>
                <w:color w:val="000000"/>
                <w:szCs w:val="26"/>
              </w:rPr>
            </w:pPr>
            <w:r>
              <w:rPr>
                <w:rFonts w:ascii="Rockwell" w:hAnsi="Rockwell"/>
                <w:color w:val="000000"/>
                <w:szCs w:val="26"/>
              </w:rPr>
              <w:t>Radio Flambeau</w:t>
            </w:r>
            <w:r>
              <w:rPr>
                <w:rFonts w:ascii="Rockwell" w:hAnsi="Rockwell"/>
                <w:color w:val="000000"/>
                <w:szCs w:val="26"/>
                <w:highlight w:val="yellow"/>
              </w:rPr>
              <w:t xml:space="preserve"> </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6FE6247E" w14:textId="77777777" w:rsidR="00284822" w:rsidRDefault="00F77BF8">
            <w:pPr>
              <w:spacing w:before="120" w:after="120"/>
              <w:rPr>
                <w:rFonts w:ascii="Rockwell" w:hAnsi="Rockwell"/>
                <w:color w:val="000000"/>
                <w:szCs w:val="26"/>
              </w:rPr>
            </w:pPr>
            <w:r>
              <w:rPr>
                <w:rFonts w:ascii="Rockwell" w:hAnsi="Rockwell"/>
                <w:color w:val="000000"/>
                <w:szCs w:val="26"/>
              </w:rPr>
              <w:t xml:space="preserve">Tenkodogo/Boulgou </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6B12EFAE" w14:textId="77777777" w:rsidR="00284822" w:rsidRDefault="00F77BF8">
            <w:pPr>
              <w:spacing w:before="120" w:after="120"/>
              <w:jc w:val="center"/>
              <w:rPr>
                <w:rFonts w:ascii="Rockwell" w:hAnsi="Rockwell"/>
                <w:color w:val="000000"/>
                <w:szCs w:val="26"/>
              </w:rPr>
            </w:pPr>
            <w:r>
              <w:rPr>
                <w:rFonts w:ascii="Rockwell" w:hAnsi="Rockwell"/>
                <w:color w:val="000000"/>
                <w:szCs w:val="26"/>
              </w:rPr>
              <w:t>102.6 MHZ</w:t>
            </w:r>
          </w:p>
        </w:tc>
      </w:tr>
      <w:tr w:rsidR="00284822" w14:paraId="77A23AF5"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FBF614C" w14:textId="77777777" w:rsidR="00284822" w:rsidRDefault="00F77BF8">
            <w:pPr>
              <w:spacing w:before="120" w:after="120"/>
              <w:ind w:right="1"/>
              <w:rPr>
                <w:rFonts w:ascii="Rockwell" w:hAnsi="Rockwell"/>
                <w:color w:val="000000"/>
                <w:szCs w:val="26"/>
              </w:rPr>
            </w:pPr>
            <w:r>
              <w:rPr>
                <w:rFonts w:ascii="Rockwell" w:hAnsi="Rockwell"/>
                <w:color w:val="000000"/>
                <w:szCs w:val="26"/>
              </w:rPr>
              <w:t>52</w:t>
            </w:r>
          </w:p>
        </w:tc>
        <w:tc>
          <w:tcPr>
            <w:tcW w:w="4819" w:type="dxa"/>
            <w:tcBorders>
              <w:top w:val="single" w:sz="4" w:space="0" w:color="auto"/>
              <w:left w:val="nil"/>
              <w:bottom w:val="single" w:sz="4" w:space="0" w:color="auto"/>
              <w:right w:val="single" w:sz="4" w:space="0" w:color="auto"/>
            </w:tcBorders>
            <w:shd w:val="clear" w:color="auto" w:fill="FFFFFF" w:themeFill="background1"/>
            <w:noWrap/>
            <w:vAlign w:val="bottom"/>
          </w:tcPr>
          <w:p w14:paraId="0C045237" w14:textId="77777777" w:rsidR="00284822" w:rsidRDefault="00F77BF8">
            <w:pPr>
              <w:spacing w:before="120" w:after="120"/>
              <w:rPr>
                <w:rFonts w:ascii="Rockwell" w:hAnsi="Rockwell"/>
                <w:color w:val="000000"/>
                <w:szCs w:val="26"/>
              </w:rPr>
            </w:pPr>
            <w:r>
              <w:rPr>
                <w:rFonts w:ascii="Rockwell" w:hAnsi="Rockwell"/>
                <w:color w:val="000000"/>
                <w:szCs w:val="26"/>
              </w:rPr>
              <w:t>Radio ARC FM</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1CD2C4E6" w14:textId="77777777" w:rsidR="00284822" w:rsidRDefault="00F77BF8">
            <w:pPr>
              <w:spacing w:before="120" w:after="120"/>
              <w:rPr>
                <w:rFonts w:ascii="Rockwell" w:hAnsi="Rockwell"/>
                <w:color w:val="000000"/>
                <w:szCs w:val="26"/>
              </w:rPr>
            </w:pPr>
            <w:r>
              <w:rPr>
                <w:rFonts w:ascii="Rockwell" w:hAnsi="Rockwell"/>
                <w:color w:val="000000"/>
                <w:szCs w:val="26"/>
              </w:rPr>
              <w:t>Niangoloko/Comoé</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5CD878E1" w14:textId="77777777" w:rsidR="00284822" w:rsidRDefault="00284822">
            <w:pPr>
              <w:spacing w:before="120" w:after="120"/>
              <w:jc w:val="center"/>
              <w:rPr>
                <w:rFonts w:ascii="Rockwell" w:hAnsi="Rockwell"/>
                <w:color w:val="000000"/>
                <w:szCs w:val="26"/>
              </w:rPr>
            </w:pPr>
          </w:p>
        </w:tc>
      </w:tr>
      <w:tr w:rsidR="00284822" w14:paraId="2EE265B9"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5BCC670" w14:textId="77777777" w:rsidR="00284822" w:rsidRDefault="00F77BF8">
            <w:pPr>
              <w:spacing w:before="120" w:after="120"/>
              <w:rPr>
                <w:rFonts w:ascii="Rockwell" w:hAnsi="Rockwell"/>
                <w:color w:val="000000"/>
                <w:szCs w:val="26"/>
              </w:rPr>
            </w:pPr>
            <w:r>
              <w:rPr>
                <w:rFonts w:ascii="Rockwell" w:hAnsi="Rockwell"/>
                <w:color w:val="000000"/>
                <w:szCs w:val="26"/>
              </w:rPr>
              <w:t>53</w:t>
            </w:r>
          </w:p>
        </w:tc>
        <w:tc>
          <w:tcPr>
            <w:tcW w:w="4819" w:type="dxa"/>
            <w:tcBorders>
              <w:top w:val="single" w:sz="4" w:space="0" w:color="auto"/>
              <w:left w:val="nil"/>
              <w:bottom w:val="single" w:sz="4" w:space="0" w:color="auto"/>
              <w:right w:val="single" w:sz="4" w:space="0" w:color="auto"/>
            </w:tcBorders>
            <w:shd w:val="clear" w:color="auto" w:fill="FFFFFF" w:themeFill="background1"/>
            <w:noWrap/>
            <w:vAlign w:val="bottom"/>
          </w:tcPr>
          <w:p w14:paraId="56156CDC"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Dankoun</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0EFE1A47" w14:textId="77777777" w:rsidR="00284822" w:rsidRDefault="00F77BF8">
            <w:pPr>
              <w:spacing w:before="120" w:after="120"/>
              <w:rPr>
                <w:rFonts w:ascii="Rockwell" w:hAnsi="Rockwell"/>
                <w:color w:val="000000"/>
                <w:szCs w:val="26"/>
              </w:rPr>
            </w:pPr>
            <w:r>
              <w:rPr>
                <w:rFonts w:ascii="Rockwell" w:hAnsi="Rockwell"/>
                <w:color w:val="000000"/>
                <w:szCs w:val="26"/>
              </w:rPr>
              <w:t>N’</w:t>
            </w:r>
            <w:proofErr w:type="spellStart"/>
            <w:r>
              <w:rPr>
                <w:rFonts w:ascii="Rockwell" w:hAnsi="Rockwell"/>
                <w:color w:val="000000"/>
                <w:szCs w:val="26"/>
              </w:rPr>
              <w:t>Dorola</w:t>
            </w:r>
            <w:proofErr w:type="spellEnd"/>
            <w:r>
              <w:rPr>
                <w:rFonts w:ascii="Rockwell" w:hAnsi="Rockwell"/>
                <w:color w:val="000000"/>
                <w:szCs w:val="26"/>
              </w:rPr>
              <w:t>/Kénédougou</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4542CDEA" w14:textId="77777777" w:rsidR="00284822" w:rsidRDefault="00284822">
            <w:pPr>
              <w:spacing w:before="120" w:after="120"/>
              <w:jc w:val="center"/>
              <w:rPr>
                <w:rFonts w:ascii="Rockwell" w:hAnsi="Rockwell"/>
                <w:color w:val="000000"/>
                <w:szCs w:val="26"/>
              </w:rPr>
            </w:pPr>
          </w:p>
        </w:tc>
      </w:tr>
      <w:tr w:rsidR="00284822" w14:paraId="0EC04990"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E652A45" w14:textId="77777777" w:rsidR="00284822" w:rsidRDefault="00F77BF8">
            <w:pPr>
              <w:spacing w:before="120" w:after="120"/>
              <w:rPr>
                <w:rFonts w:ascii="Rockwell" w:hAnsi="Rockwell"/>
                <w:color w:val="000000"/>
                <w:szCs w:val="26"/>
              </w:rPr>
            </w:pPr>
            <w:r>
              <w:rPr>
                <w:rFonts w:ascii="Rockwell" w:hAnsi="Rockwell"/>
                <w:color w:val="000000"/>
                <w:szCs w:val="26"/>
              </w:rPr>
              <w:t>54</w:t>
            </w:r>
          </w:p>
        </w:tc>
        <w:tc>
          <w:tcPr>
            <w:tcW w:w="4819" w:type="dxa"/>
            <w:tcBorders>
              <w:top w:val="single" w:sz="4" w:space="0" w:color="auto"/>
              <w:left w:val="nil"/>
              <w:bottom w:val="single" w:sz="4" w:space="0" w:color="auto"/>
              <w:right w:val="single" w:sz="4" w:space="0" w:color="auto"/>
            </w:tcBorders>
            <w:shd w:val="clear" w:color="auto" w:fill="FFFFFF" w:themeFill="background1"/>
            <w:noWrap/>
            <w:vAlign w:val="bottom"/>
          </w:tcPr>
          <w:p w14:paraId="4A137E85" w14:textId="77777777" w:rsidR="00284822" w:rsidRDefault="00F77BF8">
            <w:pPr>
              <w:spacing w:before="120" w:after="120"/>
              <w:rPr>
                <w:rFonts w:ascii="Rockwell" w:hAnsi="Rockwell"/>
                <w:color w:val="000000"/>
                <w:szCs w:val="26"/>
                <w:highlight w:val="yellow"/>
              </w:rPr>
            </w:pPr>
            <w:r>
              <w:rPr>
                <w:rFonts w:ascii="Rockwell" w:hAnsi="Rockwell"/>
                <w:color w:val="000000"/>
                <w:szCs w:val="26"/>
              </w:rPr>
              <w:t xml:space="preserve">Radio </w:t>
            </w:r>
            <w:proofErr w:type="spellStart"/>
            <w:r>
              <w:rPr>
                <w:rFonts w:ascii="Rockwell" w:hAnsi="Rockwell"/>
                <w:color w:val="000000"/>
                <w:szCs w:val="26"/>
              </w:rPr>
              <w:t>Kawral</w:t>
            </w:r>
            <w:proofErr w:type="spellEnd"/>
            <w:r>
              <w:rPr>
                <w:rFonts w:ascii="Rockwell" w:hAnsi="Rockwell"/>
                <w:color w:val="000000"/>
                <w:szCs w:val="26"/>
              </w:rPr>
              <w:t xml:space="preserve"> FM</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68E98BE8" w14:textId="77777777" w:rsidR="00284822" w:rsidRDefault="00F77BF8">
            <w:pPr>
              <w:spacing w:before="120" w:after="120"/>
              <w:rPr>
                <w:rFonts w:ascii="Rockwell" w:hAnsi="Rockwell"/>
                <w:color w:val="000000"/>
                <w:szCs w:val="26"/>
              </w:rPr>
            </w:pPr>
            <w:r>
              <w:rPr>
                <w:rFonts w:ascii="Rockwell" w:hAnsi="Rockwell"/>
                <w:color w:val="000000"/>
                <w:szCs w:val="26"/>
              </w:rPr>
              <w:t>Dori/Séno</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62A92A15" w14:textId="77777777" w:rsidR="00284822" w:rsidRDefault="00284822">
            <w:pPr>
              <w:spacing w:before="120" w:after="120"/>
              <w:jc w:val="center"/>
              <w:rPr>
                <w:rFonts w:ascii="Rockwell" w:hAnsi="Rockwell"/>
                <w:color w:val="000000"/>
                <w:szCs w:val="26"/>
              </w:rPr>
            </w:pPr>
          </w:p>
        </w:tc>
      </w:tr>
      <w:tr w:rsidR="00284822" w14:paraId="3B93634B" w14:textId="77777777">
        <w:trPr>
          <w:trHeight w:val="60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1D2DC4D" w14:textId="77777777" w:rsidR="00284822" w:rsidRDefault="00F77BF8">
            <w:pPr>
              <w:spacing w:before="120" w:after="120"/>
              <w:rPr>
                <w:rFonts w:ascii="Rockwell" w:hAnsi="Rockwell"/>
                <w:color w:val="000000"/>
                <w:szCs w:val="26"/>
              </w:rPr>
            </w:pPr>
            <w:r>
              <w:rPr>
                <w:rFonts w:ascii="Rockwell" w:hAnsi="Rockwell"/>
                <w:color w:val="000000"/>
                <w:szCs w:val="26"/>
              </w:rPr>
              <w:t>55</w:t>
            </w:r>
          </w:p>
        </w:tc>
        <w:tc>
          <w:tcPr>
            <w:tcW w:w="4819" w:type="dxa"/>
            <w:tcBorders>
              <w:top w:val="single" w:sz="4" w:space="0" w:color="auto"/>
              <w:left w:val="nil"/>
              <w:bottom w:val="single" w:sz="4" w:space="0" w:color="auto"/>
              <w:right w:val="single" w:sz="4" w:space="0" w:color="auto"/>
            </w:tcBorders>
            <w:shd w:val="clear" w:color="auto" w:fill="FFFFFF" w:themeFill="background1"/>
            <w:noWrap/>
            <w:vAlign w:val="bottom"/>
          </w:tcPr>
          <w:p w14:paraId="115A384A"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Languegoubé</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4D2E18D8" w14:textId="77777777" w:rsidR="00284822" w:rsidRDefault="00F77BF8">
            <w:pPr>
              <w:spacing w:before="120" w:after="120"/>
              <w:rPr>
                <w:rFonts w:ascii="Rockwell" w:hAnsi="Rockwell"/>
                <w:color w:val="000000"/>
                <w:szCs w:val="26"/>
              </w:rPr>
            </w:pPr>
            <w:proofErr w:type="spellStart"/>
            <w:r>
              <w:rPr>
                <w:rFonts w:ascii="Rockwell" w:hAnsi="Rockwell"/>
                <w:color w:val="000000"/>
                <w:szCs w:val="26"/>
              </w:rPr>
              <w:t>Guelwongo</w:t>
            </w:r>
            <w:proofErr w:type="spellEnd"/>
            <w:r>
              <w:rPr>
                <w:rFonts w:ascii="Rockwell" w:hAnsi="Rockwell"/>
                <w:color w:val="000000"/>
                <w:szCs w:val="26"/>
              </w:rPr>
              <w:t xml:space="preserve">/Nahouri </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7C7BFC85" w14:textId="77777777" w:rsidR="00284822" w:rsidRDefault="00284822">
            <w:pPr>
              <w:spacing w:before="120" w:after="120"/>
              <w:jc w:val="center"/>
              <w:rPr>
                <w:rFonts w:ascii="Rockwell" w:hAnsi="Rockwell"/>
                <w:color w:val="000000"/>
                <w:szCs w:val="26"/>
              </w:rPr>
            </w:pPr>
          </w:p>
        </w:tc>
      </w:tr>
    </w:tbl>
    <w:p w14:paraId="2054FA28" w14:textId="77777777" w:rsidR="00284822" w:rsidRDefault="00284822">
      <w:pPr>
        <w:spacing w:before="120" w:after="120"/>
        <w:rPr>
          <w:rFonts w:ascii="Rockwell" w:hAnsi="Rockwell"/>
          <w:b/>
          <w:bCs/>
          <w:color w:val="000000"/>
          <w:szCs w:val="26"/>
        </w:rPr>
      </w:pPr>
    </w:p>
    <w:p w14:paraId="770D9610" w14:textId="77777777" w:rsidR="00284822" w:rsidRDefault="00284822">
      <w:pPr>
        <w:spacing w:before="120" w:after="120"/>
        <w:rPr>
          <w:rFonts w:ascii="Rockwell" w:hAnsi="Rockwell"/>
          <w:b/>
          <w:bCs/>
          <w:color w:val="000000"/>
          <w:szCs w:val="26"/>
        </w:rPr>
      </w:pPr>
    </w:p>
    <w:p w14:paraId="5F42D33B" w14:textId="77777777" w:rsidR="00284822" w:rsidRDefault="00F77BF8">
      <w:pPr>
        <w:pStyle w:val="Paragraphedeliste"/>
        <w:numPr>
          <w:ilvl w:val="0"/>
          <w:numId w:val="55"/>
        </w:numPr>
        <w:rPr>
          <w:rFonts w:ascii="Rockwell" w:hAnsi="Rockwell"/>
        </w:rPr>
      </w:pPr>
      <w:r>
        <w:rPr>
          <w:rFonts w:ascii="Rockwell" w:hAnsi="Rockwell"/>
        </w:rPr>
        <w:t>Radios commerciales : quarante-deux (42)</w:t>
      </w:r>
    </w:p>
    <w:tbl>
      <w:tblPr>
        <w:tblW w:w="12900" w:type="dxa"/>
        <w:jc w:val="center"/>
        <w:tblLayout w:type="fixed"/>
        <w:tblCellMar>
          <w:left w:w="70" w:type="dxa"/>
          <w:right w:w="70" w:type="dxa"/>
        </w:tblCellMar>
        <w:tblLook w:val="04A0" w:firstRow="1" w:lastRow="0" w:firstColumn="1" w:lastColumn="0" w:noHBand="0" w:noVBand="1"/>
      </w:tblPr>
      <w:tblGrid>
        <w:gridCol w:w="846"/>
        <w:gridCol w:w="5534"/>
        <w:gridCol w:w="3821"/>
        <w:gridCol w:w="2699"/>
      </w:tblGrid>
      <w:tr w:rsidR="00284822" w14:paraId="599A4908" w14:textId="77777777">
        <w:trPr>
          <w:trHeight w:val="341"/>
          <w:jc w:val="center"/>
        </w:trPr>
        <w:tc>
          <w:tcPr>
            <w:tcW w:w="846" w:type="dxa"/>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bottom"/>
          </w:tcPr>
          <w:p w14:paraId="21AE5C2C" w14:textId="77777777" w:rsidR="00284822" w:rsidRDefault="00F77BF8">
            <w:pPr>
              <w:spacing w:before="120" w:after="120"/>
              <w:jc w:val="center"/>
              <w:rPr>
                <w:rFonts w:ascii="Rockwell" w:hAnsi="Rockwell"/>
                <w:b/>
                <w:bCs/>
                <w:color w:val="000000"/>
                <w:szCs w:val="26"/>
              </w:rPr>
            </w:pPr>
            <w:r>
              <w:rPr>
                <w:rFonts w:ascii="Rockwell" w:hAnsi="Rockwell"/>
                <w:b/>
                <w:bCs/>
                <w:color w:val="000000"/>
                <w:szCs w:val="26"/>
              </w:rPr>
              <w:t>N°</w:t>
            </w:r>
          </w:p>
        </w:tc>
        <w:tc>
          <w:tcPr>
            <w:tcW w:w="5534" w:type="dxa"/>
            <w:tcBorders>
              <w:top w:val="single" w:sz="4" w:space="0" w:color="auto"/>
              <w:left w:val="nil"/>
              <w:bottom w:val="single" w:sz="4" w:space="0" w:color="auto"/>
              <w:right w:val="single" w:sz="4" w:space="0" w:color="auto"/>
            </w:tcBorders>
            <w:shd w:val="clear" w:color="auto" w:fill="BDD6EE" w:themeFill="accent1" w:themeFillTint="66"/>
            <w:noWrap/>
            <w:vAlign w:val="bottom"/>
          </w:tcPr>
          <w:p w14:paraId="3912C061" w14:textId="77777777" w:rsidR="00284822" w:rsidRDefault="00F77BF8">
            <w:pPr>
              <w:spacing w:before="120" w:after="120"/>
              <w:jc w:val="center"/>
              <w:rPr>
                <w:rFonts w:ascii="Rockwell" w:hAnsi="Rockwell"/>
                <w:b/>
                <w:bCs/>
                <w:color w:val="000000"/>
                <w:szCs w:val="26"/>
              </w:rPr>
            </w:pPr>
            <w:r>
              <w:rPr>
                <w:rFonts w:ascii="Rockwell" w:hAnsi="Rockwell"/>
                <w:b/>
                <w:bCs/>
                <w:color w:val="000000"/>
                <w:szCs w:val="26"/>
              </w:rPr>
              <w:t>Dénomination</w:t>
            </w:r>
          </w:p>
        </w:tc>
        <w:tc>
          <w:tcPr>
            <w:tcW w:w="3821" w:type="dxa"/>
            <w:tcBorders>
              <w:top w:val="single" w:sz="4" w:space="0" w:color="auto"/>
              <w:left w:val="nil"/>
              <w:bottom w:val="single" w:sz="4" w:space="0" w:color="auto"/>
              <w:right w:val="single" w:sz="4" w:space="0" w:color="auto"/>
            </w:tcBorders>
            <w:shd w:val="clear" w:color="auto" w:fill="BDD6EE" w:themeFill="accent1" w:themeFillTint="66"/>
            <w:noWrap/>
            <w:vAlign w:val="bottom"/>
          </w:tcPr>
          <w:p w14:paraId="1F6B0C27" w14:textId="77777777" w:rsidR="00284822" w:rsidRDefault="00F77BF8">
            <w:pPr>
              <w:spacing w:before="120" w:after="120"/>
              <w:jc w:val="center"/>
              <w:rPr>
                <w:rFonts w:ascii="Rockwell" w:hAnsi="Rockwell"/>
                <w:b/>
                <w:bCs/>
                <w:color w:val="000000"/>
                <w:szCs w:val="26"/>
              </w:rPr>
            </w:pPr>
            <w:r>
              <w:rPr>
                <w:rFonts w:ascii="Rockwell" w:hAnsi="Rockwell"/>
                <w:b/>
                <w:bCs/>
                <w:color w:val="000000"/>
                <w:szCs w:val="26"/>
              </w:rPr>
              <w:t>Localité/Province</w:t>
            </w:r>
          </w:p>
        </w:tc>
        <w:tc>
          <w:tcPr>
            <w:tcW w:w="2699" w:type="dxa"/>
            <w:tcBorders>
              <w:top w:val="single" w:sz="4" w:space="0" w:color="auto"/>
              <w:left w:val="nil"/>
              <w:bottom w:val="single" w:sz="4" w:space="0" w:color="auto"/>
              <w:right w:val="single" w:sz="4" w:space="0" w:color="auto"/>
            </w:tcBorders>
            <w:shd w:val="clear" w:color="auto" w:fill="BDD6EE" w:themeFill="accent1" w:themeFillTint="66"/>
            <w:noWrap/>
            <w:vAlign w:val="bottom"/>
          </w:tcPr>
          <w:p w14:paraId="68BDEF82" w14:textId="77777777" w:rsidR="00284822" w:rsidRDefault="00F77BF8">
            <w:pPr>
              <w:spacing w:before="120" w:after="120"/>
              <w:jc w:val="center"/>
              <w:rPr>
                <w:rFonts w:ascii="Rockwell" w:hAnsi="Rockwell"/>
                <w:b/>
                <w:bCs/>
                <w:color w:val="000000"/>
                <w:szCs w:val="26"/>
              </w:rPr>
            </w:pPr>
            <w:r>
              <w:rPr>
                <w:rFonts w:ascii="Rockwell" w:hAnsi="Rockwell"/>
                <w:b/>
                <w:bCs/>
                <w:color w:val="000000"/>
                <w:szCs w:val="26"/>
              </w:rPr>
              <w:t>Fréquence</w:t>
            </w:r>
          </w:p>
        </w:tc>
      </w:tr>
      <w:tr w:rsidR="00284822" w14:paraId="02D08795"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EF0ACF3" w14:textId="77777777" w:rsidR="00284822" w:rsidRDefault="00F77BF8">
            <w:pPr>
              <w:spacing w:before="120" w:after="120"/>
              <w:rPr>
                <w:rFonts w:ascii="Rockwell" w:hAnsi="Rockwell"/>
                <w:color w:val="000000"/>
                <w:szCs w:val="26"/>
              </w:rPr>
            </w:pPr>
            <w:r>
              <w:rPr>
                <w:rFonts w:ascii="Rockwell" w:hAnsi="Rockwell"/>
                <w:color w:val="000000"/>
                <w:szCs w:val="26"/>
              </w:rPr>
              <w:t>1</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42278F1D"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de l'Amitié (Fréquence </w:t>
            </w:r>
            <w:proofErr w:type="spellStart"/>
            <w:r>
              <w:rPr>
                <w:rFonts w:ascii="Rockwell" w:hAnsi="Rockwell"/>
                <w:color w:val="000000"/>
                <w:szCs w:val="26"/>
              </w:rPr>
              <w:t>Zoodo</w:t>
            </w:r>
            <w:proofErr w:type="spellEnd"/>
            <w:r>
              <w:rPr>
                <w:rFonts w:ascii="Rockwell" w:hAnsi="Rockwell"/>
                <w:color w:val="000000"/>
                <w:szCs w:val="26"/>
              </w:rPr>
              <w:t>)</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02AA2527" w14:textId="77777777" w:rsidR="00284822" w:rsidRDefault="00F77BF8">
            <w:pPr>
              <w:spacing w:before="120" w:after="120"/>
              <w:rPr>
                <w:rFonts w:ascii="Rockwell" w:hAnsi="Rockwell"/>
                <w:color w:val="000000"/>
                <w:szCs w:val="26"/>
              </w:rPr>
            </w:pPr>
            <w:r>
              <w:rPr>
                <w:rFonts w:ascii="Rockwell" w:hAnsi="Rockwell"/>
                <w:color w:val="000000"/>
                <w:szCs w:val="26"/>
              </w:rPr>
              <w:t>Ouahigouya/Yatenga</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546005EF" w14:textId="77777777" w:rsidR="00284822" w:rsidRDefault="00F77BF8">
            <w:pPr>
              <w:spacing w:before="120" w:after="120"/>
              <w:rPr>
                <w:rFonts w:ascii="Rockwell" w:hAnsi="Rockwell"/>
                <w:color w:val="000000"/>
                <w:szCs w:val="26"/>
              </w:rPr>
            </w:pPr>
            <w:r>
              <w:rPr>
                <w:rFonts w:ascii="Rockwell" w:hAnsi="Rockwell"/>
                <w:color w:val="000000"/>
                <w:szCs w:val="26"/>
              </w:rPr>
              <w:t>100.400 MHz</w:t>
            </w:r>
          </w:p>
        </w:tc>
      </w:tr>
      <w:tr w:rsidR="00284822" w14:paraId="73921A39"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4EE1CDF" w14:textId="77777777" w:rsidR="00284822" w:rsidRDefault="00F77BF8">
            <w:pPr>
              <w:spacing w:before="120" w:after="120"/>
              <w:rPr>
                <w:rFonts w:ascii="Rockwell" w:hAnsi="Rockwell"/>
                <w:color w:val="000000"/>
                <w:szCs w:val="26"/>
              </w:rPr>
            </w:pPr>
            <w:r>
              <w:rPr>
                <w:rFonts w:ascii="Rockwell" w:hAnsi="Rockwell"/>
                <w:color w:val="000000"/>
                <w:szCs w:val="26"/>
              </w:rPr>
              <w:t>2</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0DD66445" w14:textId="77777777" w:rsidR="00284822" w:rsidRDefault="00F77BF8">
            <w:pPr>
              <w:spacing w:before="120" w:after="120"/>
              <w:rPr>
                <w:rFonts w:ascii="Rockwell" w:hAnsi="Rockwell"/>
                <w:color w:val="000000"/>
                <w:szCs w:val="26"/>
              </w:rPr>
            </w:pPr>
            <w:r>
              <w:rPr>
                <w:rFonts w:ascii="Rockwell" w:hAnsi="Rockwell"/>
                <w:color w:val="000000"/>
                <w:szCs w:val="26"/>
              </w:rPr>
              <w:t>Radio Savane FM</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74D15998"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1E6714B5" w14:textId="77777777" w:rsidR="00284822" w:rsidRDefault="00F77BF8">
            <w:pPr>
              <w:spacing w:before="120" w:after="120"/>
              <w:rPr>
                <w:rFonts w:ascii="Rockwell" w:hAnsi="Rockwell"/>
                <w:color w:val="000000"/>
                <w:szCs w:val="26"/>
              </w:rPr>
            </w:pPr>
            <w:r>
              <w:rPr>
                <w:rFonts w:ascii="Rockwell" w:hAnsi="Rockwell"/>
                <w:color w:val="000000"/>
                <w:szCs w:val="26"/>
              </w:rPr>
              <w:t>103.400 MHz</w:t>
            </w:r>
          </w:p>
        </w:tc>
      </w:tr>
      <w:tr w:rsidR="00284822" w14:paraId="4057DF4A"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704FEEF" w14:textId="77777777" w:rsidR="00284822" w:rsidRDefault="00F77BF8">
            <w:pPr>
              <w:spacing w:before="120" w:after="120"/>
              <w:rPr>
                <w:rFonts w:ascii="Rockwell" w:hAnsi="Rockwell"/>
                <w:color w:val="000000"/>
                <w:szCs w:val="26"/>
              </w:rPr>
            </w:pPr>
            <w:r>
              <w:rPr>
                <w:rFonts w:ascii="Rockwell" w:hAnsi="Rockwell"/>
                <w:color w:val="000000"/>
                <w:szCs w:val="26"/>
              </w:rPr>
              <w:t>3</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25B4E4FA" w14:textId="77777777" w:rsidR="00284822" w:rsidRDefault="00F77BF8">
            <w:pPr>
              <w:spacing w:before="120" w:after="120"/>
              <w:rPr>
                <w:rFonts w:ascii="Rockwell" w:hAnsi="Rockwell"/>
                <w:color w:val="000000"/>
                <w:szCs w:val="26"/>
              </w:rPr>
            </w:pPr>
            <w:r>
              <w:rPr>
                <w:rFonts w:ascii="Rockwell" w:hAnsi="Rockwell"/>
                <w:color w:val="000000"/>
                <w:szCs w:val="26"/>
              </w:rPr>
              <w:t>Radio Pulsar</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27C10F9B"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34807D68" w14:textId="77777777" w:rsidR="00284822" w:rsidRDefault="00F77BF8">
            <w:pPr>
              <w:spacing w:before="120" w:after="120"/>
              <w:rPr>
                <w:rFonts w:ascii="Rockwell" w:hAnsi="Rockwell"/>
                <w:color w:val="000000"/>
                <w:szCs w:val="26"/>
              </w:rPr>
            </w:pPr>
            <w:r>
              <w:rPr>
                <w:rFonts w:ascii="Rockwell" w:hAnsi="Rockwell"/>
                <w:color w:val="000000"/>
                <w:szCs w:val="26"/>
              </w:rPr>
              <w:t>94.800 MHz</w:t>
            </w:r>
          </w:p>
        </w:tc>
      </w:tr>
      <w:tr w:rsidR="00284822" w14:paraId="386386E1"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61DF1ED" w14:textId="77777777" w:rsidR="00284822" w:rsidRDefault="00F77BF8">
            <w:pPr>
              <w:spacing w:before="120" w:after="120"/>
              <w:rPr>
                <w:rFonts w:ascii="Rockwell" w:hAnsi="Rockwell"/>
                <w:color w:val="000000"/>
                <w:szCs w:val="26"/>
              </w:rPr>
            </w:pPr>
            <w:r>
              <w:rPr>
                <w:rFonts w:ascii="Rockwell" w:hAnsi="Rockwell"/>
                <w:color w:val="000000"/>
                <w:szCs w:val="26"/>
              </w:rPr>
              <w:t>4</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45D6D4FC"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Kourita</w:t>
            </w:r>
            <w:proofErr w:type="spellEnd"/>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5DB590C0" w14:textId="77777777" w:rsidR="00284822" w:rsidRDefault="00F77BF8">
            <w:pPr>
              <w:spacing w:before="120" w:after="120"/>
              <w:rPr>
                <w:rFonts w:ascii="Rockwell" w:hAnsi="Rockwell"/>
                <w:color w:val="000000"/>
                <w:szCs w:val="26"/>
              </w:rPr>
            </w:pPr>
            <w:proofErr w:type="spellStart"/>
            <w:r>
              <w:rPr>
                <w:rFonts w:ascii="Rockwell" w:hAnsi="Rockwell"/>
                <w:color w:val="000000"/>
                <w:szCs w:val="26"/>
              </w:rPr>
              <w:t>Koupèla</w:t>
            </w:r>
            <w:proofErr w:type="spellEnd"/>
            <w:r>
              <w:rPr>
                <w:rFonts w:ascii="Rockwell" w:hAnsi="Rockwell"/>
                <w:color w:val="000000"/>
                <w:szCs w:val="26"/>
              </w:rPr>
              <w:t>/Kouritenga</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197F015A" w14:textId="77777777" w:rsidR="00284822" w:rsidRDefault="00F77BF8">
            <w:pPr>
              <w:spacing w:before="120" w:after="120"/>
              <w:rPr>
                <w:rFonts w:ascii="Rockwell" w:hAnsi="Rockwell"/>
                <w:color w:val="000000"/>
                <w:szCs w:val="26"/>
              </w:rPr>
            </w:pPr>
            <w:r>
              <w:rPr>
                <w:rFonts w:ascii="Rockwell" w:hAnsi="Rockwell"/>
                <w:color w:val="000000"/>
                <w:szCs w:val="26"/>
              </w:rPr>
              <w:t>93.700 MHz</w:t>
            </w:r>
          </w:p>
        </w:tc>
      </w:tr>
      <w:tr w:rsidR="00284822" w14:paraId="0B8C029A"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D3A2D85" w14:textId="77777777" w:rsidR="00284822" w:rsidRDefault="00F77BF8">
            <w:pPr>
              <w:spacing w:before="120" w:after="120"/>
              <w:rPr>
                <w:rFonts w:ascii="Rockwell" w:hAnsi="Rockwell"/>
                <w:color w:val="000000"/>
                <w:szCs w:val="26"/>
              </w:rPr>
            </w:pPr>
            <w:r>
              <w:rPr>
                <w:rFonts w:ascii="Rockwell" w:hAnsi="Rockwell"/>
                <w:color w:val="000000"/>
                <w:szCs w:val="26"/>
              </w:rPr>
              <w:t>5</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1BF1219C" w14:textId="77777777" w:rsidR="00284822" w:rsidRDefault="00F77BF8">
            <w:pPr>
              <w:spacing w:before="120" w:after="120"/>
              <w:rPr>
                <w:rFonts w:ascii="Rockwell" w:hAnsi="Rockwell"/>
                <w:color w:val="000000"/>
                <w:szCs w:val="26"/>
              </w:rPr>
            </w:pPr>
            <w:r>
              <w:rPr>
                <w:rFonts w:ascii="Rockwell" w:hAnsi="Rockwell"/>
                <w:color w:val="000000"/>
                <w:szCs w:val="26"/>
              </w:rPr>
              <w:t>Radio Ouaga FM</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0CA30C6E"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6620989F" w14:textId="77777777" w:rsidR="00284822" w:rsidRDefault="00F77BF8">
            <w:pPr>
              <w:spacing w:before="120" w:after="120"/>
              <w:rPr>
                <w:rFonts w:ascii="Rockwell" w:hAnsi="Rockwell"/>
                <w:color w:val="000000"/>
                <w:szCs w:val="26"/>
              </w:rPr>
            </w:pPr>
            <w:r>
              <w:rPr>
                <w:rFonts w:ascii="Rockwell" w:hAnsi="Rockwell"/>
                <w:color w:val="000000"/>
                <w:szCs w:val="26"/>
              </w:rPr>
              <w:t>105.200 MHz</w:t>
            </w:r>
          </w:p>
        </w:tc>
      </w:tr>
      <w:tr w:rsidR="00284822" w14:paraId="65BFC15E"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54C8492" w14:textId="77777777" w:rsidR="00284822" w:rsidRDefault="00F77BF8">
            <w:pPr>
              <w:spacing w:before="120" w:after="120"/>
              <w:rPr>
                <w:rFonts w:ascii="Rockwell" w:hAnsi="Rockwell"/>
                <w:color w:val="000000"/>
                <w:szCs w:val="26"/>
              </w:rPr>
            </w:pPr>
            <w:r>
              <w:rPr>
                <w:rFonts w:ascii="Rockwell" w:hAnsi="Rockwell"/>
                <w:color w:val="000000"/>
                <w:szCs w:val="26"/>
              </w:rPr>
              <w:t>6</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3386987A" w14:textId="77777777" w:rsidR="00284822" w:rsidRDefault="00F77BF8">
            <w:pPr>
              <w:spacing w:before="120" w:after="120"/>
              <w:rPr>
                <w:rFonts w:ascii="Rockwell" w:hAnsi="Rockwell"/>
                <w:color w:val="000000"/>
                <w:szCs w:val="26"/>
              </w:rPr>
            </w:pPr>
            <w:r>
              <w:rPr>
                <w:rFonts w:ascii="Rockwell" w:hAnsi="Rockwell"/>
                <w:color w:val="000000"/>
                <w:szCs w:val="26"/>
              </w:rPr>
              <w:t>Radio Balafon</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4D944614" w14:textId="77777777" w:rsidR="00284822" w:rsidRDefault="00F77BF8">
            <w:pPr>
              <w:spacing w:before="120" w:after="120"/>
              <w:rPr>
                <w:rFonts w:ascii="Rockwell" w:hAnsi="Rockwell"/>
                <w:color w:val="000000"/>
                <w:szCs w:val="26"/>
              </w:rPr>
            </w:pPr>
            <w:r>
              <w:rPr>
                <w:rFonts w:ascii="Rockwell" w:hAnsi="Rockwell"/>
                <w:color w:val="000000"/>
                <w:szCs w:val="26"/>
              </w:rPr>
              <w:t xml:space="preserve">Bobo-Dioulasso/Houet </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4C514B3A" w14:textId="77777777" w:rsidR="00284822" w:rsidRDefault="00F77BF8">
            <w:pPr>
              <w:spacing w:before="120" w:after="120"/>
              <w:rPr>
                <w:rFonts w:ascii="Rockwell" w:hAnsi="Rockwell"/>
                <w:color w:val="000000"/>
                <w:szCs w:val="26"/>
              </w:rPr>
            </w:pPr>
            <w:r>
              <w:rPr>
                <w:rFonts w:ascii="Rockwell" w:hAnsi="Rockwell"/>
                <w:color w:val="000000"/>
                <w:szCs w:val="26"/>
              </w:rPr>
              <w:t>102.700 MHz</w:t>
            </w:r>
          </w:p>
        </w:tc>
      </w:tr>
      <w:tr w:rsidR="00284822" w14:paraId="10053261"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86A1010" w14:textId="77777777" w:rsidR="00284822" w:rsidRDefault="00F77BF8">
            <w:pPr>
              <w:spacing w:before="120" w:after="120"/>
              <w:rPr>
                <w:rFonts w:ascii="Rockwell" w:hAnsi="Rockwell"/>
                <w:color w:val="000000"/>
                <w:szCs w:val="26"/>
              </w:rPr>
            </w:pPr>
            <w:r>
              <w:rPr>
                <w:rFonts w:ascii="Rockwell" w:hAnsi="Rockwell"/>
                <w:color w:val="000000"/>
                <w:szCs w:val="26"/>
              </w:rPr>
              <w:t>7</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67F6F247"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Wiskamba</w:t>
            </w:r>
            <w:proofErr w:type="spellEnd"/>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07B97E0A" w14:textId="77777777" w:rsidR="00284822" w:rsidRDefault="00F77BF8">
            <w:pPr>
              <w:spacing w:before="120" w:after="120"/>
              <w:rPr>
                <w:rFonts w:ascii="Rockwell" w:hAnsi="Rockwell"/>
                <w:color w:val="000000"/>
                <w:szCs w:val="26"/>
              </w:rPr>
            </w:pPr>
            <w:r>
              <w:rPr>
                <w:rFonts w:ascii="Rockwell" w:hAnsi="Rockwell"/>
                <w:color w:val="000000"/>
                <w:szCs w:val="26"/>
              </w:rPr>
              <w:t>Koudougou/Boulkiemdé</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7224FCDA" w14:textId="77777777" w:rsidR="00284822" w:rsidRDefault="00F77BF8">
            <w:pPr>
              <w:spacing w:before="120" w:after="120"/>
              <w:rPr>
                <w:rFonts w:ascii="Rockwell" w:hAnsi="Rockwell"/>
                <w:color w:val="000000"/>
                <w:szCs w:val="26"/>
              </w:rPr>
            </w:pPr>
            <w:r>
              <w:rPr>
                <w:rFonts w:ascii="Rockwell" w:hAnsi="Rockwell"/>
                <w:color w:val="000000"/>
                <w:szCs w:val="26"/>
              </w:rPr>
              <w:t>98.700 MHz</w:t>
            </w:r>
          </w:p>
        </w:tc>
      </w:tr>
      <w:tr w:rsidR="00284822" w14:paraId="216FA3B4"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26A7E64" w14:textId="77777777" w:rsidR="00284822" w:rsidRDefault="00F77BF8">
            <w:pPr>
              <w:spacing w:before="120" w:after="120"/>
              <w:rPr>
                <w:rFonts w:ascii="Rockwell" w:hAnsi="Rockwell"/>
                <w:color w:val="000000"/>
                <w:szCs w:val="26"/>
              </w:rPr>
            </w:pPr>
            <w:r>
              <w:rPr>
                <w:rFonts w:ascii="Rockwell" w:hAnsi="Rockwell"/>
                <w:color w:val="000000"/>
                <w:szCs w:val="26"/>
              </w:rPr>
              <w:t>8</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3A7FA349" w14:textId="77777777" w:rsidR="00284822" w:rsidRDefault="00F77BF8">
            <w:pPr>
              <w:spacing w:before="120" w:after="120"/>
              <w:rPr>
                <w:rFonts w:ascii="Rockwell" w:hAnsi="Rockwell"/>
                <w:color w:val="000000"/>
                <w:szCs w:val="26"/>
              </w:rPr>
            </w:pPr>
            <w:r>
              <w:rPr>
                <w:rFonts w:ascii="Rockwell" w:hAnsi="Rockwell"/>
                <w:color w:val="000000"/>
                <w:szCs w:val="26"/>
              </w:rPr>
              <w:t>Radio Horizon FM Fréquence Magique</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4DA80302"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41883540" w14:textId="77777777" w:rsidR="00284822" w:rsidRDefault="00F77BF8">
            <w:pPr>
              <w:spacing w:before="120" w:after="120"/>
              <w:rPr>
                <w:rFonts w:ascii="Rockwell" w:hAnsi="Rockwell"/>
                <w:color w:val="000000"/>
                <w:szCs w:val="26"/>
              </w:rPr>
            </w:pPr>
            <w:r>
              <w:rPr>
                <w:rFonts w:ascii="Rockwell" w:hAnsi="Rockwell"/>
                <w:color w:val="000000"/>
                <w:szCs w:val="26"/>
              </w:rPr>
              <w:t>104.400 MHz</w:t>
            </w:r>
          </w:p>
        </w:tc>
      </w:tr>
      <w:tr w:rsidR="00284822" w14:paraId="6E7C8A42"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2E806DB" w14:textId="77777777" w:rsidR="00284822" w:rsidRDefault="00F77BF8">
            <w:pPr>
              <w:spacing w:before="120" w:after="120"/>
              <w:rPr>
                <w:rFonts w:ascii="Rockwell" w:hAnsi="Rockwell"/>
                <w:color w:val="000000"/>
                <w:szCs w:val="26"/>
              </w:rPr>
            </w:pPr>
            <w:r>
              <w:rPr>
                <w:rFonts w:ascii="Rockwell" w:hAnsi="Rockwell"/>
                <w:color w:val="000000"/>
                <w:szCs w:val="26"/>
              </w:rPr>
              <w:t>9</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2A5BF0ED" w14:textId="77777777" w:rsidR="00284822" w:rsidRDefault="00F77BF8">
            <w:pPr>
              <w:spacing w:before="120" w:after="120"/>
              <w:rPr>
                <w:rFonts w:ascii="Rockwell" w:hAnsi="Rockwell"/>
                <w:color w:val="000000"/>
                <w:szCs w:val="26"/>
              </w:rPr>
            </w:pPr>
            <w:r>
              <w:rPr>
                <w:rFonts w:ascii="Rockwell" w:hAnsi="Rockwell"/>
                <w:color w:val="000000"/>
                <w:szCs w:val="26"/>
              </w:rPr>
              <w:t>Radio Cascade</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2436871F" w14:textId="77777777" w:rsidR="00284822" w:rsidRDefault="00F77BF8">
            <w:pPr>
              <w:spacing w:before="120" w:after="120"/>
              <w:rPr>
                <w:rFonts w:ascii="Rockwell" w:hAnsi="Rockwell"/>
                <w:color w:val="000000"/>
                <w:szCs w:val="26"/>
              </w:rPr>
            </w:pPr>
            <w:r>
              <w:rPr>
                <w:rFonts w:ascii="Rockwell" w:hAnsi="Rockwell"/>
                <w:color w:val="000000"/>
                <w:szCs w:val="26"/>
              </w:rPr>
              <w:t>Banfora/Comoé</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5AEA6DA0" w14:textId="77777777" w:rsidR="00284822" w:rsidRDefault="00F77BF8">
            <w:pPr>
              <w:spacing w:before="120" w:after="120"/>
              <w:rPr>
                <w:rFonts w:ascii="Rockwell" w:hAnsi="Rockwell"/>
                <w:color w:val="000000"/>
                <w:szCs w:val="26"/>
              </w:rPr>
            </w:pPr>
            <w:r>
              <w:rPr>
                <w:rFonts w:ascii="Rockwell" w:hAnsi="Rockwell"/>
                <w:color w:val="000000"/>
                <w:szCs w:val="26"/>
              </w:rPr>
              <w:t>98.00 MHz</w:t>
            </w:r>
          </w:p>
        </w:tc>
      </w:tr>
      <w:tr w:rsidR="00284822" w14:paraId="64F0BA4B"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AD0FED6" w14:textId="77777777" w:rsidR="00284822" w:rsidRDefault="00F77BF8">
            <w:pPr>
              <w:spacing w:before="120" w:after="120"/>
              <w:rPr>
                <w:rFonts w:ascii="Rockwell" w:hAnsi="Rockwell"/>
                <w:color w:val="000000"/>
                <w:szCs w:val="26"/>
              </w:rPr>
            </w:pPr>
            <w:r>
              <w:rPr>
                <w:rFonts w:ascii="Rockwell" w:hAnsi="Rockwell"/>
                <w:color w:val="000000"/>
                <w:szCs w:val="26"/>
              </w:rPr>
              <w:lastRenderedPageBreak/>
              <w:t>10</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7ECD3121" w14:textId="77777777" w:rsidR="00284822" w:rsidRDefault="00F77BF8">
            <w:pPr>
              <w:spacing w:before="120" w:after="120"/>
              <w:rPr>
                <w:rFonts w:ascii="Rockwell" w:hAnsi="Rockwell"/>
                <w:color w:val="000000"/>
                <w:szCs w:val="26"/>
              </w:rPr>
            </w:pPr>
            <w:r>
              <w:rPr>
                <w:rFonts w:ascii="Rockwell" w:hAnsi="Rockwell"/>
                <w:color w:val="000000"/>
                <w:szCs w:val="26"/>
              </w:rPr>
              <w:t>Radio Or FM</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20E2B394" w14:textId="77777777" w:rsidR="00284822" w:rsidRDefault="00F77BF8">
            <w:pPr>
              <w:spacing w:before="120" w:after="120"/>
              <w:rPr>
                <w:rFonts w:ascii="Rockwell" w:hAnsi="Rockwell"/>
                <w:color w:val="000000"/>
                <w:szCs w:val="26"/>
              </w:rPr>
            </w:pPr>
            <w:r>
              <w:rPr>
                <w:rFonts w:ascii="Rockwell" w:hAnsi="Rockwell"/>
                <w:color w:val="000000"/>
                <w:szCs w:val="26"/>
              </w:rPr>
              <w:t>Kaya/Sanmatenga</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34100085" w14:textId="77777777" w:rsidR="00284822" w:rsidRDefault="00F77BF8">
            <w:pPr>
              <w:spacing w:before="120" w:after="120"/>
              <w:rPr>
                <w:rFonts w:ascii="Rockwell" w:hAnsi="Rockwell"/>
                <w:color w:val="000000"/>
                <w:szCs w:val="26"/>
              </w:rPr>
            </w:pPr>
            <w:r>
              <w:rPr>
                <w:rFonts w:ascii="Rockwell" w:hAnsi="Rockwell"/>
                <w:color w:val="000000"/>
                <w:szCs w:val="26"/>
              </w:rPr>
              <w:t>96.100 MHz</w:t>
            </w:r>
          </w:p>
        </w:tc>
      </w:tr>
      <w:tr w:rsidR="00284822" w14:paraId="07FEC0A5"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227B022" w14:textId="77777777" w:rsidR="00284822" w:rsidRDefault="00F77BF8">
            <w:pPr>
              <w:spacing w:before="120" w:after="120"/>
              <w:rPr>
                <w:rFonts w:ascii="Rockwell" w:hAnsi="Rockwell"/>
                <w:color w:val="000000"/>
                <w:szCs w:val="26"/>
              </w:rPr>
            </w:pPr>
            <w:r>
              <w:rPr>
                <w:rFonts w:ascii="Rockwell" w:hAnsi="Rockwell"/>
                <w:color w:val="000000"/>
                <w:szCs w:val="26"/>
              </w:rPr>
              <w:t>11</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479CB682" w14:textId="77777777" w:rsidR="00284822" w:rsidRDefault="00F77BF8">
            <w:pPr>
              <w:spacing w:before="120" w:after="120"/>
              <w:rPr>
                <w:rFonts w:ascii="Rockwell" w:hAnsi="Rockwell"/>
                <w:color w:val="000000"/>
                <w:szCs w:val="26"/>
              </w:rPr>
            </w:pPr>
            <w:r>
              <w:rPr>
                <w:rFonts w:ascii="Rockwell" w:hAnsi="Rockwell"/>
                <w:color w:val="000000"/>
                <w:szCs w:val="26"/>
              </w:rPr>
              <w:t>Radio Frontière FM</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62126EDF" w14:textId="77777777" w:rsidR="00284822" w:rsidRDefault="00F77BF8">
            <w:pPr>
              <w:spacing w:before="120" w:after="120"/>
              <w:rPr>
                <w:rFonts w:ascii="Rockwell" w:hAnsi="Rockwell"/>
                <w:color w:val="000000"/>
                <w:szCs w:val="26"/>
              </w:rPr>
            </w:pPr>
            <w:r>
              <w:rPr>
                <w:rFonts w:ascii="Rockwell" w:hAnsi="Rockwell"/>
                <w:color w:val="000000"/>
                <w:szCs w:val="26"/>
              </w:rPr>
              <w:t>Tenkodogo/Boulgou</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78344317" w14:textId="77777777" w:rsidR="00284822" w:rsidRDefault="00F77BF8">
            <w:pPr>
              <w:spacing w:before="120" w:after="120"/>
              <w:rPr>
                <w:rFonts w:ascii="Rockwell" w:hAnsi="Rockwell"/>
                <w:color w:val="000000"/>
                <w:szCs w:val="26"/>
              </w:rPr>
            </w:pPr>
            <w:r>
              <w:rPr>
                <w:rFonts w:ascii="Rockwell" w:hAnsi="Rockwell"/>
                <w:color w:val="000000"/>
                <w:szCs w:val="26"/>
              </w:rPr>
              <w:t>97.600 MHz</w:t>
            </w:r>
          </w:p>
        </w:tc>
      </w:tr>
      <w:tr w:rsidR="00284822" w14:paraId="06EA7887"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3313403" w14:textId="77777777" w:rsidR="00284822" w:rsidRDefault="00F77BF8">
            <w:pPr>
              <w:spacing w:before="120" w:after="120"/>
              <w:rPr>
                <w:rFonts w:ascii="Rockwell" w:hAnsi="Rockwell"/>
                <w:color w:val="000000"/>
                <w:szCs w:val="26"/>
              </w:rPr>
            </w:pPr>
            <w:r>
              <w:rPr>
                <w:rFonts w:ascii="Rockwell" w:hAnsi="Rockwell"/>
                <w:color w:val="000000"/>
                <w:szCs w:val="26"/>
              </w:rPr>
              <w:t>12</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21A5282A" w14:textId="77777777" w:rsidR="00284822" w:rsidRDefault="00F77BF8">
            <w:pPr>
              <w:spacing w:before="120" w:after="120"/>
              <w:rPr>
                <w:rFonts w:ascii="Rockwell" w:hAnsi="Rockwell"/>
                <w:color w:val="000000"/>
                <w:szCs w:val="26"/>
              </w:rPr>
            </w:pPr>
            <w:r>
              <w:rPr>
                <w:rFonts w:ascii="Rockwell" w:hAnsi="Rockwell"/>
                <w:color w:val="000000"/>
                <w:szCs w:val="26"/>
              </w:rPr>
              <w:t>Radio du Grand Nord</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58029B43" w14:textId="77777777" w:rsidR="00284822" w:rsidRDefault="00F77BF8">
            <w:pPr>
              <w:spacing w:before="120" w:after="120"/>
              <w:rPr>
                <w:rFonts w:ascii="Rockwell" w:hAnsi="Rockwell"/>
                <w:color w:val="000000"/>
                <w:szCs w:val="26"/>
              </w:rPr>
            </w:pPr>
            <w:r>
              <w:rPr>
                <w:rFonts w:ascii="Rockwell" w:hAnsi="Rockwell"/>
                <w:color w:val="000000"/>
                <w:szCs w:val="26"/>
              </w:rPr>
              <w:t>Dori/Séno</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770B4888" w14:textId="77777777" w:rsidR="00284822" w:rsidRDefault="00F77BF8">
            <w:pPr>
              <w:spacing w:before="120" w:after="120"/>
              <w:rPr>
                <w:rFonts w:ascii="Rockwell" w:hAnsi="Rockwell"/>
                <w:color w:val="000000"/>
                <w:szCs w:val="26"/>
              </w:rPr>
            </w:pPr>
            <w:r>
              <w:rPr>
                <w:rFonts w:ascii="Rockwell" w:hAnsi="Rockwell"/>
                <w:color w:val="000000"/>
                <w:szCs w:val="26"/>
              </w:rPr>
              <w:t>104.600 MHz</w:t>
            </w:r>
          </w:p>
        </w:tc>
      </w:tr>
      <w:tr w:rsidR="00284822" w14:paraId="0DB0DEDB"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C1E94E7" w14:textId="77777777" w:rsidR="00284822" w:rsidRDefault="00F77BF8">
            <w:pPr>
              <w:spacing w:before="120" w:after="120"/>
              <w:rPr>
                <w:rFonts w:ascii="Rockwell" w:hAnsi="Rockwell"/>
                <w:color w:val="000000"/>
                <w:szCs w:val="26"/>
              </w:rPr>
            </w:pPr>
            <w:r>
              <w:rPr>
                <w:rFonts w:ascii="Rockwell" w:hAnsi="Rockwell"/>
                <w:color w:val="000000"/>
                <w:szCs w:val="26"/>
              </w:rPr>
              <w:t>13</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6C435528" w14:textId="77777777" w:rsidR="00284822" w:rsidRDefault="00F77BF8">
            <w:pPr>
              <w:spacing w:before="120" w:after="120"/>
              <w:rPr>
                <w:rFonts w:ascii="Rockwell" w:hAnsi="Rockwell"/>
                <w:color w:val="000000"/>
                <w:szCs w:val="26"/>
              </w:rPr>
            </w:pPr>
            <w:r>
              <w:rPr>
                <w:rFonts w:ascii="Rockwell" w:hAnsi="Rockwell"/>
                <w:color w:val="000000"/>
                <w:szCs w:val="26"/>
              </w:rPr>
              <w:t>Radio FM Boulgou</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6E26C774" w14:textId="77777777" w:rsidR="00284822" w:rsidRDefault="00F77BF8">
            <w:pPr>
              <w:spacing w:before="120" w:after="120"/>
              <w:rPr>
                <w:rFonts w:ascii="Rockwell" w:hAnsi="Rockwell"/>
                <w:color w:val="000000"/>
                <w:szCs w:val="26"/>
              </w:rPr>
            </w:pPr>
            <w:r>
              <w:rPr>
                <w:rFonts w:ascii="Rockwell" w:hAnsi="Rockwell"/>
                <w:color w:val="000000"/>
                <w:szCs w:val="26"/>
              </w:rPr>
              <w:t>Garango/Boulgou</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60BEAAF2" w14:textId="77777777" w:rsidR="00284822" w:rsidRDefault="00F77BF8">
            <w:pPr>
              <w:spacing w:before="120" w:after="120"/>
              <w:rPr>
                <w:rFonts w:ascii="Rockwell" w:hAnsi="Rockwell"/>
                <w:color w:val="000000"/>
                <w:szCs w:val="26"/>
              </w:rPr>
            </w:pPr>
            <w:r>
              <w:rPr>
                <w:rFonts w:ascii="Rockwell" w:hAnsi="Rockwell"/>
                <w:color w:val="000000"/>
                <w:szCs w:val="26"/>
              </w:rPr>
              <w:t>101.100 MHz</w:t>
            </w:r>
          </w:p>
        </w:tc>
      </w:tr>
      <w:tr w:rsidR="00284822" w14:paraId="1FCFB3CE"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5624256" w14:textId="77777777" w:rsidR="00284822" w:rsidRDefault="00F77BF8">
            <w:pPr>
              <w:spacing w:before="120" w:after="120"/>
              <w:rPr>
                <w:rFonts w:ascii="Rockwell" w:hAnsi="Rockwell"/>
                <w:color w:val="000000"/>
                <w:szCs w:val="26"/>
              </w:rPr>
            </w:pPr>
            <w:r>
              <w:rPr>
                <w:rFonts w:ascii="Rockwell" w:hAnsi="Rockwell"/>
                <w:szCs w:val="26"/>
              </w:rPr>
              <w:t>14</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3597C1B9" w14:textId="77777777" w:rsidR="00284822" w:rsidRDefault="00F77BF8">
            <w:pPr>
              <w:spacing w:before="120" w:after="120"/>
              <w:rPr>
                <w:rFonts w:ascii="Rockwell" w:hAnsi="Rockwell"/>
                <w:color w:val="000000"/>
                <w:szCs w:val="26"/>
              </w:rPr>
            </w:pPr>
            <w:r>
              <w:rPr>
                <w:rFonts w:ascii="Rockwell" w:hAnsi="Rockwell"/>
                <w:szCs w:val="26"/>
              </w:rPr>
              <w:t xml:space="preserve"> Radio FM Dédougou</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19EF9FF0" w14:textId="77777777" w:rsidR="00284822" w:rsidRDefault="00F77BF8">
            <w:pPr>
              <w:spacing w:before="120" w:after="120"/>
              <w:rPr>
                <w:rFonts w:ascii="Rockwell" w:hAnsi="Rockwell"/>
                <w:color w:val="000000"/>
                <w:szCs w:val="26"/>
              </w:rPr>
            </w:pPr>
            <w:r>
              <w:rPr>
                <w:rFonts w:ascii="Rockwell" w:hAnsi="Rockwell"/>
                <w:szCs w:val="26"/>
              </w:rPr>
              <w:t>Dédougou/Mouhoun</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18D789D7" w14:textId="77777777" w:rsidR="00284822" w:rsidRDefault="00F77BF8">
            <w:pPr>
              <w:spacing w:before="120" w:after="120"/>
              <w:rPr>
                <w:rFonts w:ascii="Rockwell" w:hAnsi="Rockwell"/>
                <w:color w:val="000000"/>
                <w:szCs w:val="26"/>
              </w:rPr>
            </w:pPr>
            <w:r>
              <w:rPr>
                <w:rFonts w:ascii="Rockwell" w:hAnsi="Rockwell"/>
                <w:szCs w:val="26"/>
              </w:rPr>
              <w:t>102.700 MHz</w:t>
            </w:r>
          </w:p>
        </w:tc>
      </w:tr>
      <w:tr w:rsidR="00284822" w14:paraId="59C317EC"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E31B03C" w14:textId="77777777" w:rsidR="00284822" w:rsidRDefault="00F77BF8">
            <w:pPr>
              <w:spacing w:before="120" w:after="120"/>
              <w:rPr>
                <w:rFonts w:ascii="Rockwell" w:hAnsi="Rockwell"/>
                <w:color w:val="000000"/>
                <w:szCs w:val="26"/>
              </w:rPr>
            </w:pPr>
            <w:r>
              <w:rPr>
                <w:rFonts w:ascii="Rockwell" w:hAnsi="Rockwell"/>
                <w:color w:val="000000"/>
                <w:szCs w:val="26"/>
              </w:rPr>
              <w:t>15</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5342FC29"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Nabonswendé</w:t>
            </w:r>
            <w:proofErr w:type="spellEnd"/>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4BD08F3B" w14:textId="77777777" w:rsidR="00284822" w:rsidRDefault="00F77BF8">
            <w:pPr>
              <w:spacing w:before="120" w:after="120"/>
              <w:rPr>
                <w:rFonts w:ascii="Rockwell" w:hAnsi="Rockwell"/>
                <w:color w:val="000000"/>
                <w:szCs w:val="26"/>
              </w:rPr>
            </w:pPr>
            <w:r>
              <w:rPr>
                <w:rFonts w:ascii="Rockwell" w:hAnsi="Rockwell"/>
                <w:color w:val="000000"/>
                <w:szCs w:val="26"/>
              </w:rPr>
              <w:t>Pouytenga/Kouritenga</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1B139836" w14:textId="77777777" w:rsidR="00284822" w:rsidRDefault="00F77BF8">
            <w:pPr>
              <w:spacing w:before="120" w:after="120"/>
              <w:rPr>
                <w:rFonts w:ascii="Rockwell" w:hAnsi="Rockwell"/>
                <w:color w:val="000000"/>
                <w:szCs w:val="26"/>
              </w:rPr>
            </w:pPr>
            <w:r>
              <w:rPr>
                <w:rFonts w:ascii="Rockwell" w:hAnsi="Rockwell"/>
                <w:color w:val="000000"/>
                <w:szCs w:val="26"/>
              </w:rPr>
              <w:t>103.700 MHz</w:t>
            </w:r>
          </w:p>
        </w:tc>
      </w:tr>
      <w:tr w:rsidR="00284822" w14:paraId="7E881A36"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C799D71" w14:textId="77777777" w:rsidR="00284822" w:rsidRDefault="00F77BF8">
            <w:pPr>
              <w:spacing w:before="120" w:after="120"/>
              <w:rPr>
                <w:rFonts w:ascii="Rockwell" w:hAnsi="Rockwell"/>
                <w:color w:val="000000"/>
                <w:szCs w:val="26"/>
              </w:rPr>
            </w:pPr>
            <w:r>
              <w:rPr>
                <w:rFonts w:ascii="Rockwell" w:hAnsi="Rockwell"/>
                <w:color w:val="000000"/>
                <w:szCs w:val="26"/>
              </w:rPr>
              <w:t>16</w:t>
            </w:r>
          </w:p>
        </w:tc>
        <w:tc>
          <w:tcPr>
            <w:tcW w:w="5534" w:type="dxa"/>
            <w:tcBorders>
              <w:top w:val="single" w:sz="4" w:space="0" w:color="auto"/>
              <w:left w:val="nil"/>
              <w:bottom w:val="single" w:sz="4" w:space="0" w:color="auto"/>
              <w:right w:val="single" w:sz="4" w:space="0" w:color="auto"/>
            </w:tcBorders>
            <w:shd w:val="clear" w:color="auto" w:fill="FFFFFF" w:themeFill="background1"/>
            <w:noWrap/>
          </w:tcPr>
          <w:p w14:paraId="5099B052" w14:textId="77777777" w:rsidR="00284822" w:rsidRDefault="00F77BF8">
            <w:pPr>
              <w:spacing w:before="120" w:after="120"/>
              <w:rPr>
                <w:rFonts w:ascii="Rockwell" w:hAnsi="Rockwell"/>
                <w:color w:val="000000"/>
                <w:szCs w:val="26"/>
              </w:rPr>
            </w:pPr>
            <w:r>
              <w:rPr>
                <w:rFonts w:ascii="Rockwell" w:hAnsi="Rockwell"/>
                <w:color w:val="000000"/>
                <w:szCs w:val="26"/>
              </w:rPr>
              <w:t>Radio Liberté de Parler et de Communiquer (LPC)</w:t>
            </w:r>
          </w:p>
        </w:tc>
        <w:tc>
          <w:tcPr>
            <w:tcW w:w="3821" w:type="dxa"/>
            <w:tcBorders>
              <w:top w:val="single" w:sz="4" w:space="0" w:color="auto"/>
              <w:left w:val="nil"/>
              <w:bottom w:val="single" w:sz="4" w:space="0" w:color="auto"/>
              <w:right w:val="single" w:sz="4" w:space="0" w:color="auto"/>
            </w:tcBorders>
            <w:shd w:val="clear" w:color="auto" w:fill="FFFFFF" w:themeFill="background1"/>
            <w:noWrap/>
          </w:tcPr>
          <w:p w14:paraId="330E2370" w14:textId="77777777" w:rsidR="00284822" w:rsidRDefault="00F77BF8">
            <w:pPr>
              <w:spacing w:before="120" w:after="120"/>
              <w:rPr>
                <w:rFonts w:ascii="Rockwell" w:hAnsi="Rockwell"/>
                <w:color w:val="000000"/>
                <w:szCs w:val="26"/>
              </w:rPr>
            </w:pPr>
            <w:r>
              <w:rPr>
                <w:rFonts w:ascii="Rockwell" w:hAnsi="Rockwell"/>
                <w:color w:val="000000"/>
                <w:szCs w:val="26"/>
              </w:rPr>
              <w:t>Bobo-Dioulasso/Houet</w:t>
            </w:r>
          </w:p>
        </w:tc>
        <w:tc>
          <w:tcPr>
            <w:tcW w:w="2699" w:type="dxa"/>
            <w:tcBorders>
              <w:top w:val="single" w:sz="4" w:space="0" w:color="auto"/>
              <w:left w:val="nil"/>
              <w:bottom w:val="single" w:sz="4" w:space="0" w:color="auto"/>
              <w:right w:val="single" w:sz="4" w:space="0" w:color="auto"/>
            </w:tcBorders>
            <w:shd w:val="clear" w:color="auto" w:fill="FFFFFF" w:themeFill="background1"/>
            <w:noWrap/>
          </w:tcPr>
          <w:p w14:paraId="40725DDF" w14:textId="77777777" w:rsidR="00284822" w:rsidRDefault="00F77BF8">
            <w:pPr>
              <w:spacing w:before="120" w:after="120"/>
              <w:rPr>
                <w:rFonts w:ascii="Rockwell" w:hAnsi="Rockwell"/>
                <w:color w:val="000000"/>
                <w:szCs w:val="26"/>
              </w:rPr>
            </w:pPr>
            <w:r>
              <w:rPr>
                <w:rFonts w:ascii="Rockwell" w:hAnsi="Rockwell"/>
                <w:color w:val="000000"/>
                <w:szCs w:val="26"/>
              </w:rPr>
              <w:t>105.500 MHz</w:t>
            </w:r>
          </w:p>
        </w:tc>
      </w:tr>
      <w:tr w:rsidR="00284822" w14:paraId="5CDE4F97"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6628087" w14:textId="77777777" w:rsidR="00284822" w:rsidRDefault="00F77BF8">
            <w:pPr>
              <w:spacing w:before="120" w:after="120"/>
              <w:rPr>
                <w:rFonts w:ascii="Rockwell" w:hAnsi="Rockwell"/>
                <w:color w:val="000000"/>
                <w:szCs w:val="26"/>
              </w:rPr>
            </w:pPr>
            <w:r>
              <w:rPr>
                <w:rFonts w:ascii="Rockwell" w:hAnsi="Rockwell"/>
                <w:color w:val="000000"/>
                <w:szCs w:val="26"/>
              </w:rPr>
              <w:t>17</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4BE99F12"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Lotamu</w:t>
            </w:r>
            <w:proofErr w:type="spellEnd"/>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5C88622F" w14:textId="77777777" w:rsidR="00284822" w:rsidRDefault="00F77BF8">
            <w:pPr>
              <w:spacing w:before="120" w:after="120"/>
              <w:rPr>
                <w:rFonts w:ascii="Rockwell" w:hAnsi="Rockwell"/>
                <w:color w:val="000000"/>
                <w:szCs w:val="26"/>
              </w:rPr>
            </w:pPr>
            <w:r>
              <w:rPr>
                <w:rFonts w:ascii="Rockwell" w:hAnsi="Rockwell"/>
                <w:color w:val="000000"/>
                <w:szCs w:val="26"/>
              </w:rPr>
              <w:t>Solenzo/Banwa</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772B8D72" w14:textId="77777777" w:rsidR="00284822" w:rsidRDefault="00F77BF8">
            <w:pPr>
              <w:spacing w:before="120" w:after="120"/>
              <w:rPr>
                <w:rFonts w:ascii="Rockwell" w:hAnsi="Rockwell"/>
                <w:color w:val="000000"/>
                <w:szCs w:val="26"/>
              </w:rPr>
            </w:pPr>
            <w:r>
              <w:rPr>
                <w:rFonts w:ascii="Rockwell" w:hAnsi="Rockwell"/>
                <w:color w:val="000000"/>
                <w:szCs w:val="26"/>
              </w:rPr>
              <w:t>101.900 MHz</w:t>
            </w:r>
          </w:p>
        </w:tc>
      </w:tr>
      <w:tr w:rsidR="00284822" w14:paraId="537C2B10"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7A03363" w14:textId="77777777" w:rsidR="00284822" w:rsidRDefault="00F77BF8">
            <w:pPr>
              <w:spacing w:before="120" w:after="120"/>
              <w:rPr>
                <w:rFonts w:ascii="Rockwell" w:hAnsi="Rockwell"/>
                <w:color w:val="000000"/>
                <w:szCs w:val="26"/>
              </w:rPr>
            </w:pPr>
            <w:r>
              <w:rPr>
                <w:rFonts w:ascii="Rockwell" w:hAnsi="Rockwell"/>
                <w:color w:val="000000"/>
                <w:szCs w:val="26"/>
              </w:rPr>
              <w:t>18</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37E04D82"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Légende </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330A4753"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2C5EFF7D" w14:textId="77777777" w:rsidR="00284822" w:rsidRDefault="00F77BF8">
            <w:pPr>
              <w:spacing w:before="120" w:after="120"/>
              <w:rPr>
                <w:rFonts w:ascii="Rockwell" w:hAnsi="Rockwell"/>
                <w:color w:val="000000"/>
                <w:szCs w:val="26"/>
              </w:rPr>
            </w:pPr>
            <w:r>
              <w:rPr>
                <w:rFonts w:ascii="Rockwell" w:hAnsi="Rockwell"/>
                <w:color w:val="000000"/>
                <w:szCs w:val="26"/>
              </w:rPr>
              <w:t>94.400 MHz</w:t>
            </w:r>
          </w:p>
        </w:tc>
      </w:tr>
      <w:tr w:rsidR="00284822" w14:paraId="15DD08B9"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D8CD7AF" w14:textId="77777777" w:rsidR="00284822" w:rsidRDefault="00F77BF8">
            <w:pPr>
              <w:spacing w:before="120" w:after="120"/>
              <w:rPr>
                <w:rFonts w:ascii="Rockwell" w:hAnsi="Rockwell"/>
                <w:color w:val="000000"/>
                <w:szCs w:val="26"/>
              </w:rPr>
            </w:pPr>
            <w:r>
              <w:rPr>
                <w:rFonts w:ascii="Rockwell" w:hAnsi="Rockwell"/>
                <w:color w:val="000000"/>
                <w:szCs w:val="26"/>
              </w:rPr>
              <w:t>19</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7F3B2A5D" w14:textId="77777777" w:rsidR="00284822" w:rsidRDefault="00F77BF8">
            <w:pPr>
              <w:spacing w:before="120" w:after="120"/>
              <w:rPr>
                <w:rFonts w:ascii="Rockwell" w:hAnsi="Rockwell"/>
                <w:color w:val="000000"/>
                <w:szCs w:val="26"/>
              </w:rPr>
            </w:pPr>
            <w:r>
              <w:rPr>
                <w:rFonts w:ascii="Rockwell" w:hAnsi="Rockwell"/>
                <w:color w:val="000000"/>
                <w:szCs w:val="26"/>
              </w:rPr>
              <w:t>Radio Soleil FM</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1BD5312A"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5CCBEA01" w14:textId="77777777" w:rsidR="00284822" w:rsidRDefault="00F77BF8">
            <w:pPr>
              <w:spacing w:before="120" w:after="120"/>
              <w:rPr>
                <w:rFonts w:ascii="Rockwell" w:hAnsi="Rockwell"/>
                <w:color w:val="000000"/>
                <w:szCs w:val="26"/>
              </w:rPr>
            </w:pPr>
            <w:r>
              <w:rPr>
                <w:rFonts w:ascii="Rockwell" w:hAnsi="Rockwell"/>
                <w:color w:val="000000"/>
                <w:szCs w:val="26"/>
              </w:rPr>
              <w:t>104.800 MHz</w:t>
            </w:r>
          </w:p>
        </w:tc>
      </w:tr>
      <w:tr w:rsidR="00284822" w14:paraId="36ADEC02"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BA46B4F" w14:textId="77777777" w:rsidR="00284822" w:rsidRDefault="00F77BF8">
            <w:pPr>
              <w:spacing w:before="120" w:after="120"/>
              <w:rPr>
                <w:rFonts w:ascii="Rockwell" w:hAnsi="Rockwell"/>
                <w:color w:val="000000"/>
                <w:szCs w:val="26"/>
              </w:rPr>
            </w:pPr>
            <w:r>
              <w:rPr>
                <w:rFonts w:ascii="Rockwell" w:hAnsi="Rockwell"/>
                <w:color w:val="000000"/>
                <w:szCs w:val="26"/>
              </w:rPr>
              <w:t>20</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4DB5A830"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La Voix des </w:t>
            </w:r>
            <w:proofErr w:type="spellStart"/>
            <w:r>
              <w:rPr>
                <w:rFonts w:ascii="Rockwell" w:hAnsi="Rockwell"/>
                <w:color w:val="000000"/>
                <w:szCs w:val="26"/>
              </w:rPr>
              <w:t>Balés</w:t>
            </w:r>
            <w:proofErr w:type="spellEnd"/>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4D022842" w14:textId="77777777" w:rsidR="00284822" w:rsidRDefault="00F77BF8">
            <w:pPr>
              <w:spacing w:before="120" w:after="120"/>
              <w:rPr>
                <w:rFonts w:ascii="Rockwell" w:hAnsi="Rockwell"/>
                <w:color w:val="000000"/>
                <w:szCs w:val="26"/>
              </w:rPr>
            </w:pPr>
            <w:r>
              <w:rPr>
                <w:rFonts w:ascii="Rockwell" w:hAnsi="Rockwell"/>
                <w:color w:val="000000"/>
                <w:szCs w:val="26"/>
              </w:rPr>
              <w:t>Boromo/</w:t>
            </w:r>
            <w:proofErr w:type="spellStart"/>
            <w:r>
              <w:rPr>
                <w:rFonts w:ascii="Rockwell" w:hAnsi="Rockwell"/>
                <w:color w:val="000000"/>
                <w:szCs w:val="26"/>
              </w:rPr>
              <w:t>Balé</w:t>
            </w:r>
            <w:proofErr w:type="spellEnd"/>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66CF3840" w14:textId="77777777" w:rsidR="00284822" w:rsidRDefault="00F77BF8">
            <w:pPr>
              <w:spacing w:before="120" w:after="120"/>
              <w:rPr>
                <w:rFonts w:ascii="Rockwell" w:hAnsi="Rockwell"/>
                <w:color w:val="000000"/>
                <w:szCs w:val="26"/>
              </w:rPr>
            </w:pPr>
            <w:r>
              <w:rPr>
                <w:rFonts w:ascii="Rockwell" w:hAnsi="Rockwell"/>
                <w:color w:val="000000"/>
                <w:szCs w:val="26"/>
              </w:rPr>
              <w:t>103.600 MHz</w:t>
            </w:r>
          </w:p>
        </w:tc>
      </w:tr>
      <w:tr w:rsidR="00284822" w14:paraId="6AB3CDC6"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943CCC3" w14:textId="77777777" w:rsidR="00284822" w:rsidRDefault="00F77BF8">
            <w:pPr>
              <w:spacing w:before="120" w:after="120"/>
              <w:rPr>
                <w:rFonts w:ascii="Rockwell" w:hAnsi="Rockwell"/>
                <w:color w:val="000000"/>
                <w:szCs w:val="26"/>
              </w:rPr>
            </w:pPr>
            <w:r>
              <w:rPr>
                <w:rFonts w:ascii="Rockwell" w:hAnsi="Rockwell"/>
                <w:color w:val="000000"/>
                <w:szCs w:val="26"/>
              </w:rPr>
              <w:lastRenderedPageBreak/>
              <w:t>21</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49132BFB" w14:textId="77777777" w:rsidR="00284822" w:rsidRDefault="00F77BF8">
            <w:pPr>
              <w:spacing w:before="120" w:after="120"/>
              <w:rPr>
                <w:rFonts w:ascii="Rockwell" w:hAnsi="Rockwell"/>
                <w:color w:val="000000"/>
                <w:szCs w:val="26"/>
              </w:rPr>
            </w:pPr>
            <w:r>
              <w:rPr>
                <w:rFonts w:ascii="Rockwell" w:hAnsi="Rockwell"/>
                <w:color w:val="000000"/>
                <w:szCs w:val="26"/>
              </w:rPr>
              <w:t>Radio Kaya FM</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7F8B1F89" w14:textId="77777777" w:rsidR="00284822" w:rsidRDefault="00F77BF8">
            <w:pPr>
              <w:spacing w:before="120" w:after="120"/>
              <w:rPr>
                <w:rFonts w:ascii="Rockwell" w:hAnsi="Rockwell"/>
                <w:color w:val="000000"/>
                <w:szCs w:val="26"/>
              </w:rPr>
            </w:pPr>
            <w:r>
              <w:rPr>
                <w:rFonts w:ascii="Rockwell" w:hAnsi="Rockwell"/>
                <w:color w:val="000000"/>
                <w:szCs w:val="26"/>
              </w:rPr>
              <w:t>Kaya/Sanmatenga</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1745C56E" w14:textId="77777777" w:rsidR="00284822" w:rsidRDefault="00F77BF8">
            <w:pPr>
              <w:spacing w:before="120" w:after="120"/>
              <w:rPr>
                <w:rFonts w:ascii="Rockwell" w:hAnsi="Rockwell"/>
                <w:color w:val="000000"/>
                <w:szCs w:val="26"/>
              </w:rPr>
            </w:pPr>
            <w:r>
              <w:rPr>
                <w:rFonts w:ascii="Rockwell" w:hAnsi="Rockwell"/>
                <w:color w:val="000000"/>
                <w:szCs w:val="26"/>
              </w:rPr>
              <w:t>92.900 MHz</w:t>
            </w:r>
          </w:p>
        </w:tc>
      </w:tr>
      <w:tr w:rsidR="00284822" w14:paraId="3A51E20A"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EEA0358" w14:textId="77777777" w:rsidR="00284822" w:rsidRDefault="00F77BF8">
            <w:pPr>
              <w:spacing w:before="120" w:after="120"/>
              <w:rPr>
                <w:rFonts w:ascii="Rockwell" w:hAnsi="Rockwell"/>
                <w:color w:val="000000"/>
                <w:szCs w:val="26"/>
              </w:rPr>
            </w:pPr>
            <w:r>
              <w:rPr>
                <w:rFonts w:ascii="Rockwell" w:hAnsi="Rockwell"/>
                <w:color w:val="000000"/>
                <w:szCs w:val="26"/>
              </w:rPr>
              <w:t>22</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428EF559"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Tilgré</w:t>
            </w:r>
            <w:proofErr w:type="spellEnd"/>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016741E2" w14:textId="77777777" w:rsidR="00284822" w:rsidRDefault="00F77BF8">
            <w:pPr>
              <w:spacing w:before="120" w:after="120"/>
              <w:rPr>
                <w:rFonts w:ascii="Rockwell" w:hAnsi="Rockwell"/>
                <w:color w:val="000000"/>
                <w:szCs w:val="26"/>
              </w:rPr>
            </w:pPr>
            <w:r>
              <w:rPr>
                <w:rFonts w:ascii="Rockwell" w:hAnsi="Rockwell"/>
                <w:color w:val="000000"/>
                <w:szCs w:val="26"/>
              </w:rPr>
              <w:t>Koudougou/Boulkiemdé</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715739D0" w14:textId="77777777" w:rsidR="00284822" w:rsidRDefault="00F77BF8">
            <w:pPr>
              <w:spacing w:before="120" w:after="120"/>
              <w:rPr>
                <w:rFonts w:ascii="Rockwell" w:hAnsi="Rockwell"/>
                <w:color w:val="000000"/>
                <w:szCs w:val="26"/>
              </w:rPr>
            </w:pPr>
            <w:r>
              <w:rPr>
                <w:rFonts w:ascii="Rockwell" w:hAnsi="Rockwell"/>
                <w:color w:val="000000"/>
                <w:szCs w:val="26"/>
              </w:rPr>
              <w:t>102.200 MHz</w:t>
            </w:r>
          </w:p>
        </w:tc>
      </w:tr>
      <w:tr w:rsidR="00284822" w14:paraId="50FFDAA3"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2597A36" w14:textId="77777777" w:rsidR="00284822" w:rsidRDefault="00F77BF8">
            <w:pPr>
              <w:spacing w:before="120" w:after="120"/>
              <w:rPr>
                <w:rFonts w:ascii="Rockwell" w:hAnsi="Rockwell"/>
                <w:color w:val="000000"/>
                <w:szCs w:val="26"/>
              </w:rPr>
            </w:pPr>
            <w:r>
              <w:rPr>
                <w:rFonts w:ascii="Rockwell" w:hAnsi="Rockwell"/>
                <w:color w:val="000000"/>
                <w:szCs w:val="26"/>
              </w:rPr>
              <w:t>23</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6DB26EFD" w14:textId="77777777" w:rsidR="00284822" w:rsidRDefault="00F77BF8">
            <w:pPr>
              <w:spacing w:before="120" w:after="120"/>
              <w:rPr>
                <w:rFonts w:ascii="Rockwell" w:hAnsi="Rockwell"/>
                <w:color w:val="000000"/>
                <w:szCs w:val="26"/>
              </w:rPr>
            </w:pPr>
            <w:r>
              <w:rPr>
                <w:rFonts w:ascii="Rockwell" w:hAnsi="Rockwell"/>
                <w:color w:val="000000"/>
                <w:szCs w:val="26"/>
              </w:rPr>
              <w:t>Radio Savane FM</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7158C609" w14:textId="77777777" w:rsidR="00284822" w:rsidRDefault="00F77BF8">
            <w:pPr>
              <w:spacing w:before="120" w:after="120"/>
              <w:rPr>
                <w:rFonts w:ascii="Rockwell" w:hAnsi="Rockwell"/>
                <w:color w:val="000000"/>
                <w:szCs w:val="26"/>
              </w:rPr>
            </w:pPr>
            <w:r>
              <w:rPr>
                <w:rFonts w:ascii="Rockwell" w:hAnsi="Rockwell"/>
                <w:color w:val="000000"/>
                <w:szCs w:val="26"/>
              </w:rPr>
              <w:t>Bobo-Dioulasso/Houet</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75B23749" w14:textId="77777777" w:rsidR="00284822" w:rsidRDefault="00F77BF8">
            <w:pPr>
              <w:spacing w:before="120" w:after="120"/>
              <w:rPr>
                <w:rFonts w:ascii="Rockwell" w:hAnsi="Rockwell"/>
                <w:color w:val="000000"/>
                <w:szCs w:val="26"/>
              </w:rPr>
            </w:pPr>
            <w:r>
              <w:rPr>
                <w:rFonts w:ascii="Rockwell" w:hAnsi="Rockwell"/>
                <w:color w:val="000000"/>
                <w:szCs w:val="26"/>
              </w:rPr>
              <w:t>96.100 MHz</w:t>
            </w:r>
          </w:p>
        </w:tc>
      </w:tr>
      <w:tr w:rsidR="00284822" w14:paraId="0B22C446"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2738772" w14:textId="77777777" w:rsidR="00284822" w:rsidRDefault="00F77BF8">
            <w:pPr>
              <w:spacing w:before="120" w:after="120"/>
              <w:rPr>
                <w:rFonts w:ascii="Rockwell" w:hAnsi="Rockwell"/>
                <w:color w:val="000000"/>
                <w:szCs w:val="26"/>
              </w:rPr>
            </w:pPr>
            <w:r>
              <w:rPr>
                <w:rFonts w:ascii="Rockwell" w:hAnsi="Rockwell"/>
                <w:color w:val="000000"/>
                <w:szCs w:val="26"/>
              </w:rPr>
              <w:t>24</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251FC6EE"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Bassy</w:t>
            </w:r>
            <w:proofErr w:type="spellEnd"/>
            <w:r>
              <w:rPr>
                <w:rFonts w:ascii="Rockwell" w:hAnsi="Rockwell"/>
                <w:color w:val="000000"/>
                <w:szCs w:val="26"/>
              </w:rPr>
              <w:t xml:space="preserve"> FM</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4F1F59E0" w14:textId="77777777" w:rsidR="00284822" w:rsidRDefault="00F77BF8">
            <w:pPr>
              <w:spacing w:before="120" w:after="120"/>
              <w:rPr>
                <w:rFonts w:ascii="Rockwell" w:hAnsi="Rockwell"/>
                <w:color w:val="000000"/>
                <w:szCs w:val="26"/>
              </w:rPr>
            </w:pPr>
            <w:r>
              <w:rPr>
                <w:rFonts w:ascii="Rockwell" w:hAnsi="Rockwell"/>
                <w:color w:val="000000"/>
                <w:szCs w:val="26"/>
              </w:rPr>
              <w:t>Ziniaré/Oubritenga</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00C7C6D0" w14:textId="77777777" w:rsidR="00284822" w:rsidRDefault="00F77BF8">
            <w:pPr>
              <w:spacing w:before="120" w:after="120"/>
              <w:rPr>
                <w:rFonts w:ascii="Rockwell" w:hAnsi="Rockwell"/>
                <w:color w:val="000000"/>
                <w:szCs w:val="26"/>
              </w:rPr>
            </w:pPr>
            <w:r>
              <w:rPr>
                <w:rFonts w:ascii="Rockwell" w:hAnsi="Rockwell"/>
                <w:color w:val="000000"/>
                <w:szCs w:val="26"/>
              </w:rPr>
              <w:t>98.900 MHz</w:t>
            </w:r>
          </w:p>
        </w:tc>
      </w:tr>
      <w:tr w:rsidR="00284822" w14:paraId="0E556D64"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FD07970" w14:textId="77777777" w:rsidR="00284822" w:rsidRDefault="00F77BF8">
            <w:pPr>
              <w:spacing w:before="120" w:after="120"/>
              <w:rPr>
                <w:rFonts w:ascii="Rockwell" w:hAnsi="Rockwell"/>
                <w:color w:val="000000"/>
                <w:szCs w:val="26"/>
              </w:rPr>
            </w:pPr>
            <w:r>
              <w:rPr>
                <w:rFonts w:ascii="Rockwell" w:hAnsi="Rockwell"/>
                <w:color w:val="000000"/>
                <w:szCs w:val="26"/>
              </w:rPr>
              <w:t>25</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0BCF9206" w14:textId="77777777" w:rsidR="00284822" w:rsidRDefault="00F77BF8">
            <w:pPr>
              <w:spacing w:before="120" w:after="120"/>
              <w:rPr>
                <w:rFonts w:ascii="Rockwell" w:hAnsi="Rockwell"/>
                <w:color w:val="000000"/>
                <w:szCs w:val="26"/>
              </w:rPr>
            </w:pPr>
            <w:r>
              <w:rPr>
                <w:rFonts w:ascii="Rockwell" w:hAnsi="Rockwell"/>
                <w:color w:val="000000"/>
                <w:szCs w:val="26"/>
              </w:rPr>
              <w:t>Radio Savane FM Nord</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3521A12F" w14:textId="77777777" w:rsidR="00284822" w:rsidRDefault="00F77BF8">
            <w:pPr>
              <w:spacing w:before="120" w:after="120"/>
              <w:rPr>
                <w:rFonts w:ascii="Rockwell" w:hAnsi="Rockwell"/>
                <w:color w:val="000000"/>
                <w:szCs w:val="26"/>
              </w:rPr>
            </w:pPr>
            <w:r>
              <w:rPr>
                <w:rFonts w:ascii="Rockwell" w:hAnsi="Rockwell"/>
                <w:color w:val="000000"/>
                <w:szCs w:val="26"/>
              </w:rPr>
              <w:t>Gourcy/</w:t>
            </w:r>
            <w:proofErr w:type="spellStart"/>
            <w:r>
              <w:rPr>
                <w:rFonts w:ascii="Rockwell" w:hAnsi="Rockwell"/>
                <w:color w:val="000000"/>
                <w:szCs w:val="26"/>
              </w:rPr>
              <w:t>Zondoma</w:t>
            </w:r>
            <w:proofErr w:type="spellEnd"/>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663159F8" w14:textId="77777777" w:rsidR="00284822" w:rsidRDefault="00F77BF8">
            <w:pPr>
              <w:spacing w:before="120" w:after="120"/>
              <w:rPr>
                <w:rFonts w:ascii="Rockwell" w:hAnsi="Rockwell"/>
                <w:color w:val="000000"/>
                <w:szCs w:val="26"/>
              </w:rPr>
            </w:pPr>
            <w:r>
              <w:rPr>
                <w:rFonts w:ascii="Rockwell" w:hAnsi="Rockwell"/>
                <w:color w:val="000000"/>
                <w:szCs w:val="26"/>
              </w:rPr>
              <w:t>103.100 MHz</w:t>
            </w:r>
          </w:p>
        </w:tc>
      </w:tr>
      <w:tr w:rsidR="00284822" w14:paraId="02BAFB83"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E525730" w14:textId="77777777" w:rsidR="00284822" w:rsidRDefault="00F77BF8">
            <w:pPr>
              <w:spacing w:before="120" w:after="120"/>
              <w:rPr>
                <w:rFonts w:ascii="Rockwell" w:hAnsi="Rockwell"/>
                <w:color w:val="000000"/>
                <w:szCs w:val="26"/>
              </w:rPr>
            </w:pPr>
            <w:r>
              <w:rPr>
                <w:rFonts w:ascii="Rockwell" w:hAnsi="Rockwell"/>
                <w:color w:val="000000"/>
                <w:szCs w:val="26"/>
              </w:rPr>
              <w:t>26</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37E7BFAE" w14:textId="77777777" w:rsidR="00284822" w:rsidRDefault="00F77BF8">
            <w:pPr>
              <w:spacing w:before="120" w:after="120"/>
              <w:rPr>
                <w:rFonts w:ascii="Rockwell" w:hAnsi="Rockwell"/>
                <w:color w:val="000000"/>
                <w:szCs w:val="26"/>
              </w:rPr>
            </w:pPr>
            <w:r>
              <w:rPr>
                <w:rFonts w:ascii="Rockwell" w:hAnsi="Rockwell"/>
                <w:color w:val="000000"/>
                <w:szCs w:val="26"/>
              </w:rPr>
              <w:t>Radio Jam</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50B137C6"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39B57E4C" w14:textId="77777777" w:rsidR="00284822" w:rsidRDefault="00F77BF8">
            <w:pPr>
              <w:spacing w:before="120" w:after="120"/>
              <w:rPr>
                <w:rFonts w:ascii="Rockwell" w:hAnsi="Rockwell"/>
                <w:color w:val="000000"/>
                <w:szCs w:val="26"/>
              </w:rPr>
            </w:pPr>
            <w:r>
              <w:rPr>
                <w:rFonts w:ascii="Rockwell" w:hAnsi="Rockwell"/>
                <w:color w:val="000000"/>
                <w:szCs w:val="26"/>
              </w:rPr>
              <w:t>92.400 MHz</w:t>
            </w:r>
          </w:p>
        </w:tc>
      </w:tr>
      <w:tr w:rsidR="00284822" w14:paraId="0A49E2D3"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A4F7228" w14:textId="77777777" w:rsidR="00284822" w:rsidRDefault="00F77BF8">
            <w:pPr>
              <w:spacing w:before="120" w:after="120"/>
              <w:rPr>
                <w:rFonts w:ascii="Rockwell" w:hAnsi="Rockwell"/>
                <w:color w:val="000000"/>
                <w:szCs w:val="26"/>
              </w:rPr>
            </w:pPr>
            <w:r>
              <w:rPr>
                <w:rFonts w:ascii="Rockwell" w:hAnsi="Rockwell"/>
                <w:color w:val="000000"/>
                <w:szCs w:val="26"/>
              </w:rPr>
              <w:t>27</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34DB50C3"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Fémina</w:t>
            </w:r>
            <w:proofErr w:type="spellEnd"/>
            <w:r>
              <w:rPr>
                <w:rFonts w:ascii="Rockwell" w:hAnsi="Rockwell"/>
                <w:color w:val="000000"/>
                <w:szCs w:val="26"/>
              </w:rPr>
              <w:t xml:space="preserve"> FM</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5CB6065B"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4E1EAFC4" w14:textId="77777777" w:rsidR="00284822" w:rsidRDefault="00F77BF8">
            <w:pPr>
              <w:spacing w:before="120" w:after="120"/>
              <w:rPr>
                <w:rFonts w:ascii="Rockwell" w:hAnsi="Rockwell"/>
                <w:color w:val="000000"/>
                <w:szCs w:val="26"/>
              </w:rPr>
            </w:pPr>
            <w:r>
              <w:rPr>
                <w:rFonts w:ascii="Rockwell" w:hAnsi="Rockwell"/>
                <w:color w:val="000000"/>
                <w:szCs w:val="26"/>
              </w:rPr>
              <w:t>102.800 MHz</w:t>
            </w:r>
          </w:p>
        </w:tc>
      </w:tr>
      <w:tr w:rsidR="00284822" w14:paraId="096F62C0"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F8F6C5A" w14:textId="77777777" w:rsidR="00284822" w:rsidRDefault="00F77BF8">
            <w:pPr>
              <w:spacing w:before="120" w:after="120"/>
              <w:rPr>
                <w:rFonts w:ascii="Rockwell" w:hAnsi="Rockwell"/>
                <w:color w:val="000000"/>
                <w:szCs w:val="26"/>
              </w:rPr>
            </w:pPr>
            <w:r>
              <w:rPr>
                <w:rFonts w:ascii="Rockwell" w:hAnsi="Rockwell"/>
                <w:color w:val="000000"/>
                <w:szCs w:val="26"/>
              </w:rPr>
              <w:t>28</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4C3C9F46"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Wendpanga</w:t>
            </w:r>
            <w:proofErr w:type="spellEnd"/>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4CB70D75" w14:textId="77777777" w:rsidR="00284822" w:rsidRDefault="00F77BF8">
            <w:pPr>
              <w:spacing w:before="120" w:after="120"/>
              <w:rPr>
                <w:rFonts w:ascii="Rockwell" w:hAnsi="Rockwell"/>
                <w:color w:val="000000"/>
                <w:szCs w:val="26"/>
              </w:rPr>
            </w:pPr>
            <w:r>
              <w:rPr>
                <w:rFonts w:ascii="Rockwell" w:hAnsi="Rockwell"/>
                <w:color w:val="000000"/>
                <w:szCs w:val="26"/>
              </w:rPr>
              <w:t>Ouahigouya/Yatenga</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258C10DB" w14:textId="77777777" w:rsidR="00284822" w:rsidRDefault="00F77BF8">
            <w:pPr>
              <w:spacing w:before="120" w:after="120"/>
              <w:rPr>
                <w:rFonts w:ascii="Rockwell" w:hAnsi="Rockwell"/>
                <w:color w:val="000000"/>
                <w:szCs w:val="26"/>
              </w:rPr>
            </w:pPr>
            <w:r>
              <w:rPr>
                <w:rFonts w:ascii="Rockwell" w:hAnsi="Rockwell"/>
                <w:color w:val="000000"/>
                <w:szCs w:val="26"/>
              </w:rPr>
              <w:t>95.800 MHz</w:t>
            </w:r>
          </w:p>
        </w:tc>
      </w:tr>
      <w:tr w:rsidR="00284822" w14:paraId="32181E37"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12C1447" w14:textId="77777777" w:rsidR="00284822" w:rsidRDefault="00F77BF8">
            <w:pPr>
              <w:spacing w:before="120" w:after="120"/>
              <w:rPr>
                <w:rFonts w:ascii="Rockwell" w:hAnsi="Rockwell"/>
                <w:color w:val="000000"/>
                <w:szCs w:val="26"/>
              </w:rPr>
            </w:pPr>
            <w:r>
              <w:rPr>
                <w:rFonts w:ascii="Rockwell" w:hAnsi="Rockwell"/>
                <w:color w:val="000000"/>
                <w:szCs w:val="26"/>
              </w:rPr>
              <w:t>29</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6312A7EE" w14:textId="77777777" w:rsidR="00284822" w:rsidRDefault="00F77BF8">
            <w:pPr>
              <w:spacing w:before="120" w:after="120"/>
              <w:rPr>
                <w:rFonts w:ascii="Rockwell" w:hAnsi="Rockwell"/>
                <w:color w:val="000000"/>
                <w:szCs w:val="26"/>
              </w:rPr>
            </w:pPr>
            <w:r>
              <w:rPr>
                <w:rFonts w:ascii="Rockwell" w:hAnsi="Rockwell"/>
                <w:color w:val="000000"/>
                <w:szCs w:val="26"/>
              </w:rPr>
              <w:t>Radio Unité FM</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5DC141E1" w14:textId="77777777" w:rsidR="00284822" w:rsidRDefault="00F77BF8">
            <w:pPr>
              <w:spacing w:before="120" w:after="120"/>
              <w:rPr>
                <w:rFonts w:ascii="Rockwell" w:hAnsi="Rockwell"/>
                <w:color w:val="000000"/>
                <w:szCs w:val="26"/>
              </w:rPr>
            </w:pPr>
            <w:r>
              <w:rPr>
                <w:rFonts w:ascii="Rockwell" w:hAnsi="Rockwell"/>
                <w:color w:val="000000"/>
                <w:szCs w:val="26"/>
              </w:rPr>
              <w:t>Gourcy/</w:t>
            </w:r>
            <w:proofErr w:type="spellStart"/>
            <w:r>
              <w:rPr>
                <w:rFonts w:ascii="Rockwell" w:hAnsi="Rockwell"/>
                <w:color w:val="000000"/>
                <w:szCs w:val="26"/>
              </w:rPr>
              <w:t>Zondoma</w:t>
            </w:r>
            <w:proofErr w:type="spellEnd"/>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5A094E92" w14:textId="77777777" w:rsidR="00284822" w:rsidRDefault="00F77BF8">
            <w:pPr>
              <w:spacing w:before="120" w:after="120"/>
              <w:rPr>
                <w:rFonts w:ascii="Rockwell" w:hAnsi="Rockwell"/>
                <w:color w:val="000000"/>
                <w:szCs w:val="26"/>
              </w:rPr>
            </w:pPr>
            <w:r>
              <w:rPr>
                <w:rFonts w:ascii="Rockwell" w:hAnsi="Rockwell"/>
                <w:color w:val="000000"/>
                <w:szCs w:val="26"/>
              </w:rPr>
              <w:t>99.100 MHz</w:t>
            </w:r>
          </w:p>
        </w:tc>
      </w:tr>
      <w:tr w:rsidR="00284822" w14:paraId="5B1156A7"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24C0263" w14:textId="77777777" w:rsidR="00284822" w:rsidRDefault="00F77BF8">
            <w:pPr>
              <w:spacing w:before="120" w:after="120"/>
              <w:rPr>
                <w:rFonts w:ascii="Rockwell" w:hAnsi="Rockwell"/>
                <w:color w:val="000000"/>
                <w:szCs w:val="26"/>
              </w:rPr>
            </w:pPr>
            <w:r>
              <w:rPr>
                <w:rFonts w:ascii="Rockwell" w:hAnsi="Rockwell"/>
                <w:color w:val="000000"/>
                <w:szCs w:val="26"/>
              </w:rPr>
              <w:t>30</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19048B13" w14:textId="77777777" w:rsidR="00284822" w:rsidRDefault="00F77BF8">
            <w:pPr>
              <w:spacing w:before="120" w:after="120"/>
              <w:rPr>
                <w:rFonts w:ascii="Rockwell" w:hAnsi="Rockwell"/>
                <w:color w:val="000000"/>
                <w:szCs w:val="26"/>
              </w:rPr>
            </w:pPr>
            <w:r>
              <w:rPr>
                <w:rFonts w:ascii="Rockwell" w:hAnsi="Rockwell"/>
                <w:color w:val="000000"/>
                <w:szCs w:val="26"/>
              </w:rPr>
              <w:t>Radio Légende Bobo</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5E581C16" w14:textId="77777777" w:rsidR="00284822" w:rsidRDefault="00F77BF8">
            <w:pPr>
              <w:spacing w:before="120" w:after="120"/>
              <w:rPr>
                <w:rFonts w:ascii="Rockwell" w:hAnsi="Rockwell"/>
                <w:color w:val="000000"/>
                <w:szCs w:val="26"/>
              </w:rPr>
            </w:pPr>
            <w:r>
              <w:rPr>
                <w:rFonts w:ascii="Rockwell" w:hAnsi="Rockwell"/>
                <w:color w:val="000000"/>
                <w:szCs w:val="26"/>
              </w:rPr>
              <w:t>Bobo-Dioulasso/Houet</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753A5D11" w14:textId="77777777" w:rsidR="00284822" w:rsidRDefault="00F77BF8">
            <w:pPr>
              <w:spacing w:before="120" w:after="120"/>
              <w:rPr>
                <w:rFonts w:ascii="Rockwell" w:hAnsi="Rockwell"/>
                <w:color w:val="000000"/>
                <w:szCs w:val="26"/>
              </w:rPr>
            </w:pPr>
            <w:r>
              <w:rPr>
                <w:rFonts w:ascii="Rockwell" w:hAnsi="Rockwell"/>
                <w:color w:val="000000"/>
                <w:szCs w:val="26"/>
              </w:rPr>
              <w:t>103.100 MHz</w:t>
            </w:r>
          </w:p>
        </w:tc>
      </w:tr>
      <w:tr w:rsidR="00284822" w14:paraId="5ED3AD37"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33619B6" w14:textId="77777777" w:rsidR="00284822" w:rsidRDefault="00F77BF8">
            <w:pPr>
              <w:spacing w:before="120" w:after="120"/>
              <w:rPr>
                <w:rFonts w:ascii="Rockwell" w:hAnsi="Rockwell"/>
                <w:color w:val="000000"/>
                <w:szCs w:val="26"/>
              </w:rPr>
            </w:pPr>
            <w:r>
              <w:rPr>
                <w:rFonts w:ascii="Rockwell" w:hAnsi="Rockwell"/>
                <w:color w:val="000000"/>
                <w:szCs w:val="26"/>
              </w:rPr>
              <w:t>31</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0D853B2E" w14:textId="77777777" w:rsidR="00284822" w:rsidRDefault="00F77BF8">
            <w:pPr>
              <w:spacing w:before="120" w:after="120"/>
              <w:rPr>
                <w:rFonts w:ascii="Rockwell" w:hAnsi="Rockwell"/>
                <w:color w:val="000000"/>
                <w:szCs w:val="26"/>
              </w:rPr>
            </w:pPr>
            <w:r>
              <w:rPr>
                <w:rFonts w:ascii="Rockwell" w:hAnsi="Rockwell"/>
                <w:color w:val="000000"/>
                <w:szCs w:val="26"/>
              </w:rPr>
              <w:t>Radio Diva</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4B3C01F1"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58235729" w14:textId="77777777" w:rsidR="00284822" w:rsidRDefault="00F77BF8">
            <w:pPr>
              <w:spacing w:before="120" w:after="120"/>
              <w:rPr>
                <w:rFonts w:ascii="Rockwell" w:hAnsi="Rockwell"/>
                <w:color w:val="000000"/>
                <w:szCs w:val="26"/>
              </w:rPr>
            </w:pPr>
            <w:r>
              <w:rPr>
                <w:rFonts w:ascii="Rockwell" w:hAnsi="Rockwell"/>
                <w:color w:val="000000"/>
                <w:szCs w:val="26"/>
              </w:rPr>
              <w:t>88.100 MHz</w:t>
            </w:r>
          </w:p>
        </w:tc>
      </w:tr>
      <w:tr w:rsidR="00284822" w14:paraId="3C11B59E"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9A8F157" w14:textId="77777777" w:rsidR="00284822" w:rsidRDefault="00F77BF8">
            <w:pPr>
              <w:spacing w:before="120" w:after="120"/>
              <w:rPr>
                <w:rFonts w:ascii="Rockwell" w:hAnsi="Rockwell"/>
                <w:color w:val="000000"/>
                <w:szCs w:val="26"/>
              </w:rPr>
            </w:pPr>
            <w:r>
              <w:rPr>
                <w:rFonts w:ascii="Rockwell" w:hAnsi="Rockwell"/>
                <w:color w:val="000000"/>
                <w:szCs w:val="26"/>
              </w:rPr>
              <w:t>32</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613F990E" w14:textId="77777777" w:rsidR="00284822" w:rsidRDefault="00F77BF8">
            <w:pPr>
              <w:spacing w:before="120" w:after="120"/>
              <w:rPr>
                <w:rFonts w:ascii="Rockwell" w:hAnsi="Rockwell"/>
                <w:color w:val="000000"/>
                <w:szCs w:val="26"/>
              </w:rPr>
            </w:pPr>
            <w:r>
              <w:rPr>
                <w:rFonts w:ascii="Rockwell" w:hAnsi="Rockwell"/>
                <w:color w:val="000000"/>
                <w:szCs w:val="26"/>
              </w:rPr>
              <w:t>Radio Oméga</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5FDF9111"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1ECD10FE" w14:textId="77777777" w:rsidR="00284822" w:rsidRDefault="00F77BF8">
            <w:pPr>
              <w:spacing w:before="120" w:after="120"/>
              <w:rPr>
                <w:rFonts w:ascii="Rockwell" w:hAnsi="Rockwell"/>
                <w:color w:val="000000"/>
                <w:szCs w:val="26"/>
              </w:rPr>
            </w:pPr>
            <w:r>
              <w:rPr>
                <w:rFonts w:ascii="Rockwell" w:hAnsi="Rockwell"/>
                <w:color w:val="000000"/>
                <w:szCs w:val="26"/>
              </w:rPr>
              <w:t>103.900 MHz</w:t>
            </w:r>
          </w:p>
        </w:tc>
      </w:tr>
      <w:tr w:rsidR="00284822" w14:paraId="6330DF77"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E7143F8" w14:textId="77777777" w:rsidR="00284822" w:rsidRDefault="00F77BF8">
            <w:pPr>
              <w:spacing w:before="120" w:after="120"/>
              <w:rPr>
                <w:rFonts w:ascii="Rockwell" w:hAnsi="Rockwell"/>
                <w:color w:val="000000"/>
                <w:szCs w:val="26"/>
              </w:rPr>
            </w:pPr>
            <w:r>
              <w:rPr>
                <w:rFonts w:ascii="Rockwell" w:hAnsi="Rockwell"/>
                <w:color w:val="000000"/>
                <w:szCs w:val="26"/>
              </w:rPr>
              <w:lastRenderedPageBreak/>
              <w:t>33</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2A494535" w14:textId="77777777" w:rsidR="00284822" w:rsidRDefault="00F77BF8">
            <w:pPr>
              <w:spacing w:before="120" w:after="120"/>
              <w:rPr>
                <w:rFonts w:ascii="Rockwell" w:hAnsi="Rockwell"/>
                <w:color w:val="000000"/>
                <w:szCs w:val="26"/>
              </w:rPr>
            </w:pPr>
            <w:r>
              <w:rPr>
                <w:rFonts w:ascii="Rockwell" w:hAnsi="Rockwell"/>
                <w:color w:val="000000"/>
                <w:szCs w:val="26"/>
              </w:rPr>
              <w:t>Radio Oméga Bobo</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57F0BA00" w14:textId="77777777" w:rsidR="00284822" w:rsidRDefault="00F77BF8">
            <w:pPr>
              <w:spacing w:before="120" w:after="120"/>
              <w:rPr>
                <w:rFonts w:ascii="Rockwell" w:hAnsi="Rockwell"/>
                <w:color w:val="000000"/>
                <w:szCs w:val="26"/>
              </w:rPr>
            </w:pPr>
            <w:r>
              <w:rPr>
                <w:rFonts w:ascii="Rockwell" w:hAnsi="Rockwell"/>
                <w:color w:val="000000"/>
                <w:szCs w:val="26"/>
              </w:rPr>
              <w:t>Bobo-Dioulasso/Houet</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491C713C" w14:textId="77777777" w:rsidR="00284822" w:rsidRDefault="00F77BF8">
            <w:pPr>
              <w:spacing w:before="120" w:after="120"/>
              <w:rPr>
                <w:rFonts w:ascii="Rockwell" w:hAnsi="Rockwell"/>
                <w:color w:val="000000"/>
                <w:szCs w:val="26"/>
              </w:rPr>
            </w:pPr>
            <w:r>
              <w:rPr>
                <w:rFonts w:ascii="Rockwell" w:hAnsi="Rockwell"/>
                <w:color w:val="000000"/>
                <w:szCs w:val="26"/>
              </w:rPr>
              <w:t>104.700 MHz</w:t>
            </w:r>
          </w:p>
        </w:tc>
      </w:tr>
      <w:tr w:rsidR="00284822" w14:paraId="5FC14B5C"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4F9BBCF" w14:textId="77777777" w:rsidR="00284822" w:rsidRDefault="00F77BF8">
            <w:pPr>
              <w:spacing w:before="120" w:after="120"/>
              <w:rPr>
                <w:rFonts w:ascii="Rockwell" w:hAnsi="Rockwell"/>
                <w:color w:val="000000"/>
                <w:szCs w:val="26"/>
              </w:rPr>
            </w:pPr>
            <w:r>
              <w:rPr>
                <w:rFonts w:ascii="Rockwell" w:hAnsi="Rockwell"/>
                <w:color w:val="000000"/>
                <w:szCs w:val="26"/>
              </w:rPr>
              <w:t>34</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5BA6DD66" w14:textId="77777777" w:rsidR="00284822" w:rsidRDefault="00F77BF8">
            <w:pPr>
              <w:spacing w:before="120" w:after="120"/>
              <w:rPr>
                <w:rFonts w:ascii="Rockwell" w:hAnsi="Rockwell"/>
                <w:color w:val="000000"/>
                <w:szCs w:val="26"/>
              </w:rPr>
            </w:pPr>
            <w:r>
              <w:rPr>
                <w:rFonts w:ascii="Rockwell" w:hAnsi="Rockwell"/>
                <w:color w:val="000000"/>
                <w:szCs w:val="26"/>
              </w:rPr>
              <w:t>Radio Optima</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2B886CCB"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2BC28050" w14:textId="77777777" w:rsidR="00284822" w:rsidRDefault="00F77BF8">
            <w:pPr>
              <w:spacing w:before="120" w:after="120"/>
              <w:rPr>
                <w:rFonts w:ascii="Rockwell" w:hAnsi="Rockwell"/>
                <w:color w:val="000000"/>
                <w:szCs w:val="26"/>
              </w:rPr>
            </w:pPr>
            <w:r>
              <w:rPr>
                <w:rFonts w:ascii="Rockwell" w:hAnsi="Rockwell"/>
                <w:color w:val="000000"/>
                <w:szCs w:val="26"/>
              </w:rPr>
              <w:t>106.800 MHz</w:t>
            </w:r>
          </w:p>
        </w:tc>
      </w:tr>
      <w:tr w:rsidR="00284822" w14:paraId="29A8CD45"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5750182" w14:textId="77777777" w:rsidR="00284822" w:rsidRDefault="00F77BF8">
            <w:pPr>
              <w:spacing w:before="120" w:after="120"/>
              <w:rPr>
                <w:rFonts w:ascii="Rockwell" w:hAnsi="Rockwell"/>
                <w:color w:val="000000"/>
                <w:szCs w:val="26"/>
              </w:rPr>
            </w:pPr>
            <w:r>
              <w:rPr>
                <w:rFonts w:ascii="Rockwell" w:hAnsi="Rockwell"/>
                <w:color w:val="000000"/>
                <w:szCs w:val="26"/>
              </w:rPr>
              <w:t>35</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44C7A015" w14:textId="77777777" w:rsidR="00284822" w:rsidRDefault="00F77BF8">
            <w:pPr>
              <w:spacing w:before="120" w:after="120"/>
              <w:rPr>
                <w:rFonts w:ascii="Rockwell" w:hAnsi="Rockwell"/>
                <w:color w:val="000000"/>
                <w:szCs w:val="26"/>
              </w:rPr>
            </w:pPr>
            <w:r>
              <w:rPr>
                <w:rFonts w:ascii="Rockwell" w:hAnsi="Rockwell"/>
                <w:color w:val="000000"/>
                <w:szCs w:val="26"/>
              </w:rPr>
              <w:t>Radio Ouaga FM</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395526E3" w14:textId="77777777" w:rsidR="00284822" w:rsidRDefault="00F77BF8">
            <w:pPr>
              <w:spacing w:before="120" w:after="120"/>
              <w:rPr>
                <w:rFonts w:ascii="Rockwell" w:hAnsi="Rockwell"/>
                <w:color w:val="000000"/>
                <w:szCs w:val="26"/>
              </w:rPr>
            </w:pPr>
            <w:r>
              <w:rPr>
                <w:rFonts w:ascii="Rockwell" w:hAnsi="Rockwell"/>
                <w:color w:val="000000"/>
                <w:szCs w:val="26"/>
              </w:rPr>
              <w:t>Bobo-Dioulasso/Houet</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12C1A377" w14:textId="77777777" w:rsidR="00284822" w:rsidRDefault="00F77BF8">
            <w:pPr>
              <w:spacing w:before="120" w:after="120"/>
              <w:rPr>
                <w:rFonts w:ascii="Rockwell" w:hAnsi="Rockwell"/>
                <w:color w:val="000000"/>
                <w:szCs w:val="26"/>
              </w:rPr>
            </w:pPr>
            <w:r>
              <w:rPr>
                <w:rFonts w:ascii="Rockwell" w:hAnsi="Rockwell"/>
                <w:color w:val="000000"/>
                <w:szCs w:val="26"/>
              </w:rPr>
              <w:t>101.100 MHz</w:t>
            </w:r>
          </w:p>
        </w:tc>
      </w:tr>
      <w:tr w:rsidR="00284822" w14:paraId="4DB1A9A3"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BD79D04" w14:textId="77777777" w:rsidR="00284822" w:rsidRDefault="00F77BF8">
            <w:pPr>
              <w:spacing w:before="120" w:after="120"/>
              <w:rPr>
                <w:rFonts w:ascii="Rockwell" w:hAnsi="Rockwell"/>
                <w:color w:val="000000"/>
                <w:szCs w:val="26"/>
              </w:rPr>
            </w:pPr>
            <w:r>
              <w:rPr>
                <w:rFonts w:ascii="Rockwell" w:hAnsi="Rockwell"/>
                <w:color w:val="000000"/>
                <w:szCs w:val="26"/>
              </w:rPr>
              <w:t>36</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29AF9133" w14:textId="77777777" w:rsidR="00284822" w:rsidRDefault="00F77BF8">
            <w:pPr>
              <w:spacing w:before="120" w:after="120"/>
              <w:rPr>
                <w:rFonts w:ascii="Rockwell" w:hAnsi="Rockwell"/>
                <w:color w:val="000000"/>
                <w:szCs w:val="26"/>
                <w:lang w:val="en-US"/>
              </w:rPr>
            </w:pPr>
            <w:r>
              <w:rPr>
                <w:rFonts w:ascii="Rockwell" w:hAnsi="Rockwell"/>
                <w:color w:val="000000"/>
                <w:szCs w:val="26"/>
                <w:lang w:val="en-US"/>
              </w:rPr>
              <w:t xml:space="preserve">Radio </w:t>
            </w:r>
            <w:proofErr w:type="spellStart"/>
            <w:r>
              <w:rPr>
                <w:rFonts w:ascii="Rockwell" w:hAnsi="Rockwell"/>
                <w:color w:val="000000"/>
                <w:szCs w:val="26"/>
                <w:lang w:val="en-US"/>
              </w:rPr>
              <w:t>Watamu</w:t>
            </w:r>
            <w:proofErr w:type="spellEnd"/>
            <w:r>
              <w:rPr>
                <w:rFonts w:ascii="Rockwell" w:hAnsi="Rockwell"/>
                <w:color w:val="000000"/>
                <w:szCs w:val="26"/>
                <w:lang w:val="en-US"/>
              </w:rPr>
              <w:t xml:space="preserve"> FM (Wat FM)</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4F6216D6"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0112EA42" w14:textId="77777777" w:rsidR="00284822" w:rsidRDefault="00F77BF8">
            <w:pPr>
              <w:spacing w:before="120" w:after="120"/>
              <w:rPr>
                <w:rFonts w:ascii="Rockwell" w:hAnsi="Rockwell"/>
                <w:color w:val="000000"/>
                <w:szCs w:val="26"/>
              </w:rPr>
            </w:pPr>
            <w:r>
              <w:rPr>
                <w:rFonts w:ascii="Rockwell" w:hAnsi="Rockwell"/>
                <w:color w:val="000000"/>
                <w:szCs w:val="26"/>
              </w:rPr>
              <w:t>100.7 MHz</w:t>
            </w:r>
          </w:p>
        </w:tc>
      </w:tr>
      <w:tr w:rsidR="00284822" w14:paraId="07349837"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3C5ACE1" w14:textId="77777777" w:rsidR="00284822" w:rsidRDefault="00F77BF8">
            <w:pPr>
              <w:spacing w:before="120" w:after="120"/>
              <w:rPr>
                <w:rFonts w:ascii="Rockwell" w:hAnsi="Rockwell"/>
                <w:color w:val="000000"/>
                <w:szCs w:val="26"/>
              </w:rPr>
            </w:pPr>
            <w:r>
              <w:rPr>
                <w:rFonts w:ascii="Rockwell" w:hAnsi="Rockwell"/>
                <w:color w:val="000000"/>
                <w:szCs w:val="26"/>
              </w:rPr>
              <w:t>37</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418610CD" w14:textId="77777777" w:rsidR="00284822" w:rsidRDefault="00F77BF8">
            <w:pPr>
              <w:spacing w:before="120" w:after="120"/>
              <w:rPr>
                <w:rFonts w:ascii="Rockwell" w:hAnsi="Rockwell"/>
                <w:color w:val="000000"/>
                <w:szCs w:val="26"/>
              </w:rPr>
            </w:pPr>
            <w:r>
              <w:rPr>
                <w:rFonts w:ascii="Rockwell" w:hAnsi="Rockwell"/>
                <w:color w:val="000000"/>
                <w:szCs w:val="26"/>
              </w:rPr>
              <w:t>Hit Radio</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4F3F52E0"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4B5B4360" w14:textId="77777777" w:rsidR="00284822" w:rsidRDefault="00F77BF8">
            <w:pPr>
              <w:spacing w:before="120" w:after="120"/>
              <w:rPr>
                <w:rFonts w:ascii="Rockwell" w:hAnsi="Rockwell"/>
                <w:color w:val="000000"/>
                <w:szCs w:val="26"/>
              </w:rPr>
            </w:pPr>
            <w:r>
              <w:rPr>
                <w:rFonts w:ascii="Rockwell" w:hAnsi="Rockwell"/>
                <w:color w:val="000000"/>
                <w:szCs w:val="26"/>
              </w:rPr>
              <w:t>87.7 MHz</w:t>
            </w:r>
          </w:p>
        </w:tc>
      </w:tr>
      <w:tr w:rsidR="00284822" w14:paraId="7ADCC7CE"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7C01D66" w14:textId="77777777" w:rsidR="00284822" w:rsidRDefault="00F77BF8">
            <w:pPr>
              <w:spacing w:before="120" w:after="120"/>
              <w:rPr>
                <w:rFonts w:ascii="Rockwell" w:hAnsi="Rockwell"/>
                <w:color w:val="000000"/>
                <w:szCs w:val="26"/>
              </w:rPr>
            </w:pPr>
            <w:r>
              <w:rPr>
                <w:rFonts w:ascii="Rockwell" w:hAnsi="Rockwell"/>
                <w:color w:val="000000"/>
                <w:szCs w:val="26"/>
              </w:rPr>
              <w:t>38</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703473FF"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Tampani</w:t>
            </w:r>
            <w:proofErr w:type="spellEnd"/>
            <w:r>
              <w:rPr>
                <w:rFonts w:ascii="Rockwell" w:hAnsi="Rockwell"/>
                <w:color w:val="000000"/>
                <w:szCs w:val="26"/>
              </w:rPr>
              <w:t xml:space="preserve"> FM</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2752E258" w14:textId="77777777" w:rsidR="00284822" w:rsidRDefault="00F77BF8">
            <w:pPr>
              <w:spacing w:before="120" w:after="120"/>
              <w:rPr>
                <w:rFonts w:ascii="Rockwell" w:hAnsi="Rockwell"/>
                <w:color w:val="000000"/>
                <w:szCs w:val="26"/>
              </w:rPr>
            </w:pPr>
            <w:r>
              <w:rPr>
                <w:rFonts w:ascii="Rockwell" w:hAnsi="Rockwell"/>
                <w:color w:val="000000"/>
                <w:szCs w:val="26"/>
              </w:rPr>
              <w:t>Léo/Sissili</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31C2023E" w14:textId="77777777" w:rsidR="00284822" w:rsidRDefault="00F77BF8">
            <w:pPr>
              <w:spacing w:before="120" w:after="120"/>
              <w:rPr>
                <w:rFonts w:ascii="Rockwell" w:hAnsi="Rockwell"/>
                <w:color w:val="000000"/>
                <w:szCs w:val="26"/>
              </w:rPr>
            </w:pPr>
            <w:r>
              <w:rPr>
                <w:rFonts w:ascii="Rockwell" w:hAnsi="Rockwell"/>
                <w:color w:val="000000"/>
                <w:szCs w:val="26"/>
              </w:rPr>
              <w:t>88.2 MHz</w:t>
            </w:r>
          </w:p>
        </w:tc>
      </w:tr>
      <w:tr w:rsidR="00284822" w14:paraId="75DD1AA2"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2EA2E63" w14:textId="77777777" w:rsidR="00284822" w:rsidRDefault="00F77BF8">
            <w:pPr>
              <w:spacing w:before="120" w:after="120"/>
              <w:rPr>
                <w:rFonts w:ascii="Rockwell" w:hAnsi="Rockwell"/>
                <w:color w:val="000000"/>
                <w:szCs w:val="26"/>
              </w:rPr>
            </w:pPr>
            <w:r>
              <w:rPr>
                <w:rFonts w:ascii="Rockwell" w:hAnsi="Rockwell"/>
                <w:color w:val="000000"/>
                <w:szCs w:val="26"/>
              </w:rPr>
              <w:t>39</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6D024BE0"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Bam </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0C25CE43" w14:textId="77777777" w:rsidR="00284822" w:rsidRDefault="00F77BF8">
            <w:pPr>
              <w:spacing w:before="120" w:after="120"/>
              <w:rPr>
                <w:rFonts w:ascii="Rockwell" w:hAnsi="Rockwell"/>
                <w:color w:val="000000"/>
                <w:szCs w:val="26"/>
              </w:rPr>
            </w:pPr>
            <w:r>
              <w:rPr>
                <w:rFonts w:ascii="Rockwell" w:hAnsi="Rockwell"/>
                <w:color w:val="000000"/>
                <w:szCs w:val="26"/>
              </w:rPr>
              <w:t>Kongoussi/Bam</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21668A87" w14:textId="77777777" w:rsidR="00284822" w:rsidRDefault="00F77BF8">
            <w:pPr>
              <w:spacing w:before="120" w:after="120"/>
              <w:rPr>
                <w:rFonts w:ascii="Rockwell" w:hAnsi="Rockwell"/>
                <w:color w:val="000000"/>
                <w:szCs w:val="26"/>
              </w:rPr>
            </w:pPr>
            <w:r>
              <w:rPr>
                <w:rFonts w:ascii="Rockwell" w:hAnsi="Rockwell"/>
                <w:color w:val="000000"/>
                <w:szCs w:val="26"/>
              </w:rPr>
              <w:t>96.4 MHz</w:t>
            </w:r>
          </w:p>
        </w:tc>
      </w:tr>
      <w:tr w:rsidR="00284822" w14:paraId="03C584C9"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E539E88" w14:textId="77777777" w:rsidR="00284822" w:rsidRDefault="00F77BF8">
            <w:pPr>
              <w:spacing w:before="120" w:after="120"/>
              <w:jc w:val="left"/>
              <w:rPr>
                <w:rFonts w:ascii="Rockwell" w:hAnsi="Rockwell"/>
                <w:color w:val="000000"/>
                <w:szCs w:val="26"/>
              </w:rPr>
            </w:pPr>
            <w:r>
              <w:rPr>
                <w:rFonts w:ascii="Rockwell" w:hAnsi="Rockwell"/>
                <w:color w:val="000000"/>
                <w:szCs w:val="26"/>
              </w:rPr>
              <w:t>40</w:t>
            </w:r>
          </w:p>
        </w:tc>
        <w:tc>
          <w:tcPr>
            <w:tcW w:w="5534" w:type="dxa"/>
            <w:tcBorders>
              <w:top w:val="single" w:sz="4" w:space="0" w:color="auto"/>
              <w:left w:val="nil"/>
              <w:bottom w:val="single" w:sz="4" w:space="0" w:color="auto"/>
              <w:right w:val="single" w:sz="4" w:space="0" w:color="auto"/>
            </w:tcBorders>
            <w:shd w:val="clear" w:color="auto" w:fill="FFFFFF" w:themeFill="background1"/>
            <w:noWrap/>
          </w:tcPr>
          <w:p w14:paraId="28F58D9E" w14:textId="77777777" w:rsidR="00284822" w:rsidRDefault="00F77BF8">
            <w:pPr>
              <w:spacing w:before="120" w:after="120"/>
              <w:jc w:val="left"/>
              <w:rPr>
                <w:rFonts w:ascii="Rockwell" w:hAnsi="Rockwell"/>
                <w:color w:val="000000"/>
                <w:szCs w:val="26"/>
              </w:rPr>
            </w:pPr>
            <w:r>
              <w:rPr>
                <w:rFonts w:ascii="Rockwell" w:hAnsi="Rockwell"/>
                <w:color w:val="000000"/>
                <w:szCs w:val="26"/>
              </w:rPr>
              <w:t>Radio Liberté de Parler et de Communiquer (LPC)</w:t>
            </w:r>
          </w:p>
        </w:tc>
        <w:tc>
          <w:tcPr>
            <w:tcW w:w="3821" w:type="dxa"/>
            <w:tcBorders>
              <w:top w:val="single" w:sz="4" w:space="0" w:color="auto"/>
              <w:left w:val="nil"/>
              <w:bottom w:val="single" w:sz="4" w:space="0" w:color="auto"/>
              <w:right w:val="single" w:sz="4" w:space="0" w:color="auto"/>
            </w:tcBorders>
            <w:shd w:val="clear" w:color="auto" w:fill="FFFFFF" w:themeFill="background1"/>
            <w:noWrap/>
          </w:tcPr>
          <w:p w14:paraId="6F46A170" w14:textId="77777777" w:rsidR="00284822" w:rsidRDefault="00F77BF8">
            <w:pPr>
              <w:spacing w:before="120" w:after="120"/>
              <w:jc w:val="left"/>
              <w:rPr>
                <w:rFonts w:ascii="Rockwell" w:hAnsi="Rockwell"/>
                <w:color w:val="000000"/>
                <w:szCs w:val="26"/>
              </w:rPr>
            </w:pPr>
            <w:r>
              <w:rPr>
                <w:rFonts w:ascii="Rockwell" w:hAnsi="Rockwell"/>
                <w:color w:val="000000"/>
                <w:szCs w:val="26"/>
              </w:rPr>
              <w:t>Tenkodogo/Boulgou</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03AC4AFD" w14:textId="77777777" w:rsidR="00284822" w:rsidRDefault="00F77BF8">
            <w:pPr>
              <w:spacing w:before="120" w:after="120"/>
              <w:rPr>
                <w:rFonts w:ascii="Rockwell" w:hAnsi="Rockwell"/>
                <w:color w:val="000000"/>
                <w:szCs w:val="26"/>
              </w:rPr>
            </w:pPr>
            <w:r>
              <w:rPr>
                <w:rFonts w:ascii="Rockwell" w:hAnsi="Rockwell"/>
                <w:color w:val="000000"/>
                <w:szCs w:val="26"/>
              </w:rPr>
              <w:t>104.7 MHz</w:t>
            </w:r>
          </w:p>
        </w:tc>
      </w:tr>
      <w:tr w:rsidR="00284822" w14:paraId="79CC68EB"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B83C153" w14:textId="77777777" w:rsidR="00284822" w:rsidRDefault="00F77BF8">
            <w:pPr>
              <w:spacing w:before="120" w:after="120"/>
              <w:rPr>
                <w:rFonts w:ascii="Rockwell" w:hAnsi="Rockwell"/>
                <w:color w:val="000000"/>
                <w:szCs w:val="26"/>
              </w:rPr>
            </w:pPr>
            <w:r>
              <w:rPr>
                <w:rFonts w:ascii="Rockwell" w:hAnsi="Rockwell"/>
                <w:color w:val="000000"/>
                <w:szCs w:val="26"/>
              </w:rPr>
              <w:t>41</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189C70BC" w14:textId="77777777" w:rsidR="00284822" w:rsidRDefault="00F77BF8">
            <w:pPr>
              <w:spacing w:before="120" w:after="120"/>
              <w:rPr>
                <w:rFonts w:ascii="Rockwell" w:hAnsi="Rockwell"/>
                <w:color w:val="000000"/>
                <w:szCs w:val="26"/>
              </w:rPr>
            </w:pPr>
            <w:r>
              <w:rPr>
                <w:rFonts w:ascii="Rockwell" w:hAnsi="Rockwell"/>
                <w:color w:val="000000"/>
                <w:szCs w:val="26"/>
              </w:rPr>
              <w:t>Radio La Voix du Mouhoun</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449D9F22" w14:textId="77777777" w:rsidR="00284822" w:rsidRDefault="00F77BF8">
            <w:pPr>
              <w:spacing w:before="120" w:after="120"/>
              <w:rPr>
                <w:rFonts w:ascii="Rockwell" w:hAnsi="Rockwell"/>
                <w:color w:val="000000"/>
                <w:szCs w:val="26"/>
              </w:rPr>
            </w:pPr>
            <w:r>
              <w:rPr>
                <w:rFonts w:ascii="Rockwell" w:hAnsi="Rockwell"/>
                <w:color w:val="000000"/>
                <w:szCs w:val="26"/>
              </w:rPr>
              <w:t>Dédougou/Mouhoun</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6DEEB616" w14:textId="77777777" w:rsidR="00284822" w:rsidRDefault="00284822">
            <w:pPr>
              <w:spacing w:before="120" w:after="120"/>
              <w:rPr>
                <w:rFonts w:ascii="Rockwell" w:hAnsi="Rockwell"/>
                <w:color w:val="000000"/>
                <w:szCs w:val="26"/>
              </w:rPr>
            </w:pPr>
          </w:p>
        </w:tc>
      </w:tr>
      <w:tr w:rsidR="00284822" w14:paraId="5F568AE6"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1E1F42F" w14:textId="77777777" w:rsidR="00284822" w:rsidRDefault="00F77BF8">
            <w:pPr>
              <w:spacing w:before="120" w:after="120"/>
              <w:rPr>
                <w:rFonts w:ascii="Rockwell" w:hAnsi="Rockwell"/>
                <w:color w:val="000000"/>
                <w:szCs w:val="26"/>
              </w:rPr>
            </w:pPr>
            <w:r>
              <w:rPr>
                <w:rFonts w:ascii="Rockwell" w:hAnsi="Rockwell"/>
                <w:color w:val="000000"/>
                <w:szCs w:val="26"/>
              </w:rPr>
              <w:t>42</w:t>
            </w:r>
          </w:p>
        </w:tc>
        <w:tc>
          <w:tcPr>
            <w:tcW w:w="5534" w:type="dxa"/>
            <w:tcBorders>
              <w:top w:val="single" w:sz="4" w:space="0" w:color="auto"/>
              <w:left w:val="nil"/>
              <w:bottom w:val="single" w:sz="4" w:space="0" w:color="auto"/>
              <w:right w:val="single" w:sz="4" w:space="0" w:color="auto"/>
            </w:tcBorders>
            <w:shd w:val="clear" w:color="auto" w:fill="FFFFFF" w:themeFill="background1"/>
            <w:noWrap/>
            <w:vAlign w:val="bottom"/>
          </w:tcPr>
          <w:p w14:paraId="44618FCF" w14:textId="77777777" w:rsidR="00284822" w:rsidRDefault="00F77BF8">
            <w:pPr>
              <w:spacing w:before="120" w:after="120"/>
              <w:rPr>
                <w:rFonts w:ascii="Rockwell" w:hAnsi="Rockwell"/>
                <w:color w:val="000000"/>
                <w:szCs w:val="26"/>
              </w:rPr>
            </w:pPr>
            <w:r>
              <w:rPr>
                <w:rFonts w:ascii="Rockwell" w:hAnsi="Rockwell"/>
                <w:color w:val="000000"/>
                <w:szCs w:val="26"/>
              </w:rPr>
              <w:t>Radio Bass-</w:t>
            </w:r>
            <w:proofErr w:type="spellStart"/>
            <w:r>
              <w:rPr>
                <w:rFonts w:ascii="Rockwell" w:hAnsi="Rockwell"/>
                <w:color w:val="000000"/>
                <w:szCs w:val="26"/>
              </w:rPr>
              <w:t>Yardé</w:t>
            </w:r>
            <w:proofErr w:type="spellEnd"/>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6DD6BEC7" w14:textId="77777777" w:rsidR="00284822" w:rsidRDefault="00F77BF8">
            <w:pPr>
              <w:spacing w:before="120" w:after="120"/>
              <w:rPr>
                <w:rFonts w:ascii="Rockwell" w:hAnsi="Rockwell"/>
                <w:color w:val="000000"/>
                <w:szCs w:val="26"/>
              </w:rPr>
            </w:pPr>
            <w:proofErr w:type="spellStart"/>
            <w:r>
              <w:rPr>
                <w:rFonts w:ascii="Rockwell" w:hAnsi="Rockwell"/>
                <w:color w:val="000000"/>
                <w:szCs w:val="26"/>
              </w:rPr>
              <w:t>Cinkansé</w:t>
            </w:r>
            <w:proofErr w:type="spellEnd"/>
            <w:r>
              <w:rPr>
                <w:rFonts w:ascii="Rockwell" w:hAnsi="Rockwell"/>
                <w:color w:val="000000"/>
                <w:szCs w:val="26"/>
              </w:rPr>
              <w:t>/Koulpélogo</w:t>
            </w:r>
          </w:p>
        </w:tc>
        <w:tc>
          <w:tcPr>
            <w:tcW w:w="2699" w:type="dxa"/>
            <w:tcBorders>
              <w:top w:val="single" w:sz="4" w:space="0" w:color="auto"/>
              <w:left w:val="nil"/>
              <w:bottom w:val="single" w:sz="4" w:space="0" w:color="auto"/>
              <w:right w:val="single" w:sz="4" w:space="0" w:color="auto"/>
            </w:tcBorders>
            <w:shd w:val="clear" w:color="auto" w:fill="FFFFFF" w:themeFill="background1"/>
            <w:noWrap/>
            <w:vAlign w:val="bottom"/>
          </w:tcPr>
          <w:p w14:paraId="6261DC8A" w14:textId="77777777" w:rsidR="00284822" w:rsidRDefault="00F77BF8">
            <w:pPr>
              <w:spacing w:before="120" w:after="120"/>
              <w:rPr>
                <w:rFonts w:ascii="Rockwell" w:hAnsi="Rockwell"/>
                <w:color w:val="000000"/>
                <w:szCs w:val="26"/>
              </w:rPr>
            </w:pPr>
            <w:r>
              <w:rPr>
                <w:rFonts w:ascii="Rockwell" w:hAnsi="Rockwell"/>
                <w:color w:val="000000"/>
                <w:szCs w:val="26"/>
              </w:rPr>
              <w:t>99.3MHZ</w:t>
            </w:r>
          </w:p>
        </w:tc>
      </w:tr>
    </w:tbl>
    <w:p w14:paraId="0635E3F4" w14:textId="77777777" w:rsidR="00284822" w:rsidRDefault="00284822">
      <w:pPr>
        <w:pStyle w:val="Paragraphedeliste"/>
        <w:numPr>
          <w:ilvl w:val="0"/>
          <w:numId w:val="56"/>
        </w:numPr>
        <w:suppressAutoHyphens w:val="0"/>
        <w:autoSpaceDN/>
        <w:contextualSpacing/>
        <w:textAlignment w:val="auto"/>
        <w:rPr>
          <w:rFonts w:ascii="Rockwell" w:hAnsi="Rockwell"/>
          <w:b/>
          <w:bCs/>
          <w:color w:val="000000"/>
        </w:rPr>
        <w:sectPr w:rsidR="00284822">
          <w:pgSz w:w="16838" w:h="11906" w:orient="landscape"/>
          <w:pgMar w:top="1418" w:right="1418" w:bottom="1418" w:left="1418" w:header="720" w:footer="720" w:gutter="0"/>
          <w:cols w:space="720"/>
        </w:sectPr>
      </w:pPr>
    </w:p>
    <w:p w14:paraId="384602EC" w14:textId="3C4A9044" w:rsidR="00284822" w:rsidRDefault="00F77BF8">
      <w:pPr>
        <w:suppressAutoHyphens w:val="0"/>
        <w:autoSpaceDN/>
        <w:spacing w:before="120" w:after="120"/>
        <w:ind w:firstLine="1276"/>
        <w:contextualSpacing/>
        <w:jc w:val="left"/>
        <w:textAlignment w:val="auto"/>
        <w:rPr>
          <w:rFonts w:ascii="Rockwell" w:hAnsi="Rockwell"/>
          <w:b/>
          <w:bCs/>
          <w:color w:val="000000"/>
        </w:rPr>
      </w:pPr>
      <w:r>
        <w:rPr>
          <w:rFonts w:ascii="Rockwell" w:hAnsi="Rockwell"/>
          <w:b/>
        </w:rPr>
        <w:lastRenderedPageBreak/>
        <w:t>II. MEDIAS AUDIOVISUELS INTERNATIONAUX</w:t>
      </w:r>
    </w:p>
    <w:p w14:paraId="70EAE582" w14:textId="77777777" w:rsidR="00284822" w:rsidRDefault="00F77BF8">
      <w:pPr>
        <w:pStyle w:val="Paragraphedeliste"/>
        <w:numPr>
          <w:ilvl w:val="0"/>
          <w:numId w:val="57"/>
        </w:numPr>
        <w:ind w:firstLine="698"/>
        <w:rPr>
          <w:rFonts w:ascii="Rockwell" w:hAnsi="Rockwell"/>
          <w:sz w:val="24"/>
          <w:szCs w:val="24"/>
        </w:rPr>
      </w:pPr>
      <w:r>
        <w:rPr>
          <w:rFonts w:ascii="Rockwell" w:hAnsi="Rockwell"/>
          <w:sz w:val="24"/>
          <w:szCs w:val="24"/>
        </w:rPr>
        <w:t xml:space="preserve">RADIODIFFUSIONS SONORES </w:t>
      </w:r>
    </w:p>
    <w:p w14:paraId="7E739AE4" w14:textId="77777777" w:rsidR="00284822" w:rsidRDefault="00F77BF8">
      <w:pPr>
        <w:pStyle w:val="Paragraphedeliste"/>
        <w:numPr>
          <w:ilvl w:val="0"/>
          <w:numId w:val="58"/>
        </w:numPr>
        <w:ind w:firstLine="840"/>
        <w:rPr>
          <w:rFonts w:ascii="Rockwell" w:hAnsi="Rockwell"/>
        </w:rPr>
      </w:pPr>
      <w:r>
        <w:rPr>
          <w:rFonts w:ascii="Rockwell" w:hAnsi="Rockwell"/>
        </w:rPr>
        <w:t>Radios internationales : quatre (04)</w:t>
      </w:r>
    </w:p>
    <w:tbl>
      <w:tblPr>
        <w:tblW w:w="11619" w:type="dxa"/>
        <w:jc w:val="center"/>
        <w:tblLayout w:type="fixed"/>
        <w:tblCellMar>
          <w:left w:w="70" w:type="dxa"/>
          <w:right w:w="70" w:type="dxa"/>
        </w:tblCellMar>
        <w:tblLook w:val="04A0" w:firstRow="1" w:lastRow="0" w:firstColumn="1" w:lastColumn="0" w:noHBand="0" w:noVBand="1"/>
      </w:tblPr>
      <w:tblGrid>
        <w:gridCol w:w="846"/>
        <w:gridCol w:w="4988"/>
        <w:gridCol w:w="3118"/>
        <w:gridCol w:w="2667"/>
      </w:tblGrid>
      <w:tr w:rsidR="00284822" w14:paraId="5E4B5E4E"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bottom"/>
          </w:tcPr>
          <w:p w14:paraId="340A27F9" w14:textId="77777777" w:rsidR="00284822" w:rsidRDefault="00F77BF8">
            <w:pPr>
              <w:spacing w:before="120" w:after="120"/>
              <w:rPr>
                <w:rFonts w:ascii="Rockwell" w:hAnsi="Rockwell"/>
                <w:b/>
                <w:bCs/>
                <w:color w:val="000000"/>
                <w:szCs w:val="26"/>
              </w:rPr>
            </w:pPr>
            <w:r>
              <w:rPr>
                <w:rFonts w:ascii="Rockwell" w:hAnsi="Rockwell"/>
                <w:b/>
                <w:bCs/>
                <w:color w:val="000000"/>
                <w:szCs w:val="26"/>
              </w:rPr>
              <w:t>N°</w:t>
            </w:r>
          </w:p>
        </w:tc>
        <w:tc>
          <w:tcPr>
            <w:tcW w:w="4988" w:type="dxa"/>
            <w:tcBorders>
              <w:top w:val="single" w:sz="4" w:space="0" w:color="auto"/>
              <w:left w:val="nil"/>
              <w:bottom w:val="single" w:sz="4" w:space="0" w:color="auto"/>
              <w:right w:val="single" w:sz="4" w:space="0" w:color="auto"/>
            </w:tcBorders>
            <w:shd w:val="clear" w:color="auto" w:fill="BDD6EE" w:themeFill="accent1" w:themeFillTint="66"/>
            <w:noWrap/>
            <w:vAlign w:val="bottom"/>
          </w:tcPr>
          <w:p w14:paraId="04AC3AC6" w14:textId="77777777" w:rsidR="00284822" w:rsidRDefault="00F77BF8">
            <w:pPr>
              <w:spacing w:before="120" w:after="120"/>
              <w:rPr>
                <w:rFonts w:ascii="Rockwell" w:hAnsi="Rockwell"/>
                <w:b/>
                <w:bCs/>
                <w:color w:val="000000"/>
                <w:szCs w:val="26"/>
              </w:rPr>
            </w:pPr>
            <w:r>
              <w:rPr>
                <w:rFonts w:ascii="Rockwell" w:hAnsi="Rockwell"/>
                <w:b/>
                <w:bCs/>
                <w:color w:val="000000"/>
                <w:szCs w:val="26"/>
              </w:rPr>
              <w:t>Dénomination</w:t>
            </w:r>
          </w:p>
        </w:tc>
        <w:tc>
          <w:tcPr>
            <w:tcW w:w="3118" w:type="dxa"/>
            <w:tcBorders>
              <w:top w:val="single" w:sz="4" w:space="0" w:color="auto"/>
              <w:left w:val="nil"/>
              <w:bottom w:val="single" w:sz="4" w:space="0" w:color="auto"/>
              <w:right w:val="single" w:sz="4" w:space="0" w:color="auto"/>
            </w:tcBorders>
            <w:shd w:val="clear" w:color="auto" w:fill="BDD6EE" w:themeFill="accent1" w:themeFillTint="66"/>
            <w:noWrap/>
            <w:vAlign w:val="bottom"/>
          </w:tcPr>
          <w:p w14:paraId="5E578410" w14:textId="77777777" w:rsidR="00284822" w:rsidRDefault="00F77BF8">
            <w:pPr>
              <w:spacing w:before="120" w:after="120"/>
              <w:rPr>
                <w:rFonts w:ascii="Rockwell" w:hAnsi="Rockwell"/>
                <w:b/>
                <w:bCs/>
                <w:color w:val="000000"/>
                <w:szCs w:val="26"/>
              </w:rPr>
            </w:pPr>
            <w:r>
              <w:rPr>
                <w:rFonts w:ascii="Rockwell" w:hAnsi="Rockwell"/>
                <w:b/>
                <w:bCs/>
                <w:color w:val="000000"/>
                <w:szCs w:val="26"/>
              </w:rPr>
              <w:t>Localité/Province</w:t>
            </w:r>
          </w:p>
        </w:tc>
        <w:tc>
          <w:tcPr>
            <w:tcW w:w="2667" w:type="dxa"/>
            <w:tcBorders>
              <w:top w:val="single" w:sz="4" w:space="0" w:color="auto"/>
              <w:left w:val="nil"/>
              <w:bottom w:val="single" w:sz="4" w:space="0" w:color="auto"/>
              <w:right w:val="single" w:sz="4" w:space="0" w:color="auto"/>
            </w:tcBorders>
            <w:shd w:val="clear" w:color="auto" w:fill="BDD6EE" w:themeFill="accent1" w:themeFillTint="66"/>
            <w:noWrap/>
            <w:vAlign w:val="bottom"/>
          </w:tcPr>
          <w:p w14:paraId="5E723440" w14:textId="77777777" w:rsidR="00284822" w:rsidRDefault="00F77BF8">
            <w:pPr>
              <w:spacing w:before="120" w:after="120"/>
              <w:rPr>
                <w:rFonts w:ascii="Rockwell" w:hAnsi="Rockwell"/>
                <w:b/>
                <w:bCs/>
                <w:color w:val="000000"/>
                <w:szCs w:val="26"/>
              </w:rPr>
            </w:pPr>
            <w:r>
              <w:rPr>
                <w:rFonts w:ascii="Rockwell" w:hAnsi="Rockwell"/>
                <w:b/>
                <w:bCs/>
                <w:color w:val="000000"/>
                <w:szCs w:val="26"/>
              </w:rPr>
              <w:t>Fréquence</w:t>
            </w:r>
          </w:p>
        </w:tc>
      </w:tr>
      <w:tr w:rsidR="00284822" w14:paraId="715AC4CA" w14:textId="77777777">
        <w:trPr>
          <w:trHeight w:val="642"/>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C6DB520" w14:textId="77777777" w:rsidR="00284822" w:rsidRDefault="00F77BF8">
            <w:pPr>
              <w:spacing w:before="120" w:after="120"/>
              <w:jc w:val="left"/>
              <w:rPr>
                <w:rFonts w:ascii="Rockwell" w:hAnsi="Rockwell"/>
                <w:color w:val="000000"/>
                <w:szCs w:val="26"/>
              </w:rPr>
            </w:pPr>
            <w:r>
              <w:rPr>
                <w:rFonts w:ascii="Rockwell" w:hAnsi="Rockwell"/>
                <w:color w:val="000000"/>
                <w:szCs w:val="26"/>
              </w:rPr>
              <w:t>1</w:t>
            </w:r>
          </w:p>
        </w:tc>
        <w:tc>
          <w:tcPr>
            <w:tcW w:w="4988" w:type="dxa"/>
            <w:tcBorders>
              <w:top w:val="single" w:sz="4" w:space="0" w:color="auto"/>
              <w:left w:val="nil"/>
              <w:bottom w:val="single" w:sz="4" w:space="0" w:color="auto"/>
              <w:right w:val="single" w:sz="4" w:space="0" w:color="auto"/>
            </w:tcBorders>
            <w:shd w:val="clear" w:color="auto" w:fill="FFFFFF" w:themeFill="background1"/>
            <w:noWrap/>
          </w:tcPr>
          <w:p w14:paraId="67CA377B" w14:textId="77777777" w:rsidR="00284822" w:rsidRDefault="00F77BF8">
            <w:pPr>
              <w:spacing w:before="120" w:after="120"/>
              <w:jc w:val="left"/>
              <w:rPr>
                <w:rFonts w:ascii="Rockwell" w:hAnsi="Rockwell"/>
                <w:color w:val="000000"/>
                <w:szCs w:val="26"/>
              </w:rPr>
            </w:pPr>
            <w:r>
              <w:rPr>
                <w:rFonts w:ascii="Rockwell" w:hAnsi="Rockwell"/>
                <w:color w:val="000000"/>
                <w:szCs w:val="26"/>
              </w:rPr>
              <w:t>Radio France Internationale (RFI)</w:t>
            </w:r>
          </w:p>
        </w:tc>
        <w:tc>
          <w:tcPr>
            <w:tcW w:w="3118" w:type="dxa"/>
            <w:tcBorders>
              <w:top w:val="single" w:sz="4" w:space="0" w:color="auto"/>
              <w:left w:val="nil"/>
              <w:bottom w:val="single" w:sz="4" w:space="0" w:color="auto"/>
              <w:right w:val="single" w:sz="4" w:space="0" w:color="auto"/>
            </w:tcBorders>
            <w:shd w:val="clear" w:color="auto" w:fill="FFFFFF" w:themeFill="background1"/>
            <w:noWrap/>
          </w:tcPr>
          <w:p w14:paraId="53BF65FD" w14:textId="77777777" w:rsidR="00284822" w:rsidRDefault="00F77BF8">
            <w:pPr>
              <w:spacing w:before="120" w:after="120"/>
              <w:jc w:val="left"/>
              <w:rPr>
                <w:rFonts w:ascii="Rockwell" w:hAnsi="Rockwell"/>
                <w:color w:val="000000"/>
                <w:szCs w:val="26"/>
              </w:rPr>
            </w:pPr>
            <w:r>
              <w:rPr>
                <w:rFonts w:ascii="Rockwell" w:hAnsi="Rockwell"/>
                <w:color w:val="000000"/>
                <w:szCs w:val="26"/>
              </w:rPr>
              <w:t>Ouagadougou/Kadiogo</w:t>
            </w:r>
          </w:p>
        </w:tc>
        <w:tc>
          <w:tcPr>
            <w:tcW w:w="2667" w:type="dxa"/>
            <w:tcBorders>
              <w:top w:val="single" w:sz="4" w:space="0" w:color="auto"/>
              <w:left w:val="nil"/>
              <w:bottom w:val="single" w:sz="4" w:space="0" w:color="auto"/>
              <w:right w:val="single" w:sz="4" w:space="0" w:color="auto"/>
            </w:tcBorders>
            <w:shd w:val="clear" w:color="auto" w:fill="FFFFFF" w:themeFill="background1"/>
            <w:noWrap/>
          </w:tcPr>
          <w:p w14:paraId="70B881DC" w14:textId="77777777" w:rsidR="00284822" w:rsidRDefault="00F77BF8">
            <w:pPr>
              <w:spacing w:before="120" w:after="120"/>
              <w:jc w:val="left"/>
              <w:rPr>
                <w:rFonts w:ascii="Rockwell" w:hAnsi="Rockwell"/>
                <w:color w:val="000000"/>
                <w:szCs w:val="26"/>
              </w:rPr>
            </w:pPr>
            <w:r>
              <w:rPr>
                <w:rFonts w:ascii="Rockwell" w:hAnsi="Rockwell"/>
                <w:color w:val="000000"/>
                <w:szCs w:val="26"/>
              </w:rPr>
              <w:t>94.00 MHz</w:t>
            </w:r>
          </w:p>
        </w:tc>
      </w:tr>
      <w:tr w:rsidR="00284822" w14:paraId="618EF198" w14:textId="77777777">
        <w:trPr>
          <w:trHeight w:val="75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23C5A91" w14:textId="77777777" w:rsidR="00284822" w:rsidRDefault="00F77BF8">
            <w:pPr>
              <w:spacing w:before="120" w:after="120"/>
              <w:jc w:val="left"/>
              <w:rPr>
                <w:rFonts w:ascii="Rockwell" w:hAnsi="Rockwell"/>
                <w:color w:val="000000"/>
                <w:szCs w:val="26"/>
              </w:rPr>
            </w:pPr>
            <w:r>
              <w:rPr>
                <w:rFonts w:ascii="Rockwell" w:hAnsi="Rockwell"/>
                <w:color w:val="000000"/>
                <w:szCs w:val="26"/>
              </w:rPr>
              <w:t>2</w:t>
            </w:r>
          </w:p>
        </w:tc>
        <w:tc>
          <w:tcPr>
            <w:tcW w:w="4988" w:type="dxa"/>
            <w:tcBorders>
              <w:top w:val="single" w:sz="4" w:space="0" w:color="auto"/>
              <w:left w:val="nil"/>
              <w:bottom w:val="single" w:sz="4" w:space="0" w:color="auto"/>
              <w:right w:val="single" w:sz="4" w:space="0" w:color="auto"/>
            </w:tcBorders>
            <w:shd w:val="clear" w:color="auto" w:fill="FFFFFF" w:themeFill="background1"/>
            <w:noWrap/>
          </w:tcPr>
          <w:p w14:paraId="206B36C8" w14:textId="77777777" w:rsidR="00284822" w:rsidRDefault="00F77BF8">
            <w:pPr>
              <w:spacing w:before="120" w:after="120"/>
              <w:jc w:val="left"/>
              <w:rPr>
                <w:rFonts w:ascii="Rockwell" w:hAnsi="Rockwell"/>
                <w:color w:val="000000"/>
                <w:szCs w:val="26"/>
              </w:rPr>
            </w:pPr>
            <w:r>
              <w:rPr>
                <w:rFonts w:ascii="Rockwell" w:hAnsi="Rockwell"/>
                <w:color w:val="000000"/>
                <w:szCs w:val="26"/>
              </w:rPr>
              <w:t>Radio BBC</w:t>
            </w:r>
          </w:p>
        </w:tc>
        <w:tc>
          <w:tcPr>
            <w:tcW w:w="3118" w:type="dxa"/>
            <w:tcBorders>
              <w:top w:val="single" w:sz="4" w:space="0" w:color="auto"/>
              <w:left w:val="nil"/>
              <w:bottom w:val="single" w:sz="4" w:space="0" w:color="auto"/>
              <w:right w:val="single" w:sz="4" w:space="0" w:color="auto"/>
            </w:tcBorders>
            <w:shd w:val="clear" w:color="auto" w:fill="FFFFFF" w:themeFill="background1"/>
            <w:noWrap/>
          </w:tcPr>
          <w:p w14:paraId="4C2162C8" w14:textId="77777777" w:rsidR="00284822" w:rsidRDefault="00F77BF8">
            <w:pPr>
              <w:spacing w:before="120" w:after="120"/>
              <w:jc w:val="left"/>
              <w:rPr>
                <w:rFonts w:ascii="Rockwell" w:hAnsi="Rockwell"/>
                <w:color w:val="000000"/>
                <w:szCs w:val="26"/>
              </w:rPr>
            </w:pPr>
            <w:r>
              <w:rPr>
                <w:rFonts w:ascii="Rockwell" w:hAnsi="Rockwell"/>
                <w:color w:val="000000"/>
                <w:szCs w:val="26"/>
              </w:rPr>
              <w:t>Ouagadougou/Kadiogo</w:t>
            </w:r>
          </w:p>
        </w:tc>
        <w:tc>
          <w:tcPr>
            <w:tcW w:w="2667" w:type="dxa"/>
            <w:tcBorders>
              <w:top w:val="single" w:sz="4" w:space="0" w:color="auto"/>
              <w:left w:val="nil"/>
              <w:bottom w:val="single" w:sz="4" w:space="0" w:color="auto"/>
              <w:right w:val="single" w:sz="4" w:space="0" w:color="auto"/>
            </w:tcBorders>
            <w:shd w:val="clear" w:color="auto" w:fill="FFFFFF" w:themeFill="background1"/>
            <w:noWrap/>
          </w:tcPr>
          <w:p w14:paraId="37D7817A" w14:textId="77777777" w:rsidR="00284822" w:rsidRDefault="00F77BF8">
            <w:pPr>
              <w:spacing w:before="120" w:after="120"/>
              <w:jc w:val="left"/>
              <w:rPr>
                <w:rFonts w:ascii="Rockwell" w:hAnsi="Rockwell"/>
                <w:color w:val="000000"/>
                <w:szCs w:val="26"/>
              </w:rPr>
            </w:pPr>
            <w:r>
              <w:rPr>
                <w:rFonts w:ascii="Rockwell" w:hAnsi="Rockwell"/>
                <w:color w:val="000000"/>
                <w:szCs w:val="26"/>
              </w:rPr>
              <w:t>99.200 MHz</w:t>
            </w:r>
          </w:p>
        </w:tc>
      </w:tr>
      <w:tr w:rsidR="00284822" w14:paraId="58B0FBE5" w14:textId="77777777">
        <w:trPr>
          <w:trHeight w:val="608"/>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3D750F9" w14:textId="77777777" w:rsidR="00284822" w:rsidRDefault="00F77BF8">
            <w:pPr>
              <w:spacing w:before="120" w:after="120"/>
              <w:jc w:val="left"/>
              <w:rPr>
                <w:rFonts w:ascii="Rockwell" w:hAnsi="Rockwell"/>
                <w:color w:val="000000"/>
                <w:szCs w:val="26"/>
              </w:rPr>
            </w:pPr>
            <w:r>
              <w:rPr>
                <w:rFonts w:ascii="Rockwell" w:hAnsi="Rockwell"/>
                <w:color w:val="000000"/>
                <w:szCs w:val="26"/>
              </w:rPr>
              <w:t>3</w:t>
            </w:r>
          </w:p>
        </w:tc>
        <w:tc>
          <w:tcPr>
            <w:tcW w:w="4988" w:type="dxa"/>
            <w:tcBorders>
              <w:top w:val="single" w:sz="4" w:space="0" w:color="auto"/>
              <w:left w:val="nil"/>
              <w:bottom w:val="single" w:sz="4" w:space="0" w:color="auto"/>
              <w:right w:val="single" w:sz="4" w:space="0" w:color="auto"/>
            </w:tcBorders>
            <w:shd w:val="clear" w:color="auto" w:fill="FFFFFF" w:themeFill="background1"/>
            <w:noWrap/>
          </w:tcPr>
          <w:p w14:paraId="364A4ADB" w14:textId="77777777" w:rsidR="00284822" w:rsidRDefault="00F77BF8">
            <w:pPr>
              <w:spacing w:before="120" w:after="120"/>
              <w:jc w:val="left"/>
              <w:rPr>
                <w:rFonts w:ascii="Rockwell" w:hAnsi="Rockwell"/>
                <w:color w:val="000000"/>
                <w:szCs w:val="26"/>
              </w:rPr>
            </w:pPr>
            <w:r>
              <w:rPr>
                <w:rFonts w:ascii="Rockwell" w:hAnsi="Rockwell"/>
                <w:color w:val="000000"/>
                <w:szCs w:val="26"/>
              </w:rPr>
              <w:t>VOA</w:t>
            </w:r>
          </w:p>
        </w:tc>
        <w:tc>
          <w:tcPr>
            <w:tcW w:w="3118" w:type="dxa"/>
            <w:tcBorders>
              <w:top w:val="single" w:sz="4" w:space="0" w:color="auto"/>
              <w:left w:val="nil"/>
              <w:bottom w:val="single" w:sz="4" w:space="0" w:color="auto"/>
              <w:right w:val="single" w:sz="4" w:space="0" w:color="auto"/>
            </w:tcBorders>
            <w:shd w:val="clear" w:color="auto" w:fill="FFFFFF" w:themeFill="background1"/>
            <w:noWrap/>
          </w:tcPr>
          <w:p w14:paraId="5B268AB3" w14:textId="77777777" w:rsidR="00284822" w:rsidRDefault="00F77BF8">
            <w:pPr>
              <w:spacing w:before="120" w:after="120"/>
              <w:jc w:val="left"/>
              <w:rPr>
                <w:rFonts w:ascii="Rockwell" w:hAnsi="Rockwell"/>
                <w:color w:val="000000"/>
                <w:szCs w:val="26"/>
              </w:rPr>
            </w:pPr>
            <w:r>
              <w:rPr>
                <w:rFonts w:ascii="Rockwell" w:hAnsi="Rockwell"/>
                <w:color w:val="000000"/>
                <w:szCs w:val="26"/>
              </w:rPr>
              <w:t>Ouagadougou/Kadiogo</w:t>
            </w:r>
          </w:p>
        </w:tc>
        <w:tc>
          <w:tcPr>
            <w:tcW w:w="2667" w:type="dxa"/>
            <w:tcBorders>
              <w:top w:val="single" w:sz="4" w:space="0" w:color="auto"/>
              <w:left w:val="nil"/>
              <w:bottom w:val="single" w:sz="4" w:space="0" w:color="auto"/>
              <w:right w:val="single" w:sz="4" w:space="0" w:color="auto"/>
            </w:tcBorders>
            <w:shd w:val="clear" w:color="auto" w:fill="FFFFFF" w:themeFill="background1"/>
            <w:noWrap/>
          </w:tcPr>
          <w:p w14:paraId="70A3D861" w14:textId="77777777" w:rsidR="00284822" w:rsidRDefault="00F77BF8">
            <w:pPr>
              <w:spacing w:before="120" w:after="120"/>
              <w:jc w:val="left"/>
              <w:rPr>
                <w:rFonts w:ascii="Rockwell" w:hAnsi="Rockwell"/>
                <w:color w:val="000000"/>
                <w:szCs w:val="26"/>
              </w:rPr>
            </w:pPr>
            <w:r>
              <w:rPr>
                <w:rFonts w:ascii="Rockwell" w:hAnsi="Rockwell"/>
                <w:color w:val="000000"/>
                <w:szCs w:val="26"/>
              </w:rPr>
              <w:t>102.400 MHz</w:t>
            </w:r>
          </w:p>
        </w:tc>
      </w:tr>
      <w:tr w:rsidR="00284822" w14:paraId="3B28C6E9" w14:textId="77777777">
        <w:trPr>
          <w:trHeight w:val="859"/>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8BC675F" w14:textId="77777777" w:rsidR="00284822" w:rsidRDefault="00F77BF8">
            <w:pPr>
              <w:spacing w:before="120" w:after="120"/>
              <w:jc w:val="left"/>
              <w:rPr>
                <w:rFonts w:ascii="Rockwell" w:hAnsi="Rockwell"/>
                <w:color w:val="000000"/>
                <w:szCs w:val="26"/>
              </w:rPr>
            </w:pPr>
            <w:r>
              <w:rPr>
                <w:rFonts w:ascii="Rockwell" w:hAnsi="Rockwell"/>
                <w:color w:val="000000"/>
                <w:szCs w:val="26"/>
              </w:rPr>
              <w:t>4</w:t>
            </w:r>
          </w:p>
        </w:tc>
        <w:tc>
          <w:tcPr>
            <w:tcW w:w="4988" w:type="dxa"/>
            <w:tcBorders>
              <w:top w:val="single" w:sz="4" w:space="0" w:color="auto"/>
              <w:left w:val="nil"/>
              <w:bottom w:val="single" w:sz="4" w:space="0" w:color="auto"/>
              <w:right w:val="single" w:sz="4" w:space="0" w:color="auto"/>
            </w:tcBorders>
            <w:shd w:val="clear" w:color="auto" w:fill="FFFFFF" w:themeFill="background1"/>
            <w:noWrap/>
          </w:tcPr>
          <w:p w14:paraId="0ED65F90" w14:textId="77777777" w:rsidR="00284822" w:rsidRDefault="00F77BF8">
            <w:pPr>
              <w:spacing w:before="120" w:after="120"/>
              <w:jc w:val="left"/>
              <w:rPr>
                <w:rFonts w:ascii="Rockwell" w:hAnsi="Rockwell"/>
                <w:color w:val="000000"/>
                <w:szCs w:val="26"/>
              </w:rPr>
            </w:pPr>
            <w:r>
              <w:rPr>
                <w:rFonts w:ascii="Rockwell" w:hAnsi="Rockwell"/>
                <w:szCs w:val="26"/>
              </w:rPr>
              <w:t>Radio</w:t>
            </w:r>
            <w:r>
              <w:rPr>
                <w:rFonts w:ascii="Rockwell" w:hAnsi="Rockwell"/>
                <w:b/>
                <w:szCs w:val="26"/>
              </w:rPr>
              <w:t xml:space="preserve"> </w:t>
            </w:r>
            <w:proofErr w:type="spellStart"/>
            <w:r>
              <w:rPr>
                <w:rFonts w:ascii="Rockwell" w:hAnsi="Rockwell"/>
                <w:color w:val="000000"/>
                <w:szCs w:val="26"/>
              </w:rPr>
              <w:t>Médi</w:t>
            </w:r>
            <w:proofErr w:type="spellEnd"/>
            <w:r>
              <w:rPr>
                <w:rFonts w:ascii="Rockwell" w:hAnsi="Rockwell"/>
                <w:color w:val="000000"/>
                <w:szCs w:val="26"/>
              </w:rPr>
              <w:t xml:space="preserve"> 1</w:t>
            </w:r>
          </w:p>
        </w:tc>
        <w:tc>
          <w:tcPr>
            <w:tcW w:w="3118" w:type="dxa"/>
            <w:tcBorders>
              <w:top w:val="single" w:sz="4" w:space="0" w:color="auto"/>
              <w:left w:val="nil"/>
              <w:bottom w:val="single" w:sz="4" w:space="0" w:color="auto"/>
              <w:right w:val="single" w:sz="4" w:space="0" w:color="auto"/>
            </w:tcBorders>
            <w:shd w:val="clear" w:color="auto" w:fill="FFFFFF" w:themeFill="background1"/>
            <w:noWrap/>
          </w:tcPr>
          <w:p w14:paraId="511CC5B1" w14:textId="77777777" w:rsidR="00284822" w:rsidRDefault="00F77BF8">
            <w:pPr>
              <w:spacing w:before="120" w:after="120"/>
              <w:jc w:val="left"/>
              <w:rPr>
                <w:rFonts w:ascii="Rockwell" w:hAnsi="Rockwell"/>
                <w:color w:val="000000"/>
                <w:szCs w:val="26"/>
              </w:rPr>
            </w:pPr>
            <w:r>
              <w:rPr>
                <w:rFonts w:ascii="Rockwell" w:hAnsi="Rockwell"/>
                <w:color w:val="000000"/>
                <w:szCs w:val="26"/>
              </w:rPr>
              <w:t>Ouagadougou/Kadiogo</w:t>
            </w:r>
          </w:p>
        </w:tc>
        <w:tc>
          <w:tcPr>
            <w:tcW w:w="2667" w:type="dxa"/>
            <w:tcBorders>
              <w:top w:val="single" w:sz="4" w:space="0" w:color="auto"/>
              <w:left w:val="nil"/>
              <w:bottom w:val="single" w:sz="4" w:space="0" w:color="auto"/>
              <w:right w:val="single" w:sz="4" w:space="0" w:color="auto"/>
            </w:tcBorders>
            <w:shd w:val="clear" w:color="auto" w:fill="FFFFFF" w:themeFill="background1"/>
            <w:noWrap/>
          </w:tcPr>
          <w:p w14:paraId="57D901D9" w14:textId="77777777" w:rsidR="00284822" w:rsidRDefault="00F77BF8">
            <w:pPr>
              <w:spacing w:before="120" w:after="120"/>
              <w:jc w:val="left"/>
              <w:rPr>
                <w:rFonts w:ascii="Rockwell" w:hAnsi="Rockwell"/>
                <w:color w:val="000000"/>
                <w:szCs w:val="26"/>
              </w:rPr>
            </w:pPr>
            <w:r>
              <w:rPr>
                <w:rFonts w:ascii="Rockwell" w:hAnsi="Rockwell"/>
                <w:szCs w:val="26"/>
              </w:rPr>
              <w:t>102.0 MHz</w:t>
            </w:r>
          </w:p>
        </w:tc>
      </w:tr>
    </w:tbl>
    <w:p w14:paraId="2663B3C2" w14:textId="77777777" w:rsidR="00284822" w:rsidRDefault="00284822">
      <w:pPr>
        <w:spacing w:before="120" w:after="120"/>
        <w:rPr>
          <w:rFonts w:ascii="Rockwell" w:hAnsi="Rockwell"/>
          <w:szCs w:val="26"/>
        </w:rPr>
      </w:pPr>
    </w:p>
    <w:p w14:paraId="59F3EE85" w14:textId="77777777" w:rsidR="00284822" w:rsidRDefault="00284822">
      <w:pPr>
        <w:spacing w:before="120" w:after="120"/>
        <w:rPr>
          <w:rFonts w:ascii="Rockwell" w:hAnsi="Rockwell"/>
          <w:szCs w:val="26"/>
        </w:rPr>
      </w:pPr>
    </w:p>
    <w:p w14:paraId="60E99E93" w14:textId="77777777" w:rsidR="00284822" w:rsidRDefault="00284822">
      <w:pPr>
        <w:spacing w:before="120" w:after="120"/>
        <w:rPr>
          <w:rFonts w:ascii="Rockwell" w:hAnsi="Rockwell"/>
          <w:szCs w:val="26"/>
        </w:rPr>
        <w:sectPr w:rsidR="00284822">
          <w:pgSz w:w="16838" w:h="11906" w:orient="landscape"/>
          <w:pgMar w:top="1418" w:right="1418" w:bottom="1418" w:left="1418" w:header="720" w:footer="720" w:gutter="0"/>
          <w:cols w:space="720"/>
        </w:sectPr>
      </w:pPr>
    </w:p>
    <w:p w14:paraId="1DD5EB79" w14:textId="77777777" w:rsidR="00284822" w:rsidRDefault="00F77BF8">
      <w:pPr>
        <w:pStyle w:val="Paragraphedeliste"/>
        <w:numPr>
          <w:ilvl w:val="0"/>
          <w:numId w:val="57"/>
        </w:numPr>
        <w:rPr>
          <w:rFonts w:ascii="Rockwell" w:hAnsi="Rockwell"/>
        </w:rPr>
      </w:pPr>
      <w:r>
        <w:rPr>
          <w:rFonts w:ascii="Rockwell" w:hAnsi="Rockwell"/>
        </w:rPr>
        <w:lastRenderedPageBreak/>
        <w:t>RADIODIFFUSIONS TELEVISUELLES</w:t>
      </w:r>
    </w:p>
    <w:p w14:paraId="32B73748" w14:textId="77777777" w:rsidR="00284822" w:rsidRDefault="00F77BF8">
      <w:pPr>
        <w:spacing w:before="120" w:after="120"/>
        <w:ind w:firstLine="709"/>
        <w:rPr>
          <w:rFonts w:ascii="Rockwell" w:hAnsi="Rockwell"/>
        </w:rPr>
      </w:pPr>
      <w:r>
        <w:rPr>
          <w:rFonts w:ascii="Rockwell" w:hAnsi="Rockwell"/>
          <w:b/>
          <w:bCs/>
          <w:color w:val="000000"/>
        </w:rPr>
        <w:t>1</w:t>
      </w:r>
      <w:r>
        <w:rPr>
          <w:rFonts w:ascii="Rockwell" w:hAnsi="Rockwell"/>
        </w:rPr>
        <w:t>. Télévisions confessionnelles : cinq (05)</w:t>
      </w:r>
    </w:p>
    <w:tbl>
      <w:tblPr>
        <w:tblW w:w="13745" w:type="dxa"/>
        <w:jc w:val="center"/>
        <w:tblLayout w:type="fixed"/>
        <w:tblCellMar>
          <w:left w:w="70" w:type="dxa"/>
          <w:right w:w="70" w:type="dxa"/>
        </w:tblCellMar>
        <w:tblLook w:val="04A0" w:firstRow="1" w:lastRow="0" w:firstColumn="1" w:lastColumn="0" w:noHBand="0" w:noVBand="1"/>
      </w:tblPr>
      <w:tblGrid>
        <w:gridCol w:w="1129"/>
        <w:gridCol w:w="3828"/>
        <w:gridCol w:w="3287"/>
        <w:gridCol w:w="1816"/>
        <w:gridCol w:w="3685"/>
      </w:tblGrid>
      <w:tr w:rsidR="00284822" w14:paraId="7110DCF4" w14:textId="77777777">
        <w:trPr>
          <w:trHeight w:val="588"/>
          <w:jc w:val="center"/>
        </w:trPr>
        <w:tc>
          <w:tcPr>
            <w:tcW w:w="1129" w:type="dxa"/>
            <w:tcBorders>
              <w:top w:val="single" w:sz="4" w:space="0" w:color="auto"/>
              <w:left w:val="single" w:sz="4" w:space="0" w:color="auto"/>
              <w:bottom w:val="single" w:sz="4" w:space="0" w:color="auto"/>
              <w:right w:val="single" w:sz="4" w:space="0" w:color="auto"/>
            </w:tcBorders>
            <w:shd w:val="clear" w:color="auto" w:fill="BDD6EE" w:themeFill="accent1" w:themeFillTint="66"/>
            <w:noWrap/>
          </w:tcPr>
          <w:p w14:paraId="39D09315" w14:textId="77777777" w:rsidR="00284822" w:rsidRDefault="00F77BF8">
            <w:pPr>
              <w:spacing w:before="120" w:after="120"/>
              <w:jc w:val="left"/>
              <w:rPr>
                <w:rFonts w:ascii="Rockwell" w:hAnsi="Rockwell"/>
                <w:b/>
                <w:bCs/>
                <w:color w:val="000000"/>
                <w:szCs w:val="26"/>
              </w:rPr>
            </w:pPr>
            <w:r>
              <w:rPr>
                <w:rFonts w:ascii="Rockwell" w:hAnsi="Rockwell"/>
                <w:b/>
                <w:bCs/>
                <w:color w:val="000000"/>
                <w:szCs w:val="26"/>
              </w:rPr>
              <w:t>N°</w:t>
            </w:r>
          </w:p>
        </w:tc>
        <w:tc>
          <w:tcPr>
            <w:tcW w:w="3828" w:type="dxa"/>
            <w:tcBorders>
              <w:top w:val="single" w:sz="4" w:space="0" w:color="auto"/>
              <w:left w:val="nil"/>
              <w:bottom w:val="single" w:sz="4" w:space="0" w:color="auto"/>
              <w:right w:val="single" w:sz="4" w:space="0" w:color="auto"/>
            </w:tcBorders>
            <w:shd w:val="clear" w:color="auto" w:fill="BDD6EE" w:themeFill="accent1" w:themeFillTint="66"/>
            <w:noWrap/>
          </w:tcPr>
          <w:p w14:paraId="11A762E0" w14:textId="77777777" w:rsidR="00284822" w:rsidRDefault="00F77BF8">
            <w:pPr>
              <w:spacing w:before="120" w:after="120"/>
              <w:jc w:val="left"/>
              <w:rPr>
                <w:rFonts w:ascii="Rockwell" w:hAnsi="Rockwell"/>
                <w:b/>
                <w:bCs/>
                <w:color w:val="000000"/>
                <w:szCs w:val="26"/>
              </w:rPr>
            </w:pPr>
            <w:r>
              <w:rPr>
                <w:rFonts w:ascii="Rockwell" w:hAnsi="Rockwell"/>
                <w:b/>
                <w:bCs/>
                <w:color w:val="000000"/>
                <w:szCs w:val="26"/>
              </w:rPr>
              <w:t>Dénomination</w:t>
            </w:r>
          </w:p>
        </w:tc>
        <w:tc>
          <w:tcPr>
            <w:tcW w:w="3287" w:type="dxa"/>
            <w:tcBorders>
              <w:top w:val="single" w:sz="4" w:space="0" w:color="auto"/>
              <w:left w:val="nil"/>
              <w:bottom w:val="single" w:sz="4" w:space="0" w:color="auto"/>
              <w:right w:val="single" w:sz="4" w:space="0" w:color="auto"/>
            </w:tcBorders>
            <w:shd w:val="clear" w:color="auto" w:fill="BDD6EE" w:themeFill="accent1" w:themeFillTint="66"/>
            <w:noWrap/>
          </w:tcPr>
          <w:p w14:paraId="5D88E179" w14:textId="77777777" w:rsidR="00284822" w:rsidRDefault="00F77BF8">
            <w:pPr>
              <w:spacing w:before="120" w:after="120"/>
              <w:jc w:val="left"/>
              <w:rPr>
                <w:rFonts w:ascii="Rockwell" w:hAnsi="Rockwell"/>
                <w:b/>
                <w:bCs/>
                <w:color w:val="000000"/>
                <w:szCs w:val="26"/>
              </w:rPr>
            </w:pPr>
            <w:r>
              <w:rPr>
                <w:rFonts w:ascii="Rockwell" w:hAnsi="Rockwell"/>
                <w:b/>
                <w:bCs/>
                <w:color w:val="000000"/>
                <w:szCs w:val="26"/>
              </w:rPr>
              <w:t>Localité/Province</w:t>
            </w:r>
          </w:p>
        </w:tc>
        <w:tc>
          <w:tcPr>
            <w:tcW w:w="1816" w:type="dxa"/>
            <w:tcBorders>
              <w:top w:val="single" w:sz="4" w:space="0" w:color="auto"/>
              <w:left w:val="nil"/>
              <w:bottom w:val="single" w:sz="4" w:space="0" w:color="auto"/>
              <w:right w:val="single" w:sz="4" w:space="0" w:color="auto"/>
            </w:tcBorders>
            <w:shd w:val="clear" w:color="auto" w:fill="BDD6EE" w:themeFill="accent1" w:themeFillTint="66"/>
            <w:noWrap/>
          </w:tcPr>
          <w:p w14:paraId="673EBE57" w14:textId="77777777" w:rsidR="00284822" w:rsidRDefault="00F77BF8">
            <w:pPr>
              <w:spacing w:before="120" w:after="120"/>
              <w:jc w:val="left"/>
              <w:rPr>
                <w:rFonts w:ascii="Rockwell" w:hAnsi="Rockwell"/>
                <w:b/>
                <w:bCs/>
                <w:color w:val="000000"/>
                <w:szCs w:val="26"/>
              </w:rPr>
            </w:pPr>
            <w:r>
              <w:rPr>
                <w:rFonts w:ascii="Rockwell" w:hAnsi="Rockwell"/>
                <w:b/>
                <w:bCs/>
                <w:color w:val="000000"/>
                <w:szCs w:val="26"/>
              </w:rPr>
              <w:t>Canal TNT</w:t>
            </w:r>
          </w:p>
        </w:tc>
        <w:tc>
          <w:tcPr>
            <w:tcW w:w="3685" w:type="dxa"/>
            <w:tcBorders>
              <w:top w:val="single" w:sz="4" w:space="0" w:color="auto"/>
              <w:left w:val="nil"/>
              <w:bottom w:val="single" w:sz="4" w:space="0" w:color="auto"/>
              <w:right w:val="single" w:sz="4" w:space="0" w:color="auto"/>
            </w:tcBorders>
            <w:shd w:val="clear" w:color="auto" w:fill="BDD6EE" w:themeFill="accent1" w:themeFillTint="66"/>
          </w:tcPr>
          <w:p w14:paraId="6D18F235" w14:textId="77777777" w:rsidR="00284822" w:rsidRDefault="00F77BF8">
            <w:pPr>
              <w:spacing w:before="120" w:after="120"/>
              <w:jc w:val="left"/>
              <w:rPr>
                <w:rFonts w:ascii="Rockwell" w:hAnsi="Rockwell"/>
                <w:b/>
                <w:bCs/>
                <w:color w:val="000000"/>
                <w:szCs w:val="26"/>
              </w:rPr>
            </w:pPr>
            <w:r>
              <w:rPr>
                <w:rFonts w:ascii="Rockwell" w:hAnsi="Rockwell"/>
                <w:b/>
                <w:bCs/>
                <w:color w:val="000000"/>
                <w:szCs w:val="26"/>
              </w:rPr>
              <w:t>Zone de couverture</w:t>
            </w:r>
          </w:p>
        </w:tc>
      </w:tr>
      <w:tr w:rsidR="00284822" w14:paraId="1536A40A"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EF966AA" w14:textId="77777777" w:rsidR="00284822" w:rsidRDefault="00F77BF8">
            <w:pPr>
              <w:spacing w:before="120" w:after="120"/>
              <w:rPr>
                <w:rFonts w:ascii="Rockwell" w:hAnsi="Rockwell"/>
                <w:color w:val="000000"/>
                <w:szCs w:val="26"/>
              </w:rPr>
            </w:pPr>
            <w:r>
              <w:rPr>
                <w:rFonts w:ascii="Rockwell" w:hAnsi="Rockwell"/>
                <w:color w:val="000000"/>
                <w:szCs w:val="26"/>
              </w:rPr>
              <w:t>1</w:t>
            </w:r>
          </w:p>
        </w:tc>
        <w:tc>
          <w:tcPr>
            <w:tcW w:w="3828" w:type="dxa"/>
            <w:tcBorders>
              <w:top w:val="single" w:sz="4" w:space="0" w:color="auto"/>
              <w:left w:val="nil"/>
              <w:bottom w:val="single" w:sz="4" w:space="0" w:color="auto"/>
              <w:right w:val="single" w:sz="4" w:space="0" w:color="auto"/>
            </w:tcBorders>
            <w:shd w:val="clear" w:color="auto" w:fill="FFFFFF" w:themeFill="background1"/>
            <w:noWrap/>
            <w:vAlign w:val="bottom"/>
          </w:tcPr>
          <w:p w14:paraId="30E4627F" w14:textId="77777777" w:rsidR="00284822" w:rsidRDefault="00F77BF8">
            <w:pPr>
              <w:spacing w:before="120" w:after="120"/>
              <w:rPr>
                <w:rFonts w:ascii="Rockwell" w:hAnsi="Rockwell"/>
                <w:color w:val="000000"/>
                <w:szCs w:val="26"/>
              </w:rPr>
            </w:pPr>
            <w:r>
              <w:rPr>
                <w:rFonts w:ascii="Rockwell" w:hAnsi="Rockwell"/>
                <w:color w:val="000000"/>
                <w:szCs w:val="26"/>
              </w:rPr>
              <w:t xml:space="preserve">Canal </w:t>
            </w:r>
            <w:proofErr w:type="spellStart"/>
            <w:r>
              <w:rPr>
                <w:rFonts w:ascii="Rockwell" w:hAnsi="Rockwell"/>
                <w:color w:val="000000"/>
                <w:szCs w:val="26"/>
              </w:rPr>
              <w:t>Viim</w:t>
            </w:r>
            <w:proofErr w:type="spellEnd"/>
            <w:r>
              <w:rPr>
                <w:rFonts w:ascii="Rockwell" w:hAnsi="Rockwell"/>
                <w:color w:val="000000"/>
                <w:szCs w:val="26"/>
              </w:rPr>
              <w:t xml:space="preserve"> </w:t>
            </w:r>
            <w:proofErr w:type="spellStart"/>
            <w:r>
              <w:rPr>
                <w:rFonts w:ascii="Rockwell" w:hAnsi="Rockwell"/>
                <w:color w:val="000000"/>
                <w:szCs w:val="26"/>
              </w:rPr>
              <w:t>Koèga</w:t>
            </w:r>
            <w:proofErr w:type="spellEnd"/>
            <w:r>
              <w:rPr>
                <w:rFonts w:ascii="Rockwell" w:hAnsi="Rockwell"/>
                <w:color w:val="000000"/>
                <w:szCs w:val="26"/>
              </w:rPr>
              <w:t xml:space="preserve"> (CVK)</w:t>
            </w:r>
          </w:p>
        </w:tc>
        <w:tc>
          <w:tcPr>
            <w:tcW w:w="3287" w:type="dxa"/>
            <w:tcBorders>
              <w:top w:val="single" w:sz="4" w:space="0" w:color="auto"/>
              <w:left w:val="nil"/>
              <w:bottom w:val="single" w:sz="4" w:space="0" w:color="auto"/>
              <w:right w:val="single" w:sz="4" w:space="0" w:color="auto"/>
            </w:tcBorders>
            <w:shd w:val="clear" w:color="auto" w:fill="FFFFFF" w:themeFill="background1"/>
            <w:noWrap/>
            <w:vAlign w:val="bottom"/>
          </w:tcPr>
          <w:p w14:paraId="44A37AB4"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1816" w:type="dxa"/>
            <w:tcBorders>
              <w:top w:val="single" w:sz="4" w:space="0" w:color="auto"/>
              <w:left w:val="nil"/>
              <w:bottom w:val="single" w:sz="4" w:space="0" w:color="auto"/>
              <w:right w:val="single" w:sz="4" w:space="0" w:color="auto"/>
            </w:tcBorders>
            <w:shd w:val="clear" w:color="auto" w:fill="FFFFFF" w:themeFill="background1"/>
            <w:noWrap/>
            <w:vAlign w:val="bottom"/>
          </w:tcPr>
          <w:p w14:paraId="4EA719B1" w14:textId="77777777" w:rsidR="00284822" w:rsidRDefault="00F77BF8">
            <w:pPr>
              <w:spacing w:before="120" w:after="120"/>
              <w:rPr>
                <w:rFonts w:ascii="Rockwell" w:hAnsi="Rockwell"/>
                <w:color w:val="000000"/>
                <w:szCs w:val="26"/>
              </w:rPr>
            </w:pPr>
            <w:r>
              <w:rPr>
                <w:rFonts w:ascii="Rockwell" w:hAnsi="Rockwell"/>
                <w:color w:val="000000"/>
                <w:szCs w:val="26"/>
              </w:rPr>
              <w:t xml:space="preserve"> Canal </w:t>
            </w:r>
            <w:r>
              <w:rPr>
                <w:rFonts w:ascii="Rockwell" w:hAnsi="Rockwell"/>
                <w:bCs/>
                <w:color w:val="000000"/>
                <w:szCs w:val="26"/>
              </w:rPr>
              <w:t>TNT</w:t>
            </w:r>
            <w:r>
              <w:rPr>
                <w:rFonts w:ascii="Rockwell" w:hAnsi="Rockwell"/>
                <w:color w:val="000000"/>
                <w:szCs w:val="26"/>
              </w:rPr>
              <w:t xml:space="preserve"> </w:t>
            </w:r>
          </w:p>
        </w:tc>
        <w:tc>
          <w:tcPr>
            <w:tcW w:w="3685" w:type="dxa"/>
            <w:tcBorders>
              <w:top w:val="single" w:sz="4" w:space="0" w:color="auto"/>
              <w:left w:val="nil"/>
              <w:bottom w:val="single" w:sz="4" w:space="0" w:color="auto"/>
              <w:right w:val="single" w:sz="4" w:space="0" w:color="auto"/>
            </w:tcBorders>
            <w:shd w:val="clear" w:color="auto" w:fill="FFFFFF" w:themeFill="background1"/>
            <w:vAlign w:val="bottom"/>
          </w:tcPr>
          <w:p w14:paraId="7B916E05" w14:textId="77777777" w:rsidR="00284822" w:rsidRDefault="00F77BF8">
            <w:pPr>
              <w:spacing w:before="120" w:after="120"/>
              <w:jc w:val="center"/>
              <w:rPr>
                <w:rFonts w:ascii="Rockwell" w:hAnsi="Rockwell"/>
                <w:color w:val="000000"/>
                <w:szCs w:val="26"/>
              </w:rPr>
            </w:pPr>
            <w:r>
              <w:rPr>
                <w:rFonts w:ascii="Rockwell" w:hAnsi="Rockwell"/>
                <w:color w:val="000000"/>
                <w:szCs w:val="26"/>
              </w:rPr>
              <w:t>Nationale</w:t>
            </w:r>
          </w:p>
        </w:tc>
      </w:tr>
      <w:tr w:rsidR="00284822" w14:paraId="2A329D0D"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C3FCE99" w14:textId="77777777" w:rsidR="00284822" w:rsidRDefault="00F77BF8">
            <w:pPr>
              <w:spacing w:before="120" w:after="120"/>
              <w:rPr>
                <w:rFonts w:ascii="Rockwell" w:hAnsi="Rockwell"/>
                <w:color w:val="000000"/>
                <w:szCs w:val="26"/>
              </w:rPr>
            </w:pPr>
            <w:r>
              <w:rPr>
                <w:rFonts w:ascii="Rockwell" w:hAnsi="Rockwell"/>
                <w:color w:val="000000"/>
                <w:szCs w:val="26"/>
              </w:rPr>
              <w:t>2</w:t>
            </w:r>
          </w:p>
        </w:tc>
        <w:tc>
          <w:tcPr>
            <w:tcW w:w="3828" w:type="dxa"/>
            <w:tcBorders>
              <w:top w:val="single" w:sz="4" w:space="0" w:color="auto"/>
              <w:left w:val="nil"/>
              <w:bottom w:val="single" w:sz="4" w:space="0" w:color="auto"/>
              <w:right w:val="single" w:sz="4" w:space="0" w:color="auto"/>
            </w:tcBorders>
            <w:shd w:val="clear" w:color="auto" w:fill="FFFFFF" w:themeFill="background1"/>
            <w:noWrap/>
            <w:vAlign w:val="bottom"/>
          </w:tcPr>
          <w:p w14:paraId="66E5C1E9" w14:textId="77777777" w:rsidR="00284822" w:rsidRDefault="00F77BF8">
            <w:pPr>
              <w:spacing w:before="120" w:after="120"/>
              <w:rPr>
                <w:rFonts w:ascii="Rockwell" w:hAnsi="Rockwell"/>
                <w:color w:val="000000"/>
                <w:szCs w:val="26"/>
              </w:rPr>
            </w:pPr>
            <w:r>
              <w:rPr>
                <w:rFonts w:ascii="Rockwell" w:hAnsi="Rockwell"/>
                <w:color w:val="000000"/>
                <w:szCs w:val="26"/>
              </w:rPr>
              <w:t>TV Maria</w:t>
            </w:r>
          </w:p>
        </w:tc>
        <w:tc>
          <w:tcPr>
            <w:tcW w:w="3287" w:type="dxa"/>
            <w:tcBorders>
              <w:top w:val="single" w:sz="4" w:space="0" w:color="auto"/>
              <w:left w:val="nil"/>
              <w:bottom w:val="single" w:sz="4" w:space="0" w:color="auto"/>
              <w:right w:val="single" w:sz="4" w:space="0" w:color="auto"/>
            </w:tcBorders>
            <w:shd w:val="clear" w:color="auto" w:fill="FFFFFF" w:themeFill="background1"/>
            <w:noWrap/>
            <w:vAlign w:val="bottom"/>
          </w:tcPr>
          <w:p w14:paraId="174CEB14"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1816" w:type="dxa"/>
            <w:tcBorders>
              <w:top w:val="single" w:sz="4" w:space="0" w:color="auto"/>
              <w:left w:val="nil"/>
              <w:bottom w:val="single" w:sz="4" w:space="0" w:color="auto"/>
              <w:right w:val="single" w:sz="4" w:space="0" w:color="auto"/>
            </w:tcBorders>
            <w:shd w:val="clear" w:color="auto" w:fill="FFFFFF" w:themeFill="background1"/>
            <w:noWrap/>
          </w:tcPr>
          <w:p w14:paraId="7CE31329" w14:textId="77777777" w:rsidR="00284822" w:rsidRDefault="00F77BF8">
            <w:pPr>
              <w:spacing w:before="120" w:after="120"/>
              <w:rPr>
                <w:rFonts w:ascii="Rockwell" w:hAnsi="Rockwell"/>
                <w:color w:val="000000"/>
                <w:szCs w:val="26"/>
              </w:rPr>
            </w:pPr>
            <w:r>
              <w:rPr>
                <w:rFonts w:ascii="Rockwell" w:hAnsi="Rockwell"/>
                <w:color w:val="000000"/>
                <w:szCs w:val="26"/>
              </w:rPr>
              <w:t xml:space="preserve">Canal </w:t>
            </w:r>
            <w:r>
              <w:rPr>
                <w:rFonts w:ascii="Rockwell" w:hAnsi="Rockwell"/>
                <w:bCs/>
                <w:color w:val="000000"/>
                <w:szCs w:val="26"/>
              </w:rPr>
              <w:t>TNT</w:t>
            </w:r>
            <w:r>
              <w:rPr>
                <w:rFonts w:ascii="Rockwell" w:hAnsi="Rockwell"/>
                <w:color w:val="000000"/>
                <w:szCs w:val="26"/>
              </w:rPr>
              <w:t xml:space="preserve"> </w:t>
            </w:r>
          </w:p>
        </w:tc>
        <w:tc>
          <w:tcPr>
            <w:tcW w:w="3685" w:type="dxa"/>
            <w:tcBorders>
              <w:top w:val="single" w:sz="4" w:space="0" w:color="auto"/>
              <w:left w:val="nil"/>
              <w:bottom w:val="single" w:sz="4" w:space="0" w:color="auto"/>
              <w:right w:val="single" w:sz="4" w:space="0" w:color="auto"/>
            </w:tcBorders>
            <w:shd w:val="clear" w:color="auto" w:fill="FFFFFF" w:themeFill="background1"/>
            <w:vAlign w:val="bottom"/>
          </w:tcPr>
          <w:p w14:paraId="2E63153D" w14:textId="77777777" w:rsidR="00284822" w:rsidRDefault="00F77BF8">
            <w:pPr>
              <w:spacing w:before="120" w:after="120"/>
              <w:jc w:val="center"/>
              <w:rPr>
                <w:rFonts w:ascii="Rockwell" w:hAnsi="Rockwell"/>
                <w:color w:val="000000"/>
                <w:szCs w:val="26"/>
              </w:rPr>
            </w:pPr>
            <w:r>
              <w:rPr>
                <w:rFonts w:ascii="Rockwell" w:hAnsi="Rockwell"/>
                <w:color w:val="000000"/>
                <w:szCs w:val="26"/>
              </w:rPr>
              <w:t>Nationale</w:t>
            </w:r>
          </w:p>
        </w:tc>
      </w:tr>
      <w:tr w:rsidR="00284822" w14:paraId="0A2B1B2D"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2BFD808" w14:textId="77777777" w:rsidR="00284822" w:rsidRDefault="00F77BF8">
            <w:pPr>
              <w:spacing w:before="120" w:after="120"/>
              <w:rPr>
                <w:rFonts w:ascii="Rockwell" w:hAnsi="Rockwell"/>
                <w:color w:val="000000"/>
                <w:szCs w:val="26"/>
              </w:rPr>
            </w:pPr>
            <w:r>
              <w:rPr>
                <w:rFonts w:ascii="Rockwell" w:hAnsi="Rockwell"/>
                <w:color w:val="000000"/>
                <w:szCs w:val="26"/>
              </w:rPr>
              <w:t>3</w:t>
            </w:r>
          </w:p>
        </w:tc>
        <w:tc>
          <w:tcPr>
            <w:tcW w:w="3828" w:type="dxa"/>
            <w:tcBorders>
              <w:top w:val="single" w:sz="4" w:space="0" w:color="auto"/>
              <w:left w:val="nil"/>
              <w:bottom w:val="single" w:sz="4" w:space="0" w:color="auto"/>
              <w:right w:val="single" w:sz="4" w:space="0" w:color="auto"/>
            </w:tcBorders>
            <w:shd w:val="clear" w:color="auto" w:fill="FFFFFF" w:themeFill="background1"/>
            <w:noWrap/>
            <w:vAlign w:val="bottom"/>
          </w:tcPr>
          <w:p w14:paraId="44CFA2B7" w14:textId="77777777" w:rsidR="00284822" w:rsidRDefault="00F77BF8">
            <w:pPr>
              <w:spacing w:before="120" w:after="120"/>
              <w:rPr>
                <w:rFonts w:ascii="Rockwell" w:hAnsi="Rockwell"/>
                <w:color w:val="000000"/>
                <w:szCs w:val="26"/>
                <w:highlight w:val="yellow"/>
              </w:rPr>
            </w:pPr>
            <w:r>
              <w:rPr>
                <w:rFonts w:ascii="Rockwell" w:hAnsi="Rockwell"/>
                <w:color w:val="000000"/>
                <w:szCs w:val="26"/>
              </w:rPr>
              <w:t>EL-Bethel TV</w:t>
            </w:r>
          </w:p>
        </w:tc>
        <w:tc>
          <w:tcPr>
            <w:tcW w:w="3287" w:type="dxa"/>
            <w:tcBorders>
              <w:top w:val="single" w:sz="4" w:space="0" w:color="auto"/>
              <w:left w:val="nil"/>
              <w:bottom w:val="single" w:sz="4" w:space="0" w:color="auto"/>
              <w:right w:val="single" w:sz="4" w:space="0" w:color="auto"/>
            </w:tcBorders>
            <w:shd w:val="clear" w:color="auto" w:fill="FFFFFF" w:themeFill="background1"/>
            <w:noWrap/>
            <w:vAlign w:val="bottom"/>
          </w:tcPr>
          <w:p w14:paraId="6CA23167"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1816" w:type="dxa"/>
            <w:tcBorders>
              <w:top w:val="single" w:sz="4" w:space="0" w:color="auto"/>
              <w:left w:val="nil"/>
              <w:bottom w:val="single" w:sz="4" w:space="0" w:color="auto"/>
              <w:right w:val="single" w:sz="4" w:space="0" w:color="auto"/>
            </w:tcBorders>
            <w:shd w:val="clear" w:color="auto" w:fill="FFFFFF" w:themeFill="background1"/>
            <w:noWrap/>
          </w:tcPr>
          <w:p w14:paraId="254E1DFA" w14:textId="77777777" w:rsidR="00284822" w:rsidRDefault="00F77BF8">
            <w:pPr>
              <w:spacing w:before="120" w:after="120"/>
              <w:rPr>
                <w:rFonts w:ascii="Rockwell" w:hAnsi="Rockwell"/>
                <w:color w:val="000000"/>
                <w:szCs w:val="26"/>
              </w:rPr>
            </w:pPr>
            <w:r>
              <w:rPr>
                <w:rFonts w:ascii="Rockwell" w:hAnsi="Rockwell"/>
                <w:color w:val="000000"/>
                <w:szCs w:val="26"/>
              </w:rPr>
              <w:t xml:space="preserve">Canal </w:t>
            </w:r>
            <w:r>
              <w:rPr>
                <w:rFonts w:ascii="Rockwell" w:hAnsi="Rockwell"/>
                <w:bCs/>
                <w:color w:val="000000"/>
                <w:szCs w:val="26"/>
              </w:rPr>
              <w:t>TNT</w:t>
            </w:r>
            <w:r>
              <w:rPr>
                <w:rFonts w:ascii="Rockwell" w:hAnsi="Rockwell"/>
                <w:color w:val="000000"/>
                <w:szCs w:val="26"/>
              </w:rPr>
              <w:t xml:space="preserve"> </w:t>
            </w:r>
          </w:p>
        </w:tc>
        <w:tc>
          <w:tcPr>
            <w:tcW w:w="3685" w:type="dxa"/>
            <w:tcBorders>
              <w:top w:val="single" w:sz="4" w:space="0" w:color="auto"/>
              <w:left w:val="nil"/>
              <w:bottom w:val="single" w:sz="4" w:space="0" w:color="auto"/>
              <w:right w:val="single" w:sz="4" w:space="0" w:color="auto"/>
            </w:tcBorders>
            <w:shd w:val="clear" w:color="auto" w:fill="FFFFFF" w:themeFill="background1"/>
            <w:vAlign w:val="bottom"/>
          </w:tcPr>
          <w:p w14:paraId="40E0C67A" w14:textId="77777777" w:rsidR="00284822" w:rsidRDefault="00F77BF8">
            <w:pPr>
              <w:spacing w:before="120" w:after="120"/>
              <w:jc w:val="center"/>
              <w:rPr>
                <w:rFonts w:ascii="Rockwell" w:hAnsi="Rockwell"/>
                <w:color w:val="000000"/>
                <w:szCs w:val="26"/>
              </w:rPr>
            </w:pPr>
            <w:r>
              <w:rPr>
                <w:rFonts w:ascii="Rockwell" w:hAnsi="Rockwell"/>
                <w:color w:val="000000"/>
                <w:szCs w:val="26"/>
              </w:rPr>
              <w:t>Nationale</w:t>
            </w:r>
          </w:p>
        </w:tc>
      </w:tr>
      <w:tr w:rsidR="00284822" w14:paraId="656042F4"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2BE538E" w14:textId="77777777" w:rsidR="00284822" w:rsidRDefault="00F77BF8">
            <w:pPr>
              <w:spacing w:before="120" w:after="120"/>
              <w:rPr>
                <w:rFonts w:ascii="Rockwell" w:hAnsi="Rockwell"/>
                <w:color w:val="000000"/>
                <w:szCs w:val="26"/>
              </w:rPr>
            </w:pPr>
            <w:r>
              <w:rPr>
                <w:rFonts w:ascii="Rockwell" w:hAnsi="Rockwell"/>
                <w:color w:val="000000"/>
                <w:szCs w:val="26"/>
              </w:rPr>
              <w:t>4</w:t>
            </w:r>
          </w:p>
        </w:tc>
        <w:tc>
          <w:tcPr>
            <w:tcW w:w="3828" w:type="dxa"/>
            <w:tcBorders>
              <w:top w:val="single" w:sz="4" w:space="0" w:color="auto"/>
              <w:left w:val="nil"/>
              <w:bottom w:val="single" w:sz="4" w:space="0" w:color="auto"/>
              <w:right w:val="single" w:sz="4" w:space="0" w:color="auto"/>
            </w:tcBorders>
            <w:shd w:val="clear" w:color="auto" w:fill="FFFFFF" w:themeFill="background1"/>
            <w:noWrap/>
            <w:vAlign w:val="bottom"/>
          </w:tcPr>
          <w:p w14:paraId="4A984FFE" w14:textId="77777777" w:rsidR="00284822" w:rsidRDefault="00F77BF8">
            <w:pPr>
              <w:spacing w:before="120" w:after="120"/>
              <w:rPr>
                <w:rFonts w:ascii="Rockwell" w:hAnsi="Rockwell"/>
                <w:color w:val="000000"/>
                <w:szCs w:val="26"/>
                <w:highlight w:val="yellow"/>
              </w:rPr>
            </w:pPr>
            <w:r>
              <w:rPr>
                <w:rFonts w:ascii="Rockwell" w:hAnsi="Rockwell"/>
                <w:color w:val="000000"/>
                <w:szCs w:val="26"/>
              </w:rPr>
              <w:t>Impact TV</w:t>
            </w:r>
          </w:p>
        </w:tc>
        <w:tc>
          <w:tcPr>
            <w:tcW w:w="3287" w:type="dxa"/>
            <w:tcBorders>
              <w:top w:val="single" w:sz="4" w:space="0" w:color="auto"/>
              <w:left w:val="nil"/>
              <w:bottom w:val="single" w:sz="4" w:space="0" w:color="auto"/>
              <w:right w:val="single" w:sz="4" w:space="0" w:color="auto"/>
            </w:tcBorders>
            <w:shd w:val="clear" w:color="auto" w:fill="FFFFFF" w:themeFill="background1"/>
            <w:noWrap/>
            <w:vAlign w:val="bottom"/>
          </w:tcPr>
          <w:p w14:paraId="5041A235"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1816" w:type="dxa"/>
            <w:tcBorders>
              <w:top w:val="single" w:sz="4" w:space="0" w:color="auto"/>
              <w:left w:val="nil"/>
              <w:bottom w:val="single" w:sz="4" w:space="0" w:color="auto"/>
              <w:right w:val="single" w:sz="4" w:space="0" w:color="auto"/>
            </w:tcBorders>
            <w:shd w:val="clear" w:color="auto" w:fill="FFFFFF" w:themeFill="background1"/>
            <w:noWrap/>
          </w:tcPr>
          <w:p w14:paraId="00F8AA6B" w14:textId="77777777" w:rsidR="00284822" w:rsidRDefault="00F77BF8">
            <w:pPr>
              <w:spacing w:before="120" w:after="120"/>
              <w:rPr>
                <w:rFonts w:ascii="Rockwell" w:hAnsi="Rockwell"/>
                <w:color w:val="000000"/>
                <w:szCs w:val="26"/>
              </w:rPr>
            </w:pPr>
            <w:r>
              <w:rPr>
                <w:rFonts w:ascii="Rockwell" w:hAnsi="Rockwell"/>
                <w:color w:val="000000"/>
                <w:szCs w:val="26"/>
              </w:rPr>
              <w:t xml:space="preserve">Canal </w:t>
            </w:r>
            <w:r>
              <w:rPr>
                <w:rFonts w:ascii="Rockwell" w:hAnsi="Rockwell"/>
                <w:bCs/>
                <w:color w:val="000000"/>
                <w:szCs w:val="26"/>
              </w:rPr>
              <w:t>TNT</w:t>
            </w:r>
            <w:r>
              <w:rPr>
                <w:rFonts w:ascii="Rockwell" w:hAnsi="Rockwell"/>
                <w:color w:val="000000"/>
                <w:szCs w:val="26"/>
              </w:rPr>
              <w:t xml:space="preserve"> </w:t>
            </w:r>
          </w:p>
        </w:tc>
        <w:tc>
          <w:tcPr>
            <w:tcW w:w="3685" w:type="dxa"/>
            <w:tcBorders>
              <w:top w:val="single" w:sz="4" w:space="0" w:color="auto"/>
              <w:left w:val="nil"/>
              <w:bottom w:val="single" w:sz="4" w:space="0" w:color="auto"/>
              <w:right w:val="single" w:sz="4" w:space="0" w:color="auto"/>
            </w:tcBorders>
            <w:shd w:val="clear" w:color="auto" w:fill="FFFFFF" w:themeFill="background1"/>
            <w:vAlign w:val="bottom"/>
          </w:tcPr>
          <w:p w14:paraId="5EAE7235" w14:textId="77777777" w:rsidR="00284822" w:rsidRDefault="00F77BF8">
            <w:pPr>
              <w:spacing w:before="120" w:after="120"/>
              <w:jc w:val="center"/>
              <w:rPr>
                <w:rFonts w:ascii="Rockwell" w:hAnsi="Rockwell"/>
                <w:color w:val="000000"/>
                <w:szCs w:val="26"/>
              </w:rPr>
            </w:pPr>
            <w:r>
              <w:rPr>
                <w:rFonts w:ascii="Rockwell" w:hAnsi="Rockwell"/>
                <w:color w:val="000000"/>
                <w:szCs w:val="26"/>
              </w:rPr>
              <w:t>Nationale</w:t>
            </w:r>
          </w:p>
        </w:tc>
      </w:tr>
      <w:tr w:rsidR="00284822" w14:paraId="29F090DA"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8F57EEE" w14:textId="77777777" w:rsidR="00284822" w:rsidRDefault="00F77BF8">
            <w:pPr>
              <w:spacing w:before="120" w:after="120"/>
              <w:rPr>
                <w:rFonts w:ascii="Rockwell" w:hAnsi="Rockwell"/>
                <w:color w:val="000000"/>
                <w:szCs w:val="26"/>
              </w:rPr>
            </w:pPr>
            <w:r>
              <w:rPr>
                <w:rFonts w:ascii="Rockwell" w:hAnsi="Rockwell"/>
                <w:color w:val="000000"/>
                <w:szCs w:val="26"/>
              </w:rPr>
              <w:t>5</w:t>
            </w:r>
          </w:p>
        </w:tc>
        <w:tc>
          <w:tcPr>
            <w:tcW w:w="3828" w:type="dxa"/>
            <w:tcBorders>
              <w:top w:val="single" w:sz="4" w:space="0" w:color="auto"/>
              <w:left w:val="nil"/>
              <w:bottom w:val="single" w:sz="4" w:space="0" w:color="auto"/>
              <w:right w:val="single" w:sz="4" w:space="0" w:color="auto"/>
            </w:tcBorders>
            <w:shd w:val="clear" w:color="auto" w:fill="FFFFFF" w:themeFill="background1"/>
            <w:noWrap/>
            <w:vAlign w:val="bottom"/>
          </w:tcPr>
          <w:p w14:paraId="3D1346B4" w14:textId="77777777" w:rsidR="00284822" w:rsidRDefault="00F77BF8">
            <w:pPr>
              <w:spacing w:before="120" w:after="120"/>
              <w:rPr>
                <w:rFonts w:ascii="Rockwell" w:hAnsi="Rockwell"/>
                <w:color w:val="000000"/>
                <w:szCs w:val="26"/>
                <w:highlight w:val="yellow"/>
              </w:rPr>
            </w:pPr>
            <w:r>
              <w:rPr>
                <w:rFonts w:ascii="Rockwell" w:hAnsi="Rockwell"/>
                <w:color w:val="000000"/>
                <w:szCs w:val="26"/>
              </w:rPr>
              <w:t>TV Al Houda</w:t>
            </w:r>
          </w:p>
        </w:tc>
        <w:tc>
          <w:tcPr>
            <w:tcW w:w="3287" w:type="dxa"/>
            <w:tcBorders>
              <w:top w:val="single" w:sz="4" w:space="0" w:color="auto"/>
              <w:left w:val="nil"/>
              <w:bottom w:val="single" w:sz="4" w:space="0" w:color="auto"/>
              <w:right w:val="single" w:sz="4" w:space="0" w:color="auto"/>
            </w:tcBorders>
            <w:shd w:val="clear" w:color="auto" w:fill="FFFFFF" w:themeFill="background1"/>
            <w:noWrap/>
            <w:vAlign w:val="bottom"/>
          </w:tcPr>
          <w:p w14:paraId="278C43DB"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1816" w:type="dxa"/>
            <w:tcBorders>
              <w:top w:val="single" w:sz="4" w:space="0" w:color="auto"/>
              <w:left w:val="nil"/>
              <w:bottom w:val="single" w:sz="4" w:space="0" w:color="auto"/>
              <w:right w:val="single" w:sz="4" w:space="0" w:color="auto"/>
            </w:tcBorders>
            <w:shd w:val="clear" w:color="auto" w:fill="FFFFFF" w:themeFill="background1"/>
            <w:noWrap/>
          </w:tcPr>
          <w:p w14:paraId="4B13E194" w14:textId="77777777" w:rsidR="00284822" w:rsidRDefault="00F77BF8">
            <w:pPr>
              <w:spacing w:before="120" w:after="120"/>
              <w:rPr>
                <w:rFonts w:ascii="Rockwell" w:hAnsi="Rockwell"/>
                <w:color w:val="000000"/>
                <w:szCs w:val="26"/>
              </w:rPr>
            </w:pPr>
            <w:r>
              <w:rPr>
                <w:rFonts w:ascii="Rockwell" w:hAnsi="Rockwell"/>
                <w:color w:val="000000"/>
                <w:szCs w:val="26"/>
              </w:rPr>
              <w:t xml:space="preserve">Canal </w:t>
            </w:r>
            <w:r>
              <w:rPr>
                <w:rFonts w:ascii="Rockwell" w:hAnsi="Rockwell"/>
                <w:bCs/>
                <w:color w:val="000000"/>
                <w:szCs w:val="26"/>
              </w:rPr>
              <w:t>TNT</w:t>
            </w:r>
            <w:r>
              <w:rPr>
                <w:rFonts w:ascii="Rockwell" w:hAnsi="Rockwell"/>
                <w:color w:val="000000"/>
                <w:szCs w:val="26"/>
              </w:rPr>
              <w:t xml:space="preserve"> </w:t>
            </w:r>
          </w:p>
        </w:tc>
        <w:tc>
          <w:tcPr>
            <w:tcW w:w="3685" w:type="dxa"/>
            <w:tcBorders>
              <w:top w:val="single" w:sz="4" w:space="0" w:color="auto"/>
              <w:left w:val="nil"/>
              <w:bottom w:val="single" w:sz="4" w:space="0" w:color="auto"/>
              <w:right w:val="single" w:sz="4" w:space="0" w:color="auto"/>
            </w:tcBorders>
            <w:shd w:val="clear" w:color="auto" w:fill="FFFFFF" w:themeFill="background1"/>
            <w:vAlign w:val="bottom"/>
          </w:tcPr>
          <w:p w14:paraId="54C1CD5F" w14:textId="77777777" w:rsidR="00284822" w:rsidRDefault="00F77BF8">
            <w:pPr>
              <w:spacing w:before="120" w:after="120"/>
              <w:jc w:val="center"/>
              <w:rPr>
                <w:rFonts w:ascii="Rockwell" w:hAnsi="Rockwell"/>
                <w:color w:val="000000"/>
                <w:szCs w:val="26"/>
              </w:rPr>
            </w:pPr>
            <w:r>
              <w:rPr>
                <w:rFonts w:ascii="Rockwell" w:hAnsi="Rockwell"/>
                <w:color w:val="000000"/>
                <w:szCs w:val="26"/>
              </w:rPr>
              <w:t>Nationale</w:t>
            </w:r>
          </w:p>
        </w:tc>
      </w:tr>
    </w:tbl>
    <w:p w14:paraId="24D4424F" w14:textId="77777777" w:rsidR="00284822" w:rsidRDefault="00284822">
      <w:pPr>
        <w:spacing w:before="120" w:after="120"/>
        <w:rPr>
          <w:rFonts w:ascii="Rockwell" w:hAnsi="Rockwell"/>
          <w:szCs w:val="26"/>
        </w:rPr>
        <w:sectPr w:rsidR="00284822">
          <w:pgSz w:w="16838" w:h="11906" w:orient="landscape"/>
          <w:pgMar w:top="1418" w:right="1418" w:bottom="1418" w:left="1418" w:header="720" w:footer="720" w:gutter="0"/>
          <w:cols w:space="720"/>
        </w:sectPr>
      </w:pPr>
    </w:p>
    <w:p w14:paraId="3130D25A" w14:textId="77777777" w:rsidR="00284822" w:rsidRDefault="00F77BF8">
      <w:pPr>
        <w:pStyle w:val="Paragraphedeliste"/>
        <w:numPr>
          <w:ilvl w:val="0"/>
          <w:numId w:val="58"/>
        </w:numPr>
        <w:rPr>
          <w:rFonts w:ascii="Rockwell" w:hAnsi="Rockwell"/>
        </w:rPr>
      </w:pPr>
      <w:r>
        <w:rPr>
          <w:rFonts w:ascii="Rockwell" w:hAnsi="Rockwell"/>
        </w:rPr>
        <w:lastRenderedPageBreak/>
        <w:t>Télévisions communautaires : sept (07)</w:t>
      </w:r>
    </w:p>
    <w:tbl>
      <w:tblPr>
        <w:tblW w:w="14737" w:type="dxa"/>
        <w:jc w:val="center"/>
        <w:tblLayout w:type="fixed"/>
        <w:tblCellMar>
          <w:left w:w="70" w:type="dxa"/>
          <w:right w:w="70" w:type="dxa"/>
        </w:tblCellMar>
        <w:tblLook w:val="04A0" w:firstRow="1" w:lastRow="0" w:firstColumn="1" w:lastColumn="0" w:noHBand="0" w:noVBand="1"/>
      </w:tblPr>
      <w:tblGrid>
        <w:gridCol w:w="1281"/>
        <w:gridCol w:w="4389"/>
        <w:gridCol w:w="3681"/>
        <w:gridCol w:w="2551"/>
        <w:gridCol w:w="2835"/>
      </w:tblGrid>
      <w:tr w:rsidR="00284822" w14:paraId="013BBD35" w14:textId="77777777">
        <w:trPr>
          <w:trHeight w:val="600"/>
          <w:jc w:val="center"/>
        </w:trPr>
        <w:tc>
          <w:tcPr>
            <w:tcW w:w="1281" w:type="dxa"/>
            <w:tcBorders>
              <w:top w:val="single" w:sz="4" w:space="0" w:color="auto"/>
              <w:left w:val="single" w:sz="4" w:space="0" w:color="auto"/>
              <w:bottom w:val="single" w:sz="4" w:space="0" w:color="auto"/>
              <w:right w:val="single" w:sz="4" w:space="0" w:color="auto"/>
            </w:tcBorders>
            <w:shd w:val="clear" w:color="auto" w:fill="BDD6EE" w:themeFill="accent1" w:themeFillTint="66"/>
            <w:noWrap/>
          </w:tcPr>
          <w:p w14:paraId="3437608E" w14:textId="77777777" w:rsidR="00284822" w:rsidRDefault="00F77BF8">
            <w:pPr>
              <w:spacing w:before="120" w:after="120"/>
              <w:jc w:val="left"/>
              <w:rPr>
                <w:rFonts w:ascii="Rockwell" w:hAnsi="Rockwell"/>
                <w:b/>
                <w:bCs/>
                <w:color w:val="000000"/>
                <w:szCs w:val="26"/>
              </w:rPr>
            </w:pPr>
            <w:r>
              <w:rPr>
                <w:rFonts w:ascii="Rockwell" w:hAnsi="Rockwell"/>
                <w:b/>
                <w:bCs/>
                <w:color w:val="000000"/>
                <w:szCs w:val="26"/>
              </w:rPr>
              <w:t>N°</w:t>
            </w:r>
          </w:p>
        </w:tc>
        <w:tc>
          <w:tcPr>
            <w:tcW w:w="4389" w:type="dxa"/>
            <w:tcBorders>
              <w:top w:val="single" w:sz="4" w:space="0" w:color="auto"/>
              <w:left w:val="nil"/>
              <w:bottom w:val="single" w:sz="4" w:space="0" w:color="auto"/>
              <w:right w:val="single" w:sz="4" w:space="0" w:color="auto"/>
            </w:tcBorders>
            <w:shd w:val="clear" w:color="auto" w:fill="BDD6EE" w:themeFill="accent1" w:themeFillTint="66"/>
            <w:noWrap/>
          </w:tcPr>
          <w:p w14:paraId="4B7FFD74" w14:textId="77777777" w:rsidR="00284822" w:rsidRDefault="00F77BF8">
            <w:pPr>
              <w:spacing w:before="120" w:after="120"/>
              <w:jc w:val="left"/>
              <w:rPr>
                <w:rFonts w:ascii="Rockwell" w:hAnsi="Rockwell"/>
                <w:b/>
                <w:bCs/>
                <w:color w:val="000000"/>
                <w:szCs w:val="26"/>
              </w:rPr>
            </w:pPr>
            <w:r>
              <w:rPr>
                <w:rFonts w:ascii="Rockwell" w:hAnsi="Rockwell"/>
                <w:b/>
                <w:bCs/>
                <w:color w:val="000000"/>
                <w:szCs w:val="26"/>
              </w:rPr>
              <w:t>Dénomination</w:t>
            </w:r>
          </w:p>
        </w:tc>
        <w:tc>
          <w:tcPr>
            <w:tcW w:w="3681" w:type="dxa"/>
            <w:tcBorders>
              <w:top w:val="single" w:sz="4" w:space="0" w:color="auto"/>
              <w:left w:val="nil"/>
              <w:bottom w:val="single" w:sz="4" w:space="0" w:color="auto"/>
              <w:right w:val="single" w:sz="4" w:space="0" w:color="auto"/>
            </w:tcBorders>
            <w:shd w:val="clear" w:color="auto" w:fill="BDD6EE" w:themeFill="accent1" w:themeFillTint="66"/>
            <w:noWrap/>
          </w:tcPr>
          <w:p w14:paraId="082B2B21" w14:textId="77777777" w:rsidR="00284822" w:rsidRDefault="00F77BF8">
            <w:pPr>
              <w:spacing w:before="120" w:after="120"/>
              <w:jc w:val="left"/>
              <w:rPr>
                <w:rFonts w:ascii="Rockwell" w:hAnsi="Rockwell"/>
                <w:b/>
                <w:bCs/>
                <w:color w:val="000000"/>
                <w:szCs w:val="26"/>
              </w:rPr>
            </w:pPr>
            <w:r>
              <w:rPr>
                <w:rFonts w:ascii="Rockwell" w:hAnsi="Rockwell"/>
                <w:b/>
                <w:bCs/>
                <w:color w:val="000000"/>
                <w:szCs w:val="26"/>
              </w:rPr>
              <w:t>Localité/Province</w:t>
            </w:r>
          </w:p>
        </w:tc>
        <w:tc>
          <w:tcPr>
            <w:tcW w:w="2551" w:type="dxa"/>
            <w:tcBorders>
              <w:top w:val="single" w:sz="4" w:space="0" w:color="auto"/>
              <w:left w:val="nil"/>
              <w:bottom w:val="single" w:sz="4" w:space="0" w:color="auto"/>
              <w:right w:val="single" w:sz="4" w:space="0" w:color="auto"/>
            </w:tcBorders>
            <w:shd w:val="clear" w:color="auto" w:fill="BDD6EE" w:themeFill="accent1" w:themeFillTint="66"/>
            <w:noWrap/>
          </w:tcPr>
          <w:p w14:paraId="7B22383F" w14:textId="77777777" w:rsidR="00284822" w:rsidRDefault="00F77BF8">
            <w:pPr>
              <w:spacing w:before="120" w:after="120"/>
              <w:jc w:val="left"/>
              <w:rPr>
                <w:rFonts w:ascii="Rockwell" w:hAnsi="Rockwell"/>
                <w:b/>
                <w:bCs/>
                <w:color w:val="000000"/>
                <w:szCs w:val="26"/>
              </w:rPr>
            </w:pPr>
            <w:r>
              <w:rPr>
                <w:rFonts w:ascii="Rockwell" w:hAnsi="Rockwell"/>
                <w:b/>
                <w:bCs/>
                <w:color w:val="000000"/>
                <w:szCs w:val="26"/>
              </w:rPr>
              <w:t>Canal TNT</w:t>
            </w:r>
          </w:p>
        </w:tc>
        <w:tc>
          <w:tcPr>
            <w:tcW w:w="2835" w:type="dxa"/>
            <w:tcBorders>
              <w:top w:val="single" w:sz="4" w:space="0" w:color="auto"/>
              <w:left w:val="nil"/>
              <w:bottom w:val="single" w:sz="4" w:space="0" w:color="auto"/>
              <w:right w:val="single" w:sz="4" w:space="0" w:color="auto"/>
            </w:tcBorders>
            <w:shd w:val="clear" w:color="auto" w:fill="BDD6EE" w:themeFill="accent1" w:themeFillTint="66"/>
          </w:tcPr>
          <w:p w14:paraId="6AD4CFFB" w14:textId="77777777" w:rsidR="00284822" w:rsidRDefault="00F77BF8">
            <w:pPr>
              <w:spacing w:before="120" w:after="120"/>
              <w:jc w:val="left"/>
              <w:rPr>
                <w:rFonts w:ascii="Rockwell" w:hAnsi="Rockwell"/>
                <w:b/>
                <w:bCs/>
                <w:color w:val="000000"/>
                <w:szCs w:val="26"/>
              </w:rPr>
            </w:pPr>
            <w:r>
              <w:rPr>
                <w:rFonts w:ascii="Rockwell" w:hAnsi="Rockwell"/>
                <w:b/>
                <w:bCs/>
                <w:color w:val="000000"/>
                <w:szCs w:val="26"/>
              </w:rPr>
              <w:t>Zone de couverture</w:t>
            </w:r>
          </w:p>
        </w:tc>
      </w:tr>
      <w:tr w:rsidR="00284822" w14:paraId="3AF82C81" w14:textId="77777777">
        <w:trPr>
          <w:trHeight w:val="600"/>
          <w:jc w:val="center"/>
        </w:trPr>
        <w:tc>
          <w:tcPr>
            <w:tcW w:w="1281"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BD658D1" w14:textId="77777777" w:rsidR="00284822" w:rsidRDefault="00F77BF8">
            <w:pPr>
              <w:spacing w:before="120" w:after="120"/>
              <w:jc w:val="left"/>
              <w:rPr>
                <w:rFonts w:ascii="Rockwell" w:hAnsi="Rockwell"/>
                <w:color w:val="000000"/>
                <w:szCs w:val="26"/>
              </w:rPr>
            </w:pPr>
            <w:r>
              <w:rPr>
                <w:rFonts w:ascii="Rockwell" w:hAnsi="Rockwell"/>
                <w:color w:val="000000"/>
                <w:szCs w:val="26"/>
              </w:rPr>
              <w:t>1</w:t>
            </w:r>
          </w:p>
        </w:tc>
        <w:tc>
          <w:tcPr>
            <w:tcW w:w="4389" w:type="dxa"/>
            <w:tcBorders>
              <w:top w:val="single" w:sz="4" w:space="0" w:color="auto"/>
              <w:left w:val="nil"/>
              <w:bottom w:val="single" w:sz="4" w:space="0" w:color="auto"/>
              <w:right w:val="single" w:sz="4" w:space="0" w:color="auto"/>
            </w:tcBorders>
            <w:shd w:val="clear" w:color="auto" w:fill="FFFFFF" w:themeFill="background1"/>
            <w:noWrap/>
          </w:tcPr>
          <w:p w14:paraId="191A3D78" w14:textId="77777777" w:rsidR="00284822" w:rsidRDefault="00F77BF8">
            <w:pPr>
              <w:spacing w:before="120" w:after="120"/>
              <w:jc w:val="left"/>
              <w:rPr>
                <w:rFonts w:ascii="Rockwell" w:hAnsi="Rockwell"/>
                <w:color w:val="000000"/>
                <w:szCs w:val="26"/>
              </w:rPr>
            </w:pPr>
            <w:r>
              <w:rPr>
                <w:rFonts w:ascii="Rockwell" w:hAnsi="Rockwell"/>
                <w:color w:val="000000"/>
                <w:szCs w:val="26"/>
              </w:rPr>
              <w:t xml:space="preserve">Sanmatenga </w:t>
            </w:r>
            <w:proofErr w:type="spellStart"/>
            <w:r>
              <w:rPr>
                <w:rFonts w:ascii="Rockwell" w:hAnsi="Rockwell"/>
                <w:color w:val="000000"/>
                <w:szCs w:val="26"/>
              </w:rPr>
              <w:t>Television</w:t>
            </w:r>
            <w:proofErr w:type="spellEnd"/>
            <w:r>
              <w:rPr>
                <w:rFonts w:ascii="Rockwell" w:hAnsi="Rockwell"/>
                <w:color w:val="000000"/>
                <w:szCs w:val="26"/>
              </w:rPr>
              <w:t xml:space="preserve"> (STV)</w:t>
            </w:r>
          </w:p>
        </w:tc>
        <w:tc>
          <w:tcPr>
            <w:tcW w:w="3681" w:type="dxa"/>
            <w:tcBorders>
              <w:top w:val="single" w:sz="4" w:space="0" w:color="auto"/>
              <w:left w:val="nil"/>
              <w:bottom w:val="single" w:sz="4" w:space="0" w:color="auto"/>
              <w:right w:val="single" w:sz="4" w:space="0" w:color="auto"/>
            </w:tcBorders>
            <w:shd w:val="clear" w:color="auto" w:fill="FFFFFF" w:themeFill="background1"/>
            <w:noWrap/>
          </w:tcPr>
          <w:p w14:paraId="1EB4E70F" w14:textId="77777777" w:rsidR="00284822" w:rsidRDefault="00F77BF8">
            <w:pPr>
              <w:spacing w:before="120" w:after="120"/>
              <w:jc w:val="left"/>
              <w:rPr>
                <w:rFonts w:ascii="Rockwell" w:hAnsi="Rockwell"/>
                <w:color w:val="000000"/>
                <w:szCs w:val="26"/>
              </w:rPr>
            </w:pPr>
            <w:r>
              <w:rPr>
                <w:rFonts w:ascii="Rockwell" w:hAnsi="Rockwell"/>
                <w:color w:val="000000"/>
                <w:szCs w:val="26"/>
              </w:rPr>
              <w:t>Kaya/Sanmatenga</w:t>
            </w:r>
          </w:p>
        </w:tc>
        <w:tc>
          <w:tcPr>
            <w:tcW w:w="2551" w:type="dxa"/>
            <w:tcBorders>
              <w:top w:val="single" w:sz="4" w:space="0" w:color="auto"/>
              <w:left w:val="nil"/>
              <w:bottom w:val="single" w:sz="4" w:space="0" w:color="auto"/>
              <w:right w:val="single" w:sz="4" w:space="0" w:color="auto"/>
            </w:tcBorders>
            <w:shd w:val="clear" w:color="auto" w:fill="FFFFFF" w:themeFill="background1"/>
            <w:noWrap/>
          </w:tcPr>
          <w:p w14:paraId="1D10E259" w14:textId="77777777" w:rsidR="00284822" w:rsidRDefault="00F77BF8">
            <w:pPr>
              <w:spacing w:before="120" w:after="120"/>
              <w:jc w:val="center"/>
              <w:rPr>
                <w:rFonts w:ascii="Rockwell" w:hAnsi="Rockwell"/>
                <w:color w:val="000000"/>
                <w:szCs w:val="26"/>
              </w:rPr>
            </w:pPr>
            <w:r>
              <w:rPr>
                <w:rFonts w:ascii="Rockwell" w:hAnsi="Rockwell"/>
                <w:color w:val="000000"/>
                <w:szCs w:val="26"/>
              </w:rPr>
              <w:t xml:space="preserve">Canal </w:t>
            </w:r>
            <w:r>
              <w:rPr>
                <w:rFonts w:ascii="Rockwell" w:hAnsi="Rockwell"/>
                <w:bCs/>
                <w:color w:val="000000"/>
                <w:szCs w:val="26"/>
              </w:rPr>
              <w:t>TNT</w:t>
            </w:r>
          </w:p>
        </w:tc>
        <w:tc>
          <w:tcPr>
            <w:tcW w:w="2835" w:type="dxa"/>
            <w:tcBorders>
              <w:top w:val="single" w:sz="4" w:space="0" w:color="auto"/>
              <w:left w:val="nil"/>
              <w:bottom w:val="single" w:sz="4" w:space="0" w:color="auto"/>
              <w:right w:val="single" w:sz="4" w:space="0" w:color="auto"/>
            </w:tcBorders>
            <w:shd w:val="clear" w:color="auto" w:fill="FFFFFF" w:themeFill="background1"/>
          </w:tcPr>
          <w:p w14:paraId="2BC83724" w14:textId="77777777" w:rsidR="00284822" w:rsidRDefault="00F77BF8">
            <w:pPr>
              <w:spacing w:before="120" w:after="120"/>
              <w:jc w:val="center"/>
              <w:rPr>
                <w:rFonts w:ascii="Rockwell" w:hAnsi="Rockwell"/>
                <w:color w:val="000000"/>
                <w:szCs w:val="26"/>
              </w:rPr>
            </w:pPr>
            <w:r>
              <w:rPr>
                <w:rFonts w:ascii="Rockwell" w:hAnsi="Rockwell"/>
                <w:color w:val="000000"/>
                <w:szCs w:val="26"/>
              </w:rPr>
              <w:t>D</w:t>
            </w:r>
          </w:p>
        </w:tc>
      </w:tr>
      <w:tr w:rsidR="00284822" w14:paraId="68B4448B" w14:textId="77777777">
        <w:trPr>
          <w:trHeight w:val="600"/>
          <w:jc w:val="center"/>
        </w:trPr>
        <w:tc>
          <w:tcPr>
            <w:tcW w:w="1281"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DD03531" w14:textId="77777777" w:rsidR="00284822" w:rsidRDefault="00F77BF8">
            <w:pPr>
              <w:spacing w:before="120" w:after="120"/>
              <w:jc w:val="left"/>
              <w:rPr>
                <w:rFonts w:ascii="Rockwell" w:hAnsi="Rockwell"/>
                <w:color w:val="000000"/>
                <w:szCs w:val="26"/>
              </w:rPr>
            </w:pPr>
            <w:r>
              <w:rPr>
                <w:rFonts w:ascii="Rockwell" w:hAnsi="Rockwell"/>
                <w:color w:val="000000"/>
                <w:szCs w:val="26"/>
              </w:rPr>
              <w:t>2</w:t>
            </w:r>
          </w:p>
        </w:tc>
        <w:tc>
          <w:tcPr>
            <w:tcW w:w="4389" w:type="dxa"/>
            <w:tcBorders>
              <w:top w:val="single" w:sz="4" w:space="0" w:color="auto"/>
              <w:left w:val="nil"/>
              <w:bottom w:val="single" w:sz="4" w:space="0" w:color="auto"/>
              <w:right w:val="single" w:sz="4" w:space="0" w:color="auto"/>
            </w:tcBorders>
            <w:shd w:val="clear" w:color="auto" w:fill="FFFFFF" w:themeFill="background1"/>
            <w:noWrap/>
          </w:tcPr>
          <w:p w14:paraId="17957AF6" w14:textId="77777777" w:rsidR="00284822" w:rsidRDefault="00F77BF8">
            <w:pPr>
              <w:spacing w:before="120" w:after="120"/>
              <w:jc w:val="left"/>
              <w:rPr>
                <w:rFonts w:ascii="Rockwell" w:hAnsi="Rockwell"/>
                <w:color w:val="000000"/>
                <w:szCs w:val="26"/>
              </w:rPr>
            </w:pPr>
            <w:proofErr w:type="spellStart"/>
            <w:r>
              <w:rPr>
                <w:rFonts w:ascii="Rockwell" w:hAnsi="Rockwell"/>
                <w:color w:val="000000"/>
                <w:szCs w:val="26"/>
              </w:rPr>
              <w:t>Hakili</w:t>
            </w:r>
            <w:proofErr w:type="spellEnd"/>
            <w:r>
              <w:rPr>
                <w:rFonts w:ascii="Rockwell" w:hAnsi="Rockwell"/>
                <w:color w:val="000000"/>
                <w:szCs w:val="26"/>
              </w:rPr>
              <w:t xml:space="preserve"> TV</w:t>
            </w:r>
          </w:p>
        </w:tc>
        <w:tc>
          <w:tcPr>
            <w:tcW w:w="3681" w:type="dxa"/>
            <w:tcBorders>
              <w:top w:val="single" w:sz="4" w:space="0" w:color="auto"/>
              <w:left w:val="nil"/>
              <w:bottom w:val="single" w:sz="4" w:space="0" w:color="auto"/>
              <w:right w:val="single" w:sz="4" w:space="0" w:color="auto"/>
            </w:tcBorders>
            <w:shd w:val="clear" w:color="auto" w:fill="FFFFFF" w:themeFill="background1"/>
            <w:noWrap/>
          </w:tcPr>
          <w:p w14:paraId="5C9AE0E5" w14:textId="77777777" w:rsidR="00284822" w:rsidRDefault="00F77BF8">
            <w:pPr>
              <w:spacing w:before="120" w:after="120"/>
              <w:jc w:val="left"/>
              <w:rPr>
                <w:rFonts w:ascii="Rockwell" w:hAnsi="Rockwell"/>
                <w:color w:val="000000"/>
                <w:szCs w:val="26"/>
              </w:rPr>
            </w:pPr>
            <w:r>
              <w:rPr>
                <w:rFonts w:ascii="Rockwell" w:hAnsi="Rockwell"/>
                <w:color w:val="000000"/>
                <w:szCs w:val="26"/>
              </w:rPr>
              <w:t>Bobo-Dioulasso/Houet</w:t>
            </w:r>
          </w:p>
        </w:tc>
        <w:tc>
          <w:tcPr>
            <w:tcW w:w="2551" w:type="dxa"/>
            <w:tcBorders>
              <w:top w:val="single" w:sz="4" w:space="0" w:color="auto"/>
              <w:left w:val="nil"/>
              <w:bottom w:val="single" w:sz="4" w:space="0" w:color="auto"/>
              <w:right w:val="single" w:sz="4" w:space="0" w:color="auto"/>
            </w:tcBorders>
            <w:shd w:val="clear" w:color="auto" w:fill="FFFFFF" w:themeFill="background1"/>
            <w:noWrap/>
          </w:tcPr>
          <w:p w14:paraId="3CB28D81" w14:textId="77777777" w:rsidR="00284822" w:rsidRDefault="00F77BF8">
            <w:pPr>
              <w:spacing w:before="120" w:after="120"/>
              <w:jc w:val="center"/>
              <w:rPr>
                <w:rFonts w:ascii="Rockwell" w:hAnsi="Rockwell"/>
                <w:color w:val="000000"/>
                <w:szCs w:val="26"/>
              </w:rPr>
            </w:pPr>
            <w:r>
              <w:rPr>
                <w:rFonts w:ascii="Rockwell" w:hAnsi="Rockwell"/>
                <w:color w:val="000000"/>
                <w:szCs w:val="26"/>
              </w:rPr>
              <w:t xml:space="preserve">Canal </w:t>
            </w:r>
            <w:r>
              <w:rPr>
                <w:rFonts w:ascii="Rockwell" w:hAnsi="Rockwell"/>
                <w:bCs/>
                <w:color w:val="000000"/>
                <w:szCs w:val="26"/>
              </w:rPr>
              <w:t>TNT</w:t>
            </w:r>
          </w:p>
        </w:tc>
        <w:tc>
          <w:tcPr>
            <w:tcW w:w="2835" w:type="dxa"/>
            <w:tcBorders>
              <w:top w:val="single" w:sz="4" w:space="0" w:color="auto"/>
              <w:left w:val="nil"/>
              <w:bottom w:val="single" w:sz="4" w:space="0" w:color="auto"/>
              <w:right w:val="single" w:sz="4" w:space="0" w:color="auto"/>
            </w:tcBorders>
            <w:shd w:val="clear" w:color="auto" w:fill="FFFFFF" w:themeFill="background1"/>
          </w:tcPr>
          <w:p w14:paraId="28EB5F50" w14:textId="77777777" w:rsidR="00284822" w:rsidRDefault="00F77BF8">
            <w:pPr>
              <w:spacing w:before="120" w:after="120"/>
              <w:jc w:val="center"/>
              <w:rPr>
                <w:rFonts w:ascii="Rockwell" w:hAnsi="Rockwell"/>
                <w:color w:val="000000"/>
                <w:szCs w:val="26"/>
              </w:rPr>
            </w:pPr>
            <w:r>
              <w:rPr>
                <w:rFonts w:ascii="Rockwell" w:hAnsi="Rockwell"/>
                <w:color w:val="000000"/>
                <w:szCs w:val="26"/>
              </w:rPr>
              <w:t>B</w:t>
            </w:r>
          </w:p>
        </w:tc>
      </w:tr>
      <w:tr w:rsidR="00284822" w14:paraId="7A865344" w14:textId="77777777">
        <w:trPr>
          <w:trHeight w:val="600"/>
          <w:jc w:val="center"/>
        </w:trPr>
        <w:tc>
          <w:tcPr>
            <w:tcW w:w="1281"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6B68972" w14:textId="77777777" w:rsidR="00284822" w:rsidRDefault="00F77BF8">
            <w:pPr>
              <w:spacing w:before="120" w:after="120"/>
              <w:jc w:val="left"/>
              <w:rPr>
                <w:rFonts w:ascii="Rockwell" w:hAnsi="Rockwell"/>
                <w:color w:val="000000"/>
                <w:szCs w:val="26"/>
              </w:rPr>
            </w:pPr>
            <w:r>
              <w:rPr>
                <w:rFonts w:ascii="Rockwell" w:hAnsi="Rockwell"/>
                <w:color w:val="000000"/>
                <w:szCs w:val="26"/>
              </w:rPr>
              <w:t>3</w:t>
            </w:r>
          </w:p>
          <w:p w14:paraId="03C3CB69" w14:textId="77777777" w:rsidR="00284822" w:rsidRDefault="00284822">
            <w:pPr>
              <w:spacing w:before="120" w:after="120"/>
              <w:jc w:val="left"/>
              <w:rPr>
                <w:rFonts w:ascii="Rockwell" w:hAnsi="Rockwell"/>
                <w:color w:val="000000"/>
                <w:szCs w:val="26"/>
              </w:rPr>
            </w:pPr>
          </w:p>
        </w:tc>
        <w:tc>
          <w:tcPr>
            <w:tcW w:w="4389" w:type="dxa"/>
            <w:tcBorders>
              <w:top w:val="single" w:sz="4" w:space="0" w:color="auto"/>
              <w:left w:val="nil"/>
              <w:bottom w:val="single" w:sz="4" w:space="0" w:color="auto"/>
              <w:right w:val="single" w:sz="4" w:space="0" w:color="auto"/>
            </w:tcBorders>
            <w:shd w:val="clear" w:color="auto" w:fill="FFFFFF" w:themeFill="background1"/>
            <w:noWrap/>
          </w:tcPr>
          <w:p w14:paraId="095F2B54" w14:textId="77777777" w:rsidR="00284822" w:rsidRDefault="00F77BF8">
            <w:pPr>
              <w:spacing w:before="120" w:after="120"/>
              <w:jc w:val="left"/>
              <w:rPr>
                <w:rFonts w:ascii="Rockwell" w:hAnsi="Rockwell"/>
                <w:color w:val="000000"/>
                <w:szCs w:val="26"/>
              </w:rPr>
            </w:pPr>
            <w:r>
              <w:rPr>
                <w:rFonts w:ascii="Rockwell" w:hAnsi="Rockwell"/>
                <w:color w:val="000000"/>
                <w:szCs w:val="26"/>
              </w:rPr>
              <w:t>Open TV</w:t>
            </w:r>
          </w:p>
        </w:tc>
        <w:tc>
          <w:tcPr>
            <w:tcW w:w="3681" w:type="dxa"/>
            <w:tcBorders>
              <w:top w:val="single" w:sz="4" w:space="0" w:color="auto"/>
              <w:left w:val="nil"/>
              <w:bottom w:val="single" w:sz="4" w:space="0" w:color="auto"/>
              <w:right w:val="single" w:sz="4" w:space="0" w:color="auto"/>
            </w:tcBorders>
            <w:shd w:val="clear" w:color="auto" w:fill="FFFFFF" w:themeFill="background1"/>
            <w:noWrap/>
          </w:tcPr>
          <w:p w14:paraId="230DE120" w14:textId="77777777" w:rsidR="00284822" w:rsidRDefault="00F77BF8">
            <w:pPr>
              <w:spacing w:before="120" w:after="120"/>
              <w:jc w:val="left"/>
              <w:rPr>
                <w:rFonts w:ascii="Rockwell" w:hAnsi="Rockwell"/>
                <w:color w:val="000000"/>
                <w:szCs w:val="26"/>
              </w:rPr>
            </w:pPr>
            <w:r>
              <w:rPr>
                <w:rFonts w:ascii="Rockwell" w:hAnsi="Rockwell"/>
                <w:color w:val="000000"/>
                <w:szCs w:val="26"/>
              </w:rPr>
              <w:t>Kaya/Sanmatenga</w:t>
            </w:r>
          </w:p>
        </w:tc>
        <w:tc>
          <w:tcPr>
            <w:tcW w:w="2551" w:type="dxa"/>
            <w:tcBorders>
              <w:top w:val="single" w:sz="4" w:space="0" w:color="auto"/>
              <w:left w:val="nil"/>
              <w:bottom w:val="single" w:sz="4" w:space="0" w:color="auto"/>
              <w:right w:val="single" w:sz="4" w:space="0" w:color="auto"/>
            </w:tcBorders>
            <w:shd w:val="clear" w:color="auto" w:fill="FFFFFF" w:themeFill="background1"/>
            <w:noWrap/>
          </w:tcPr>
          <w:p w14:paraId="66825786" w14:textId="77777777" w:rsidR="00284822" w:rsidRDefault="00F77BF8">
            <w:pPr>
              <w:spacing w:before="120" w:after="120"/>
              <w:jc w:val="center"/>
              <w:rPr>
                <w:rFonts w:ascii="Rockwell" w:hAnsi="Rockwell"/>
                <w:color w:val="000000"/>
                <w:szCs w:val="26"/>
              </w:rPr>
            </w:pPr>
            <w:r>
              <w:rPr>
                <w:rFonts w:ascii="Rockwell" w:hAnsi="Rockwell"/>
                <w:color w:val="000000"/>
                <w:szCs w:val="26"/>
              </w:rPr>
              <w:t xml:space="preserve">Canal </w:t>
            </w:r>
            <w:r>
              <w:rPr>
                <w:rFonts w:ascii="Rockwell" w:hAnsi="Rockwell"/>
                <w:bCs/>
                <w:color w:val="000000"/>
                <w:szCs w:val="26"/>
              </w:rPr>
              <w:t>TNT</w:t>
            </w:r>
          </w:p>
        </w:tc>
        <w:tc>
          <w:tcPr>
            <w:tcW w:w="2835" w:type="dxa"/>
            <w:tcBorders>
              <w:top w:val="single" w:sz="4" w:space="0" w:color="auto"/>
              <w:left w:val="nil"/>
              <w:bottom w:val="single" w:sz="4" w:space="0" w:color="auto"/>
              <w:right w:val="single" w:sz="4" w:space="0" w:color="auto"/>
            </w:tcBorders>
            <w:shd w:val="clear" w:color="auto" w:fill="FFFFFF" w:themeFill="background1"/>
          </w:tcPr>
          <w:p w14:paraId="316493C9" w14:textId="77777777" w:rsidR="00284822" w:rsidRDefault="00F77BF8">
            <w:pPr>
              <w:spacing w:before="120" w:after="120"/>
              <w:jc w:val="center"/>
              <w:rPr>
                <w:rFonts w:ascii="Rockwell" w:hAnsi="Rockwell"/>
                <w:color w:val="000000"/>
                <w:szCs w:val="26"/>
              </w:rPr>
            </w:pPr>
            <w:r>
              <w:rPr>
                <w:rFonts w:ascii="Rockwell" w:hAnsi="Rockwell"/>
                <w:color w:val="000000"/>
                <w:szCs w:val="26"/>
              </w:rPr>
              <w:t>D</w:t>
            </w:r>
          </w:p>
        </w:tc>
      </w:tr>
      <w:tr w:rsidR="00284822" w14:paraId="35C4B985" w14:textId="77777777">
        <w:trPr>
          <w:trHeight w:val="600"/>
          <w:jc w:val="center"/>
        </w:trPr>
        <w:tc>
          <w:tcPr>
            <w:tcW w:w="1281"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E356253" w14:textId="77777777" w:rsidR="00284822" w:rsidRDefault="00F77BF8">
            <w:pPr>
              <w:spacing w:before="120" w:after="120"/>
              <w:jc w:val="left"/>
              <w:rPr>
                <w:rFonts w:ascii="Rockwell" w:hAnsi="Rockwell"/>
                <w:color w:val="000000"/>
                <w:szCs w:val="26"/>
              </w:rPr>
            </w:pPr>
            <w:r>
              <w:rPr>
                <w:rFonts w:ascii="Rockwell" w:hAnsi="Rockwell"/>
                <w:color w:val="000000"/>
                <w:szCs w:val="26"/>
              </w:rPr>
              <w:t>4</w:t>
            </w:r>
          </w:p>
        </w:tc>
        <w:tc>
          <w:tcPr>
            <w:tcW w:w="4389" w:type="dxa"/>
            <w:tcBorders>
              <w:top w:val="single" w:sz="4" w:space="0" w:color="auto"/>
              <w:left w:val="nil"/>
              <w:bottom w:val="single" w:sz="4" w:space="0" w:color="auto"/>
              <w:right w:val="single" w:sz="4" w:space="0" w:color="auto"/>
            </w:tcBorders>
            <w:shd w:val="clear" w:color="auto" w:fill="FFFFFF" w:themeFill="background1"/>
            <w:noWrap/>
          </w:tcPr>
          <w:p w14:paraId="3109BF21" w14:textId="77777777" w:rsidR="00284822" w:rsidRDefault="00F77BF8">
            <w:pPr>
              <w:spacing w:before="120" w:after="120"/>
              <w:jc w:val="left"/>
              <w:rPr>
                <w:rFonts w:ascii="Rockwell" w:hAnsi="Rockwell"/>
                <w:color w:val="000000"/>
                <w:szCs w:val="26"/>
              </w:rPr>
            </w:pPr>
            <w:r>
              <w:rPr>
                <w:rFonts w:ascii="Rockwell" w:hAnsi="Rockwell"/>
                <w:color w:val="000000"/>
                <w:szCs w:val="26"/>
              </w:rPr>
              <w:t>La Voix du paysan TV</w:t>
            </w:r>
          </w:p>
        </w:tc>
        <w:tc>
          <w:tcPr>
            <w:tcW w:w="3681" w:type="dxa"/>
            <w:tcBorders>
              <w:top w:val="single" w:sz="4" w:space="0" w:color="auto"/>
              <w:left w:val="nil"/>
              <w:bottom w:val="single" w:sz="4" w:space="0" w:color="auto"/>
              <w:right w:val="single" w:sz="4" w:space="0" w:color="auto"/>
            </w:tcBorders>
            <w:shd w:val="clear" w:color="auto" w:fill="FFFFFF" w:themeFill="background1"/>
            <w:noWrap/>
          </w:tcPr>
          <w:p w14:paraId="5DF61892" w14:textId="77777777" w:rsidR="00284822" w:rsidRDefault="00F77BF8">
            <w:pPr>
              <w:spacing w:before="120" w:after="120"/>
              <w:jc w:val="left"/>
              <w:rPr>
                <w:rFonts w:ascii="Rockwell" w:hAnsi="Rockwell"/>
                <w:color w:val="000000"/>
                <w:szCs w:val="26"/>
              </w:rPr>
            </w:pPr>
            <w:r>
              <w:rPr>
                <w:rFonts w:ascii="Rockwell" w:hAnsi="Rockwell"/>
                <w:color w:val="000000"/>
                <w:szCs w:val="26"/>
              </w:rPr>
              <w:t>Ouahigouya/Yatenga</w:t>
            </w:r>
          </w:p>
        </w:tc>
        <w:tc>
          <w:tcPr>
            <w:tcW w:w="2551" w:type="dxa"/>
            <w:tcBorders>
              <w:top w:val="single" w:sz="4" w:space="0" w:color="auto"/>
              <w:left w:val="nil"/>
              <w:bottom w:val="single" w:sz="4" w:space="0" w:color="auto"/>
              <w:right w:val="single" w:sz="4" w:space="0" w:color="auto"/>
            </w:tcBorders>
            <w:shd w:val="clear" w:color="auto" w:fill="FFFFFF" w:themeFill="background1"/>
            <w:noWrap/>
          </w:tcPr>
          <w:p w14:paraId="45199319" w14:textId="77777777" w:rsidR="00284822" w:rsidRDefault="00F77BF8">
            <w:pPr>
              <w:spacing w:before="120" w:after="120"/>
              <w:jc w:val="center"/>
              <w:rPr>
                <w:rFonts w:ascii="Rockwell" w:hAnsi="Rockwell"/>
                <w:color w:val="000000"/>
                <w:szCs w:val="26"/>
              </w:rPr>
            </w:pPr>
            <w:r>
              <w:rPr>
                <w:rFonts w:ascii="Rockwell" w:hAnsi="Rockwell"/>
                <w:color w:val="000000"/>
                <w:szCs w:val="26"/>
              </w:rPr>
              <w:t xml:space="preserve">Canal </w:t>
            </w:r>
            <w:r>
              <w:rPr>
                <w:rFonts w:ascii="Rockwell" w:hAnsi="Rockwell"/>
                <w:bCs/>
                <w:color w:val="000000"/>
                <w:szCs w:val="26"/>
              </w:rPr>
              <w:t>TNT</w:t>
            </w:r>
          </w:p>
        </w:tc>
        <w:tc>
          <w:tcPr>
            <w:tcW w:w="2835" w:type="dxa"/>
            <w:tcBorders>
              <w:top w:val="single" w:sz="4" w:space="0" w:color="auto"/>
              <w:left w:val="nil"/>
              <w:bottom w:val="single" w:sz="4" w:space="0" w:color="auto"/>
              <w:right w:val="single" w:sz="4" w:space="0" w:color="auto"/>
            </w:tcBorders>
            <w:shd w:val="clear" w:color="auto" w:fill="FFFFFF" w:themeFill="background1"/>
          </w:tcPr>
          <w:p w14:paraId="012CFBCE" w14:textId="77777777" w:rsidR="00284822" w:rsidRDefault="00F77BF8">
            <w:pPr>
              <w:spacing w:before="120" w:after="120"/>
              <w:jc w:val="center"/>
              <w:rPr>
                <w:rFonts w:ascii="Rockwell" w:hAnsi="Rockwell"/>
                <w:color w:val="000000"/>
                <w:szCs w:val="26"/>
              </w:rPr>
            </w:pPr>
            <w:r>
              <w:rPr>
                <w:rFonts w:ascii="Rockwell" w:hAnsi="Rockwell"/>
                <w:color w:val="000000"/>
                <w:szCs w:val="26"/>
              </w:rPr>
              <w:t>C</w:t>
            </w:r>
          </w:p>
        </w:tc>
      </w:tr>
      <w:tr w:rsidR="00284822" w14:paraId="6D5D9073" w14:textId="77777777">
        <w:trPr>
          <w:trHeight w:val="600"/>
          <w:jc w:val="center"/>
        </w:trPr>
        <w:tc>
          <w:tcPr>
            <w:tcW w:w="1281"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70DF92F" w14:textId="77777777" w:rsidR="00284822" w:rsidRDefault="00F77BF8">
            <w:pPr>
              <w:spacing w:before="120" w:after="120"/>
              <w:jc w:val="left"/>
              <w:rPr>
                <w:rFonts w:ascii="Rockwell" w:hAnsi="Rockwell"/>
                <w:color w:val="000000"/>
                <w:szCs w:val="26"/>
              </w:rPr>
            </w:pPr>
            <w:r>
              <w:rPr>
                <w:rFonts w:ascii="Rockwell" w:hAnsi="Rockwell"/>
                <w:color w:val="000000"/>
                <w:szCs w:val="26"/>
              </w:rPr>
              <w:t>5</w:t>
            </w:r>
          </w:p>
        </w:tc>
        <w:tc>
          <w:tcPr>
            <w:tcW w:w="4389" w:type="dxa"/>
            <w:tcBorders>
              <w:top w:val="single" w:sz="4" w:space="0" w:color="auto"/>
              <w:left w:val="nil"/>
              <w:bottom w:val="single" w:sz="4" w:space="0" w:color="auto"/>
              <w:right w:val="single" w:sz="4" w:space="0" w:color="auto"/>
            </w:tcBorders>
            <w:shd w:val="clear" w:color="auto" w:fill="FFFFFF" w:themeFill="background1"/>
            <w:noWrap/>
          </w:tcPr>
          <w:p w14:paraId="4E1D6B85" w14:textId="77777777" w:rsidR="00284822" w:rsidRDefault="00F77BF8">
            <w:pPr>
              <w:spacing w:before="120" w:after="120"/>
              <w:jc w:val="left"/>
              <w:rPr>
                <w:rFonts w:ascii="Rockwell" w:hAnsi="Rockwell"/>
                <w:color w:val="000000"/>
                <w:szCs w:val="26"/>
              </w:rPr>
            </w:pPr>
            <w:proofErr w:type="spellStart"/>
            <w:r>
              <w:rPr>
                <w:rFonts w:ascii="Rockwell" w:hAnsi="Rockwell"/>
                <w:color w:val="000000"/>
                <w:szCs w:val="26"/>
              </w:rPr>
              <w:t>Munyu</w:t>
            </w:r>
            <w:proofErr w:type="spellEnd"/>
            <w:r>
              <w:rPr>
                <w:rFonts w:ascii="Rockwell" w:hAnsi="Rockwell"/>
                <w:color w:val="000000"/>
                <w:szCs w:val="26"/>
              </w:rPr>
              <w:t xml:space="preserve"> TV</w:t>
            </w:r>
          </w:p>
        </w:tc>
        <w:tc>
          <w:tcPr>
            <w:tcW w:w="3681" w:type="dxa"/>
            <w:tcBorders>
              <w:top w:val="single" w:sz="4" w:space="0" w:color="auto"/>
              <w:left w:val="nil"/>
              <w:bottom w:val="single" w:sz="4" w:space="0" w:color="auto"/>
              <w:right w:val="single" w:sz="4" w:space="0" w:color="auto"/>
            </w:tcBorders>
            <w:shd w:val="clear" w:color="auto" w:fill="FFFFFF" w:themeFill="background1"/>
            <w:noWrap/>
          </w:tcPr>
          <w:p w14:paraId="59B2B949" w14:textId="77777777" w:rsidR="00284822" w:rsidRDefault="00F77BF8">
            <w:pPr>
              <w:spacing w:before="120" w:after="120"/>
              <w:jc w:val="left"/>
              <w:rPr>
                <w:rFonts w:ascii="Rockwell" w:hAnsi="Rockwell"/>
                <w:color w:val="000000"/>
                <w:szCs w:val="26"/>
              </w:rPr>
            </w:pPr>
            <w:r>
              <w:rPr>
                <w:rFonts w:ascii="Rockwell" w:hAnsi="Rockwell"/>
                <w:color w:val="000000"/>
                <w:szCs w:val="26"/>
              </w:rPr>
              <w:t>Banfora/Comoé</w:t>
            </w:r>
          </w:p>
        </w:tc>
        <w:tc>
          <w:tcPr>
            <w:tcW w:w="2551" w:type="dxa"/>
            <w:tcBorders>
              <w:top w:val="single" w:sz="4" w:space="0" w:color="auto"/>
              <w:left w:val="nil"/>
              <w:bottom w:val="single" w:sz="4" w:space="0" w:color="auto"/>
              <w:right w:val="single" w:sz="4" w:space="0" w:color="auto"/>
            </w:tcBorders>
            <w:shd w:val="clear" w:color="auto" w:fill="FFFFFF" w:themeFill="background1"/>
            <w:noWrap/>
          </w:tcPr>
          <w:p w14:paraId="387B1BE8" w14:textId="77777777" w:rsidR="00284822" w:rsidRDefault="00F77BF8">
            <w:pPr>
              <w:spacing w:before="120" w:after="120"/>
              <w:jc w:val="center"/>
              <w:rPr>
                <w:rFonts w:ascii="Rockwell" w:hAnsi="Rockwell"/>
                <w:color w:val="000000"/>
                <w:szCs w:val="26"/>
              </w:rPr>
            </w:pPr>
            <w:r>
              <w:rPr>
                <w:rFonts w:ascii="Rockwell" w:hAnsi="Rockwell"/>
                <w:color w:val="000000"/>
                <w:szCs w:val="26"/>
              </w:rPr>
              <w:t xml:space="preserve">Canal </w:t>
            </w:r>
            <w:r>
              <w:rPr>
                <w:rFonts w:ascii="Rockwell" w:hAnsi="Rockwell"/>
                <w:bCs/>
                <w:color w:val="000000"/>
                <w:szCs w:val="26"/>
              </w:rPr>
              <w:t>TNT</w:t>
            </w:r>
          </w:p>
        </w:tc>
        <w:tc>
          <w:tcPr>
            <w:tcW w:w="2835" w:type="dxa"/>
            <w:tcBorders>
              <w:top w:val="single" w:sz="4" w:space="0" w:color="auto"/>
              <w:left w:val="nil"/>
              <w:bottom w:val="single" w:sz="4" w:space="0" w:color="auto"/>
              <w:right w:val="single" w:sz="4" w:space="0" w:color="auto"/>
            </w:tcBorders>
            <w:shd w:val="clear" w:color="auto" w:fill="FFFFFF" w:themeFill="background1"/>
          </w:tcPr>
          <w:p w14:paraId="65EA6CD2" w14:textId="77777777" w:rsidR="00284822" w:rsidRDefault="00F77BF8">
            <w:pPr>
              <w:spacing w:before="120" w:after="120"/>
              <w:jc w:val="center"/>
              <w:rPr>
                <w:rFonts w:ascii="Rockwell" w:hAnsi="Rockwell"/>
                <w:color w:val="000000"/>
                <w:szCs w:val="26"/>
              </w:rPr>
            </w:pPr>
            <w:r>
              <w:rPr>
                <w:rFonts w:ascii="Rockwell" w:hAnsi="Rockwell"/>
                <w:color w:val="000000"/>
                <w:szCs w:val="26"/>
              </w:rPr>
              <w:t>C</w:t>
            </w:r>
          </w:p>
        </w:tc>
      </w:tr>
      <w:tr w:rsidR="00284822" w14:paraId="6EB9D59F" w14:textId="77777777">
        <w:trPr>
          <w:trHeight w:val="600"/>
          <w:jc w:val="center"/>
        </w:trPr>
        <w:tc>
          <w:tcPr>
            <w:tcW w:w="1281"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97B75A7" w14:textId="77777777" w:rsidR="00284822" w:rsidRDefault="00F77BF8">
            <w:pPr>
              <w:spacing w:before="120" w:after="120"/>
              <w:jc w:val="left"/>
              <w:rPr>
                <w:rFonts w:ascii="Rockwell" w:hAnsi="Rockwell"/>
                <w:color w:val="000000"/>
                <w:szCs w:val="26"/>
              </w:rPr>
            </w:pPr>
            <w:r>
              <w:rPr>
                <w:rFonts w:ascii="Rockwell" w:hAnsi="Rockwell"/>
                <w:color w:val="000000"/>
                <w:szCs w:val="26"/>
              </w:rPr>
              <w:t>6</w:t>
            </w:r>
          </w:p>
        </w:tc>
        <w:tc>
          <w:tcPr>
            <w:tcW w:w="4389" w:type="dxa"/>
            <w:tcBorders>
              <w:top w:val="single" w:sz="4" w:space="0" w:color="auto"/>
              <w:left w:val="nil"/>
              <w:bottom w:val="single" w:sz="4" w:space="0" w:color="auto"/>
              <w:right w:val="single" w:sz="4" w:space="0" w:color="auto"/>
            </w:tcBorders>
            <w:shd w:val="clear" w:color="auto" w:fill="FFFFFF" w:themeFill="background1"/>
            <w:noWrap/>
          </w:tcPr>
          <w:p w14:paraId="505D5478" w14:textId="77777777" w:rsidR="00284822" w:rsidRDefault="00F77BF8">
            <w:pPr>
              <w:spacing w:before="120" w:after="120"/>
              <w:jc w:val="left"/>
              <w:rPr>
                <w:rFonts w:ascii="Rockwell" w:hAnsi="Rockwell"/>
                <w:color w:val="000000"/>
                <w:szCs w:val="26"/>
              </w:rPr>
            </w:pPr>
            <w:r>
              <w:rPr>
                <w:rFonts w:ascii="Rockwell" w:hAnsi="Rockwell"/>
                <w:color w:val="000000"/>
                <w:szCs w:val="26"/>
              </w:rPr>
              <w:t>Télé Tin Tua</w:t>
            </w:r>
          </w:p>
        </w:tc>
        <w:tc>
          <w:tcPr>
            <w:tcW w:w="3681" w:type="dxa"/>
            <w:tcBorders>
              <w:top w:val="single" w:sz="4" w:space="0" w:color="auto"/>
              <w:left w:val="nil"/>
              <w:bottom w:val="single" w:sz="4" w:space="0" w:color="auto"/>
              <w:right w:val="single" w:sz="4" w:space="0" w:color="auto"/>
            </w:tcBorders>
            <w:shd w:val="clear" w:color="auto" w:fill="FFFFFF" w:themeFill="background1"/>
            <w:noWrap/>
          </w:tcPr>
          <w:p w14:paraId="277E6067" w14:textId="77777777" w:rsidR="00284822" w:rsidRDefault="00F77BF8">
            <w:pPr>
              <w:spacing w:before="120" w:after="120"/>
              <w:jc w:val="left"/>
              <w:rPr>
                <w:rFonts w:ascii="Rockwell" w:hAnsi="Rockwell"/>
                <w:color w:val="000000"/>
                <w:szCs w:val="26"/>
              </w:rPr>
            </w:pPr>
            <w:r>
              <w:rPr>
                <w:rFonts w:ascii="Rockwell" w:hAnsi="Rockwell"/>
                <w:color w:val="000000"/>
                <w:szCs w:val="26"/>
              </w:rPr>
              <w:t>Fada N’Gourma/Gourma</w:t>
            </w:r>
          </w:p>
        </w:tc>
        <w:tc>
          <w:tcPr>
            <w:tcW w:w="2551" w:type="dxa"/>
            <w:tcBorders>
              <w:top w:val="single" w:sz="4" w:space="0" w:color="auto"/>
              <w:left w:val="nil"/>
              <w:bottom w:val="single" w:sz="4" w:space="0" w:color="auto"/>
              <w:right w:val="single" w:sz="4" w:space="0" w:color="auto"/>
            </w:tcBorders>
            <w:shd w:val="clear" w:color="auto" w:fill="FFFFFF" w:themeFill="background1"/>
            <w:noWrap/>
          </w:tcPr>
          <w:p w14:paraId="36451CF8" w14:textId="77777777" w:rsidR="00284822" w:rsidRDefault="00F77BF8">
            <w:pPr>
              <w:spacing w:before="120" w:after="120"/>
              <w:jc w:val="center"/>
              <w:rPr>
                <w:rFonts w:ascii="Rockwell" w:hAnsi="Rockwell"/>
                <w:color w:val="000000"/>
                <w:szCs w:val="26"/>
              </w:rPr>
            </w:pPr>
            <w:r>
              <w:rPr>
                <w:rFonts w:ascii="Rockwell" w:hAnsi="Rockwell"/>
                <w:color w:val="000000"/>
                <w:szCs w:val="26"/>
              </w:rPr>
              <w:t xml:space="preserve">Canal </w:t>
            </w:r>
            <w:r>
              <w:rPr>
                <w:rFonts w:ascii="Rockwell" w:hAnsi="Rockwell"/>
                <w:bCs/>
                <w:color w:val="000000"/>
                <w:szCs w:val="26"/>
              </w:rPr>
              <w:t>TNT</w:t>
            </w:r>
          </w:p>
        </w:tc>
        <w:tc>
          <w:tcPr>
            <w:tcW w:w="2835" w:type="dxa"/>
            <w:tcBorders>
              <w:top w:val="single" w:sz="4" w:space="0" w:color="auto"/>
              <w:left w:val="nil"/>
              <w:bottom w:val="single" w:sz="4" w:space="0" w:color="auto"/>
              <w:right w:val="single" w:sz="4" w:space="0" w:color="auto"/>
            </w:tcBorders>
            <w:shd w:val="clear" w:color="auto" w:fill="FFFFFF" w:themeFill="background1"/>
          </w:tcPr>
          <w:p w14:paraId="14752FDC" w14:textId="77777777" w:rsidR="00284822" w:rsidRDefault="00F77BF8">
            <w:pPr>
              <w:spacing w:before="120" w:after="120"/>
              <w:jc w:val="center"/>
              <w:rPr>
                <w:rFonts w:ascii="Rockwell" w:hAnsi="Rockwell"/>
                <w:color w:val="000000"/>
                <w:szCs w:val="26"/>
              </w:rPr>
            </w:pPr>
            <w:r>
              <w:rPr>
                <w:rFonts w:ascii="Rockwell" w:hAnsi="Rockwell"/>
                <w:color w:val="000000"/>
                <w:szCs w:val="26"/>
              </w:rPr>
              <w:t>C</w:t>
            </w:r>
          </w:p>
        </w:tc>
      </w:tr>
      <w:tr w:rsidR="00284822" w14:paraId="015503E0" w14:textId="77777777">
        <w:trPr>
          <w:trHeight w:val="600"/>
          <w:jc w:val="center"/>
        </w:trPr>
        <w:tc>
          <w:tcPr>
            <w:tcW w:w="1281"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A4538A2" w14:textId="77777777" w:rsidR="00284822" w:rsidRDefault="00F77BF8">
            <w:pPr>
              <w:spacing w:before="120" w:after="120"/>
              <w:jc w:val="left"/>
              <w:rPr>
                <w:rFonts w:ascii="Rockwell" w:hAnsi="Rockwell"/>
                <w:color w:val="000000"/>
                <w:szCs w:val="26"/>
              </w:rPr>
            </w:pPr>
            <w:r>
              <w:rPr>
                <w:rFonts w:ascii="Rockwell" w:hAnsi="Rockwell"/>
                <w:color w:val="000000"/>
                <w:szCs w:val="26"/>
              </w:rPr>
              <w:t>7</w:t>
            </w:r>
          </w:p>
        </w:tc>
        <w:tc>
          <w:tcPr>
            <w:tcW w:w="4389" w:type="dxa"/>
            <w:tcBorders>
              <w:top w:val="single" w:sz="4" w:space="0" w:color="auto"/>
              <w:left w:val="nil"/>
              <w:bottom w:val="single" w:sz="4" w:space="0" w:color="auto"/>
              <w:right w:val="single" w:sz="4" w:space="0" w:color="auto"/>
            </w:tcBorders>
            <w:shd w:val="clear" w:color="auto" w:fill="FFFFFF" w:themeFill="background1"/>
            <w:noWrap/>
          </w:tcPr>
          <w:p w14:paraId="7C9A9310" w14:textId="77777777" w:rsidR="00284822" w:rsidRDefault="00F77BF8">
            <w:pPr>
              <w:spacing w:before="120" w:after="120"/>
              <w:jc w:val="left"/>
              <w:rPr>
                <w:rFonts w:ascii="Rockwell" w:hAnsi="Rockwell"/>
                <w:color w:val="000000"/>
                <w:szCs w:val="26"/>
              </w:rPr>
            </w:pPr>
            <w:r>
              <w:rPr>
                <w:rFonts w:ascii="Rockwell" w:hAnsi="Rockwell"/>
                <w:color w:val="000000"/>
                <w:szCs w:val="26"/>
              </w:rPr>
              <w:t>OGN TV</w:t>
            </w:r>
          </w:p>
        </w:tc>
        <w:tc>
          <w:tcPr>
            <w:tcW w:w="3681" w:type="dxa"/>
            <w:tcBorders>
              <w:top w:val="single" w:sz="4" w:space="0" w:color="auto"/>
              <w:left w:val="nil"/>
              <w:bottom w:val="single" w:sz="4" w:space="0" w:color="auto"/>
              <w:right w:val="single" w:sz="4" w:space="0" w:color="auto"/>
            </w:tcBorders>
            <w:shd w:val="clear" w:color="auto" w:fill="FFFFFF" w:themeFill="background1"/>
            <w:noWrap/>
          </w:tcPr>
          <w:p w14:paraId="5108C273" w14:textId="77777777" w:rsidR="00284822" w:rsidRDefault="00F77BF8">
            <w:pPr>
              <w:spacing w:before="120" w:after="120"/>
              <w:jc w:val="left"/>
              <w:rPr>
                <w:rFonts w:ascii="Rockwell" w:hAnsi="Rockwell"/>
                <w:color w:val="000000"/>
                <w:szCs w:val="26"/>
              </w:rPr>
            </w:pPr>
            <w:r>
              <w:rPr>
                <w:rFonts w:ascii="Rockwell" w:hAnsi="Rockwell"/>
                <w:color w:val="000000"/>
                <w:szCs w:val="26"/>
              </w:rPr>
              <w:t>Ouahigouya/Yatenga</w:t>
            </w:r>
          </w:p>
        </w:tc>
        <w:tc>
          <w:tcPr>
            <w:tcW w:w="2551" w:type="dxa"/>
            <w:tcBorders>
              <w:top w:val="single" w:sz="4" w:space="0" w:color="auto"/>
              <w:left w:val="nil"/>
              <w:bottom w:val="single" w:sz="4" w:space="0" w:color="auto"/>
              <w:right w:val="single" w:sz="4" w:space="0" w:color="auto"/>
            </w:tcBorders>
            <w:shd w:val="clear" w:color="auto" w:fill="FFFFFF" w:themeFill="background1"/>
            <w:noWrap/>
          </w:tcPr>
          <w:p w14:paraId="58189682" w14:textId="77777777" w:rsidR="00284822" w:rsidRDefault="00F77BF8">
            <w:pPr>
              <w:spacing w:before="120" w:after="120"/>
              <w:jc w:val="center"/>
              <w:rPr>
                <w:rFonts w:ascii="Rockwell" w:hAnsi="Rockwell"/>
                <w:color w:val="000000"/>
                <w:szCs w:val="26"/>
              </w:rPr>
            </w:pPr>
            <w:r>
              <w:rPr>
                <w:rFonts w:ascii="Rockwell" w:hAnsi="Rockwell"/>
                <w:color w:val="000000"/>
                <w:szCs w:val="26"/>
              </w:rPr>
              <w:t xml:space="preserve">Canal </w:t>
            </w:r>
            <w:r>
              <w:rPr>
                <w:rFonts w:ascii="Rockwell" w:hAnsi="Rockwell"/>
                <w:bCs/>
                <w:color w:val="000000"/>
                <w:szCs w:val="26"/>
              </w:rPr>
              <w:t>TNT</w:t>
            </w:r>
          </w:p>
        </w:tc>
        <w:tc>
          <w:tcPr>
            <w:tcW w:w="2835" w:type="dxa"/>
            <w:tcBorders>
              <w:top w:val="single" w:sz="4" w:space="0" w:color="auto"/>
              <w:left w:val="nil"/>
              <w:bottom w:val="single" w:sz="4" w:space="0" w:color="auto"/>
              <w:right w:val="single" w:sz="4" w:space="0" w:color="auto"/>
            </w:tcBorders>
            <w:shd w:val="clear" w:color="auto" w:fill="FFFFFF" w:themeFill="background1"/>
          </w:tcPr>
          <w:p w14:paraId="4252E62C" w14:textId="77777777" w:rsidR="00284822" w:rsidRDefault="00F77BF8">
            <w:pPr>
              <w:spacing w:before="120" w:after="120"/>
              <w:jc w:val="center"/>
              <w:rPr>
                <w:rFonts w:ascii="Rockwell" w:hAnsi="Rockwell"/>
                <w:color w:val="000000"/>
                <w:szCs w:val="26"/>
              </w:rPr>
            </w:pPr>
            <w:r>
              <w:rPr>
                <w:rFonts w:ascii="Rockwell" w:hAnsi="Rockwell"/>
                <w:color w:val="000000"/>
                <w:szCs w:val="26"/>
              </w:rPr>
              <w:t>C</w:t>
            </w:r>
          </w:p>
        </w:tc>
      </w:tr>
    </w:tbl>
    <w:p w14:paraId="35824C57" w14:textId="77777777" w:rsidR="00284822" w:rsidRDefault="00284822">
      <w:pPr>
        <w:spacing w:before="120" w:after="120"/>
        <w:rPr>
          <w:rFonts w:ascii="Rockwell" w:hAnsi="Rockwell"/>
          <w:szCs w:val="26"/>
        </w:rPr>
      </w:pPr>
    </w:p>
    <w:p w14:paraId="0286D004" w14:textId="77777777" w:rsidR="00284822" w:rsidRDefault="00284822">
      <w:pPr>
        <w:pStyle w:val="Paragraphedeliste"/>
        <w:rPr>
          <w:rFonts w:ascii="Rockwell" w:hAnsi="Rockwell"/>
          <w:b/>
        </w:rPr>
        <w:sectPr w:rsidR="00284822">
          <w:pgSz w:w="16838" w:h="11906" w:orient="landscape"/>
          <w:pgMar w:top="1418" w:right="1418" w:bottom="1418" w:left="1418" w:header="720" w:footer="720" w:gutter="0"/>
          <w:cols w:space="720"/>
        </w:sectPr>
      </w:pPr>
    </w:p>
    <w:p w14:paraId="35B50923" w14:textId="77777777" w:rsidR="00284822" w:rsidRDefault="00F77BF8">
      <w:pPr>
        <w:pStyle w:val="Paragraphedeliste"/>
        <w:numPr>
          <w:ilvl w:val="0"/>
          <w:numId w:val="58"/>
        </w:numPr>
        <w:rPr>
          <w:rFonts w:ascii="Rockwell" w:hAnsi="Rockwell"/>
        </w:rPr>
      </w:pPr>
      <w:r>
        <w:rPr>
          <w:rFonts w:ascii="Rockwell" w:hAnsi="Rockwell"/>
        </w:rPr>
        <w:lastRenderedPageBreak/>
        <w:t>Télévisions commerciales : seize (16)</w:t>
      </w:r>
    </w:p>
    <w:tbl>
      <w:tblPr>
        <w:tblW w:w="13462" w:type="dxa"/>
        <w:jc w:val="center"/>
        <w:tblLayout w:type="fixed"/>
        <w:tblCellMar>
          <w:left w:w="70" w:type="dxa"/>
          <w:right w:w="70" w:type="dxa"/>
        </w:tblCellMar>
        <w:tblLook w:val="04A0" w:firstRow="1" w:lastRow="0" w:firstColumn="1" w:lastColumn="0" w:noHBand="0" w:noVBand="1"/>
      </w:tblPr>
      <w:tblGrid>
        <w:gridCol w:w="1141"/>
        <w:gridCol w:w="3821"/>
        <w:gridCol w:w="3544"/>
        <w:gridCol w:w="1985"/>
        <w:gridCol w:w="2971"/>
      </w:tblGrid>
      <w:tr w:rsidR="00284822" w14:paraId="46E5D036" w14:textId="77777777">
        <w:trPr>
          <w:trHeight w:val="70"/>
          <w:jc w:val="center"/>
        </w:trPr>
        <w:tc>
          <w:tcPr>
            <w:tcW w:w="1141" w:type="dxa"/>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bottom"/>
          </w:tcPr>
          <w:p w14:paraId="7D2C4918" w14:textId="77777777" w:rsidR="00284822" w:rsidRDefault="00F77BF8">
            <w:pPr>
              <w:spacing w:before="120" w:after="120"/>
              <w:rPr>
                <w:rFonts w:ascii="Rockwell" w:hAnsi="Rockwell"/>
                <w:b/>
                <w:bCs/>
                <w:color w:val="000000"/>
                <w:szCs w:val="26"/>
              </w:rPr>
            </w:pPr>
            <w:r>
              <w:rPr>
                <w:rFonts w:ascii="Rockwell" w:hAnsi="Rockwell"/>
                <w:b/>
                <w:bCs/>
                <w:color w:val="000000"/>
                <w:szCs w:val="26"/>
              </w:rPr>
              <w:t>N°</w:t>
            </w:r>
          </w:p>
        </w:tc>
        <w:tc>
          <w:tcPr>
            <w:tcW w:w="3821" w:type="dxa"/>
            <w:tcBorders>
              <w:top w:val="single" w:sz="4" w:space="0" w:color="auto"/>
              <w:left w:val="nil"/>
              <w:bottom w:val="single" w:sz="4" w:space="0" w:color="auto"/>
              <w:right w:val="single" w:sz="4" w:space="0" w:color="auto"/>
            </w:tcBorders>
            <w:shd w:val="clear" w:color="auto" w:fill="BDD6EE" w:themeFill="accent1" w:themeFillTint="66"/>
            <w:noWrap/>
            <w:vAlign w:val="bottom"/>
          </w:tcPr>
          <w:p w14:paraId="26FD2591" w14:textId="77777777" w:rsidR="00284822" w:rsidRDefault="00F77BF8">
            <w:pPr>
              <w:spacing w:before="120" w:after="120"/>
              <w:rPr>
                <w:rFonts w:ascii="Rockwell" w:hAnsi="Rockwell"/>
                <w:b/>
                <w:bCs/>
                <w:color w:val="000000"/>
                <w:szCs w:val="26"/>
              </w:rPr>
            </w:pPr>
            <w:r>
              <w:rPr>
                <w:rFonts w:ascii="Rockwell" w:hAnsi="Rockwell"/>
                <w:b/>
                <w:bCs/>
                <w:color w:val="000000"/>
                <w:szCs w:val="26"/>
              </w:rPr>
              <w:t>Dénomination</w:t>
            </w:r>
          </w:p>
        </w:tc>
        <w:tc>
          <w:tcPr>
            <w:tcW w:w="3544" w:type="dxa"/>
            <w:tcBorders>
              <w:top w:val="single" w:sz="4" w:space="0" w:color="auto"/>
              <w:left w:val="nil"/>
              <w:bottom w:val="single" w:sz="4" w:space="0" w:color="auto"/>
              <w:right w:val="single" w:sz="4" w:space="0" w:color="auto"/>
            </w:tcBorders>
            <w:shd w:val="clear" w:color="auto" w:fill="BDD6EE" w:themeFill="accent1" w:themeFillTint="66"/>
            <w:noWrap/>
            <w:vAlign w:val="bottom"/>
          </w:tcPr>
          <w:p w14:paraId="5896EB4A" w14:textId="77777777" w:rsidR="00284822" w:rsidRDefault="00F77BF8">
            <w:pPr>
              <w:spacing w:before="120" w:after="120"/>
              <w:rPr>
                <w:rFonts w:ascii="Rockwell" w:hAnsi="Rockwell"/>
                <w:b/>
                <w:bCs/>
                <w:color w:val="000000"/>
                <w:szCs w:val="26"/>
              </w:rPr>
            </w:pPr>
            <w:r>
              <w:rPr>
                <w:rFonts w:ascii="Rockwell" w:hAnsi="Rockwell"/>
                <w:b/>
                <w:bCs/>
                <w:color w:val="000000"/>
                <w:szCs w:val="26"/>
              </w:rPr>
              <w:t>Localité/Province</w:t>
            </w:r>
          </w:p>
        </w:tc>
        <w:tc>
          <w:tcPr>
            <w:tcW w:w="1985" w:type="dxa"/>
            <w:tcBorders>
              <w:top w:val="single" w:sz="4" w:space="0" w:color="auto"/>
              <w:left w:val="nil"/>
              <w:bottom w:val="single" w:sz="4" w:space="0" w:color="auto"/>
              <w:right w:val="single" w:sz="4" w:space="0" w:color="auto"/>
            </w:tcBorders>
            <w:shd w:val="clear" w:color="auto" w:fill="BDD6EE" w:themeFill="accent1" w:themeFillTint="66"/>
            <w:noWrap/>
            <w:vAlign w:val="bottom"/>
          </w:tcPr>
          <w:p w14:paraId="30CD57E4" w14:textId="77777777" w:rsidR="00284822" w:rsidRDefault="00F77BF8">
            <w:pPr>
              <w:spacing w:before="120" w:after="120"/>
              <w:rPr>
                <w:rFonts w:ascii="Rockwell" w:hAnsi="Rockwell"/>
                <w:b/>
                <w:bCs/>
                <w:color w:val="000000"/>
                <w:szCs w:val="26"/>
              </w:rPr>
            </w:pPr>
            <w:r>
              <w:rPr>
                <w:rFonts w:ascii="Rockwell" w:hAnsi="Rockwell"/>
                <w:b/>
                <w:bCs/>
                <w:color w:val="000000"/>
                <w:szCs w:val="26"/>
              </w:rPr>
              <w:t>Canal TNT</w:t>
            </w:r>
          </w:p>
        </w:tc>
        <w:tc>
          <w:tcPr>
            <w:tcW w:w="2971" w:type="dxa"/>
            <w:tcBorders>
              <w:top w:val="single" w:sz="4" w:space="0" w:color="auto"/>
              <w:left w:val="nil"/>
              <w:bottom w:val="single" w:sz="4" w:space="0" w:color="auto"/>
              <w:right w:val="single" w:sz="4" w:space="0" w:color="auto"/>
            </w:tcBorders>
            <w:shd w:val="clear" w:color="auto" w:fill="BDD6EE" w:themeFill="accent1" w:themeFillTint="66"/>
            <w:vAlign w:val="bottom"/>
          </w:tcPr>
          <w:p w14:paraId="50B18FC8" w14:textId="77777777" w:rsidR="00284822" w:rsidRDefault="00F77BF8">
            <w:pPr>
              <w:spacing w:before="120" w:after="120"/>
              <w:rPr>
                <w:rFonts w:ascii="Rockwell" w:hAnsi="Rockwell"/>
                <w:b/>
                <w:bCs/>
                <w:color w:val="000000"/>
                <w:szCs w:val="26"/>
              </w:rPr>
            </w:pPr>
            <w:r>
              <w:rPr>
                <w:rFonts w:ascii="Rockwell" w:hAnsi="Rockwell"/>
                <w:b/>
                <w:bCs/>
                <w:color w:val="000000"/>
                <w:szCs w:val="26"/>
              </w:rPr>
              <w:t xml:space="preserve"> Zone de couverture </w:t>
            </w:r>
          </w:p>
        </w:tc>
      </w:tr>
      <w:tr w:rsidR="00284822" w14:paraId="584CD7CF" w14:textId="77777777">
        <w:trPr>
          <w:trHeight w:val="215"/>
          <w:jc w:val="center"/>
        </w:trPr>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9717850" w14:textId="77777777" w:rsidR="00284822" w:rsidRDefault="00F77BF8">
            <w:pPr>
              <w:spacing w:before="120" w:after="120"/>
              <w:rPr>
                <w:rFonts w:ascii="Rockwell" w:hAnsi="Rockwell"/>
                <w:color w:val="000000"/>
                <w:szCs w:val="26"/>
              </w:rPr>
            </w:pPr>
            <w:r>
              <w:rPr>
                <w:rFonts w:ascii="Rockwell" w:hAnsi="Rockwell"/>
                <w:color w:val="000000"/>
                <w:szCs w:val="26"/>
              </w:rPr>
              <w:t>1</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112186F5" w14:textId="77777777" w:rsidR="00284822" w:rsidRDefault="00F77BF8">
            <w:pPr>
              <w:spacing w:before="120" w:after="120"/>
              <w:rPr>
                <w:rFonts w:ascii="Rockwell" w:hAnsi="Rockwell"/>
                <w:color w:val="000000"/>
                <w:szCs w:val="26"/>
              </w:rPr>
            </w:pPr>
            <w:r>
              <w:rPr>
                <w:rFonts w:ascii="Rockwell" w:hAnsi="Rockwell"/>
                <w:color w:val="000000"/>
                <w:szCs w:val="26"/>
              </w:rPr>
              <w:t>SMTV</w:t>
            </w:r>
          </w:p>
        </w:tc>
        <w:tc>
          <w:tcPr>
            <w:tcW w:w="3544" w:type="dxa"/>
            <w:tcBorders>
              <w:top w:val="single" w:sz="4" w:space="0" w:color="auto"/>
              <w:left w:val="nil"/>
              <w:bottom w:val="single" w:sz="4" w:space="0" w:color="auto"/>
              <w:right w:val="single" w:sz="4" w:space="0" w:color="auto"/>
            </w:tcBorders>
            <w:shd w:val="clear" w:color="auto" w:fill="FFFFFF" w:themeFill="background1"/>
            <w:noWrap/>
          </w:tcPr>
          <w:p w14:paraId="4E431C13" w14:textId="77777777" w:rsidR="00284822" w:rsidRDefault="00F77BF8">
            <w:pPr>
              <w:spacing w:before="120" w:after="120"/>
              <w:jc w:val="left"/>
              <w:rPr>
                <w:rFonts w:ascii="Rockwell" w:hAnsi="Rockwell"/>
                <w:color w:val="000000"/>
                <w:szCs w:val="26"/>
              </w:rPr>
            </w:pPr>
            <w:r>
              <w:rPr>
                <w:rFonts w:ascii="Rockwell" w:hAnsi="Rockwell"/>
                <w:color w:val="000000"/>
                <w:szCs w:val="26"/>
              </w:rPr>
              <w:t>Ouagadougou/Kadiogo</w:t>
            </w:r>
          </w:p>
        </w:tc>
        <w:tc>
          <w:tcPr>
            <w:tcW w:w="1985" w:type="dxa"/>
            <w:tcBorders>
              <w:top w:val="single" w:sz="4" w:space="0" w:color="auto"/>
              <w:left w:val="nil"/>
              <w:bottom w:val="single" w:sz="4" w:space="0" w:color="auto"/>
              <w:right w:val="single" w:sz="4" w:space="0" w:color="auto"/>
            </w:tcBorders>
            <w:shd w:val="clear" w:color="auto" w:fill="FFFFFF" w:themeFill="background1"/>
            <w:noWrap/>
          </w:tcPr>
          <w:p w14:paraId="7F98F225" w14:textId="77777777" w:rsidR="00284822" w:rsidRDefault="00F77BF8">
            <w:pPr>
              <w:spacing w:before="120" w:after="120"/>
              <w:rPr>
                <w:rFonts w:ascii="Rockwell" w:hAnsi="Rockwell"/>
                <w:color w:val="000000"/>
                <w:szCs w:val="26"/>
              </w:rPr>
            </w:pPr>
            <w:r>
              <w:rPr>
                <w:rFonts w:ascii="Rockwell" w:hAnsi="Rockwell"/>
                <w:color w:val="000000"/>
                <w:szCs w:val="26"/>
              </w:rPr>
              <w:t xml:space="preserve">Canal </w:t>
            </w:r>
            <w:r>
              <w:rPr>
                <w:rFonts w:ascii="Rockwell" w:hAnsi="Rockwell"/>
                <w:bCs/>
                <w:color w:val="000000"/>
                <w:szCs w:val="26"/>
              </w:rPr>
              <w:t>TNT</w:t>
            </w:r>
          </w:p>
        </w:tc>
        <w:tc>
          <w:tcPr>
            <w:tcW w:w="2971" w:type="dxa"/>
            <w:tcBorders>
              <w:top w:val="single" w:sz="4" w:space="0" w:color="auto"/>
              <w:left w:val="nil"/>
              <w:bottom w:val="single" w:sz="4" w:space="0" w:color="auto"/>
              <w:right w:val="single" w:sz="4" w:space="0" w:color="auto"/>
            </w:tcBorders>
            <w:shd w:val="clear" w:color="auto" w:fill="FFFFFF" w:themeFill="background1"/>
          </w:tcPr>
          <w:p w14:paraId="298E6F34" w14:textId="77777777" w:rsidR="00284822" w:rsidRDefault="00F77BF8">
            <w:pPr>
              <w:spacing w:before="120" w:after="120"/>
              <w:jc w:val="center"/>
              <w:rPr>
                <w:rFonts w:ascii="Rockwell" w:hAnsi="Rockwell"/>
                <w:color w:val="000000"/>
                <w:szCs w:val="26"/>
              </w:rPr>
            </w:pPr>
            <w:r>
              <w:rPr>
                <w:rFonts w:ascii="Rockwell" w:hAnsi="Rockwell"/>
                <w:color w:val="000000"/>
                <w:szCs w:val="26"/>
              </w:rPr>
              <w:t>-</w:t>
            </w:r>
          </w:p>
        </w:tc>
      </w:tr>
      <w:tr w:rsidR="00284822" w14:paraId="18CB3B7E" w14:textId="77777777">
        <w:trPr>
          <w:trHeight w:val="600"/>
          <w:jc w:val="center"/>
        </w:trPr>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70009B3" w14:textId="77777777" w:rsidR="00284822" w:rsidRDefault="00F77BF8">
            <w:pPr>
              <w:spacing w:before="120" w:after="120"/>
              <w:rPr>
                <w:rFonts w:ascii="Rockwell" w:hAnsi="Rockwell"/>
                <w:color w:val="000000"/>
                <w:szCs w:val="26"/>
              </w:rPr>
            </w:pPr>
            <w:r>
              <w:rPr>
                <w:rFonts w:ascii="Rockwell" w:hAnsi="Rockwell"/>
                <w:color w:val="000000"/>
                <w:szCs w:val="26"/>
              </w:rPr>
              <w:t>2</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7780E846" w14:textId="77777777" w:rsidR="00284822" w:rsidRDefault="00F77BF8">
            <w:pPr>
              <w:spacing w:before="120" w:after="120"/>
              <w:rPr>
                <w:rFonts w:ascii="Rockwell" w:hAnsi="Rockwell"/>
                <w:color w:val="000000"/>
                <w:szCs w:val="26"/>
              </w:rPr>
            </w:pPr>
            <w:r>
              <w:rPr>
                <w:rFonts w:ascii="Rockwell" w:hAnsi="Rockwell"/>
                <w:color w:val="000000"/>
                <w:szCs w:val="26"/>
              </w:rPr>
              <w:t>TV Canal3</w:t>
            </w:r>
          </w:p>
        </w:tc>
        <w:tc>
          <w:tcPr>
            <w:tcW w:w="3544" w:type="dxa"/>
            <w:tcBorders>
              <w:top w:val="single" w:sz="4" w:space="0" w:color="auto"/>
              <w:left w:val="nil"/>
              <w:bottom w:val="single" w:sz="4" w:space="0" w:color="auto"/>
              <w:right w:val="single" w:sz="4" w:space="0" w:color="auto"/>
            </w:tcBorders>
            <w:shd w:val="clear" w:color="auto" w:fill="FFFFFF" w:themeFill="background1"/>
            <w:noWrap/>
          </w:tcPr>
          <w:p w14:paraId="275BB3E0" w14:textId="77777777" w:rsidR="00284822" w:rsidRDefault="00F77BF8">
            <w:pPr>
              <w:spacing w:before="120" w:after="120"/>
              <w:jc w:val="left"/>
              <w:rPr>
                <w:rFonts w:ascii="Rockwell" w:hAnsi="Rockwell"/>
                <w:color w:val="000000"/>
                <w:szCs w:val="26"/>
              </w:rPr>
            </w:pPr>
            <w:r>
              <w:rPr>
                <w:rFonts w:ascii="Rockwell" w:hAnsi="Rockwell"/>
                <w:color w:val="000000"/>
                <w:szCs w:val="26"/>
              </w:rPr>
              <w:t>Ouagadougou/Kadiogo</w:t>
            </w:r>
          </w:p>
        </w:tc>
        <w:tc>
          <w:tcPr>
            <w:tcW w:w="1985" w:type="dxa"/>
            <w:tcBorders>
              <w:top w:val="single" w:sz="4" w:space="0" w:color="auto"/>
              <w:left w:val="nil"/>
              <w:bottom w:val="single" w:sz="4" w:space="0" w:color="auto"/>
              <w:right w:val="single" w:sz="4" w:space="0" w:color="auto"/>
            </w:tcBorders>
            <w:shd w:val="clear" w:color="auto" w:fill="FFFFFF" w:themeFill="background1"/>
            <w:noWrap/>
          </w:tcPr>
          <w:p w14:paraId="04106854" w14:textId="77777777" w:rsidR="00284822" w:rsidRDefault="00F77BF8">
            <w:pPr>
              <w:spacing w:before="120" w:after="120"/>
              <w:rPr>
                <w:rFonts w:ascii="Rockwell" w:hAnsi="Rockwell"/>
                <w:color w:val="000000"/>
                <w:szCs w:val="26"/>
              </w:rPr>
            </w:pPr>
            <w:r>
              <w:rPr>
                <w:rFonts w:ascii="Rockwell" w:hAnsi="Rockwell"/>
                <w:color w:val="000000"/>
                <w:szCs w:val="26"/>
              </w:rPr>
              <w:t xml:space="preserve">Canal </w:t>
            </w:r>
            <w:r>
              <w:rPr>
                <w:rFonts w:ascii="Rockwell" w:hAnsi="Rockwell"/>
                <w:bCs/>
                <w:color w:val="000000"/>
                <w:szCs w:val="26"/>
              </w:rPr>
              <w:t>TNT</w:t>
            </w:r>
          </w:p>
        </w:tc>
        <w:tc>
          <w:tcPr>
            <w:tcW w:w="2971" w:type="dxa"/>
            <w:tcBorders>
              <w:top w:val="single" w:sz="4" w:space="0" w:color="auto"/>
              <w:left w:val="nil"/>
              <w:bottom w:val="single" w:sz="4" w:space="0" w:color="auto"/>
              <w:right w:val="single" w:sz="4" w:space="0" w:color="auto"/>
            </w:tcBorders>
            <w:shd w:val="clear" w:color="auto" w:fill="FFFFFF" w:themeFill="background1"/>
          </w:tcPr>
          <w:p w14:paraId="047F0ABA" w14:textId="77777777" w:rsidR="00284822" w:rsidRDefault="00F77BF8">
            <w:pPr>
              <w:spacing w:before="120" w:after="120"/>
              <w:jc w:val="center"/>
              <w:rPr>
                <w:rFonts w:ascii="Rockwell" w:hAnsi="Rockwell"/>
                <w:color w:val="000000"/>
                <w:szCs w:val="26"/>
              </w:rPr>
            </w:pPr>
            <w:r>
              <w:rPr>
                <w:rFonts w:ascii="Rockwell" w:hAnsi="Rockwell"/>
                <w:color w:val="000000"/>
                <w:szCs w:val="26"/>
              </w:rPr>
              <w:t>Nationale</w:t>
            </w:r>
          </w:p>
        </w:tc>
      </w:tr>
      <w:tr w:rsidR="00284822" w14:paraId="2AFC6393" w14:textId="77777777">
        <w:trPr>
          <w:trHeight w:val="600"/>
          <w:jc w:val="center"/>
        </w:trPr>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7B613E9" w14:textId="77777777" w:rsidR="00284822" w:rsidRDefault="00F77BF8">
            <w:pPr>
              <w:spacing w:before="120" w:after="120"/>
              <w:rPr>
                <w:rFonts w:ascii="Rockwell" w:hAnsi="Rockwell"/>
                <w:color w:val="000000"/>
                <w:szCs w:val="26"/>
              </w:rPr>
            </w:pPr>
            <w:r>
              <w:rPr>
                <w:rFonts w:ascii="Rockwell" w:hAnsi="Rockwell"/>
                <w:color w:val="000000"/>
                <w:szCs w:val="26"/>
              </w:rPr>
              <w:t>3</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2F26A1E5" w14:textId="77777777" w:rsidR="00284822" w:rsidRDefault="00F77BF8">
            <w:pPr>
              <w:spacing w:before="120" w:after="120"/>
              <w:rPr>
                <w:rFonts w:ascii="Rockwell" w:hAnsi="Rockwell"/>
                <w:color w:val="000000"/>
                <w:szCs w:val="26"/>
              </w:rPr>
            </w:pPr>
            <w:r>
              <w:rPr>
                <w:rFonts w:ascii="Rockwell" w:hAnsi="Rockwell"/>
                <w:color w:val="000000"/>
                <w:szCs w:val="26"/>
              </w:rPr>
              <w:t>BF1</w:t>
            </w:r>
          </w:p>
        </w:tc>
        <w:tc>
          <w:tcPr>
            <w:tcW w:w="3544" w:type="dxa"/>
            <w:tcBorders>
              <w:top w:val="single" w:sz="4" w:space="0" w:color="auto"/>
              <w:left w:val="nil"/>
              <w:bottom w:val="single" w:sz="4" w:space="0" w:color="auto"/>
              <w:right w:val="single" w:sz="4" w:space="0" w:color="auto"/>
            </w:tcBorders>
            <w:shd w:val="clear" w:color="auto" w:fill="FFFFFF" w:themeFill="background1"/>
            <w:noWrap/>
          </w:tcPr>
          <w:p w14:paraId="781D9645" w14:textId="77777777" w:rsidR="00284822" w:rsidRDefault="00F77BF8">
            <w:pPr>
              <w:spacing w:before="120" w:after="120"/>
              <w:jc w:val="left"/>
              <w:rPr>
                <w:rFonts w:ascii="Rockwell" w:hAnsi="Rockwell"/>
                <w:color w:val="000000"/>
                <w:szCs w:val="26"/>
              </w:rPr>
            </w:pPr>
            <w:r>
              <w:rPr>
                <w:rFonts w:ascii="Rockwell" w:hAnsi="Rockwell"/>
                <w:color w:val="000000"/>
                <w:szCs w:val="26"/>
              </w:rPr>
              <w:t>Ouagadougou/Kadiogo</w:t>
            </w:r>
          </w:p>
        </w:tc>
        <w:tc>
          <w:tcPr>
            <w:tcW w:w="1985" w:type="dxa"/>
            <w:tcBorders>
              <w:top w:val="single" w:sz="4" w:space="0" w:color="auto"/>
              <w:left w:val="nil"/>
              <w:bottom w:val="single" w:sz="4" w:space="0" w:color="auto"/>
              <w:right w:val="single" w:sz="4" w:space="0" w:color="auto"/>
            </w:tcBorders>
            <w:shd w:val="clear" w:color="auto" w:fill="FFFFFF" w:themeFill="background1"/>
            <w:noWrap/>
          </w:tcPr>
          <w:p w14:paraId="221ACB3B" w14:textId="77777777" w:rsidR="00284822" w:rsidRDefault="00F77BF8">
            <w:pPr>
              <w:spacing w:before="120" w:after="120"/>
              <w:rPr>
                <w:rFonts w:ascii="Rockwell" w:hAnsi="Rockwell"/>
                <w:color w:val="000000"/>
                <w:szCs w:val="26"/>
              </w:rPr>
            </w:pPr>
            <w:r>
              <w:rPr>
                <w:rFonts w:ascii="Rockwell" w:hAnsi="Rockwell"/>
                <w:color w:val="000000"/>
                <w:szCs w:val="26"/>
              </w:rPr>
              <w:t xml:space="preserve">Canal </w:t>
            </w:r>
            <w:r>
              <w:rPr>
                <w:rFonts w:ascii="Rockwell" w:hAnsi="Rockwell"/>
                <w:bCs/>
                <w:color w:val="000000"/>
                <w:szCs w:val="26"/>
              </w:rPr>
              <w:t>TNT</w:t>
            </w:r>
          </w:p>
        </w:tc>
        <w:tc>
          <w:tcPr>
            <w:tcW w:w="2971" w:type="dxa"/>
            <w:tcBorders>
              <w:top w:val="single" w:sz="4" w:space="0" w:color="auto"/>
              <w:left w:val="nil"/>
              <w:bottom w:val="single" w:sz="4" w:space="0" w:color="auto"/>
              <w:right w:val="single" w:sz="4" w:space="0" w:color="auto"/>
            </w:tcBorders>
            <w:shd w:val="clear" w:color="auto" w:fill="FFFFFF" w:themeFill="background1"/>
          </w:tcPr>
          <w:p w14:paraId="78F35B24" w14:textId="77777777" w:rsidR="00284822" w:rsidRDefault="00F77BF8">
            <w:pPr>
              <w:spacing w:before="120" w:after="120"/>
              <w:jc w:val="center"/>
              <w:rPr>
                <w:rFonts w:ascii="Rockwell" w:hAnsi="Rockwell"/>
                <w:color w:val="000000"/>
                <w:szCs w:val="26"/>
              </w:rPr>
            </w:pPr>
            <w:r>
              <w:rPr>
                <w:rFonts w:ascii="Rockwell" w:hAnsi="Rockwell"/>
                <w:color w:val="000000"/>
                <w:szCs w:val="26"/>
              </w:rPr>
              <w:t>Nationale</w:t>
            </w:r>
          </w:p>
        </w:tc>
      </w:tr>
      <w:tr w:rsidR="00284822" w14:paraId="0F4980E9" w14:textId="77777777">
        <w:trPr>
          <w:trHeight w:val="600"/>
          <w:jc w:val="center"/>
        </w:trPr>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F84BCAB" w14:textId="77777777" w:rsidR="00284822" w:rsidRDefault="00F77BF8">
            <w:pPr>
              <w:spacing w:before="120" w:after="120"/>
              <w:rPr>
                <w:rFonts w:ascii="Rockwell" w:hAnsi="Rockwell"/>
                <w:color w:val="000000"/>
                <w:szCs w:val="26"/>
              </w:rPr>
            </w:pPr>
            <w:r>
              <w:rPr>
                <w:rFonts w:ascii="Rockwell" w:hAnsi="Rockwell"/>
                <w:color w:val="000000"/>
                <w:szCs w:val="26"/>
              </w:rPr>
              <w:t>4</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1246C3CA" w14:textId="77777777" w:rsidR="00284822" w:rsidRDefault="00F77BF8">
            <w:pPr>
              <w:spacing w:before="120" w:after="120"/>
              <w:rPr>
                <w:rFonts w:ascii="Rockwell" w:hAnsi="Rockwell"/>
                <w:color w:val="000000"/>
                <w:szCs w:val="26"/>
              </w:rPr>
            </w:pPr>
            <w:r>
              <w:rPr>
                <w:rFonts w:ascii="Rockwell" w:hAnsi="Rockwell"/>
                <w:color w:val="000000"/>
                <w:szCs w:val="26"/>
              </w:rPr>
              <w:t xml:space="preserve">TVZ </w:t>
            </w:r>
            <w:proofErr w:type="spellStart"/>
            <w:r>
              <w:rPr>
                <w:rFonts w:ascii="Rockwell" w:hAnsi="Rockwell"/>
                <w:color w:val="000000"/>
                <w:szCs w:val="26"/>
              </w:rPr>
              <w:t>Africa</w:t>
            </w:r>
            <w:proofErr w:type="spellEnd"/>
          </w:p>
        </w:tc>
        <w:tc>
          <w:tcPr>
            <w:tcW w:w="3544" w:type="dxa"/>
            <w:tcBorders>
              <w:top w:val="single" w:sz="4" w:space="0" w:color="auto"/>
              <w:left w:val="nil"/>
              <w:bottom w:val="single" w:sz="4" w:space="0" w:color="auto"/>
              <w:right w:val="single" w:sz="4" w:space="0" w:color="auto"/>
            </w:tcBorders>
            <w:shd w:val="clear" w:color="auto" w:fill="FFFFFF" w:themeFill="background1"/>
            <w:noWrap/>
          </w:tcPr>
          <w:p w14:paraId="3FD1E3CA" w14:textId="77777777" w:rsidR="00284822" w:rsidRDefault="00F77BF8">
            <w:pPr>
              <w:spacing w:before="120" w:after="120"/>
              <w:jc w:val="left"/>
              <w:rPr>
                <w:rFonts w:ascii="Rockwell" w:hAnsi="Rockwell"/>
                <w:color w:val="000000"/>
                <w:szCs w:val="26"/>
              </w:rPr>
            </w:pPr>
            <w:r>
              <w:rPr>
                <w:rFonts w:ascii="Rockwell" w:hAnsi="Rockwell"/>
                <w:color w:val="000000"/>
                <w:szCs w:val="26"/>
              </w:rPr>
              <w:t>Ouagadougou/Kadiogo</w:t>
            </w:r>
          </w:p>
        </w:tc>
        <w:tc>
          <w:tcPr>
            <w:tcW w:w="1985" w:type="dxa"/>
            <w:tcBorders>
              <w:top w:val="single" w:sz="4" w:space="0" w:color="auto"/>
              <w:left w:val="nil"/>
              <w:bottom w:val="single" w:sz="4" w:space="0" w:color="auto"/>
              <w:right w:val="single" w:sz="4" w:space="0" w:color="auto"/>
            </w:tcBorders>
            <w:shd w:val="clear" w:color="auto" w:fill="FFFFFF" w:themeFill="background1"/>
            <w:noWrap/>
          </w:tcPr>
          <w:p w14:paraId="721C9A31" w14:textId="77777777" w:rsidR="00284822" w:rsidRDefault="00F77BF8">
            <w:pPr>
              <w:spacing w:before="120" w:after="120"/>
              <w:rPr>
                <w:rFonts w:ascii="Rockwell" w:hAnsi="Rockwell"/>
                <w:color w:val="000000"/>
                <w:szCs w:val="26"/>
              </w:rPr>
            </w:pPr>
            <w:r>
              <w:rPr>
                <w:rFonts w:ascii="Rockwell" w:hAnsi="Rockwell"/>
                <w:color w:val="000000"/>
                <w:szCs w:val="26"/>
              </w:rPr>
              <w:t xml:space="preserve">Canal </w:t>
            </w:r>
            <w:r>
              <w:rPr>
                <w:rFonts w:ascii="Rockwell" w:hAnsi="Rockwell"/>
                <w:bCs/>
                <w:color w:val="000000"/>
                <w:szCs w:val="26"/>
              </w:rPr>
              <w:t>TNT</w:t>
            </w:r>
          </w:p>
        </w:tc>
        <w:tc>
          <w:tcPr>
            <w:tcW w:w="2971" w:type="dxa"/>
            <w:tcBorders>
              <w:top w:val="single" w:sz="4" w:space="0" w:color="auto"/>
              <w:left w:val="nil"/>
              <w:bottom w:val="single" w:sz="4" w:space="0" w:color="auto"/>
              <w:right w:val="single" w:sz="4" w:space="0" w:color="auto"/>
            </w:tcBorders>
            <w:shd w:val="clear" w:color="auto" w:fill="FFFFFF" w:themeFill="background1"/>
          </w:tcPr>
          <w:p w14:paraId="4E543386" w14:textId="77777777" w:rsidR="00284822" w:rsidRDefault="00F77BF8">
            <w:pPr>
              <w:spacing w:before="120" w:after="120"/>
              <w:jc w:val="center"/>
              <w:rPr>
                <w:rFonts w:ascii="Rockwell" w:hAnsi="Rockwell"/>
                <w:color w:val="000000"/>
                <w:szCs w:val="26"/>
              </w:rPr>
            </w:pPr>
            <w:r>
              <w:rPr>
                <w:rFonts w:ascii="Rockwell" w:hAnsi="Rockwell"/>
                <w:color w:val="000000"/>
                <w:szCs w:val="26"/>
              </w:rPr>
              <w:t>Nationale</w:t>
            </w:r>
          </w:p>
        </w:tc>
      </w:tr>
      <w:tr w:rsidR="00284822" w14:paraId="77E6A9B5" w14:textId="77777777">
        <w:trPr>
          <w:trHeight w:val="600"/>
          <w:jc w:val="center"/>
        </w:trPr>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1E32D55" w14:textId="77777777" w:rsidR="00284822" w:rsidRDefault="00F77BF8">
            <w:pPr>
              <w:spacing w:before="120" w:after="120"/>
              <w:rPr>
                <w:rFonts w:ascii="Rockwell" w:hAnsi="Rockwell"/>
                <w:color w:val="000000"/>
                <w:szCs w:val="26"/>
              </w:rPr>
            </w:pPr>
            <w:r>
              <w:rPr>
                <w:rFonts w:ascii="Rockwell" w:hAnsi="Rockwell"/>
                <w:color w:val="000000"/>
                <w:szCs w:val="26"/>
              </w:rPr>
              <w:t>5</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534EE2AE" w14:textId="77777777" w:rsidR="00284822" w:rsidRDefault="00F77BF8">
            <w:pPr>
              <w:spacing w:before="120" w:after="120"/>
              <w:rPr>
                <w:rFonts w:ascii="Rockwell" w:hAnsi="Rockwell"/>
                <w:szCs w:val="26"/>
              </w:rPr>
            </w:pPr>
            <w:r>
              <w:rPr>
                <w:rFonts w:ascii="Rockwell" w:hAnsi="Rockwell"/>
                <w:szCs w:val="26"/>
              </w:rPr>
              <w:t>LCA TV la chaine Africaine</w:t>
            </w:r>
          </w:p>
        </w:tc>
        <w:tc>
          <w:tcPr>
            <w:tcW w:w="3544" w:type="dxa"/>
            <w:tcBorders>
              <w:top w:val="single" w:sz="4" w:space="0" w:color="auto"/>
              <w:left w:val="nil"/>
              <w:bottom w:val="single" w:sz="4" w:space="0" w:color="auto"/>
              <w:right w:val="single" w:sz="4" w:space="0" w:color="auto"/>
            </w:tcBorders>
            <w:shd w:val="clear" w:color="auto" w:fill="FFFFFF" w:themeFill="background1"/>
            <w:noWrap/>
          </w:tcPr>
          <w:p w14:paraId="145B0E05" w14:textId="77777777" w:rsidR="00284822" w:rsidRDefault="00F77BF8">
            <w:pPr>
              <w:spacing w:before="120" w:after="120"/>
              <w:jc w:val="left"/>
              <w:rPr>
                <w:rFonts w:ascii="Rockwell" w:hAnsi="Rockwell"/>
                <w:color w:val="000000"/>
                <w:szCs w:val="26"/>
              </w:rPr>
            </w:pPr>
            <w:r>
              <w:rPr>
                <w:rFonts w:ascii="Rockwell" w:hAnsi="Rockwell"/>
                <w:color w:val="000000"/>
                <w:szCs w:val="26"/>
              </w:rPr>
              <w:t>Ouagadougou/Kadiogo</w:t>
            </w:r>
          </w:p>
        </w:tc>
        <w:tc>
          <w:tcPr>
            <w:tcW w:w="1985" w:type="dxa"/>
            <w:tcBorders>
              <w:top w:val="single" w:sz="4" w:space="0" w:color="auto"/>
              <w:left w:val="nil"/>
              <w:bottom w:val="single" w:sz="4" w:space="0" w:color="auto"/>
              <w:right w:val="single" w:sz="4" w:space="0" w:color="auto"/>
            </w:tcBorders>
            <w:shd w:val="clear" w:color="auto" w:fill="FFFFFF" w:themeFill="background1"/>
            <w:noWrap/>
          </w:tcPr>
          <w:p w14:paraId="0435A35F" w14:textId="77777777" w:rsidR="00284822" w:rsidRDefault="00F77BF8">
            <w:pPr>
              <w:spacing w:before="120" w:after="120"/>
              <w:rPr>
                <w:rFonts w:ascii="Rockwell" w:hAnsi="Rockwell"/>
                <w:color w:val="000000"/>
                <w:szCs w:val="26"/>
              </w:rPr>
            </w:pPr>
            <w:r>
              <w:rPr>
                <w:rFonts w:ascii="Rockwell" w:hAnsi="Rockwell"/>
                <w:color w:val="000000"/>
                <w:szCs w:val="26"/>
              </w:rPr>
              <w:t xml:space="preserve">Canal </w:t>
            </w:r>
            <w:r>
              <w:rPr>
                <w:rFonts w:ascii="Rockwell" w:hAnsi="Rockwell"/>
                <w:bCs/>
                <w:color w:val="000000"/>
                <w:szCs w:val="26"/>
              </w:rPr>
              <w:t>TNT</w:t>
            </w:r>
          </w:p>
        </w:tc>
        <w:tc>
          <w:tcPr>
            <w:tcW w:w="2971" w:type="dxa"/>
            <w:tcBorders>
              <w:top w:val="single" w:sz="4" w:space="0" w:color="auto"/>
              <w:left w:val="nil"/>
              <w:bottom w:val="single" w:sz="4" w:space="0" w:color="auto"/>
              <w:right w:val="single" w:sz="4" w:space="0" w:color="auto"/>
            </w:tcBorders>
            <w:shd w:val="clear" w:color="auto" w:fill="FFFFFF" w:themeFill="background1"/>
          </w:tcPr>
          <w:p w14:paraId="18C926EA" w14:textId="77777777" w:rsidR="00284822" w:rsidRDefault="00F77BF8">
            <w:pPr>
              <w:spacing w:before="120" w:after="120"/>
              <w:jc w:val="center"/>
              <w:rPr>
                <w:rFonts w:ascii="Rockwell" w:hAnsi="Rockwell"/>
                <w:color w:val="000000"/>
                <w:szCs w:val="26"/>
              </w:rPr>
            </w:pPr>
            <w:r>
              <w:rPr>
                <w:rFonts w:ascii="Rockwell" w:hAnsi="Rockwell"/>
                <w:color w:val="000000"/>
                <w:szCs w:val="26"/>
              </w:rPr>
              <w:t>Nationale</w:t>
            </w:r>
          </w:p>
        </w:tc>
      </w:tr>
      <w:tr w:rsidR="00284822" w14:paraId="0A759A2C" w14:textId="77777777">
        <w:trPr>
          <w:trHeight w:val="600"/>
          <w:jc w:val="center"/>
        </w:trPr>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70988A0" w14:textId="77777777" w:rsidR="00284822" w:rsidRDefault="00F77BF8">
            <w:pPr>
              <w:spacing w:before="120" w:after="120"/>
              <w:rPr>
                <w:rFonts w:ascii="Rockwell" w:hAnsi="Rockwell"/>
                <w:color w:val="000000"/>
                <w:szCs w:val="26"/>
              </w:rPr>
            </w:pPr>
            <w:r>
              <w:rPr>
                <w:rFonts w:ascii="Rockwell" w:hAnsi="Rockwell"/>
                <w:color w:val="000000"/>
                <w:szCs w:val="26"/>
              </w:rPr>
              <w:t>6</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73CB5656" w14:textId="77777777" w:rsidR="00284822" w:rsidRDefault="00F77BF8">
            <w:pPr>
              <w:spacing w:before="120" w:after="120"/>
              <w:rPr>
                <w:rFonts w:ascii="Rockwell" w:hAnsi="Rockwell"/>
                <w:szCs w:val="26"/>
              </w:rPr>
            </w:pPr>
            <w:r>
              <w:rPr>
                <w:rFonts w:ascii="Rockwell" w:hAnsi="Rockwell"/>
                <w:szCs w:val="26"/>
              </w:rPr>
              <w:t>Savane TV</w:t>
            </w:r>
          </w:p>
        </w:tc>
        <w:tc>
          <w:tcPr>
            <w:tcW w:w="3544" w:type="dxa"/>
            <w:tcBorders>
              <w:top w:val="single" w:sz="4" w:space="0" w:color="auto"/>
              <w:left w:val="nil"/>
              <w:bottom w:val="single" w:sz="4" w:space="0" w:color="auto"/>
              <w:right w:val="single" w:sz="4" w:space="0" w:color="auto"/>
            </w:tcBorders>
            <w:shd w:val="clear" w:color="auto" w:fill="FFFFFF" w:themeFill="background1"/>
            <w:noWrap/>
          </w:tcPr>
          <w:p w14:paraId="5ABC16E1" w14:textId="77777777" w:rsidR="00284822" w:rsidRDefault="00F77BF8">
            <w:pPr>
              <w:spacing w:before="120" w:after="120"/>
              <w:jc w:val="left"/>
              <w:rPr>
                <w:rFonts w:ascii="Rockwell" w:hAnsi="Rockwell"/>
                <w:color w:val="000000"/>
                <w:szCs w:val="26"/>
              </w:rPr>
            </w:pPr>
            <w:r>
              <w:rPr>
                <w:rFonts w:ascii="Rockwell" w:hAnsi="Rockwell"/>
                <w:color w:val="000000"/>
                <w:szCs w:val="26"/>
              </w:rPr>
              <w:t>Ouagadougou/Kadiogo</w:t>
            </w:r>
          </w:p>
        </w:tc>
        <w:tc>
          <w:tcPr>
            <w:tcW w:w="1985" w:type="dxa"/>
            <w:tcBorders>
              <w:top w:val="single" w:sz="4" w:space="0" w:color="auto"/>
              <w:left w:val="nil"/>
              <w:bottom w:val="single" w:sz="4" w:space="0" w:color="auto"/>
              <w:right w:val="single" w:sz="4" w:space="0" w:color="auto"/>
            </w:tcBorders>
            <w:shd w:val="clear" w:color="auto" w:fill="FFFFFF" w:themeFill="background1"/>
            <w:noWrap/>
          </w:tcPr>
          <w:p w14:paraId="7CC69678" w14:textId="77777777" w:rsidR="00284822" w:rsidRDefault="00F77BF8">
            <w:pPr>
              <w:spacing w:before="120" w:after="120"/>
              <w:rPr>
                <w:rFonts w:ascii="Rockwell" w:hAnsi="Rockwell"/>
                <w:color w:val="000000"/>
                <w:szCs w:val="26"/>
              </w:rPr>
            </w:pPr>
            <w:r>
              <w:rPr>
                <w:rFonts w:ascii="Rockwell" w:hAnsi="Rockwell"/>
                <w:color w:val="000000"/>
                <w:szCs w:val="26"/>
              </w:rPr>
              <w:t xml:space="preserve">Canal </w:t>
            </w:r>
            <w:r>
              <w:rPr>
                <w:rFonts w:ascii="Rockwell" w:hAnsi="Rockwell"/>
                <w:bCs/>
                <w:color w:val="000000"/>
                <w:szCs w:val="26"/>
              </w:rPr>
              <w:t>TNT</w:t>
            </w:r>
          </w:p>
        </w:tc>
        <w:tc>
          <w:tcPr>
            <w:tcW w:w="2971" w:type="dxa"/>
            <w:tcBorders>
              <w:top w:val="single" w:sz="4" w:space="0" w:color="auto"/>
              <w:left w:val="nil"/>
              <w:bottom w:val="single" w:sz="4" w:space="0" w:color="auto"/>
              <w:right w:val="single" w:sz="4" w:space="0" w:color="auto"/>
            </w:tcBorders>
            <w:shd w:val="clear" w:color="auto" w:fill="FFFFFF" w:themeFill="background1"/>
          </w:tcPr>
          <w:p w14:paraId="6987668A" w14:textId="77777777" w:rsidR="00284822" w:rsidRDefault="00F77BF8">
            <w:pPr>
              <w:spacing w:before="120" w:after="120"/>
              <w:jc w:val="center"/>
              <w:rPr>
                <w:rFonts w:ascii="Rockwell" w:hAnsi="Rockwell"/>
                <w:color w:val="000000"/>
                <w:szCs w:val="26"/>
              </w:rPr>
            </w:pPr>
            <w:r>
              <w:rPr>
                <w:rFonts w:ascii="Rockwell" w:hAnsi="Rockwell"/>
                <w:color w:val="000000"/>
                <w:szCs w:val="26"/>
              </w:rPr>
              <w:t>Nationale</w:t>
            </w:r>
          </w:p>
        </w:tc>
      </w:tr>
      <w:tr w:rsidR="00284822" w14:paraId="47CB30FD" w14:textId="77777777">
        <w:trPr>
          <w:trHeight w:val="603"/>
          <w:jc w:val="center"/>
        </w:trPr>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CA83BE3" w14:textId="77777777" w:rsidR="00284822" w:rsidRDefault="00F77BF8">
            <w:pPr>
              <w:spacing w:before="120" w:after="120"/>
              <w:jc w:val="left"/>
              <w:rPr>
                <w:rFonts w:ascii="Rockwell" w:hAnsi="Rockwell"/>
                <w:color w:val="000000"/>
                <w:szCs w:val="26"/>
              </w:rPr>
            </w:pPr>
            <w:r>
              <w:rPr>
                <w:rFonts w:ascii="Rockwell" w:hAnsi="Rockwell"/>
                <w:color w:val="000000"/>
                <w:szCs w:val="26"/>
              </w:rPr>
              <w:t>7</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3D0E4C41" w14:textId="77777777" w:rsidR="00284822" w:rsidRDefault="00F77BF8">
            <w:pPr>
              <w:spacing w:before="120" w:after="120"/>
              <w:rPr>
                <w:rFonts w:ascii="Rockwell" w:hAnsi="Rockwell"/>
                <w:szCs w:val="26"/>
              </w:rPr>
            </w:pPr>
            <w:r>
              <w:rPr>
                <w:rFonts w:ascii="Rockwell" w:hAnsi="Rockwell"/>
                <w:szCs w:val="26"/>
              </w:rPr>
              <w:t>3TV</w:t>
            </w:r>
          </w:p>
          <w:p w14:paraId="68903CD1" w14:textId="77777777" w:rsidR="00284822" w:rsidRDefault="00284822">
            <w:pPr>
              <w:spacing w:before="120" w:after="120"/>
              <w:rPr>
                <w:rFonts w:ascii="Rockwell" w:hAnsi="Rockwell"/>
                <w:color w:val="000000"/>
                <w:szCs w:val="26"/>
              </w:rPr>
            </w:pPr>
          </w:p>
        </w:tc>
        <w:tc>
          <w:tcPr>
            <w:tcW w:w="3544" w:type="dxa"/>
            <w:tcBorders>
              <w:top w:val="single" w:sz="4" w:space="0" w:color="auto"/>
              <w:left w:val="nil"/>
              <w:bottom w:val="single" w:sz="4" w:space="0" w:color="auto"/>
              <w:right w:val="single" w:sz="4" w:space="0" w:color="auto"/>
            </w:tcBorders>
            <w:shd w:val="clear" w:color="auto" w:fill="FFFFFF" w:themeFill="background1"/>
            <w:noWrap/>
          </w:tcPr>
          <w:p w14:paraId="007A0AA7" w14:textId="77777777" w:rsidR="00284822" w:rsidRDefault="00F77BF8">
            <w:pPr>
              <w:spacing w:before="120" w:after="120"/>
              <w:jc w:val="left"/>
              <w:rPr>
                <w:rFonts w:ascii="Rockwell" w:hAnsi="Rockwell"/>
                <w:color w:val="000000"/>
                <w:szCs w:val="26"/>
              </w:rPr>
            </w:pPr>
            <w:r>
              <w:rPr>
                <w:rFonts w:ascii="Rockwell" w:hAnsi="Rockwell"/>
                <w:color w:val="000000"/>
                <w:szCs w:val="26"/>
              </w:rPr>
              <w:t>Ouagadougou/Kadiogo</w:t>
            </w:r>
          </w:p>
        </w:tc>
        <w:tc>
          <w:tcPr>
            <w:tcW w:w="1985" w:type="dxa"/>
            <w:tcBorders>
              <w:top w:val="single" w:sz="4" w:space="0" w:color="auto"/>
              <w:left w:val="nil"/>
              <w:bottom w:val="single" w:sz="4" w:space="0" w:color="auto"/>
              <w:right w:val="single" w:sz="4" w:space="0" w:color="auto"/>
            </w:tcBorders>
            <w:shd w:val="clear" w:color="auto" w:fill="FFFFFF" w:themeFill="background1"/>
            <w:noWrap/>
          </w:tcPr>
          <w:p w14:paraId="64F74B48" w14:textId="77777777" w:rsidR="00284822" w:rsidRDefault="00F77BF8">
            <w:pPr>
              <w:spacing w:before="120" w:after="120"/>
              <w:rPr>
                <w:rFonts w:ascii="Rockwell" w:hAnsi="Rockwell"/>
                <w:color w:val="000000"/>
                <w:szCs w:val="26"/>
              </w:rPr>
            </w:pPr>
            <w:r>
              <w:rPr>
                <w:rFonts w:ascii="Rockwell" w:hAnsi="Rockwell"/>
                <w:color w:val="000000"/>
                <w:szCs w:val="26"/>
              </w:rPr>
              <w:t xml:space="preserve">Canal </w:t>
            </w:r>
            <w:r>
              <w:rPr>
                <w:rFonts w:ascii="Rockwell" w:hAnsi="Rockwell"/>
                <w:bCs/>
                <w:color w:val="000000"/>
                <w:szCs w:val="26"/>
              </w:rPr>
              <w:t>TNT</w:t>
            </w:r>
          </w:p>
        </w:tc>
        <w:tc>
          <w:tcPr>
            <w:tcW w:w="2971" w:type="dxa"/>
            <w:tcBorders>
              <w:top w:val="single" w:sz="4" w:space="0" w:color="auto"/>
              <w:left w:val="nil"/>
              <w:bottom w:val="single" w:sz="4" w:space="0" w:color="auto"/>
              <w:right w:val="single" w:sz="4" w:space="0" w:color="auto"/>
            </w:tcBorders>
            <w:shd w:val="clear" w:color="auto" w:fill="FFFFFF" w:themeFill="background1"/>
          </w:tcPr>
          <w:p w14:paraId="7E100636" w14:textId="77777777" w:rsidR="00284822" w:rsidRDefault="00F77BF8">
            <w:pPr>
              <w:spacing w:before="120" w:after="120"/>
              <w:jc w:val="center"/>
              <w:rPr>
                <w:rFonts w:ascii="Rockwell" w:hAnsi="Rockwell"/>
                <w:color w:val="000000"/>
                <w:szCs w:val="26"/>
              </w:rPr>
            </w:pPr>
            <w:r>
              <w:rPr>
                <w:rFonts w:ascii="Rockwell" w:hAnsi="Rockwell"/>
                <w:color w:val="000000"/>
                <w:szCs w:val="26"/>
              </w:rPr>
              <w:t>Nationale</w:t>
            </w:r>
          </w:p>
        </w:tc>
      </w:tr>
      <w:tr w:rsidR="00284822" w14:paraId="155F11B9" w14:textId="77777777">
        <w:trPr>
          <w:trHeight w:val="600"/>
          <w:jc w:val="center"/>
        </w:trPr>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9233EFD" w14:textId="77777777" w:rsidR="00284822" w:rsidRDefault="00F77BF8">
            <w:pPr>
              <w:spacing w:before="120" w:after="120"/>
              <w:jc w:val="left"/>
              <w:rPr>
                <w:rFonts w:ascii="Rockwell" w:hAnsi="Rockwell"/>
                <w:color w:val="000000"/>
                <w:szCs w:val="26"/>
              </w:rPr>
            </w:pPr>
            <w:r>
              <w:rPr>
                <w:rFonts w:ascii="Rockwell" w:hAnsi="Rockwell"/>
                <w:color w:val="000000"/>
                <w:szCs w:val="26"/>
              </w:rPr>
              <w:t>8</w:t>
            </w:r>
          </w:p>
        </w:tc>
        <w:tc>
          <w:tcPr>
            <w:tcW w:w="3821" w:type="dxa"/>
            <w:tcBorders>
              <w:top w:val="single" w:sz="4" w:space="0" w:color="auto"/>
              <w:left w:val="nil"/>
              <w:bottom w:val="single" w:sz="4" w:space="0" w:color="auto"/>
              <w:right w:val="single" w:sz="4" w:space="0" w:color="auto"/>
            </w:tcBorders>
            <w:shd w:val="clear" w:color="auto" w:fill="FFFFFF" w:themeFill="background1"/>
            <w:noWrap/>
          </w:tcPr>
          <w:p w14:paraId="38344B06" w14:textId="77777777" w:rsidR="00284822" w:rsidRDefault="00F77BF8">
            <w:pPr>
              <w:spacing w:before="120" w:after="120"/>
              <w:rPr>
                <w:rFonts w:ascii="Rockwell" w:hAnsi="Rockwell"/>
                <w:szCs w:val="26"/>
              </w:rPr>
            </w:pPr>
            <w:r>
              <w:rPr>
                <w:rFonts w:ascii="Rockwell" w:hAnsi="Rockwell"/>
                <w:szCs w:val="26"/>
              </w:rPr>
              <w:t>Burkina Info TV</w:t>
            </w:r>
          </w:p>
        </w:tc>
        <w:tc>
          <w:tcPr>
            <w:tcW w:w="3544" w:type="dxa"/>
            <w:tcBorders>
              <w:top w:val="single" w:sz="4" w:space="0" w:color="auto"/>
              <w:left w:val="nil"/>
              <w:bottom w:val="single" w:sz="4" w:space="0" w:color="auto"/>
              <w:right w:val="single" w:sz="4" w:space="0" w:color="auto"/>
            </w:tcBorders>
            <w:shd w:val="clear" w:color="auto" w:fill="FFFFFF" w:themeFill="background1"/>
            <w:noWrap/>
          </w:tcPr>
          <w:p w14:paraId="492EFA39" w14:textId="77777777" w:rsidR="00284822" w:rsidRDefault="00F77BF8">
            <w:pPr>
              <w:spacing w:before="120" w:after="120"/>
              <w:jc w:val="left"/>
              <w:rPr>
                <w:rFonts w:ascii="Rockwell" w:hAnsi="Rockwell"/>
                <w:color w:val="000000"/>
                <w:szCs w:val="26"/>
              </w:rPr>
            </w:pPr>
            <w:r>
              <w:rPr>
                <w:rFonts w:ascii="Rockwell" w:hAnsi="Rockwell"/>
                <w:color w:val="000000"/>
                <w:szCs w:val="26"/>
              </w:rPr>
              <w:t>Ouagadougou/Kadiogo</w:t>
            </w:r>
          </w:p>
        </w:tc>
        <w:tc>
          <w:tcPr>
            <w:tcW w:w="1985" w:type="dxa"/>
            <w:tcBorders>
              <w:top w:val="single" w:sz="4" w:space="0" w:color="auto"/>
              <w:left w:val="nil"/>
              <w:bottom w:val="single" w:sz="4" w:space="0" w:color="auto"/>
              <w:right w:val="single" w:sz="4" w:space="0" w:color="auto"/>
            </w:tcBorders>
            <w:shd w:val="clear" w:color="auto" w:fill="FFFFFF" w:themeFill="background1"/>
            <w:noWrap/>
          </w:tcPr>
          <w:p w14:paraId="2A423CC4" w14:textId="77777777" w:rsidR="00284822" w:rsidRDefault="00F77BF8">
            <w:pPr>
              <w:spacing w:before="120" w:after="120"/>
              <w:jc w:val="center"/>
              <w:rPr>
                <w:rFonts w:ascii="Rockwell" w:hAnsi="Rockwell"/>
                <w:color w:val="000000"/>
                <w:szCs w:val="26"/>
              </w:rPr>
            </w:pPr>
            <w:r>
              <w:rPr>
                <w:rFonts w:ascii="Rockwell" w:hAnsi="Rockwell"/>
                <w:color w:val="000000"/>
                <w:szCs w:val="26"/>
              </w:rPr>
              <w:t xml:space="preserve">Canal </w:t>
            </w:r>
            <w:r>
              <w:rPr>
                <w:rFonts w:ascii="Rockwell" w:hAnsi="Rockwell"/>
                <w:bCs/>
                <w:color w:val="000000"/>
                <w:szCs w:val="26"/>
              </w:rPr>
              <w:t>TNT</w:t>
            </w:r>
          </w:p>
        </w:tc>
        <w:tc>
          <w:tcPr>
            <w:tcW w:w="2971" w:type="dxa"/>
            <w:tcBorders>
              <w:top w:val="single" w:sz="4" w:space="0" w:color="auto"/>
              <w:left w:val="nil"/>
              <w:bottom w:val="single" w:sz="4" w:space="0" w:color="auto"/>
              <w:right w:val="single" w:sz="4" w:space="0" w:color="auto"/>
            </w:tcBorders>
            <w:shd w:val="clear" w:color="auto" w:fill="FFFFFF" w:themeFill="background1"/>
          </w:tcPr>
          <w:p w14:paraId="4A21FFCC" w14:textId="77777777" w:rsidR="00284822" w:rsidRDefault="00F77BF8">
            <w:pPr>
              <w:spacing w:before="120" w:after="120"/>
              <w:jc w:val="center"/>
              <w:rPr>
                <w:rFonts w:ascii="Rockwell" w:hAnsi="Rockwell"/>
                <w:color w:val="000000"/>
                <w:szCs w:val="26"/>
              </w:rPr>
            </w:pPr>
            <w:r>
              <w:rPr>
                <w:rFonts w:ascii="Rockwell" w:hAnsi="Rockwell"/>
                <w:color w:val="000000"/>
                <w:szCs w:val="26"/>
              </w:rPr>
              <w:t>Nationale</w:t>
            </w:r>
          </w:p>
        </w:tc>
      </w:tr>
      <w:tr w:rsidR="00284822" w14:paraId="37185419" w14:textId="77777777">
        <w:trPr>
          <w:trHeight w:val="600"/>
          <w:jc w:val="center"/>
        </w:trPr>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B37AD29" w14:textId="77777777" w:rsidR="00284822" w:rsidRDefault="00F77BF8">
            <w:pPr>
              <w:spacing w:before="120" w:after="120"/>
              <w:rPr>
                <w:rFonts w:ascii="Rockwell" w:hAnsi="Rockwell"/>
                <w:color w:val="000000"/>
                <w:szCs w:val="26"/>
              </w:rPr>
            </w:pPr>
            <w:r>
              <w:rPr>
                <w:rFonts w:ascii="Rockwell" w:hAnsi="Rockwell"/>
                <w:color w:val="000000"/>
                <w:szCs w:val="26"/>
              </w:rPr>
              <w:t>9</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21FAFEA0" w14:textId="77777777" w:rsidR="00284822" w:rsidRDefault="00F77BF8">
            <w:pPr>
              <w:spacing w:before="120" w:after="120"/>
              <w:rPr>
                <w:rFonts w:ascii="Rockwell" w:hAnsi="Rockwell"/>
                <w:szCs w:val="26"/>
              </w:rPr>
            </w:pPr>
            <w:r>
              <w:rPr>
                <w:rFonts w:ascii="Rockwell" w:hAnsi="Rockwell"/>
                <w:szCs w:val="26"/>
              </w:rPr>
              <w:t>Omega TV</w:t>
            </w:r>
          </w:p>
        </w:tc>
        <w:tc>
          <w:tcPr>
            <w:tcW w:w="3544" w:type="dxa"/>
            <w:tcBorders>
              <w:top w:val="single" w:sz="4" w:space="0" w:color="auto"/>
              <w:left w:val="nil"/>
              <w:bottom w:val="single" w:sz="4" w:space="0" w:color="auto"/>
              <w:right w:val="single" w:sz="4" w:space="0" w:color="auto"/>
            </w:tcBorders>
            <w:shd w:val="clear" w:color="auto" w:fill="FFFFFF" w:themeFill="background1"/>
            <w:noWrap/>
          </w:tcPr>
          <w:p w14:paraId="3506F600" w14:textId="77777777" w:rsidR="00284822" w:rsidRDefault="00F77BF8">
            <w:pPr>
              <w:spacing w:before="120" w:after="120"/>
              <w:jc w:val="left"/>
              <w:rPr>
                <w:rFonts w:ascii="Rockwell" w:hAnsi="Rockwell"/>
                <w:color w:val="000000"/>
                <w:szCs w:val="26"/>
              </w:rPr>
            </w:pPr>
            <w:r>
              <w:rPr>
                <w:rFonts w:ascii="Rockwell" w:hAnsi="Rockwell"/>
                <w:color w:val="000000"/>
                <w:szCs w:val="26"/>
              </w:rPr>
              <w:t>Ouagadougou/Kadiogo</w:t>
            </w:r>
          </w:p>
        </w:tc>
        <w:tc>
          <w:tcPr>
            <w:tcW w:w="1985" w:type="dxa"/>
            <w:tcBorders>
              <w:top w:val="single" w:sz="4" w:space="0" w:color="auto"/>
              <w:left w:val="nil"/>
              <w:bottom w:val="single" w:sz="4" w:space="0" w:color="auto"/>
              <w:right w:val="single" w:sz="4" w:space="0" w:color="auto"/>
            </w:tcBorders>
            <w:shd w:val="clear" w:color="auto" w:fill="FFFFFF" w:themeFill="background1"/>
            <w:noWrap/>
          </w:tcPr>
          <w:p w14:paraId="6718287A" w14:textId="77777777" w:rsidR="00284822" w:rsidRDefault="00F77BF8">
            <w:pPr>
              <w:spacing w:before="120" w:after="120"/>
              <w:rPr>
                <w:rFonts w:ascii="Rockwell" w:hAnsi="Rockwell"/>
                <w:color w:val="000000"/>
                <w:szCs w:val="26"/>
              </w:rPr>
            </w:pPr>
            <w:r>
              <w:rPr>
                <w:rFonts w:ascii="Rockwell" w:hAnsi="Rockwell"/>
                <w:color w:val="000000"/>
                <w:szCs w:val="26"/>
              </w:rPr>
              <w:t xml:space="preserve">Canal </w:t>
            </w:r>
            <w:r>
              <w:rPr>
                <w:rFonts w:ascii="Rockwell" w:hAnsi="Rockwell"/>
                <w:bCs/>
                <w:color w:val="000000"/>
                <w:szCs w:val="26"/>
              </w:rPr>
              <w:t>TNT</w:t>
            </w:r>
          </w:p>
        </w:tc>
        <w:tc>
          <w:tcPr>
            <w:tcW w:w="2971" w:type="dxa"/>
            <w:tcBorders>
              <w:top w:val="single" w:sz="4" w:space="0" w:color="auto"/>
              <w:left w:val="nil"/>
              <w:bottom w:val="single" w:sz="4" w:space="0" w:color="auto"/>
              <w:right w:val="single" w:sz="4" w:space="0" w:color="auto"/>
            </w:tcBorders>
            <w:shd w:val="clear" w:color="auto" w:fill="FFFFFF" w:themeFill="background1"/>
          </w:tcPr>
          <w:p w14:paraId="24D5BF4B" w14:textId="77777777" w:rsidR="00284822" w:rsidRDefault="00F77BF8">
            <w:pPr>
              <w:spacing w:before="120" w:after="120"/>
              <w:jc w:val="center"/>
              <w:rPr>
                <w:rFonts w:ascii="Rockwell" w:hAnsi="Rockwell"/>
                <w:color w:val="000000"/>
                <w:szCs w:val="26"/>
              </w:rPr>
            </w:pPr>
            <w:r>
              <w:rPr>
                <w:rFonts w:ascii="Rockwell" w:hAnsi="Rockwell"/>
                <w:color w:val="000000"/>
                <w:szCs w:val="26"/>
              </w:rPr>
              <w:t>Nationale</w:t>
            </w:r>
          </w:p>
        </w:tc>
      </w:tr>
      <w:tr w:rsidR="00284822" w14:paraId="23BE4616" w14:textId="77777777">
        <w:trPr>
          <w:trHeight w:val="600"/>
          <w:jc w:val="center"/>
        </w:trPr>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B5F113C" w14:textId="77777777" w:rsidR="00284822" w:rsidRDefault="00F77BF8">
            <w:pPr>
              <w:spacing w:before="120" w:after="120"/>
              <w:rPr>
                <w:rFonts w:ascii="Rockwell" w:hAnsi="Rockwell"/>
                <w:color w:val="000000"/>
                <w:szCs w:val="26"/>
              </w:rPr>
            </w:pPr>
            <w:r>
              <w:rPr>
                <w:rFonts w:ascii="Rockwell" w:hAnsi="Rockwell"/>
                <w:color w:val="000000"/>
                <w:szCs w:val="26"/>
              </w:rPr>
              <w:lastRenderedPageBreak/>
              <w:t>10</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4924EF95" w14:textId="77777777" w:rsidR="00284822" w:rsidRDefault="00F77BF8">
            <w:pPr>
              <w:spacing w:before="120" w:after="120"/>
              <w:rPr>
                <w:rFonts w:ascii="Rockwell" w:hAnsi="Rockwell"/>
                <w:szCs w:val="26"/>
              </w:rPr>
            </w:pPr>
            <w:r>
              <w:rPr>
                <w:rFonts w:ascii="Rockwell" w:hAnsi="Rockwell"/>
                <w:szCs w:val="26"/>
              </w:rPr>
              <w:t>Télé Citoyenne Tenkodogo</w:t>
            </w:r>
          </w:p>
        </w:tc>
        <w:tc>
          <w:tcPr>
            <w:tcW w:w="3544" w:type="dxa"/>
            <w:tcBorders>
              <w:top w:val="single" w:sz="4" w:space="0" w:color="auto"/>
              <w:left w:val="nil"/>
              <w:bottom w:val="single" w:sz="4" w:space="0" w:color="auto"/>
              <w:right w:val="single" w:sz="4" w:space="0" w:color="auto"/>
            </w:tcBorders>
            <w:shd w:val="clear" w:color="auto" w:fill="FFFFFF" w:themeFill="background1"/>
            <w:noWrap/>
          </w:tcPr>
          <w:p w14:paraId="2907F73B" w14:textId="77777777" w:rsidR="00284822" w:rsidRDefault="00F77BF8">
            <w:pPr>
              <w:spacing w:before="120" w:after="120"/>
              <w:jc w:val="left"/>
              <w:rPr>
                <w:rFonts w:ascii="Rockwell" w:hAnsi="Rockwell"/>
                <w:color w:val="000000"/>
                <w:szCs w:val="26"/>
              </w:rPr>
            </w:pPr>
            <w:r>
              <w:rPr>
                <w:rFonts w:ascii="Rockwell" w:hAnsi="Rockwell"/>
                <w:color w:val="000000"/>
                <w:szCs w:val="26"/>
              </w:rPr>
              <w:t>Tenkodogo/Boulgou</w:t>
            </w:r>
          </w:p>
        </w:tc>
        <w:tc>
          <w:tcPr>
            <w:tcW w:w="1985" w:type="dxa"/>
            <w:tcBorders>
              <w:top w:val="single" w:sz="4" w:space="0" w:color="auto"/>
              <w:left w:val="nil"/>
              <w:bottom w:val="single" w:sz="4" w:space="0" w:color="auto"/>
              <w:right w:val="single" w:sz="4" w:space="0" w:color="auto"/>
            </w:tcBorders>
            <w:shd w:val="clear" w:color="auto" w:fill="FFFFFF" w:themeFill="background1"/>
            <w:noWrap/>
          </w:tcPr>
          <w:p w14:paraId="31A44C94" w14:textId="77777777" w:rsidR="00284822" w:rsidRDefault="00F77BF8">
            <w:pPr>
              <w:spacing w:before="120" w:after="120"/>
              <w:rPr>
                <w:rFonts w:ascii="Rockwell" w:hAnsi="Rockwell"/>
                <w:color w:val="000000"/>
                <w:szCs w:val="26"/>
              </w:rPr>
            </w:pPr>
            <w:r>
              <w:rPr>
                <w:rFonts w:ascii="Rockwell" w:hAnsi="Rockwell"/>
                <w:color w:val="000000"/>
                <w:szCs w:val="26"/>
              </w:rPr>
              <w:t xml:space="preserve">Canal </w:t>
            </w:r>
            <w:r>
              <w:rPr>
                <w:rFonts w:ascii="Rockwell" w:hAnsi="Rockwell"/>
                <w:bCs/>
                <w:color w:val="000000"/>
                <w:szCs w:val="26"/>
              </w:rPr>
              <w:t>TNT</w:t>
            </w:r>
          </w:p>
        </w:tc>
        <w:tc>
          <w:tcPr>
            <w:tcW w:w="2971" w:type="dxa"/>
            <w:tcBorders>
              <w:top w:val="single" w:sz="4" w:space="0" w:color="auto"/>
              <w:left w:val="nil"/>
              <w:bottom w:val="single" w:sz="4" w:space="0" w:color="auto"/>
              <w:right w:val="single" w:sz="4" w:space="0" w:color="auto"/>
            </w:tcBorders>
            <w:shd w:val="clear" w:color="auto" w:fill="FFFFFF" w:themeFill="background1"/>
          </w:tcPr>
          <w:p w14:paraId="071AA1CF" w14:textId="77777777" w:rsidR="00284822" w:rsidRDefault="00F77BF8">
            <w:pPr>
              <w:spacing w:before="120" w:after="120"/>
              <w:jc w:val="center"/>
              <w:rPr>
                <w:rFonts w:ascii="Rockwell" w:hAnsi="Rockwell"/>
                <w:color w:val="000000"/>
                <w:szCs w:val="26"/>
              </w:rPr>
            </w:pPr>
            <w:r>
              <w:rPr>
                <w:rFonts w:ascii="Rockwell" w:hAnsi="Rockwell"/>
                <w:color w:val="000000"/>
                <w:szCs w:val="26"/>
              </w:rPr>
              <w:t>-</w:t>
            </w:r>
          </w:p>
        </w:tc>
      </w:tr>
      <w:tr w:rsidR="00284822" w14:paraId="3EA437F7" w14:textId="77777777">
        <w:trPr>
          <w:trHeight w:val="600"/>
          <w:jc w:val="center"/>
        </w:trPr>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5938332" w14:textId="77777777" w:rsidR="00284822" w:rsidRDefault="00F77BF8">
            <w:pPr>
              <w:spacing w:before="120" w:after="120"/>
              <w:rPr>
                <w:rFonts w:ascii="Rockwell" w:hAnsi="Rockwell"/>
                <w:color w:val="000000"/>
                <w:szCs w:val="26"/>
              </w:rPr>
            </w:pPr>
            <w:r>
              <w:rPr>
                <w:rFonts w:ascii="Rockwell" w:hAnsi="Rockwell"/>
                <w:color w:val="000000"/>
                <w:szCs w:val="26"/>
              </w:rPr>
              <w:t>11</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171D00C4" w14:textId="77777777" w:rsidR="00284822" w:rsidRDefault="00F77BF8">
            <w:pPr>
              <w:spacing w:before="120" w:after="120"/>
              <w:rPr>
                <w:rFonts w:ascii="Rockwell" w:hAnsi="Rockwell"/>
                <w:szCs w:val="26"/>
              </w:rPr>
            </w:pPr>
            <w:r>
              <w:rPr>
                <w:rFonts w:ascii="Rockwell" w:hAnsi="Rockwell"/>
                <w:szCs w:val="26"/>
              </w:rPr>
              <w:t>Télé Citoyenne Ouagadougou</w:t>
            </w:r>
          </w:p>
        </w:tc>
        <w:tc>
          <w:tcPr>
            <w:tcW w:w="3544" w:type="dxa"/>
            <w:tcBorders>
              <w:top w:val="single" w:sz="4" w:space="0" w:color="auto"/>
              <w:left w:val="nil"/>
              <w:bottom w:val="single" w:sz="4" w:space="0" w:color="auto"/>
              <w:right w:val="single" w:sz="4" w:space="0" w:color="auto"/>
            </w:tcBorders>
            <w:shd w:val="clear" w:color="auto" w:fill="FFFFFF" w:themeFill="background1"/>
            <w:noWrap/>
          </w:tcPr>
          <w:p w14:paraId="4EB30C62" w14:textId="77777777" w:rsidR="00284822" w:rsidRDefault="00F77BF8">
            <w:pPr>
              <w:spacing w:before="120" w:after="120"/>
              <w:jc w:val="left"/>
              <w:rPr>
                <w:rFonts w:ascii="Rockwell" w:hAnsi="Rockwell"/>
                <w:color w:val="000000"/>
                <w:szCs w:val="26"/>
              </w:rPr>
            </w:pPr>
            <w:r>
              <w:rPr>
                <w:rFonts w:ascii="Rockwell" w:hAnsi="Rockwell"/>
                <w:color w:val="000000"/>
                <w:szCs w:val="26"/>
              </w:rPr>
              <w:t>Ouagadougou/Kadiogo</w:t>
            </w:r>
          </w:p>
        </w:tc>
        <w:tc>
          <w:tcPr>
            <w:tcW w:w="1985" w:type="dxa"/>
            <w:tcBorders>
              <w:top w:val="single" w:sz="4" w:space="0" w:color="auto"/>
              <w:left w:val="nil"/>
              <w:bottom w:val="single" w:sz="4" w:space="0" w:color="auto"/>
              <w:right w:val="single" w:sz="4" w:space="0" w:color="auto"/>
            </w:tcBorders>
            <w:shd w:val="clear" w:color="auto" w:fill="FFFFFF" w:themeFill="background1"/>
            <w:noWrap/>
          </w:tcPr>
          <w:p w14:paraId="45EEF9BF" w14:textId="77777777" w:rsidR="00284822" w:rsidRDefault="00F77BF8">
            <w:pPr>
              <w:spacing w:before="120" w:after="120"/>
              <w:rPr>
                <w:rFonts w:ascii="Rockwell" w:hAnsi="Rockwell"/>
                <w:color w:val="000000"/>
                <w:szCs w:val="26"/>
              </w:rPr>
            </w:pPr>
            <w:r>
              <w:rPr>
                <w:rFonts w:ascii="Rockwell" w:hAnsi="Rockwell"/>
                <w:color w:val="000000"/>
                <w:szCs w:val="26"/>
              </w:rPr>
              <w:t xml:space="preserve">Canal </w:t>
            </w:r>
            <w:r>
              <w:rPr>
                <w:rFonts w:ascii="Rockwell" w:hAnsi="Rockwell"/>
                <w:bCs/>
                <w:color w:val="000000"/>
                <w:szCs w:val="26"/>
              </w:rPr>
              <w:t>TNT</w:t>
            </w:r>
          </w:p>
        </w:tc>
        <w:tc>
          <w:tcPr>
            <w:tcW w:w="2971" w:type="dxa"/>
            <w:tcBorders>
              <w:top w:val="single" w:sz="4" w:space="0" w:color="auto"/>
              <w:left w:val="nil"/>
              <w:bottom w:val="single" w:sz="4" w:space="0" w:color="auto"/>
              <w:right w:val="single" w:sz="4" w:space="0" w:color="auto"/>
            </w:tcBorders>
            <w:shd w:val="clear" w:color="auto" w:fill="FFFFFF" w:themeFill="background1"/>
          </w:tcPr>
          <w:p w14:paraId="7BEFEEAC" w14:textId="77777777" w:rsidR="00284822" w:rsidRDefault="00F77BF8">
            <w:pPr>
              <w:spacing w:before="120" w:after="120"/>
              <w:jc w:val="center"/>
              <w:rPr>
                <w:rFonts w:ascii="Rockwell" w:hAnsi="Rockwell"/>
                <w:color w:val="000000"/>
                <w:szCs w:val="26"/>
              </w:rPr>
            </w:pPr>
            <w:r>
              <w:rPr>
                <w:rFonts w:ascii="Rockwell" w:hAnsi="Rockwell"/>
                <w:color w:val="000000"/>
                <w:szCs w:val="26"/>
              </w:rPr>
              <w:t>-</w:t>
            </w:r>
          </w:p>
        </w:tc>
      </w:tr>
      <w:tr w:rsidR="00284822" w14:paraId="3B47E9B0" w14:textId="77777777">
        <w:trPr>
          <w:trHeight w:val="600"/>
          <w:jc w:val="center"/>
        </w:trPr>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D03E5C2" w14:textId="77777777" w:rsidR="00284822" w:rsidRDefault="00F77BF8">
            <w:pPr>
              <w:spacing w:before="120" w:after="120"/>
              <w:jc w:val="left"/>
              <w:rPr>
                <w:rFonts w:ascii="Rockwell" w:hAnsi="Rockwell"/>
                <w:color w:val="000000"/>
                <w:szCs w:val="26"/>
              </w:rPr>
            </w:pPr>
            <w:r>
              <w:rPr>
                <w:rFonts w:ascii="Rockwell" w:hAnsi="Rockwell"/>
                <w:color w:val="000000"/>
                <w:szCs w:val="26"/>
              </w:rPr>
              <w:t>12</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599213F3" w14:textId="77777777" w:rsidR="00284822" w:rsidRDefault="00F77BF8">
            <w:pPr>
              <w:spacing w:before="120" w:after="120"/>
              <w:rPr>
                <w:rFonts w:ascii="Rockwell" w:hAnsi="Rockwell"/>
                <w:szCs w:val="26"/>
              </w:rPr>
            </w:pPr>
            <w:r>
              <w:rPr>
                <w:rFonts w:ascii="Rockwell" w:hAnsi="Rockwell"/>
                <w:szCs w:val="26"/>
              </w:rPr>
              <w:t>SMTV Bobo</w:t>
            </w:r>
          </w:p>
          <w:p w14:paraId="54142E43" w14:textId="77777777" w:rsidR="00284822" w:rsidRDefault="00284822">
            <w:pPr>
              <w:spacing w:before="120" w:after="120"/>
              <w:rPr>
                <w:rFonts w:ascii="Rockwell" w:hAnsi="Rockwell"/>
                <w:szCs w:val="26"/>
              </w:rPr>
            </w:pPr>
          </w:p>
        </w:tc>
        <w:tc>
          <w:tcPr>
            <w:tcW w:w="3544" w:type="dxa"/>
            <w:tcBorders>
              <w:top w:val="single" w:sz="4" w:space="0" w:color="auto"/>
              <w:left w:val="nil"/>
              <w:bottom w:val="single" w:sz="4" w:space="0" w:color="auto"/>
              <w:right w:val="single" w:sz="4" w:space="0" w:color="auto"/>
            </w:tcBorders>
            <w:shd w:val="clear" w:color="auto" w:fill="FFFFFF" w:themeFill="background1"/>
            <w:noWrap/>
          </w:tcPr>
          <w:p w14:paraId="253FAA24" w14:textId="77777777" w:rsidR="00284822" w:rsidRDefault="00284822">
            <w:pPr>
              <w:spacing w:before="120" w:after="120"/>
              <w:jc w:val="left"/>
              <w:rPr>
                <w:rFonts w:ascii="Rockwell" w:hAnsi="Rockwell"/>
                <w:color w:val="000000"/>
                <w:szCs w:val="26"/>
              </w:rPr>
            </w:pPr>
          </w:p>
        </w:tc>
        <w:tc>
          <w:tcPr>
            <w:tcW w:w="1985" w:type="dxa"/>
            <w:tcBorders>
              <w:top w:val="single" w:sz="4" w:space="0" w:color="auto"/>
              <w:left w:val="nil"/>
              <w:bottom w:val="single" w:sz="4" w:space="0" w:color="auto"/>
              <w:right w:val="single" w:sz="4" w:space="0" w:color="auto"/>
            </w:tcBorders>
            <w:shd w:val="clear" w:color="auto" w:fill="FFFFFF" w:themeFill="background1"/>
            <w:noWrap/>
          </w:tcPr>
          <w:p w14:paraId="166EECD7" w14:textId="77777777" w:rsidR="00284822" w:rsidRDefault="00F77BF8">
            <w:pPr>
              <w:spacing w:before="120" w:after="120"/>
              <w:rPr>
                <w:rFonts w:ascii="Rockwell" w:hAnsi="Rockwell"/>
                <w:color w:val="000000"/>
                <w:szCs w:val="26"/>
              </w:rPr>
            </w:pPr>
            <w:r>
              <w:rPr>
                <w:rFonts w:ascii="Rockwell" w:hAnsi="Rockwell"/>
                <w:color w:val="000000"/>
                <w:szCs w:val="26"/>
              </w:rPr>
              <w:t xml:space="preserve">Canal </w:t>
            </w:r>
            <w:r>
              <w:rPr>
                <w:rFonts w:ascii="Rockwell" w:hAnsi="Rockwell"/>
                <w:bCs/>
                <w:color w:val="000000"/>
                <w:szCs w:val="26"/>
              </w:rPr>
              <w:t>TNT</w:t>
            </w:r>
          </w:p>
        </w:tc>
        <w:tc>
          <w:tcPr>
            <w:tcW w:w="2971" w:type="dxa"/>
            <w:tcBorders>
              <w:top w:val="single" w:sz="4" w:space="0" w:color="auto"/>
              <w:left w:val="nil"/>
              <w:bottom w:val="single" w:sz="4" w:space="0" w:color="auto"/>
              <w:right w:val="single" w:sz="4" w:space="0" w:color="auto"/>
            </w:tcBorders>
            <w:shd w:val="clear" w:color="auto" w:fill="FFFFFF" w:themeFill="background1"/>
          </w:tcPr>
          <w:p w14:paraId="3880ABB4" w14:textId="77777777" w:rsidR="00284822" w:rsidRDefault="00F77BF8">
            <w:pPr>
              <w:spacing w:before="120" w:after="120"/>
              <w:jc w:val="center"/>
              <w:rPr>
                <w:rFonts w:ascii="Rockwell" w:hAnsi="Rockwell"/>
                <w:color w:val="000000"/>
                <w:szCs w:val="26"/>
              </w:rPr>
            </w:pPr>
            <w:r>
              <w:rPr>
                <w:rFonts w:ascii="Rockwell" w:hAnsi="Rockwell"/>
                <w:color w:val="000000"/>
                <w:szCs w:val="26"/>
              </w:rPr>
              <w:t>B</w:t>
            </w:r>
          </w:p>
        </w:tc>
      </w:tr>
      <w:tr w:rsidR="00284822" w14:paraId="78130E65" w14:textId="77777777">
        <w:trPr>
          <w:trHeight w:val="600"/>
          <w:jc w:val="center"/>
        </w:trPr>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0DCE1D9" w14:textId="77777777" w:rsidR="00284822" w:rsidRDefault="00F77BF8">
            <w:pPr>
              <w:spacing w:before="120" w:after="120"/>
              <w:ind w:right="1"/>
              <w:rPr>
                <w:rFonts w:ascii="Rockwell" w:hAnsi="Rockwell"/>
                <w:color w:val="000000"/>
                <w:szCs w:val="26"/>
              </w:rPr>
            </w:pPr>
            <w:r>
              <w:rPr>
                <w:rFonts w:ascii="Rockwell" w:hAnsi="Rockwell"/>
                <w:color w:val="000000"/>
                <w:szCs w:val="26"/>
              </w:rPr>
              <w:t>13</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44D124AA" w14:textId="77777777" w:rsidR="00284822" w:rsidRDefault="00F77BF8">
            <w:pPr>
              <w:spacing w:before="120" w:after="120"/>
              <w:rPr>
                <w:rFonts w:ascii="Rockwell" w:hAnsi="Rockwell"/>
                <w:color w:val="000000"/>
                <w:szCs w:val="26"/>
              </w:rPr>
            </w:pPr>
            <w:r>
              <w:rPr>
                <w:rFonts w:ascii="Rockwell" w:hAnsi="Rockwell"/>
                <w:color w:val="000000"/>
                <w:szCs w:val="26"/>
              </w:rPr>
              <w:t>FI TV</w:t>
            </w:r>
          </w:p>
        </w:tc>
        <w:tc>
          <w:tcPr>
            <w:tcW w:w="3544" w:type="dxa"/>
            <w:tcBorders>
              <w:top w:val="single" w:sz="4" w:space="0" w:color="auto"/>
              <w:left w:val="nil"/>
              <w:bottom w:val="single" w:sz="4" w:space="0" w:color="auto"/>
              <w:right w:val="single" w:sz="4" w:space="0" w:color="auto"/>
            </w:tcBorders>
            <w:shd w:val="clear" w:color="auto" w:fill="FFFFFF" w:themeFill="background1"/>
            <w:noWrap/>
          </w:tcPr>
          <w:p w14:paraId="267857A4" w14:textId="77777777" w:rsidR="00284822" w:rsidRDefault="00F77BF8">
            <w:pPr>
              <w:spacing w:before="120" w:after="120"/>
              <w:jc w:val="left"/>
              <w:rPr>
                <w:rFonts w:ascii="Rockwell" w:hAnsi="Rockwell"/>
                <w:color w:val="000000"/>
                <w:szCs w:val="26"/>
              </w:rPr>
            </w:pPr>
            <w:r>
              <w:rPr>
                <w:rFonts w:ascii="Rockwell" w:hAnsi="Rockwell"/>
                <w:color w:val="000000"/>
                <w:szCs w:val="26"/>
              </w:rPr>
              <w:t>Ouagadougou/Kadiogo</w:t>
            </w:r>
          </w:p>
        </w:tc>
        <w:tc>
          <w:tcPr>
            <w:tcW w:w="1985" w:type="dxa"/>
            <w:tcBorders>
              <w:top w:val="single" w:sz="4" w:space="0" w:color="auto"/>
              <w:left w:val="nil"/>
              <w:bottom w:val="single" w:sz="4" w:space="0" w:color="auto"/>
              <w:right w:val="single" w:sz="4" w:space="0" w:color="auto"/>
            </w:tcBorders>
            <w:shd w:val="clear" w:color="auto" w:fill="FFFFFF" w:themeFill="background1"/>
            <w:vAlign w:val="bottom"/>
          </w:tcPr>
          <w:p w14:paraId="71C6E5CC" w14:textId="77777777" w:rsidR="00284822" w:rsidRDefault="00F77BF8">
            <w:pPr>
              <w:spacing w:before="120" w:after="120"/>
              <w:rPr>
                <w:rFonts w:ascii="Rockwell" w:hAnsi="Rockwell"/>
                <w:color w:val="000000"/>
                <w:szCs w:val="26"/>
              </w:rPr>
            </w:pPr>
            <w:r>
              <w:rPr>
                <w:rFonts w:ascii="Rockwell" w:hAnsi="Rockwell"/>
                <w:color w:val="000000"/>
                <w:szCs w:val="26"/>
              </w:rPr>
              <w:t xml:space="preserve">     Canal </w:t>
            </w:r>
            <w:r>
              <w:rPr>
                <w:rFonts w:ascii="Rockwell" w:hAnsi="Rockwell"/>
                <w:bCs/>
                <w:color w:val="000000"/>
                <w:szCs w:val="26"/>
              </w:rPr>
              <w:t>TNT</w:t>
            </w:r>
          </w:p>
        </w:tc>
        <w:tc>
          <w:tcPr>
            <w:tcW w:w="2971" w:type="dxa"/>
            <w:tcBorders>
              <w:top w:val="single" w:sz="4" w:space="0" w:color="auto"/>
              <w:left w:val="nil"/>
              <w:bottom w:val="single" w:sz="4" w:space="0" w:color="auto"/>
              <w:right w:val="single" w:sz="4" w:space="0" w:color="auto"/>
            </w:tcBorders>
            <w:shd w:val="clear" w:color="auto" w:fill="FFFFFF" w:themeFill="background1"/>
          </w:tcPr>
          <w:p w14:paraId="766ABE4A" w14:textId="77777777" w:rsidR="00284822" w:rsidRDefault="00F77BF8">
            <w:pPr>
              <w:spacing w:before="120" w:after="120"/>
              <w:ind w:left="62"/>
              <w:jc w:val="center"/>
              <w:rPr>
                <w:rFonts w:ascii="Rockwell" w:hAnsi="Rockwell"/>
                <w:color w:val="000000"/>
                <w:szCs w:val="26"/>
              </w:rPr>
            </w:pPr>
            <w:r>
              <w:rPr>
                <w:rFonts w:ascii="Rockwell" w:hAnsi="Rockwell"/>
                <w:color w:val="000000"/>
                <w:szCs w:val="26"/>
              </w:rPr>
              <w:t>A</w:t>
            </w:r>
          </w:p>
        </w:tc>
      </w:tr>
      <w:tr w:rsidR="00284822" w14:paraId="01718F55" w14:textId="77777777">
        <w:trPr>
          <w:trHeight w:val="600"/>
          <w:jc w:val="center"/>
        </w:trPr>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E1C4017" w14:textId="77777777" w:rsidR="00284822" w:rsidRDefault="00F77BF8">
            <w:pPr>
              <w:spacing w:before="120" w:after="120"/>
              <w:rPr>
                <w:rFonts w:ascii="Rockwell" w:hAnsi="Rockwell"/>
                <w:color w:val="000000"/>
                <w:szCs w:val="26"/>
              </w:rPr>
            </w:pPr>
            <w:r>
              <w:rPr>
                <w:rFonts w:ascii="Rockwell" w:hAnsi="Rockwell"/>
                <w:color w:val="000000"/>
                <w:szCs w:val="26"/>
              </w:rPr>
              <w:t>14</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6CD36E85" w14:textId="77777777" w:rsidR="00284822" w:rsidRDefault="00F77BF8">
            <w:pPr>
              <w:spacing w:before="120" w:after="120"/>
              <w:rPr>
                <w:rFonts w:ascii="Rockwell" w:hAnsi="Rockwell"/>
                <w:color w:val="000000"/>
                <w:szCs w:val="26"/>
              </w:rPr>
            </w:pPr>
            <w:r>
              <w:rPr>
                <w:rFonts w:ascii="Rockwell" w:hAnsi="Rockwell"/>
                <w:color w:val="000000"/>
                <w:szCs w:val="26"/>
              </w:rPr>
              <w:t xml:space="preserve">Cotton Bolt TV </w:t>
            </w:r>
          </w:p>
        </w:tc>
        <w:tc>
          <w:tcPr>
            <w:tcW w:w="3544" w:type="dxa"/>
            <w:tcBorders>
              <w:top w:val="single" w:sz="4" w:space="0" w:color="auto"/>
              <w:left w:val="nil"/>
              <w:bottom w:val="single" w:sz="4" w:space="0" w:color="auto"/>
              <w:right w:val="single" w:sz="4" w:space="0" w:color="auto"/>
            </w:tcBorders>
            <w:shd w:val="clear" w:color="auto" w:fill="FFFFFF" w:themeFill="background1"/>
            <w:noWrap/>
          </w:tcPr>
          <w:p w14:paraId="0643DF0E" w14:textId="77777777" w:rsidR="00284822" w:rsidRDefault="00F77BF8">
            <w:pPr>
              <w:spacing w:before="120" w:after="120"/>
              <w:jc w:val="left"/>
              <w:rPr>
                <w:rFonts w:ascii="Rockwell" w:hAnsi="Rockwell"/>
                <w:color w:val="000000"/>
                <w:szCs w:val="26"/>
              </w:rPr>
            </w:pPr>
            <w:r>
              <w:rPr>
                <w:rFonts w:ascii="Rockwell" w:hAnsi="Rockwell"/>
                <w:color w:val="000000"/>
                <w:szCs w:val="26"/>
              </w:rPr>
              <w:t>Dédougou/Mouhoun</w:t>
            </w:r>
          </w:p>
        </w:tc>
        <w:tc>
          <w:tcPr>
            <w:tcW w:w="1985" w:type="dxa"/>
            <w:tcBorders>
              <w:top w:val="single" w:sz="4" w:space="0" w:color="auto"/>
              <w:left w:val="nil"/>
              <w:bottom w:val="single" w:sz="4" w:space="0" w:color="auto"/>
              <w:right w:val="single" w:sz="4" w:space="0" w:color="auto"/>
            </w:tcBorders>
            <w:shd w:val="clear" w:color="auto" w:fill="FFFFFF" w:themeFill="background1"/>
            <w:vAlign w:val="bottom"/>
          </w:tcPr>
          <w:p w14:paraId="74D0BD93" w14:textId="77777777" w:rsidR="00284822" w:rsidRDefault="00F77BF8">
            <w:pPr>
              <w:spacing w:before="120" w:after="120"/>
              <w:rPr>
                <w:rFonts w:ascii="Rockwell" w:hAnsi="Rockwell"/>
                <w:color w:val="000000"/>
                <w:szCs w:val="26"/>
              </w:rPr>
            </w:pPr>
            <w:r>
              <w:rPr>
                <w:rFonts w:ascii="Rockwell" w:hAnsi="Rockwell"/>
                <w:color w:val="000000"/>
                <w:szCs w:val="26"/>
              </w:rPr>
              <w:t xml:space="preserve">    Canal </w:t>
            </w:r>
            <w:r>
              <w:rPr>
                <w:rFonts w:ascii="Rockwell" w:hAnsi="Rockwell"/>
                <w:bCs/>
                <w:color w:val="000000"/>
                <w:szCs w:val="26"/>
              </w:rPr>
              <w:t>TNT</w:t>
            </w:r>
          </w:p>
        </w:tc>
        <w:tc>
          <w:tcPr>
            <w:tcW w:w="2971" w:type="dxa"/>
            <w:tcBorders>
              <w:top w:val="single" w:sz="4" w:space="0" w:color="auto"/>
              <w:left w:val="nil"/>
              <w:bottom w:val="single" w:sz="4" w:space="0" w:color="auto"/>
              <w:right w:val="single" w:sz="4" w:space="0" w:color="auto"/>
            </w:tcBorders>
            <w:shd w:val="clear" w:color="auto" w:fill="FFFFFF" w:themeFill="background1"/>
          </w:tcPr>
          <w:p w14:paraId="0705B807" w14:textId="77777777" w:rsidR="00284822" w:rsidRDefault="00F77BF8">
            <w:pPr>
              <w:spacing w:before="120" w:after="120"/>
              <w:ind w:left="96"/>
              <w:jc w:val="center"/>
              <w:rPr>
                <w:rFonts w:ascii="Rockwell" w:hAnsi="Rockwell"/>
                <w:color w:val="000000"/>
                <w:szCs w:val="26"/>
              </w:rPr>
            </w:pPr>
            <w:r>
              <w:rPr>
                <w:rFonts w:ascii="Rockwell" w:hAnsi="Rockwell"/>
                <w:color w:val="000000"/>
                <w:szCs w:val="26"/>
              </w:rPr>
              <w:t>D</w:t>
            </w:r>
          </w:p>
        </w:tc>
      </w:tr>
      <w:tr w:rsidR="00284822" w14:paraId="4BD56E52" w14:textId="77777777">
        <w:trPr>
          <w:trHeight w:val="600"/>
          <w:jc w:val="center"/>
        </w:trPr>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C94587D" w14:textId="77777777" w:rsidR="00284822" w:rsidRDefault="00F77BF8">
            <w:pPr>
              <w:spacing w:before="120" w:after="120"/>
              <w:rPr>
                <w:rFonts w:ascii="Rockwell" w:hAnsi="Rockwell"/>
                <w:color w:val="000000"/>
                <w:szCs w:val="26"/>
              </w:rPr>
            </w:pPr>
            <w:r>
              <w:rPr>
                <w:rFonts w:ascii="Rockwell" w:hAnsi="Rockwell"/>
                <w:color w:val="000000"/>
                <w:szCs w:val="26"/>
              </w:rPr>
              <w:t>15</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62139E7B" w14:textId="77777777" w:rsidR="00284822" w:rsidRDefault="00F77BF8">
            <w:pPr>
              <w:spacing w:before="120" w:after="120"/>
              <w:rPr>
                <w:rFonts w:ascii="Rockwell" w:hAnsi="Rockwell"/>
                <w:color w:val="000000"/>
                <w:szCs w:val="26"/>
              </w:rPr>
            </w:pPr>
            <w:r>
              <w:rPr>
                <w:rFonts w:ascii="Rockwell" w:hAnsi="Rockwell"/>
                <w:color w:val="000000"/>
                <w:szCs w:val="26"/>
              </w:rPr>
              <w:t>OTC Médias</w:t>
            </w:r>
          </w:p>
        </w:tc>
        <w:tc>
          <w:tcPr>
            <w:tcW w:w="3544" w:type="dxa"/>
            <w:tcBorders>
              <w:top w:val="single" w:sz="4" w:space="0" w:color="auto"/>
              <w:left w:val="nil"/>
              <w:bottom w:val="single" w:sz="4" w:space="0" w:color="auto"/>
              <w:right w:val="single" w:sz="4" w:space="0" w:color="auto"/>
            </w:tcBorders>
            <w:shd w:val="clear" w:color="auto" w:fill="FFFFFF" w:themeFill="background1"/>
            <w:noWrap/>
          </w:tcPr>
          <w:p w14:paraId="25B3CFCB" w14:textId="77777777" w:rsidR="00284822" w:rsidRDefault="00F77BF8">
            <w:pPr>
              <w:spacing w:before="120" w:after="120"/>
              <w:jc w:val="left"/>
              <w:rPr>
                <w:rFonts w:ascii="Rockwell" w:hAnsi="Rockwell"/>
                <w:color w:val="000000"/>
                <w:szCs w:val="26"/>
              </w:rPr>
            </w:pPr>
            <w:r>
              <w:rPr>
                <w:rFonts w:ascii="Rockwell" w:hAnsi="Rockwell"/>
                <w:color w:val="000000"/>
                <w:szCs w:val="26"/>
              </w:rPr>
              <w:t>Koudougou/Boulkiemdé</w:t>
            </w:r>
          </w:p>
        </w:tc>
        <w:tc>
          <w:tcPr>
            <w:tcW w:w="1985" w:type="dxa"/>
            <w:tcBorders>
              <w:top w:val="single" w:sz="4" w:space="0" w:color="auto"/>
              <w:left w:val="nil"/>
              <w:bottom w:val="single" w:sz="4" w:space="0" w:color="auto"/>
              <w:right w:val="single" w:sz="4" w:space="0" w:color="auto"/>
            </w:tcBorders>
            <w:shd w:val="clear" w:color="auto" w:fill="FFFFFF" w:themeFill="background1"/>
            <w:vAlign w:val="bottom"/>
          </w:tcPr>
          <w:p w14:paraId="7E3762ED" w14:textId="77777777" w:rsidR="00284822" w:rsidRDefault="00F77BF8">
            <w:pPr>
              <w:spacing w:before="120" w:after="120"/>
              <w:rPr>
                <w:rFonts w:ascii="Rockwell" w:hAnsi="Rockwell"/>
                <w:color w:val="000000"/>
                <w:szCs w:val="26"/>
              </w:rPr>
            </w:pPr>
            <w:r>
              <w:rPr>
                <w:rFonts w:ascii="Rockwell" w:hAnsi="Rockwell"/>
                <w:color w:val="000000"/>
                <w:szCs w:val="26"/>
              </w:rPr>
              <w:t xml:space="preserve">    Canal </w:t>
            </w:r>
            <w:r>
              <w:rPr>
                <w:rFonts w:ascii="Rockwell" w:hAnsi="Rockwell"/>
                <w:bCs/>
                <w:color w:val="000000"/>
                <w:szCs w:val="26"/>
              </w:rPr>
              <w:t>TNT</w:t>
            </w:r>
          </w:p>
        </w:tc>
        <w:tc>
          <w:tcPr>
            <w:tcW w:w="2971" w:type="dxa"/>
            <w:tcBorders>
              <w:top w:val="single" w:sz="4" w:space="0" w:color="auto"/>
              <w:left w:val="nil"/>
              <w:bottom w:val="single" w:sz="4" w:space="0" w:color="auto"/>
              <w:right w:val="single" w:sz="4" w:space="0" w:color="auto"/>
            </w:tcBorders>
            <w:shd w:val="clear" w:color="auto" w:fill="FFFFFF" w:themeFill="background1"/>
          </w:tcPr>
          <w:p w14:paraId="2DDB298A" w14:textId="77777777" w:rsidR="00284822" w:rsidRDefault="00F77BF8">
            <w:pPr>
              <w:spacing w:before="120" w:after="120"/>
              <w:ind w:left="96"/>
              <w:jc w:val="center"/>
              <w:rPr>
                <w:rFonts w:ascii="Rockwell" w:hAnsi="Rockwell"/>
                <w:color w:val="000000"/>
                <w:szCs w:val="26"/>
              </w:rPr>
            </w:pPr>
            <w:r>
              <w:rPr>
                <w:rFonts w:ascii="Rockwell" w:hAnsi="Rockwell"/>
                <w:color w:val="000000"/>
                <w:szCs w:val="26"/>
              </w:rPr>
              <w:t>C</w:t>
            </w:r>
          </w:p>
        </w:tc>
      </w:tr>
      <w:tr w:rsidR="00284822" w14:paraId="2D077F58" w14:textId="77777777">
        <w:trPr>
          <w:trHeight w:val="600"/>
          <w:jc w:val="center"/>
        </w:trPr>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5F61BCD" w14:textId="77777777" w:rsidR="00284822" w:rsidRDefault="00F77BF8">
            <w:pPr>
              <w:spacing w:before="120" w:after="120"/>
              <w:rPr>
                <w:rFonts w:ascii="Rockwell" w:hAnsi="Rockwell"/>
                <w:color w:val="000000"/>
                <w:szCs w:val="26"/>
              </w:rPr>
            </w:pPr>
            <w:r>
              <w:rPr>
                <w:rFonts w:ascii="Rockwell" w:hAnsi="Rockwell"/>
                <w:color w:val="000000"/>
                <w:szCs w:val="26"/>
              </w:rPr>
              <w:t>16</w:t>
            </w:r>
          </w:p>
        </w:tc>
        <w:tc>
          <w:tcPr>
            <w:tcW w:w="3821" w:type="dxa"/>
            <w:tcBorders>
              <w:top w:val="single" w:sz="4" w:space="0" w:color="auto"/>
              <w:left w:val="nil"/>
              <w:bottom w:val="single" w:sz="4" w:space="0" w:color="auto"/>
              <w:right w:val="single" w:sz="4" w:space="0" w:color="auto"/>
            </w:tcBorders>
            <w:shd w:val="clear" w:color="auto" w:fill="FFFFFF" w:themeFill="background1"/>
            <w:noWrap/>
            <w:vAlign w:val="bottom"/>
          </w:tcPr>
          <w:p w14:paraId="5D956368" w14:textId="77777777" w:rsidR="00284822" w:rsidRDefault="00F77BF8">
            <w:pPr>
              <w:spacing w:before="120" w:after="120"/>
              <w:rPr>
                <w:rFonts w:ascii="Rockwell" w:hAnsi="Rockwell"/>
                <w:color w:val="000000"/>
                <w:szCs w:val="26"/>
              </w:rPr>
            </w:pPr>
            <w:r>
              <w:rPr>
                <w:rFonts w:ascii="Rockwell" w:hAnsi="Rockwell"/>
                <w:color w:val="000000"/>
                <w:szCs w:val="26"/>
              </w:rPr>
              <w:t xml:space="preserve">InfoBF.TV </w:t>
            </w:r>
          </w:p>
        </w:tc>
        <w:tc>
          <w:tcPr>
            <w:tcW w:w="3544" w:type="dxa"/>
            <w:tcBorders>
              <w:top w:val="single" w:sz="4" w:space="0" w:color="auto"/>
              <w:left w:val="nil"/>
              <w:bottom w:val="single" w:sz="4" w:space="0" w:color="auto"/>
              <w:right w:val="single" w:sz="4" w:space="0" w:color="auto"/>
            </w:tcBorders>
            <w:shd w:val="clear" w:color="auto" w:fill="FFFFFF" w:themeFill="background1"/>
            <w:noWrap/>
          </w:tcPr>
          <w:p w14:paraId="4713881D" w14:textId="77777777" w:rsidR="00284822" w:rsidRDefault="00F77BF8">
            <w:pPr>
              <w:spacing w:before="120" w:after="120"/>
              <w:jc w:val="left"/>
              <w:rPr>
                <w:rFonts w:ascii="Rockwell" w:hAnsi="Rockwell"/>
                <w:color w:val="000000"/>
                <w:szCs w:val="26"/>
              </w:rPr>
            </w:pPr>
            <w:r>
              <w:rPr>
                <w:rFonts w:ascii="Rockwell" w:hAnsi="Rockwell"/>
                <w:color w:val="000000"/>
                <w:szCs w:val="26"/>
              </w:rPr>
              <w:t>Ouagadougou/Kadiogo</w:t>
            </w:r>
          </w:p>
        </w:tc>
        <w:tc>
          <w:tcPr>
            <w:tcW w:w="1985" w:type="dxa"/>
            <w:tcBorders>
              <w:top w:val="single" w:sz="4" w:space="0" w:color="auto"/>
              <w:left w:val="nil"/>
              <w:bottom w:val="single" w:sz="4" w:space="0" w:color="auto"/>
              <w:right w:val="single" w:sz="4" w:space="0" w:color="auto"/>
            </w:tcBorders>
            <w:shd w:val="clear" w:color="auto" w:fill="FFFFFF" w:themeFill="background1"/>
            <w:vAlign w:val="bottom"/>
          </w:tcPr>
          <w:p w14:paraId="535999A0" w14:textId="77777777" w:rsidR="00284822" w:rsidRDefault="00F77BF8">
            <w:pPr>
              <w:spacing w:before="120" w:after="120"/>
              <w:rPr>
                <w:rFonts w:ascii="Rockwell" w:hAnsi="Rockwell"/>
                <w:color w:val="000000"/>
                <w:szCs w:val="26"/>
              </w:rPr>
            </w:pPr>
            <w:r>
              <w:rPr>
                <w:rFonts w:ascii="Rockwell" w:hAnsi="Rockwell"/>
                <w:color w:val="000000"/>
                <w:szCs w:val="26"/>
              </w:rPr>
              <w:t xml:space="preserve">   Canal </w:t>
            </w:r>
            <w:r>
              <w:rPr>
                <w:rFonts w:ascii="Rockwell" w:hAnsi="Rockwell"/>
                <w:bCs/>
                <w:color w:val="000000"/>
                <w:szCs w:val="26"/>
              </w:rPr>
              <w:t>TNT</w:t>
            </w:r>
          </w:p>
        </w:tc>
        <w:tc>
          <w:tcPr>
            <w:tcW w:w="2971" w:type="dxa"/>
            <w:tcBorders>
              <w:top w:val="single" w:sz="4" w:space="0" w:color="auto"/>
              <w:left w:val="nil"/>
              <w:bottom w:val="single" w:sz="4" w:space="0" w:color="auto"/>
              <w:right w:val="single" w:sz="4" w:space="0" w:color="auto"/>
            </w:tcBorders>
            <w:shd w:val="clear" w:color="auto" w:fill="FFFFFF" w:themeFill="background1"/>
          </w:tcPr>
          <w:p w14:paraId="2F6767D7" w14:textId="77777777" w:rsidR="00284822" w:rsidRDefault="00F77BF8">
            <w:pPr>
              <w:spacing w:before="120" w:after="120"/>
              <w:ind w:left="397"/>
              <w:jc w:val="center"/>
              <w:rPr>
                <w:rFonts w:ascii="Rockwell" w:hAnsi="Rockwell"/>
                <w:color w:val="000000"/>
                <w:szCs w:val="26"/>
              </w:rPr>
            </w:pPr>
            <w:r>
              <w:rPr>
                <w:rFonts w:ascii="Rockwell" w:hAnsi="Rockwell"/>
                <w:color w:val="000000"/>
                <w:szCs w:val="26"/>
              </w:rPr>
              <w:t>A</w:t>
            </w:r>
          </w:p>
        </w:tc>
      </w:tr>
    </w:tbl>
    <w:p w14:paraId="13AD1D73" w14:textId="77777777" w:rsidR="00284822" w:rsidRDefault="00284822">
      <w:pPr>
        <w:spacing w:before="120" w:after="120"/>
        <w:rPr>
          <w:rFonts w:ascii="Rockwell" w:hAnsi="Rockwell"/>
          <w:b/>
          <w:bCs/>
          <w:color w:val="000000"/>
          <w:szCs w:val="26"/>
        </w:rPr>
      </w:pPr>
    </w:p>
    <w:p w14:paraId="63788078" w14:textId="77777777" w:rsidR="00284822" w:rsidRDefault="00284822">
      <w:pPr>
        <w:spacing w:before="120" w:after="120"/>
        <w:rPr>
          <w:rFonts w:ascii="Rockwell" w:hAnsi="Rockwell"/>
          <w:b/>
          <w:bCs/>
          <w:color w:val="000000"/>
          <w:szCs w:val="26"/>
        </w:rPr>
        <w:sectPr w:rsidR="00284822">
          <w:pgSz w:w="16838" w:h="11906" w:orient="landscape"/>
          <w:pgMar w:top="1418" w:right="1418" w:bottom="1418" w:left="1418" w:header="720" w:footer="720" w:gutter="0"/>
          <w:cols w:space="720"/>
        </w:sectPr>
      </w:pPr>
    </w:p>
    <w:p w14:paraId="4DEFC2D1" w14:textId="76B84192" w:rsidR="00284822" w:rsidRDefault="00F77BF8">
      <w:pPr>
        <w:spacing w:before="120" w:after="120"/>
        <w:ind w:firstLine="1134"/>
        <w:rPr>
          <w:rFonts w:ascii="Rockwell" w:hAnsi="Rockwell"/>
          <w:b/>
        </w:rPr>
      </w:pPr>
      <w:r>
        <w:rPr>
          <w:rFonts w:ascii="Rockwell" w:hAnsi="Rockwell"/>
          <w:b/>
        </w:rPr>
        <w:lastRenderedPageBreak/>
        <w:t>III. SOCIETES DE REDIFFUSION DE PROGRAMMES AUDIOVISUELS A PEAGE</w:t>
      </w:r>
    </w:p>
    <w:p w14:paraId="02119A15" w14:textId="77777777" w:rsidR="00284822" w:rsidRDefault="00F77BF8">
      <w:pPr>
        <w:spacing w:before="120" w:after="120"/>
        <w:ind w:left="1276" w:firstLine="426"/>
        <w:rPr>
          <w:rFonts w:ascii="Rockwell" w:hAnsi="Rockwell"/>
        </w:rPr>
      </w:pPr>
      <w:r>
        <w:rPr>
          <w:rFonts w:ascii="Rockwell" w:hAnsi="Rockwell"/>
        </w:rPr>
        <w:t>A. OPERATEURS MMDS : quatre (04)</w:t>
      </w:r>
    </w:p>
    <w:tbl>
      <w:tblPr>
        <w:tblW w:w="11009" w:type="dxa"/>
        <w:jc w:val="center"/>
        <w:tblLayout w:type="fixed"/>
        <w:tblCellMar>
          <w:left w:w="70" w:type="dxa"/>
          <w:right w:w="70" w:type="dxa"/>
        </w:tblCellMar>
        <w:tblLook w:val="04A0" w:firstRow="1" w:lastRow="0" w:firstColumn="1" w:lastColumn="0" w:noHBand="0" w:noVBand="1"/>
      </w:tblPr>
      <w:tblGrid>
        <w:gridCol w:w="1124"/>
        <w:gridCol w:w="5651"/>
        <w:gridCol w:w="4234"/>
      </w:tblGrid>
      <w:tr w:rsidR="00284822" w14:paraId="5E5DBA72" w14:textId="77777777">
        <w:trPr>
          <w:trHeight w:val="910"/>
          <w:jc w:val="center"/>
        </w:trPr>
        <w:tc>
          <w:tcPr>
            <w:tcW w:w="1124" w:type="dxa"/>
            <w:tcBorders>
              <w:top w:val="single" w:sz="4" w:space="0" w:color="auto"/>
              <w:left w:val="single" w:sz="4" w:space="0" w:color="auto"/>
              <w:bottom w:val="single" w:sz="4" w:space="0" w:color="auto"/>
              <w:right w:val="single" w:sz="4" w:space="0" w:color="auto"/>
            </w:tcBorders>
            <w:shd w:val="clear" w:color="auto" w:fill="BDD6EE" w:themeFill="accent1" w:themeFillTint="66"/>
            <w:noWrap/>
          </w:tcPr>
          <w:p w14:paraId="7850B60C" w14:textId="77777777" w:rsidR="00284822" w:rsidRDefault="00F77BF8">
            <w:pPr>
              <w:spacing w:before="120" w:after="120"/>
              <w:jc w:val="left"/>
              <w:rPr>
                <w:rFonts w:ascii="Rockwell" w:hAnsi="Rockwell"/>
                <w:b/>
                <w:bCs/>
                <w:color w:val="000000"/>
                <w:szCs w:val="26"/>
              </w:rPr>
            </w:pPr>
            <w:r>
              <w:rPr>
                <w:rFonts w:ascii="Rockwell" w:hAnsi="Rockwell"/>
                <w:b/>
                <w:bCs/>
                <w:color w:val="000000"/>
                <w:szCs w:val="26"/>
              </w:rPr>
              <w:t>N°</w:t>
            </w:r>
          </w:p>
        </w:tc>
        <w:tc>
          <w:tcPr>
            <w:tcW w:w="5651" w:type="dxa"/>
            <w:tcBorders>
              <w:top w:val="single" w:sz="4" w:space="0" w:color="auto"/>
              <w:left w:val="nil"/>
              <w:bottom w:val="single" w:sz="4" w:space="0" w:color="auto"/>
              <w:right w:val="single" w:sz="4" w:space="0" w:color="auto"/>
            </w:tcBorders>
            <w:shd w:val="clear" w:color="auto" w:fill="BDD6EE" w:themeFill="accent1" w:themeFillTint="66"/>
            <w:noWrap/>
          </w:tcPr>
          <w:p w14:paraId="4B64E0D3" w14:textId="77777777" w:rsidR="00284822" w:rsidRDefault="00F77BF8">
            <w:pPr>
              <w:spacing w:before="120" w:after="120"/>
              <w:jc w:val="left"/>
              <w:rPr>
                <w:rFonts w:ascii="Rockwell" w:hAnsi="Rockwell"/>
                <w:b/>
                <w:bCs/>
                <w:color w:val="000000"/>
                <w:szCs w:val="26"/>
              </w:rPr>
            </w:pPr>
            <w:r>
              <w:rPr>
                <w:rFonts w:ascii="Rockwell" w:hAnsi="Rockwell"/>
                <w:b/>
                <w:bCs/>
                <w:color w:val="000000"/>
                <w:szCs w:val="26"/>
              </w:rPr>
              <w:t>Dénomination</w:t>
            </w:r>
          </w:p>
        </w:tc>
        <w:tc>
          <w:tcPr>
            <w:tcW w:w="4234" w:type="dxa"/>
            <w:tcBorders>
              <w:top w:val="single" w:sz="4" w:space="0" w:color="auto"/>
              <w:left w:val="nil"/>
              <w:bottom w:val="single" w:sz="4" w:space="0" w:color="auto"/>
              <w:right w:val="single" w:sz="4" w:space="0" w:color="auto"/>
            </w:tcBorders>
            <w:shd w:val="clear" w:color="auto" w:fill="BDD6EE" w:themeFill="accent1" w:themeFillTint="66"/>
            <w:noWrap/>
          </w:tcPr>
          <w:p w14:paraId="7811CFCC" w14:textId="77777777" w:rsidR="00284822" w:rsidRDefault="00F77BF8">
            <w:pPr>
              <w:spacing w:before="120" w:after="120"/>
              <w:jc w:val="left"/>
              <w:rPr>
                <w:rFonts w:ascii="Rockwell" w:hAnsi="Rockwell"/>
                <w:b/>
                <w:bCs/>
                <w:color w:val="000000"/>
                <w:szCs w:val="26"/>
              </w:rPr>
            </w:pPr>
            <w:r>
              <w:rPr>
                <w:rFonts w:ascii="Rockwell" w:hAnsi="Rockwell"/>
                <w:b/>
                <w:bCs/>
                <w:color w:val="000000"/>
                <w:szCs w:val="26"/>
              </w:rPr>
              <w:t>Localité/Province</w:t>
            </w:r>
          </w:p>
        </w:tc>
      </w:tr>
      <w:tr w:rsidR="00284822" w14:paraId="7CC438FC" w14:textId="77777777">
        <w:trPr>
          <w:trHeight w:val="910"/>
          <w:jc w:val="center"/>
        </w:trPr>
        <w:tc>
          <w:tcPr>
            <w:tcW w:w="1124"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CC692A3" w14:textId="77777777" w:rsidR="00284822" w:rsidRDefault="00F77BF8">
            <w:pPr>
              <w:spacing w:before="120" w:after="120"/>
              <w:jc w:val="left"/>
              <w:rPr>
                <w:rFonts w:ascii="Rockwell" w:hAnsi="Rockwell"/>
                <w:color w:val="000000"/>
                <w:szCs w:val="26"/>
              </w:rPr>
            </w:pPr>
            <w:r>
              <w:rPr>
                <w:rFonts w:ascii="Rockwell" w:hAnsi="Rockwell"/>
                <w:color w:val="000000"/>
                <w:szCs w:val="26"/>
              </w:rPr>
              <w:t>1</w:t>
            </w:r>
          </w:p>
        </w:tc>
        <w:tc>
          <w:tcPr>
            <w:tcW w:w="5651" w:type="dxa"/>
            <w:tcBorders>
              <w:top w:val="single" w:sz="4" w:space="0" w:color="auto"/>
              <w:left w:val="nil"/>
              <w:bottom w:val="single" w:sz="4" w:space="0" w:color="auto"/>
              <w:right w:val="single" w:sz="4" w:space="0" w:color="auto"/>
            </w:tcBorders>
            <w:shd w:val="clear" w:color="auto" w:fill="FFFFFF" w:themeFill="background1"/>
            <w:noWrap/>
          </w:tcPr>
          <w:p w14:paraId="78F44E47" w14:textId="77777777" w:rsidR="00284822" w:rsidRDefault="00F77BF8">
            <w:pPr>
              <w:spacing w:before="120" w:after="120"/>
              <w:jc w:val="left"/>
              <w:rPr>
                <w:rFonts w:ascii="Rockwell" w:hAnsi="Rockwell"/>
                <w:color w:val="000000"/>
                <w:szCs w:val="26"/>
                <w:highlight w:val="yellow"/>
              </w:rPr>
            </w:pPr>
            <w:proofErr w:type="spellStart"/>
            <w:r>
              <w:rPr>
                <w:rFonts w:ascii="Rockwell" w:hAnsi="Rockwell"/>
                <w:color w:val="000000"/>
                <w:szCs w:val="26"/>
              </w:rPr>
              <w:t>Neerwaya</w:t>
            </w:r>
            <w:proofErr w:type="spellEnd"/>
            <w:r>
              <w:rPr>
                <w:rFonts w:ascii="Rockwell" w:hAnsi="Rockwell"/>
                <w:color w:val="000000"/>
                <w:szCs w:val="26"/>
              </w:rPr>
              <w:t xml:space="preserve"> </w:t>
            </w:r>
            <w:proofErr w:type="spellStart"/>
            <w:r>
              <w:rPr>
                <w:rFonts w:ascii="Rockwell" w:hAnsi="Rockwell"/>
                <w:color w:val="000000"/>
                <w:szCs w:val="26"/>
              </w:rPr>
              <w:t>Multivision</w:t>
            </w:r>
            <w:proofErr w:type="spellEnd"/>
          </w:p>
        </w:tc>
        <w:tc>
          <w:tcPr>
            <w:tcW w:w="4234" w:type="dxa"/>
            <w:tcBorders>
              <w:top w:val="single" w:sz="4" w:space="0" w:color="auto"/>
              <w:left w:val="nil"/>
              <w:bottom w:val="single" w:sz="4" w:space="0" w:color="auto"/>
              <w:right w:val="single" w:sz="4" w:space="0" w:color="auto"/>
            </w:tcBorders>
            <w:shd w:val="clear" w:color="auto" w:fill="FFFFFF" w:themeFill="background1"/>
            <w:noWrap/>
          </w:tcPr>
          <w:p w14:paraId="4F6BFC8B" w14:textId="77777777" w:rsidR="00284822" w:rsidRDefault="00F77BF8">
            <w:pPr>
              <w:spacing w:before="120" w:after="120"/>
              <w:jc w:val="left"/>
              <w:rPr>
                <w:rFonts w:ascii="Rockwell" w:hAnsi="Rockwell"/>
                <w:color w:val="000000"/>
                <w:szCs w:val="26"/>
              </w:rPr>
            </w:pPr>
            <w:r>
              <w:rPr>
                <w:rFonts w:ascii="Rockwell" w:hAnsi="Rockwell"/>
                <w:color w:val="000000"/>
                <w:szCs w:val="26"/>
              </w:rPr>
              <w:t>Ouagadougou/Kadiogo</w:t>
            </w:r>
          </w:p>
        </w:tc>
      </w:tr>
      <w:tr w:rsidR="00284822" w14:paraId="7E716443" w14:textId="77777777">
        <w:trPr>
          <w:trHeight w:val="910"/>
          <w:jc w:val="center"/>
        </w:trPr>
        <w:tc>
          <w:tcPr>
            <w:tcW w:w="1124"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ECB093F" w14:textId="77777777" w:rsidR="00284822" w:rsidRDefault="00F77BF8">
            <w:pPr>
              <w:spacing w:before="120" w:after="120"/>
              <w:jc w:val="left"/>
              <w:rPr>
                <w:rFonts w:ascii="Rockwell" w:hAnsi="Rockwell"/>
                <w:color w:val="000000"/>
                <w:szCs w:val="26"/>
              </w:rPr>
            </w:pPr>
            <w:r>
              <w:rPr>
                <w:rFonts w:ascii="Rockwell" w:hAnsi="Rockwell"/>
                <w:color w:val="000000"/>
                <w:szCs w:val="26"/>
              </w:rPr>
              <w:t>2</w:t>
            </w:r>
          </w:p>
        </w:tc>
        <w:tc>
          <w:tcPr>
            <w:tcW w:w="5651" w:type="dxa"/>
            <w:tcBorders>
              <w:top w:val="single" w:sz="4" w:space="0" w:color="auto"/>
              <w:left w:val="nil"/>
              <w:bottom w:val="single" w:sz="4" w:space="0" w:color="auto"/>
              <w:right w:val="single" w:sz="4" w:space="0" w:color="auto"/>
            </w:tcBorders>
            <w:shd w:val="clear" w:color="auto" w:fill="FFFFFF" w:themeFill="background1"/>
            <w:noWrap/>
          </w:tcPr>
          <w:p w14:paraId="1E2E665E" w14:textId="77777777" w:rsidR="00284822" w:rsidRDefault="00F77BF8">
            <w:pPr>
              <w:spacing w:before="120" w:after="120"/>
              <w:jc w:val="left"/>
              <w:rPr>
                <w:rFonts w:ascii="Rockwell" w:hAnsi="Rockwell"/>
                <w:color w:val="000000"/>
                <w:szCs w:val="26"/>
              </w:rPr>
            </w:pPr>
            <w:proofErr w:type="spellStart"/>
            <w:r>
              <w:rPr>
                <w:rFonts w:ascii="Rockwell" w:hAnsi="Rockwell"/>
                <w:color w:val="000000"/>
                <w:szCs w:val="26"/>
              </w:rPr>
              <w:t>Neerwaya</w:t>
            </w:r>
            <w:proofErr w:type="spellEnd"/>
            <w:r>
              <w:rPr>
                <w:rFonts w:ascii="Rockwell" w:hAnsi="Rockwell"/>
                <w:color w:val="000000"/>
                <w:szCs w:val="26"/>
              </w:rPr>
              <w:t xml:space="preserve"> </w:t>
            </w:r>
            <w:proofErr w:type="spellStart"/>
            <w:r>
              <w:rPr>
                <w:rFonts w:ascii="Rockwell" w:hAnsi="Rockwell"/>
                <w:color w:val="000000"/>
                <w:szCs w:val="26"/>
              </w:rPr>
              <w:t>Multivision</w:t>
            </w:r>
            <w:proofErr w:type="spellEnd"/>
          </w:p>
        </w:tc>
        <w:tc>
          <w:tcPr>
            <w:tcW w:w="4234" w:type="dxa"/>
            <w:tcBorders>
              <w:top w:val="single" w:sz="4" w:space="0" w:color="auto"/>
              <w:left w:val="nil"/>
              <w:bottom w:val="single" w:sz="4" w:space="0" w:color="auto"/>
              <w:right w:val="single" w:sz="4" w:space="0" w:color="auto"/>
            </w:tcBorders>
            <w:shd w:val="clear" w:color="auto" w:fill="FFFFFF" w:themeFill="background1"/>
            <w:noWrap/>
          </w:tcPr>
          <w:p w14:paraId="7519EBA1" w14:textId="77777777" w:rsidR="00284822" w:rsidRDefault="00F77BF8">
            <w:pPr>
              <w:spacing w:before="120" w:after="120"/>
              <w:jc w:val="left"/>
              <w:rPr>
                <w:rFonts w:ascii="Rockwell" w:hAnsi="Rockwell"/>
                <w:color w:val="000000"/>
                <w:szCs w:val="26"/>
              </w:rPr>
            </w:pPr>
            <w:r>
              <w:rPr>
                <w:rFonts w:ascii="Rockwell" w:hAnsi="Rockwell"/>
                <w:color w:val="000000"/>
                <w:szCs w:val="26"/>
              </w:rPr>
              <w:t>Bobo-Dioulasso/Houet</w:t>
            </w:r>
          </w:p>
        </w:tc>
      </w:tr>
      <w:tr w:rsidR="00284822" w14:paraId="639C963E" w14:textId="77777777">
        <w:trPr>
          <w:trHeight w:val="910"/>
          <w:jc w:val="center"/>
        </w:trPr>
        <w:tc>
          <w:tcPr>
            <w:tcW w:w="1124"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F206A61" w14:textId="77777777" w:rsidR="00284822" w:rsidRDefault="00F77BF8">
            <w:pPr>
              <w:spacing w:before="120" w:after="120"/>
              <w:jc w:val="left"/>
              <w:rPr>
                <w:rFonts w:ascii="Rockwell" w:hAnsi="Rockwell"/>
                <w:color w:val="000000"/>
                <w:szCs w:val="26"/>
              </w:rPr>
            </w:pPr>
            <w:r>
              <w:rPr>
                <w:rFonts w:ascii="Rockwell" w:hAnsi="Rockwell"/>
                <w:color w:val="000000"/>
                <w:szCs w:val="26"/>
              </w:rPr>
              <w:t>3</w:t>
            </w:r>
          </w:p>
        </w:tc>
        <w:tc>
          <w:tcPr>
            <w:tcW w:w="5651" w:type="dxa"/>
            <w:tcBorders>
              <w:top w:val="single" w:sz="4" w:space="0" w:color="auto"/>
              <w:left w:val="nil"/>
              <w:bottom w:val="single" w:sz="4" w:space="0" w:color="auto"/>
              <w:right w:val="single" w:sz="4" w:space="0" w:color="auto"/>
            </w:tcBorders>
            <w:shd w:val="clear" w:color="auto" w:fill="FFFFFF" w:themeFill="background1"/>
            <w:noWrap/>
          </w:tcPr>
          <w:p w14:paraId="799DF7CE" w14:textId="77777777" w:rsidR="00284822" w:rsidRDefault="00F77BF8">
            <w:pPr>
              <w:spacing w:before="120" w:after="120"/>
              <w:jc w:val="left"/>
              <w:rPr>
                <w:rFonts w:ascii="Rockwell" w:hAnsi="Rockwell"/>
                <w:color w:val="000000"/>
                <w:szCs w:val="26"/>
              </w:rPr>
            </w:pPr>
            <w:r>
              <w:rPr>
                <w:rFonts w:ascii="Rockwell" w:hAnsi="Rockwell"/>
                <w:color w:val="000000"/>
                <w:szCs w:val="26"/>
              </w:rPr>
              <w:t>DSK Distribution</w:t>
            </w:r>
          </w:p>
        </w:tc>
        <w:tc>
          <w:tcPr>
            <w:tcW w:w="4234" w:type="dxa"/>
            <w:tcBorders>
              <w:top w:val="single" w:sz="4" w:space="0" w:color="auto"/>
              <w:left w:val="nil"/>
              <w:bottom w:val="single" w:sz="4" w:space="0" w:color="auto"/>
              <w:right w:val="single" w:sz="4" w:space="0" w:color="auto"/>
            </w:tcBorders>
            <w:shd w:val="clear" w:color="auto" w:fill="FFFFFF" w:themeFill="background1"/>
            <w:noWrap/>
          </w:tcPr>
          <w:p w14:paraId="3C38A19B" w14:textId="77777777" w:rsidR="00284822" w:rsidRDefault="00F77BF8">
            <w:pPr>
              <w:spacing w:before="120" w:after="120"/>
              <w:jc w:val="left"/>
              <w:rPr>
                <w:rFonts w:ascii="Rockwell" w:hAnsi="Rockwell"/>
                <w:color w:val="000000"/>
                <w:szCs w:val="26"/>
              </w:rPr>
            </w:pPr>
            <w:r>
              <w:rPr>
                <w:rFonts w:ascii="Rockwell" w:hAnsi="Rockwell"/>
                <w:color w:val="000000"/>
                <w:szCs w:val="26"/>
              </w:rPr>
              <w:t>Ouagadougou/Kadiogo</w:t>
            </w:r>
          </w:p>
        </w:tc>
      </w:tr>
      <w:tr w:rsidR="00284822" w14:paraId="7C064DCF" w14:textId="77777777">
        <w:trPr>
          <w:trHeight w:val="910"/>
          <w:jc w:val="center"/>
        </w:trPr>
        <w:tc>
          <w:tcPr>
            <w:tcW w:w="1124"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93CA7B0" w14:textId="77777777" w:rsidR="00284822" w:rsidRDefault="00F77BF8">
            <w:pPr>
              <w:spacing w:before="120" w:after="120"/>
              <w:jc w:val="left"/>
              <w:rPr>
                <w:rFonts w:ascii="Rockwell" w:hAnsi="Rockwell"/>
                <w:color w:val="000000"/>
                <w:szCs w:val="26"/>
              </w:rPr>
            </w:pPr>
            <w:r>
              <w:rPr>
                <w:rFonts w:ascii="Rockwell" w:hAnsi="Rockwell"/>
                <w:color w:val="000000"/>
                <w:szCs w:val="26"/>
              </w:rPr>
              <w:t>4</w:t>
            </w:r>
          </w:p>
        </w:tc>
        <w:tc>
          <w:tcPr>
            <w:tcW w:w="5651" w:type="dxa"/>
            <w:tcBorders>
              <w:top w:val="single" w:sz="4" w:space="0" w:color="auto"/>
              <w:left w:val="nil"/>
              <w:bottom w:val="single" w:sz="4" w:space="0" w:color="auto"/>
              <w:right w:val="single" w:sz="4" w:space="0" w:color="auto"/>
            </w:tcBorders>
            <w:shd w:val="clear" w:color="auto" w:fill="FFFFFF" w:themeFill="background1"/>
            <w:noWrap/>
          </w:tcPr>
          <w:p w14:paraId="76F9B246" w14:textId="77777777" w:rsidR="00284822" w:rsidRDefault="00F77BF8">
            <w:pPr>
              <w:spacing w:before="120" w:after="120"/>
              <w:jc w:val="left"/>
              <w:rPr>
                <w:rFonts w:ascii="Rockwell" w:hAnsi="Rockwell"/>
                <w:color w:val="000000"/>
                <w:szCs w:val="26"/>
              </w:rPr>
            </w:pPr>
            <w:r>
              <w:rPr>
                <w:rFonts w:ascii="Rockwell" w:hAnsi="Rockwell"/>
                <w:color w:val="000000"/>
                <w:szCs w:val="26"/>
              </w:rPr>
              <w:t>DSK Distribution</w:t>
            </w:r>
          </w:p>
        </w:tc>
        <w:tc>
          <w:tcPr>
            <w:tcW w:w="4234" w:type="dxa"/>
            <w:tcBorders>
              <w:top w:val="single" w:sz="4" w:space="0" w:color="auto"/>
              <w:left w:val="nil"/>
              <w:bottom w:val="single" w:sz="4" w:space="0" w:color="auto"/>
              <w:right w:val="single" w:sz="4" w:space="0" w:color="auto"/>
            </w:tcBorders>
            <w:shd w:val="clear" w:color="auto" w:fill="FFFFFF" w:themeFill="background1"/>
            <w:noWrap/>
          </w:tcPr>
          <w:p w14:paraId="64390F21" w14:textId="77777777" w:rsidR="00284822" w:rsidRDefault="00F77BF8">
            <w:pPr>
              <w:spacing w:before="120" w:after="120"/>
              <w:jc w:val="left"/>
              <w:rPr>
                <w:rFonts w:ascii="Rockwell" w:hAnsi="Rockwell"/>
                <w:color w:val="000000"/>
                <w:szCs w:val="26"/>
              </w:rPr>
            </w:pPr>
            <w:r>
              <w:rPr>
                <w:rFonts w:ascii="Rockwell" w:hAnsi="Rockwell"/>
                <w:color w:val="000000"/>
                <w:szCs w:val="26"/>
              </w:rPr>
              <w:t>Bobo-Dioulasso/Houet</w:t>
            </w:r>
          </w:p>
        </w:tc>
      </w:tr>
    </w:tbl>
    <w:p w14:paraId="18E402D3" w14:textId="77777777" w:rsidR="00284822" w:rsidRDefault="00284822">
      <w:pPr>
        <w:spacing w:before="120" w:after="120"/>
        <w:rPr>
          <w:rFonts w:ascii="Rockwell" w:hAnsi="Rockwell"/>
          <w:b/>
          <w:bCs/>
          <w:color w:val="000000"/>
          <w:szCs w:val="26"/>
        </w:rPr>
      </w:pPr>
    </w:p>
    <w:p w14:paraId="7E4D1F9B" w14:textId="77777777" w:rsidR="00284822" w:rsidRDefault="00284822">
      <w:pPr>
        <w:spacing w:before="120" w:after="120"/>
        <w:rPr>
          <w:rFonts w:ascii="Rockwell" w:hAnsi="Rockwell"/>
          <w:b/>
          <w:bCs/>
          <w:color w:val="000000"/>
          <w:szCs w:val="26"/>
        </w:rPr>
      </w:pPr>
    </w:p>
    <w:p w14:paraId="42F3B393" w14:textId="77777777" w:rsidR="00284822" w:rsidRDefault="00284822">
      <w:pPr>
        <w:spacing w:before="120" w:after="120"/>
        <w:rPr>
          <w:rFonts w:ascii="Rockwell" w:hAnsi="Rockwell"/>
          <w:b/>
          <w:bCs/>
          <w:color w:val="000000"/>
          <w:szCs w:val="26"/>
        </w:rPr>
        <w:sectPr w:rsidR="00284822">
          <w:pgSz w:w="16838" w:h="11906" w:orient="landscape"/>
          <w:pgMar w:top="1418" w:right="1418" w:bottom="1418" w:left="1418" w:header="720" w:footer="720" w:gutter="0"/>
          <w:cols w:space="720"/>
        </w:sectPr>
      </w:pPr>
    </w:p>
    <w:p w14:paraId="1369FB82" w14:textId="77777777" w:rsidR="00284822" w:rsidRDefault="00F77BF8">
      <w:pPr>
        <w:spacing w:before="120" w:after="120"/>
        <w:ind w:firstLine="1560"/>
        <w:rPr>
          <w:rFonts w:ascii="Rockwell" w:hAnsi="Rockwell"/>
        </w:rPr>
      </w:pPr>
      <w:r>
        <w:rPr>
          <w:rFonts w:ascii="Rockwell" w:hAnsi="Rockwell"/>
        </w:rPr>
        <w:lastRenderedPageBreak/>
        <w:t>B. OPERATEURS SATELLITAIRES : Quatre (04)</w:t>
      </w:r>
    </w:p>
    <w:p w14:paraId="63E274C7" w14:textId="77777777" w:rsidR="00284822" w:rsidRDefault="00284822">
      <w:pPr>
        <w:spacing w:before="120" w:after="120"/>
        <w:ind w:firstLine="1560"/>
        <w:rPr>
          <w:rFonts w:ascii="Rockwell" w:hAnsi="Rockwell"/>
        </w:rPr>
      </w:pPr>
    </w:p>
    <w:tbl>
      <w:tblPr>
        <w:tblStyle w:val="Grilledutableau"/>
        <w:tblW w:w="11783" w:type="dxa"/>
        <w:jc w:val="center"/>
        <w:tblLayout w:type="fixed"/>
        <w:tblLook w:val="04A0" w:firstRow="1" w:lastRow="0" w:firstColumn="1" w:lastColumn="0" w:noHBand="0" w:noVBand="1"/>
      </w:tblPr>
      <w:tblGrid>
        <w:gridCol w:w="879"/>
        <w:gridCol w:w="6042"/>
        <w:gridCol w:w="4862"/>
      </w:tblGrid>
      <w:tr w:rsidR="00284822" w14:paraId="29D963D8" w14:textId="77777777">
        <w:trPr>
          <w:trHeight w:val="696"/>
          <w:jc w:val="center"/>
        </w:trPr>
        <w:tc>
          <w:tcPr>
            <w:tcW w:w="879" w:type="dxa"/>
            <w:shd w:val="clear" w:color="auto" w:fill="BDD6EE" w:themeFill="accent1" w:themeFillTint="66"/>
            <w:noWrap/>
          </w:tcPr>
          <w:p w14:paraId="01A6EC3C" w14:textId="77777777" w:rsidR="00284822" w:rsidRDefault="00F77BF8">
            <w:pPr>
              <w:spacing w:before="120" w:after="120"/>
              <w:jc w:val="center"/>
              <w:rPr>
                <w:rFonts w:ascii="Rockwell" w:hAnsi="Rockwell"/>
                <w:b/>
                <w:bCs/>
                <w:color w:val="000000"/>
                <w:szCs w:val="26"/>
              </w:rPr>
            </w:pPr>
            <w:r>
              <w:rPr>
                <w:rFonts w:ascii="Rockwell" w:hAnsi="Rockwell"/>
                <w:b/>
                <w:bCs/>
                <w:color w:val="000000"/>
                <w:szCs w:val="26"/>
              </w:rPr>
              <w:t>N°</w:t>
            </w:r>
          </w:p>
        </w:tc>
        <w:tc>
          <w:tcPr>
            <w:tcW w:w="6042" w:type="dxa"/>
            <w:shd w:val="clear" w:color="auto" w:fill="BDD6EE" w:themeFill="accent1" w:themeFillTint="66"/>
            <w:noWrap/>
          </w:tcPr>
          <w:p w14:paraId="7BC16986" w14:textId="77777777" w:rsidR="00284822" w:rsidRDefault="00F77BF8">
            <w:pPr>
              <w:spacing w:before="120" w:after="120"/>
              <w:jc w:val="center"/>
              <w:rPr>
                <w:rFonts w:ascii="Rockwell" w:hAnsi="Rockwell"/>
                <w:b/>
                <w:bCs/>
                <w:color w:val="000000"/>
                <w:szCs w:val="26"/>
              </w:rPr>
            </w:pPr>
            <w:r>
              <w:rPr>
                <w:rFonts w:ascii="Rockwell" w:hAnsi="Rockwell"/>
                <w:b/>
                <w:bCs/>
                <w:color w:val="000000"/>
                <w:szCs w:val="26"/>
              </w:rPr>
              <w:t>Dénomination</w:t>
            </w:r>
          </w:p>
        </w:tc>
        <w:tc>
          <w:tcPr>
            <w:tcW w:w="4862" w:type="dxa"/>
            <w:shd w:val="clear" w:color="auto" w:fill="BDD6EE" w:themeFill="accent1" w:themeFillTint="66"/>
            <w:noWrap/>
          </w:tcPr>
          <w:p w14:paraId="45FA2E92" w14:textId="77777777" w:rsidR="00284822" w:rsidRDefault="00F77BF8">
            <w:pPr>
              <w:spacing w:before="120" w:after="120"/>
              <w:jc w:val="center"/>
              <w:rPr>
                <w:rFonts w:ascii="Rockwell" w:hAnsi="Rockwell"/>
                <w:b/>
                <w:bCs/>
                <w:color w:val="000000"/>
                <w:szCs w:val="26"/>
              </w:rPr>
            </w:pPr>
            <w:r>
              <w:rPr>
                <w:rFonts w:ascii="Rockwell" w:hAnsi="Rockwell"/>
                <w:b/>
                <w:bCs/>
                <w:color w:val="000000"/>
                <w:szCs w:val="26"/>
              </w:rPr>
              <w:t>Localité/Province</w:t>
            </w:r>
          </w:p>
        </w:tc>
      </w:tr>
      <w:tr w:rsidR="00284822" w14:paraId="6A919B2F" w14:textId="77777777">
        <w:trPr>
          <w:trHeight w:val="782"/>
          <w:jc w:val="center"/>
        </w:trPr>
        <w:tc>
          <w:tcPr>
            <w:tcW w:w="879" w:type="dxa"/>
            <w:noWrap/>
          </w:tcPr>
          <w:p w14:paraId="13D80FEA" w14:textId="77777777" w:rsidR="00284822" w:rsidRDefault="00F77BF8">
            <w:pPr>
              <w:spacing w:before="120" w:after="120"/>
              <w:rPr>
                <w:rFonts w:ascii="Rockwell" w:hAnsi="Rockwell"/>
                <w:color w:val="000000"/>
                <w:szCs w:val="26"/>
              </w:rPr>
            </w:pPr>
            <w:r>
              <w:rPr>
                <w:rFonts w:ascii="Rockwell" w:hAnsi="Rockwell"/>
                <w:color w:val="000000"/>
                <w:szCs w:val="26"/>
              </w:rPr>
              <w:t>1</w:t>
            </w:r>
          </w:p>
        </w:tc>
        <w:tc>
          <w:tcPr>
            <w:tcW w:w="6042" w:type="dxa"/>
            <w:noWrap/>
          </w:tcPr>
          <w:p w14:paraId="62E7518F" w14:textId="77777777" w:rsidR="00284822" w:rsidRDefault="00F77BF8">
            <w:pPr>
              <w:spacing w:before="120" w:after="120"/>
              <w:rPr>
                <w:rFonts w:ascii="Rockwell" w:hAnsi="Rockwell"/>
                <w:color w:val="000000"/>
                <w:szCs w:val="26"/>
              </w:rPr>
            </w:pPr>
            <w:proofErr w:type="spellStart"/>
            <w:r>
              <w:rPr>
                <w:rFonts w:ascii="Rockwell" w:hAnsi="Rockwell"/>
                <w:color w:val="000000"/>
                <w:szCs w:val="26"/>
              </w:rPr>
              <w:t>Canal+Afrique</w:t>
            </w:r>
            <w:proofErr w:type="spellEnd"/>
          </w:p>
        </w:tc>
        <w:tc>
          <w:tcPr>
            <w:tcW w:w="4862" w:type="dxa"/>
            <w:noWrap/>
          </w:tcPr>
          <w:p w14:paraId="5F30B4B6" w14:textId="77777777" w:rsidR="00284822" w:rsidRDefault="00F77BF8">
            <w:pPr>
              <w:spacing w:before="120" w:after="120"/>
              <w:rPr>
                <w:rFonts w:ascii="Rockwell" w:hAnsi="Rockwell"/>
                <w:color w:val="000000"/>
                <w:szCs w:val="26"/>
              </w:rPr>
            </w:pPr>
            <w:r>
              <w:rPr>
                <w:rFonts w:ascii="Rockwell" w:hAnsi="Rockwell"/>
                <w:color w:val="000000"/>
                <w:szCs w:val="26"/>
              </w:rPr>
              <w:t> Ouagadougou/</w:t>
            </w:r>
            <w:proofErr w:type="spellStart"/>
            <w:r>
              <w:rPr>
                <w:rFonts w:ascii="Rockwell" w:hAnsi="Rockwell"/>
                <w:color w:val="000000"/>
                <w:szCs w:val="26"/>
              </w:rPr>
              <w:t>kadiogo</w:t>
            </w:r>
            <w:proofErr w:type="spellEnd"/>
          </w:p>
        </w:tc>
      </w:tr>
      <w:tr w:rsidR="00284822" w14:paraId="252048FB" w14:textId="77777777">
        <w:trPr>
          <w:trHeight w:val="975"/>
          <w:jc w:val="center"/>
        </w:trPr>
        <w:tc>
          <w:tcPr>
            <w:tcW w:w="879" w:type="dxa"/>
            <w:noWrap/>
          </w:tcPr>
          <w:p w14:paraId="6EFB3795" w14:textId="77777777" w:rsidR="00284822" w:rsidRDefault="00F77BF8">
            <w:pPr>
              <w:spacing w:before="120" w:after="120"/>
              <w:rPr>
                <w:rFonts w:ascii="Rockwell" w:hAnsi="Rockwell"/>
                <w:color w:val="000000"/>
                <w:szCs w:val="26"/>
              </w:rPr>
            </w:pPr>
            <w:r>
              <w:rPr>
                <w:rFonts w:ascii="Rockwell" w:hAnsi="Rockwell"/>
                <w:color w:val="000000"/>
                <w:szCs w:val="26"/>
              </w:rPr>
              <w:t>2</w:t>
            </w:r>
          </w:p>
        </w:tc>
        <w:tc>
          <w:tcPr>
            <w:tcW w:w="6042" w:type="dxa"/>
            <w:noWrap/>
          </w:tcPr>
          <w:p w14:paraId="36904358" w14:textId="77777777" w:rsidR="00284822" w:rsidRDefault="00F77BF8">
            <w:pPr>
              <w:spacing w:before="120" w:after="120"/>
              <w:rPr>
                <w:rFonts w:ascii="Rockwell" w:hAnsi="Rockwell"/>
                <w:b/>
                <w:szCs w:val="26"/>
              </w:rPr>
            </w:pPr>
            <w:proofErr w:type="spellStart"/>
            <w:r>
              <w:rPr>
                <w:rFonts w:ascii="Rockwell" w:hAnsi="Rockwell"/>
                <w:color w:val="000000"/>
                <w:szCs w:val="26"/>
              </w:rPr>
              <w:t>SatVision</w:t>
            </w:r>
            <w:proofErr w:type="spellEnd"/>
            <w:r>
              <w:rPr>
                <w:rFonts w:ascii="Rockwell" w:hAnsi="Rockwell"/>
                <w:b/>
                <w:szCs w:val="26"/>
              </w:rPr>
              <w:t xml:space="preserve"> </w:t>
            </w:r>
          </w:p>
        </w:tc>
        <w:tc>
          <w:tcPr>
            <w:tcW w:w="4862" w:type="dxa"/>
            <w:noWrap/>
          </w:tcPr>
          <w:p w14:paraId="57745651"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r>
      <w:tr w:rsidR="00284822" w14:paraId="0EF701BE" w14:textId="77777777">
        <w:trPr>
          <w:trHeight w:val="973"/>
          <w:jc w:val="center"/>
        </w:trPr>
        <w:tc>
          <w:tcPr>
            <w:tcW w:w="879" w:type="dxa"/>
            <w:noWrap/>
          </w:tcPr>
          <w:p w14:paraId="629C79B5" w14:textId="77777777" w:rsidR="00284822" w:rsidRDefault="00F77BF8">
            <w:pPr>
              <w:spacing w:before="120" w:after="120"/>
              <w:rPr>
                <w:rFonts w:ascii="Rockwell" w:hAnsi="Rockwell"/>
                <w:color w:val="000000"/>
                <w:szCs w:val="26"/>
              </w:rPr>
            </w:pPr>
            <w:r>
              <w:rPr>
                <w:rFonts w:ascii="Rockwell" w:hAnsi="Rockwell"/>
                <w:color w:val="000000"/>
                <w:szCs w:val="26"/>
              </w:rPr>
              <w:t>3</w:t>
            </w:r>
          </w:p>
        </w:tc>
        <w:tc>
          <w:tcPr>
            <w:tcW w:w="6042" w:type="dxa"/>
            <w:noWrap/>
          </w:tcPr>
          <w:p w14:paraId="27F5FB42" w14:textId="77777777" w:rsidR="00284822" w:rsidRDefault="00F77BF8">
            <w:pPr>
              <w:spacing w:before="120" w:after="120"/>
              <w:rPr>
                <w:rFonts w:ascii="Rockwell" w:hAnsi="Rockwell"/>
                <w:b/>
                <w:szCs w:val="26"/>
              </w:rPr>
            </w:pPr>
            <w:proofErr w:type="spellStart"/>
            <w:r>
              <w:rPr>
                <w:rFonts w:ascii="Rockwell" w:hAnsi="Rockwell"/>
                <w:color w:val="000000"/>
                <w:szCs w:val="26"/>
              </w:rPr>
              <w:t>NumériSat</w:t>
            </w:r>
            <w:proofErr w:type="spellEnd"/>
          </w:p>
        </w:tc>
        <w:tc>
          <w:tcPr>
            <w:tcW w:w="4862" w:type="dxa"/>
            <w:noWrap/>
          </w:tcPr>
          <w:p w14:paraId="22B4D909"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r>
      <w:tr w:rsidR="00284822" w14:paraId="3A5DAF45" w14:textId="77777777">
        <w:trPr>
          <w:trHeight w:val="1152"/>
          <w:jc w:val="center"/>
        </w:trPr>
        <w:tc>
          <w:tcPr>
            <w:tcW w:w="879" w:type="dxa"/>
            <w:noWrap/>
          </w:tcPr>
          <w:p w14:paraId="350A96D6" w14:textId="77777777" w:rsidR="00284822" w:rsidRDefault="00F77BF8">
            <w:pPr>
              <w:spacing w:before="120" w:after="120"/>
              <w:rPr>
                <w:rFonts w:ascii="Rockwell" w:hAnsi="Rockwell"/>
                <w:color w:val="000000"/>
                <w:szCs w:val="26"/>
              </w:rPr>
            </w:pPr>
            <w:r>
              <w:rPr>
                <w:rFonts w:ascii="Rockwell" w:hAnsi="Rockwell"/>
                <w:color w:val="000000"/>
                <w:szCs w:val="26"/>
              </w:rPr>
              <w:t>4</w:t>
            </w:r>
          </w:p>
        </w:tc>
        <w:tc>
          <w:tcPr>
            <w:tcW w:w="6042" w:type="dxa"/>
            <w:noWrap/>
          </w:tcPr>
          <w:p w14:paraId="72496E26" w14:textId="77777777" w:rsidR="00284822" w:rsidRDefault="00F77BF8">
            <w:pPr>
              <w:spacing w:before="120" w:after="120"/>
              <w:rPr>
                <w:rFonts w:ascii="Rockwell" w:hAnsi="Rockwell"/>
                <w:color w:val="000000"/>
                <w:szCs w:val="26"/>
                <w:lang w:val="en-US"/>
              </w:rPr>
            </w:pPr>
            <w:r>
              <w:rPr>
                <w:rFonts w:ascii="Rockwell" w:hAnsi="Rockwell"/>
                <w:color w:val="000000"/>
                <w:szCs w:val="26"/>
                <w:lang w:val="en-US"/>
              </w:rPr>
              <w:t xml:space="preserve">Stars </w:t>
            </w:r>
            <w:proofErr w:type="spellStart"/>
            <w:r>
              <w:rPr>
                <w:rFonts w:ascii="Rockwell" w:hAnsi="Rockwell"/>
                <w:color w:val="000000"/>
                <w:szCs w:val="26"/>
                <w:lang w:val="en-US"/>
              </w:rPr>
              <w:t>Média</w:t>
            </w:r>
            <w:proofErr w:type="spellEnd"/>
            <w:r>
              <w:rPr>
                <w:rFonts w:ascii="Rockwell" w:hAnsi="Rockwell"/>
                <w:color w:val="000000"/>
                <w:szCs w:val="26"/>
                <w:lang w:val="en-US"/>
              </w:rPr>
              <w:t xml:space="preserve"> Burkina</w:t>
            </w:r>
          </w:p>
        </w:tc>
        <w:tc>
          <w:tcPr>
            <w:tcW w:w="4862" w:type="dxa"/>
            <w:noWrap/>
          </w:tcPr>
          <w:p w14:paraId="0613A2EA"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r>
    </w:tbl>
    <w:p w14:paraId="53216487" w14:textId="77777777" w:rsidR="00284822" w:rsidRDefault="00284822">
      <w:pPr>
        <w:spacing w:before="120" w:after="120"/>
        <w:rPr>
          <w:rFonts w:ascii="Rockwell" w:hAnsi="Rockwell"/>
          <w:b/>
          <w:bCs/>
          <w:color w:val="000000"/>
          <w:szCs w:val="26"/>
        </w:rPr>
        <w:sectPr w:rsidR="00284822">
          <w:pgSz w:w="16838" w:h="11906" w:orient="landscape"/>
          <w:pgMar w:top="1418" w:right="1418" w:bottom="1418" w:left="1418" w:header="720" w:footer="720" w:gutter="0"/>
          <w:cols w:space="720"/>
        </w:sectPr>
      </w:pPr>
    </w:p>
    <w:p w14:paraId="6F782FBD" w14:textId="15B877E0" w:rsidR="00284822" w:rsidRDefault="00F77BF8">
      <w:pPr>
        <w:spacing w:before="120" w:after="120"/>
        <w:ind w:firstLine="993"/>
        <w:rPr>
          <w:rFonts w:ascii="Rockwell" w:hAnsi="Rockwell"/>
          <w:b/>
        </w:rPr>
      </w:pPr>
      <w:r>
        <w:rPr>
          <w:rFonts w:ascii="Rockwell" w:hAnsi="Rockwell"/>
          <w:b/>
        </w:rPr>
        <w:lastRenderedPageBreak/>
        <w:t>I.V. MEDIAS AUDIOVISUELS PUBLICS</w:t>
      </w:r>
    </w:p>
    <w:p w14:paraId="70CC6170" w14:textId="77777777" w:rsidR="00284822" w:rsidRDefault="00F77BF8">
      <w:pPr>
        <w:spacing w:before="120" w:after="120"/>
        <w:ind w:firstLine="1560"/>
        <w:rPr>
          <w:rFonts w:ascii="Rockwell" w:hAnsi="Rockwell"/>
        </w:rPr>
      </w:pPr>
      <w:r>
        <w:rPr>
          <w:rFonts w:ascii="Rockwell" w:hAnsi="Rockwell"/>
        </w:rPr>
        <w:t>A</w:t>
      </w:r>
      <w:r>
        <w:rPr>
          <w:rFonts w:ascii="Rockwell" w:hAnsi="Rockwell"/>
        </w:rPr>
        <w:tab/>
      </w:r>
      <w:r>
        <w:rPr>
          <w:rFonts w:ascii="Rockwell" w:hAnsi="Rockwell"/>
          <w:sz w:val="22"/>
          <w:szCs w:val="22"/>
        </w:rPr>
        <w:t>RADIODIFFUSIONS SONORES</w:t>
      </w:r>
    </w:p>
    <w:p w14:paraId="6BC30896" w14:textId="77777777" w:rsidR="00284822" w:rsidRDefault="00F77BF8">
      <w:pPr>
        <w:pStyle w:val="Paragraphedeliste"/>
        <w:numPr>
          <w:ilvl w:val="0"/>
          <w:numId w:val="59"/>
        </w:numPr>
        <w:ind w:firstLine="981"/>
        <w:rPr>
          <w:rFonts w:ascii="Rockwell" w:hAnsi="Rockwell"/>
        </w:rPr>
      </w:pPr>
      <w:r>
        <w:rPr>
          <w:rFonts w:ascii="Rockwell" w:hAnsi="Rockwell"/>
        </w:rPr>
        <w:t xml:space="preserve">Radios communales : trente et un (31) </w:t>
      </w:r>
    </w:p>
    <w:tbl>
      <w:tblPr>
        <w:tblW w:w="13344" w:type="dxa"/>
        <w:jc w:val="center"/>
        <w:tblLayout w:type="fixed"/>
        <w:tblCellMar>
          <w:left w:w="70" w:type="dxa"/>
          <w:right w:w="70" w:type="dxa"/>
        </w:tblCellMar>
        <w:tblLook w:val="04A0" w:firstRow="1" w:lastRow="0" w:firstColumn="1" w:lastColumn="0" w:noHBand="0" w:noVBand="1"/>
      </w:tblPr>
      <w:tblGrid>
        <w:gridCol w:w="704"/>
        <w:gridCol w:w="5958"/>
        <w:gridCol w:w="3969"/>
        <w:gridCol w:w="2693"/>
        <w:gridCol w:w="20"/>
      </w:tblGrid>
      <w:tr w:rsidR="00284822" w14:paraId="76826949" w14:textId="77777777">
        <w:trPr>
          <w:gridAfter w:val="1"/>
          <w:wAfter w:w="20" w:type="dxa"/>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bottom"/>
          </w:tcPr>
          <w:p w14:paraId="342D48EC" w14:textId="77777777" w:rsidR="00284822" w:rsidRDefault="00F77BF8">
            <w:pPr>
              <w:spacing w:before="120" w:after="120"/>
              <w:jc w:val="center"/>
              <w:rPr>
                <w:rFonts w:ascii="Rockwell" w:hAnsi="Rockwell"/>
                <w:b/>
                <w:bCs/>
                <w:color w:val="000000"/>
                <w:szCs w:val="26"/>
              </w:rPr>
            </w:pPr>
            <w:r>
              <w:rPr>
                <w:rFonts w:ascii="Rockwell" w:hAnsi="Rockwell"/>
                <w:b/>
                <w:bCs/>
                <w:color w:val="000000"/>
                <w:szCs w:val="26"/>
              </w:rPr>
              <w:t>N°</w:t>
            </w:r>
          </w:p>
        </w:tc>
        <w:tc>
          <w:tcPr>
            <w:tcW w:w="5958" w:type="dxa"/>
            <w:tcBorders>
              <w:top w:val="single" w:sz="4" w:space="0" w:color="auto"/>
              <w:left w:val="nil"/>
              <w:bottom w:val="single" w:sz="4" w:space="0" w:color="auto"/>
              <w:right w:val="single" w:sz="4" w:space="0" w:color="auto"/>
            </w:tcBorders>
            <w:shd w:val="clear" w:color="auto" w:fill="BDD6EE" w:themeFill="accent1" w:themeFillTint="66"/>
            <w:noWrap/>
            <w:vAlign w:val="bottom"/>
          </w:tcPr>
          <w:p w14:paraId="485344E6" w14:textId="77777777" w:rsidR="00284822" w:rsidRDefault="00F77BF8">
            <w:pPr>
              <w:spacing w:before="120" w:after="120"/>
              <w:jc w:val="center"/>
              <w:rPr>
                <w:rFonts w:ascii="Rockwell" w:hAnsi="Rockwell"/>
                <w:b/>
                <w:bCs/>
                <w:color w:val="000000"/>
                <w:szCs w:val="26"/>
              </w:rPr>
            </w:pPr>
            <w:r>
              <w:rPr>
                <w:rFonts w:ascii="Rockwell" w:hAnsi="Rockwell"/>
                <w:b/>
                <w:bCs/>
                <w:color w:val="000000"/>
                <w:szCs w:val="26"/>
              </w:rPr>
              <w:t>Dénomination</w:t>
            </w:r>
          </w:p>
        </w:tc>
        <w:tc>
          <w:tcPr>
            <w:tcW w:w="3969" w:type="dxa"/>
            <w:tcBorders>
              <w:top w:val="single" w:sz="4" w:space="0" w:color="auto"/>
              <w:left w:val="nil"/>
              <w:bottom w:val="single" w:sz="4" w:space="0" w:color="auto"/>
              <w:right w:val="single" w:sz="4" w:space="0" w:color="auto"/>
            </w:tcBorders>
            <w:shd w:val="clear" w:color="auto" w:fill="BDD6EE" w:themeFill="accent1" w:themeFillTint="66"/>
            <w:noWrap/>
            <w:vAlign w:val="bottom"/>
          </w:tcPr>
          <w:p w14:paraId="3D870A1D" w14:textId="77777777" w:rsidR="00284822" w:rsidRDefault="00F77BF8">
            <w:pPr>
              <w:spacing w:before="120" w:after="120"/>
              <w:jc w:val="center"/>
              <w:rPr>
                <w:rFonts w:ascii="Rockwell" w:hAnsi="Rockwell"/>
                <w:b/>
                <w:bCs/>
                <w:color w:val="000000"/>
                <w:szCs w:val="26"/>
              </w:rPr>
            </w:pPr>
            <w:r>
              <w:rPr>
                <w:rFonts w:ascii="Rockwell" w:hAnsi="Rockwell"/>
                <w:b/>
                <w:bCs/>
                <w:color w:val="000000"/>
                <w:szCs w:val="26"/>
              </w:rPr>
              <w:t>Localité/Province</w:t>
            </w:r>
          </w:p>
        </w:tc>
        <w:tc>
          <w:tcPr>
            <w:tcW w:w="2693" w:type="dxa"/>
            <w:tcBorders>
              <w:top w:val="single" w:sz="4" w:space="0" w:color="auto"/>
              <w:left w:val="nil"/>
              <w:bottom w:val="single" w:sz="4" w:space="0" w:color="auto"/>
              <w:right w:val="single" w:sz="4" w:space="0" w:color="auto"/>
            </w:tcBorders>
            <w:shd w:val="clear" w:color="auto" w:fill="BDD6EE" w:themeFill="accent1" w:themeFillTint="66"/>
            <w:noWrap/>
            <w:vAlign w:val="bottom"/>
          </w:tcPr>
          <w:p w14:paraId="009BDD38" w14:textId="77777777" w:rsidR="00284822" w:rsidRDefault="00F77BF8">
            <w:pPr>
              <w:spacing w:before="120" w:after="120"/>
              <w:jc w:val="center"/>
              <w:rPr>
                <w:rFonts w:ascii="Rockwell" w:hAnsi="Rockwell"/>
                <w:b/>
                <w:bCs/>
                <w:color w:val="000000"/>
                <w:szCs w:val="26"/>
              </w:rPr>
            </w:pPr>
            <w:r>
              <w:rPr>
                <w:rFonts w:ascii="Rockwell" w:hAnsi="Rockwell"/>
                <w:b/>
                <w:bCs/>
                <w:color w:val="000000"/>
                <w:szCs w:val="26"/>
              </w:rPr>
              <w:t>Fréquence</w:t>
            </w:r>
          </w:p>
        </w:tc>
      </w:tr>
      <w:tr w:rsidR="00284822" w14:paraId="683DE746"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40DFB5A" w14:textId="77777777" w:rsidR="00284822" w:rsidRDefault="00F77BF8">
            <w:pPr>
              <w:spacing w:before="120" w:after="120"/>
              <w:rPr>
                <w:rFonts w:ascii="Rockwell" w:hAnsi="Rockwell"/>
                <w:color w:val="000000"/>
                <w:szCs w:val="26"/>
              </w:rPr>
            </w:pPr>
            <w:r>
              <w:rPr>
                <w:rFonts w:ascii="Rockwell" w:hAnsi="Rockwell"/>
                <w:color w:val="000000"/>
                <w:szCs w:val="26"/>
              </w:rPr>
              <w:t>1</w:t>
            </w:r>
          </w:p>
        </w:tc>
        <w:tc>
          <w:tcPr>
            <w:tcW w:w="5958" w:type="dxa"/>
            <w:tcBorders>
              <w:top w:val="single" w:sz="4" w:space="0" w:color="auto"/>
              <w:left w:val="nil"/>
              <w:bottom w:val="single" w:sz="4" w:space="0" w:color="auto"/>
              <w:right w:val="single" w:sz="4" w:space="0" w:color="auto"/>
            </w:tcBorders>
            <w:shd w:val="clear" w:color="auto" w:fill="FFFFFF" w:themeFill="background1"/>
            <w:noWrap/>
            <w:vAlign w:val="bottom"/>
          </w:tcPr>
          <w:p w14:paraId="27706504"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Municipale de </w:t>
            </w:r>
            <w:proofErr w:type="gramStart"/>
            <w:r>
              <w:rPr>
                <w:rFonts w:ascii="Rockwell" w:hAnsi="Rockwell"/>
                <w:color w:val="000000"/>
                <w:szCs w:val="26"/>
              </w:rPr>
              <w:t>Ouagadougou  (</w:t>
            </w:r>
            <w:proofErr w:type="gramEnd"/>
            <w:r>
              <w:rPr>
                <w:rFonts w:ascii="Rockwell" w:hAnsi="Rockwell"/>
                <w:color w:val="000000"/>
                <w:szCs w:val="26"/>
              </w:rPr>
              <w:t>RMO)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1DE02292"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3A9B05E5" w14:textId="77777777" w:rsidR="00284822" w:rsidRDefault="00F77BF8">
            <w:pPr>
              <w:spacing w:before="120" w:after="120"/>
              <w:jc w:val="center"/>
              <w:rPr>
                <w:rFonts w:ascii="Rockwell" w:hAnsi="Rockwell"/>
                <w:color w:val="000000"/>
                <w:szCs w:val="26"/>
              </w:rPr>
            </w:pPr>
            <w:r>
              <w:rPr>
                <w:rFonts w:ascii="Rockwell" w:hAnsi="Rockwell"/>
                <w:color w:val="000000"/>
                <w:szCs w:val="26"/>
              </w:rPr>
              <w:t>98.9 MHz</w:t>
            </w:r>
          </w:p>
        </w:tc>
      </w:tr>
      <w:tr w:rsidR="00284822" w14:paraId="629DC353"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9DE5467" w14:textId="77777777" w:rsidR="00284822" w:rsidRDefault="00F77BF8">
            <w:pPr>
              <w:spacing w:before="120" w:after="120"/>
              <w:rPr>
                <w:rFonts w:ascii="Rockwell" w:hAnsi="Rockwell"/>
                <w:color w:val="000000"/>
                <w:szCs w:val="26"/>
              </w:rPr>
            </w:pPr>
            <w:r>
              <w:rPr>
                <w:rFonts w:ascii="Rockwell" w:hAnsi="Rockwell"/>
                <w:color w:val="000000"/>
                <w:szCs w:val="26"/>
              </w:rPr>
              <w:t>2</w:t>
            </w:r>
          </w:p>
        </w:tc>
        <w:tc>
          <w:tcPr>
            <w:tcW w:w="5958" w:type="dxa"/>
            <w:tcBorders>
              <w:top w:val="single" w:sz="4" w:space="0" w:color="auto"/>
              <w:left w:val="nil"/>
              <w:bottom w:val="single" w:sz="4" w:space="0" w:color="auto"/>
              <w:right w:val="single" w:sz="4" w:space="0" w:color="auto"/>
            </w:tcBorders>
            <w:shd w:val="clear" w:color="auto" w:fill="FFFFFF" w:themeFill="background1"/>
            <w:noWrap/>
            <w:vAlign w:val="bottom"/>
          </w:tcPr>
          <w:p w14:paraId="5158C371" w14:textId="77777777" w:rsidR="00284822" w:rsidRDefault="00F77BF8">
            <w:pPr>
              <w:spacing w:before="120" w:after="120"/>
              <w:rPr>
                <w:rFonts w:ascii="Rockwell" w:hAnsi="Rockwell"/>
                <w:color w:val="000000"/>
                <w:szCs w:val="26"/>
              </w:rPr>
            </w:pPr>
            <w:r>
              <w:rPr>
                <w:rFonts w:ascii="Rockwell" w:hAnsi="Rockwell"/>
                <w:color w:val="000000"/>
                <w:szCs w:val="26"/>
              </w:rPr>
              <w:t>Radio La Voix du Sourou</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554E9F97" w14:textId="77777777" w:rsidR="00284822" w:rsidRDefault="00F77BF8">
            <w:pPr>
              <w:spacing w:before="120" w:after="120"/>
              <w:rPr>
                <w:rFonts w:ascii="Rockwell" w:hAnsi="Rockwell"/>
                <w:color w:val="000000"/>
                <w:szCs w:val="26"/>
              </w:rPr>
            </w:pPr>
            <w:r>
              <w:rPr>
                <w:rFonts w:ascii="Rockwell" w:hAnsi="Rockwell"/>
                <w:color w:val="000000"/>
                <w:szCs w:val="26"/>
              </w:rPr>
              <w:t>Tougan/Sourou</w:t>
            </w:r>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444D4004" w14:textId="77777777" w:rsidR="00284822" w:rsidRDefault="00F77BF8">
            <w:pPr>
              <w:spacing w:before="120" w:after="120"/>
              <w:jc w:val="center"/>
              <w:rPr>
                <w:rFonts w:ascii="Rockwell" w:hAnsi="Rockwell"/>
                <w:color w:val="000000"/>
                <w:szCs w:val="26"/>
              </w:rPr>
            </w:pPr>
            <w:r>
              <w:rPr>
                <w:rFonts w:ascii="Rockwell" w:hAnsi="Rockwell"/>
                <w:color w:val="000000"/>
                <w:szCs w:val="26"/>
              </w:rPr>
              <w:t>105 MHz</w:t>
            </w:r>
          </w:p>
        </w:tc>
      </w:tr>
      <w:tr w:rsidR="00284822" w14:paraId="667BF36A"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95B3A3E" w14:textId="77777777" w:rsidR="00284822" w:rsidRDefault="00F77BF8">
            <w:pPr>
              <w:spacing w:before="120" w:after="120"/>
              <w:rPr>
                <w:rFonts w:ascii="Rockwell" w:hAnsi="Rockwell"/>
                <w:color w:val="000000"/>
                <w:szCs w:val="26"/>
              </w:rPr>
            </w:pPr>
            <w:r>
              <w:rPr>
                <w:rFonts w:ascii="Rockwell" w:hAnsi="Rockwell"/>
                <w:color w:val="000000"/>
                <w:szCs w:val="26"/>
              </w:rPr>
              <w:t>3</w:t>
            </w:r>
          </w:p>
        </w:tc>
        <w:tc>
          <w:tcPr>
            <w:tcW w:w="5958" w:type="dxa"/>
            <w:tcBorders>
              <w:top w:val="single" w:sz="4" w:space="0" w:color="auto"/>
              <w:left w:val="nil"/>
              <w:bottom w:val="single" w:sz="4" w:space="0" w:color="auto"/>
              <w:right w:val="single" w:sz="4" w:space="0" w:color="auto"/>
            </w:tcBorders>
            <w:shd w:val="clear" w:color="auto" w:fill="FFFFFF" w:themeFill="background1"/>
            <w:noWrap/>
            <w:vAlign w:val="bottom"/>
          </w:tcPr>
          <w:p w14:paraId="1BD6365D"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de l’Unité </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03F05F76" w14:textId="77777777" w:rsidR="00284822" w:rsidRDefault="00F77BF8">
            <w:pPr>
              <w:spacing w:before="120" w:after="120"/>
              <w:rPr>
                <w:rFonts w:ascii="Rockwell" w:hAnsi="Rockwell"/>
                <w:color w:val="000000"/>
                <w:szCs w:val="26"/>
              </w:rPr>
            </w:pPr>
            <w:r>
              <w:rPr>
                <w:rFonts w:ascii="Rockwell" w:hAnsi="Rockwell"/>
                <w:color w:val="000000"/>
                <w:szCs w:val="26"/>
              </w:rPr>
              <w:t>Boudry/Ganzourgou</w:t>
            </w:r>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378AE4E5" w14:textId="77777777" w:rsidR="00284822" w:rsidRDefault="00F77BF8">
            <w:pPr>
              <w:spacing w:before="120" w:after="120"/>
              <w:jc w:val="center"/>
              <w:rPr>
                <w:rFonts w:ascii="Rockwell" w:hAnsi="Rockwell"/>
                <w:color w:val="000000"/>
                <w:szCs w:val="26"/>
              </w:rPr>
            </w:pPr>
            <w:proofErr w:type="gramStart"/>
            <w:r>
              <w:rPr>
                <w:rFonts w:ascii="Rockwell" w:hAnsi="Rockwell"/>
                <w:color w:val="000000"/>
                <w:szCs w:val="26"/>
              </w:rPr>
              <w:t>b</w:t>
            </w:r>
            <w:proofErr w:type="gramEnd"/>
            <w:r>
              <w:rPr>
                <w:rFonts w:ascii="Rockwell" w:hAnsi="Rockwell"/>
                <w:color w:val="000000"/>
                <w:szCs w:val="26"/>
              </w:rPr>
              <w:t>95.2 MHz</w:t>
            </w:r>
          </w:p>
        </w:tc>
      </w:tr>
      <w:tr w:rsidR="00284822" w14:paraId="56F683EA"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C361BA0" w14:textId="77777777" w:rsidR="00284822" w:rsidRDefault="00F77BF8">
            <w:pPr>
              <w:spacing w:before="120" w:after="120"/>
              <w:rPr>
                <w:rFonts w:ascii="Rockwell" w:hAnsi="Rockwell"/>
                <w:color w:val="000000"/>
                <w:szCs w:val="26"/>
              </w:rPr>
            </w:pPr>
            <w:r>
              <w:rPr>
                <w:rFonts w:ascii="Rockwell" w:hAnsi="Rockwell"/>
                <w:color w:val="000000"/>
                <w:szCs w:val="26"/>
              </w:rPr>
              <w:t>4</w:t>
            </w:r>
          </w:p>
        </w:tc>
        <w:tc>
          <w:tcPr>
            <w:tcW w:w="5958" w:type="dxa"/>
            <w:tcBorders>
              <w:top w:val="single" w:sz="4" w:space="0" w:color="auto"/>
              <w:left w:val="nil"/>
              <w:bottom w:val="single" w:sz="4" w:space="0" w:color="auto"/>
              <w:right w:val="single" w:sz="4" w:space="0" w:color="auto"/>
            </w:tcBorders>
            <w:shd w:val="clear" w:color="auto" w:fill="FFFFFF" w:themeFill="background1"/>
            <w:noWrap/>
            <w:vAlign w:val="bottom"/>
          </w:tcPr>
          <w:p w14:paraId="02CE951B"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La Voix du </w:t>
            </w:r>
            <w:proofErr w:type="spellStart"/>
            <w:r>
              <w:rPr>
                <w:rFonts w:ascii="Rockwell" w:hAnsi="Rockwell"/>
                <w:color w:val="000000"/>
                <w:szCs w:val="26"/>
              </w:rPr>
              <w:t>Lorum</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4A3AE754" w14:textId="77777777" w:rsidR="00284822" w:rsidRDefault="00F77BF8">
            <w:pPr>
              <w:spacing w:before="120" w:after="120"/>
              <w:rPr>
                <w:rFonts w:ascii="Rockwell" w:hAnsi="Rockwell"/>
                <w:color w:val="000000"/>
                <w:szCs w:val="26"/>
              </w:rPr>
            </w:pPr>
            <w:r>
              <w:rPr>
                <w:rFonts w:ascii="Rockwell" w:hAnsi="Rockwell"/>
                <w:color w:val="000000"/>
                <w:szCs w:val="26"/>
              </w:rPr>
              <w:t>Titao/</w:t>
            </w:r>
            <w:proofErr w:type="spellStart"/>
            <w:r>
              <w:rPr>
                <w:rFonts w:ascii="Rockwell" w:hAnsi="Rockwell"/>
                <w:color w:val="000000"/>
                <w:szCs w:val="26"/>
              </w:rPr>
              <w:t>Lorum</w:t>
            </w:r>
            <w:proofErr w:type="spellEnd"/>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50C95609" w14:textId="77777777" w:rsidR="00284822" w:rsidRDefault="00F77BF8">
            <w:pPr>
              <w:spacing w:before="120" w:after="120"/>
              <w:jc w:val="center"/>
              <w:rPr>
                <w:rFonts w:ascii="Rockwell" w:hAnsi="Rockwell"/>
                <w:color w:val="000000"/>
                <w:szCs w:val="26"/>
              </w:rPr>
            </w:pPr>
            <w:r>
              <w:rPr>
                <w:rFonts w:ascii="Rockwell" w:hAnsi="Rockwell"/>
                <w:color w:val="000000"/>
                <w:szCs w:val="26"/>
              </w:rPr>
              <w:t>90.7 MHz</w:t>
            </w:r>
          </w:p>
        </w:tc>
      </w:tr>
      <w:tr w:rsidR="00284822" w14:paraId="53DED571"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A2F9062" w14:textId="77777777" w:rsidR="00284822" w:rsidRDefault="00F77BF8">
            <w:pPr>
              <w:spacing w:before="120" w:after="120"/>
              <w:rPr>
                <w:rFonts w:ascii="Rockwell" w:hAnsi="Rockwell"/>
                <w:color w:val="000000"/>
                <w:szCs w:val="26"/>
              </w:rPr>
            </w:pPr>
            <w:r>
              <w:rPr>
                <w:rFonts w:ascii="Rockwell" w:hAnsi="Rockwell"/>
                <w:color w:val="000000"/>
                <w:szCs w:val="26"/>
              </w:rPr>
              <w:t>5</w:t>
            </w:r>
          </w:p>
        </w:tc>
        <w:tc>
          <w:tcPr>
            <w:tcW w:w="5958" w:type="dxa"/>
            <w:tcBorders>
              <w:top w:val="single" w:sz="4" w:space="0" w:color="auto"/>
              <w:left w:val="nil"/>
              <w:bottom w:val="single" w:sz="4" w:space="0" w:color="auto"/>
              <w:right w:val="single" w:sz="4" w:space="0" w:color="auto"/>
            </w:tcBorders>
            <w:shd w:val="clear" w:color="auto" w:fill="FFFFFF" w:themeFill="background1"/>
            <w:noWrap/>
            <w:vAlign w:val="bottom"/>
          </w:tcPr>
          <w:p w14:paraId="1DC2DA6B" w14:textId="77777777" w:rsidR="00284822" w:rsidRDefault="00F77BF8">
            <w:pPr>
              <w:spacing w:before="120" w:after="120"/>
              <w:rPr>
                <w:rFonts w:ascii="Rockwell" w:hAnsi="Rockwell"/>
                <w:color w:val="000000"/>
                <w:szCs w:val="26"/>
              </w:rPr>
            </w:pPr>
            <w:r>
              <w:rPr>
                <w:rFonts w:ascii="Rockwell" w:hAnsi="Rockwell"/>
                <w:color w:val="000000"/>
                <w:szCs w:val="26"/>
              </w:rPr>
              <w:t>Radio La Voix du Sanguié</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5741F40A" w14:textId="77777777" w:rsidR="00284822" w:rsidRDefault="00F77BF8">
            <w:pPr>
              <w:spacing w:before="120" w:after="120"/>
              <w:rPr>
                <w:rFonts w:ascii="Rockwell" w:hAnsi="Rockwell"/>
                <w:color w:val="000000"/>
                <w:szCs w:val="26"/>
              </w:rPr>
            </w:pPr>
            <w:proofErr w:type="spellStart"/>
            <w:r>
              <w:rPr>
                <w:rFonts w:ascii="Rockwell" w:hAnsi="Rockwell"/>
                <w:color w:val="000000"/>
                <w:szCs w:val="26"/>
              </w:rPr>
              <w:t>Réo</w:t>
            </w:r>
            <w:proofErr w:type="spellEnd"/>
            <w:r>
              <w:rPr>
                <w:rFonts w:ascii="Rockwell" w:hAnsi="Rockwell"/>
                <w:color w:val="000000"/>
                <w:szCs w:val="26"/>
              </w:rPr>
              <w:t>/Sanguié</w:t>
            </w:r>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183C142E" w14:textId="77777777" w:rsidR="00284822" w:rsidRDefault="00F77BF8">
            <w:pPr>
              <w:spacing w:before="120" w:after="120"/>
              <w:jc w:val="center"/>
              <w:rPr>
                <w:rFonts w:ascii="Rockwell" w:hAnsi="Rockwell"/>
                <w:color w:val="000000"/>
                <w:szCs w:val="26"/>
              </w:rPr>
            </w:pPr>
            <w:r>
              <w:rPr>
                <w:rFonts w:ascii="Rockwell" w:hAnsi="Rockwell"/>
                <w:color w:val="000000"/>
                <w:szCs w:val="26"/>
              </w:rPr>
              <w:t>102.8 MHz</w:t>
            </w:r>
          </w:p>
        </w:tc>
      </w:tr>
      <w:tr w:rsidR="00284822" w14:paraId="110D87DE"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6AF3AC0" w14:textId="77777777" w:rsidR="00284822" w:rsidRDefault="00F77BF8">
            <w:pPr>
              <w:spacing w:before="120" w:after="120"/>
              <w:rPr>
                <w:rFonts w:ascii="Rockwell" w:hAnsi="Rockwell"/>
                <w:color w:val="000000"/>
                <w:szCs w:val="26"/>
              </w:rPr>
            </w:pPr>
            <w:r>
              <w:rPr>
                <w:rFonts w:ascii="Rockwell" w:hAnsi="Rockwell"/>
                <w:color w:val="000000"/>
                <w:szCs w:val="26"/>
              </w:rPr>
              <w:t>6</w:t>
            </w:r>
          </w:p>
        </w:tc>
        <w:tc>
          <w:tcPr>
            <w:tcW w:w="5958" w:type="dxa"/>
            <w:tcBorders>
              <w:top w:val="single" w:sz="4" w:space="0" w:color="auto"/>
              <w:left w:val="nil"/>
              <w:bottom w:val="single" w:sz="4" w:space="0" w:color="auto"/>
              <w:right w:val="single" w:sz="4" w:space="0" w:color="auto"/>
            </w:tcBorders>
            <w:shd w:val="clear" w:color="auto" w:fill="FFFFFF" w:themeFill="background1"/>
            <w:noWrap/>
            <w:vAlign w:val="bottom"/>
          </w:tcPr>
          <w:p w14:paraId="2B6DA467" w14:textId="77777777" w:rsidR="00284822" w:rsidRDefault="00F77BF8">
            <w:pPr>
              <w:spacing w:before="120" w:after="120"/>
              <w:rPr>
                <w:rFonts w:ascii="Rockwell" w:hAnsi="Rockwell"/>
                <w:color w:val="000000"/>
                <w:szCs w:val="26"/>
              </w:rPr>
            </w:pPr>
            <w:r>
              <w:rPr>
                <w:rFonts w:ascii="Rockwell" w:hAnsi="Rockwell"/>
                <w:color w:val="000000"/>
                <w:szCs w:val="26"/>
              </w:rPr>
              <w:t>Radio Sara FM de Botou</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2848D64A" w14:textId="77777777" w:rsidR="00284822" w:rsidRDefault="00F77BF8">
            <w:pPr>
              <w:spacing w:before="120" w:after="120"/>
              <w:rPr>
                <w:rFonts w:ascii="Rockwell" w:hAnsi="Rockwell"/>
                <w:color w:val="000000"/>
                <w:szCs w:val="26"/>
              </w:rPr>
            </w:pPr>
            <w:r>
              <w:rPr>
                <w:rFonts w:ascii="Rockwell" w:hAnsi="Rockwell"/>
                <w:color w:val="000000"/>
                <w:szCs w:val="26"/>
              </w:rPr>
              <w:t>Botou/Tapoa</w:t>
            </w:r>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0D51AAAE" w14:textId="77777777" w:rsidR="00284822" w:rsidRDefault="00F77BF8">
            <w:pPr>
              <w:spacing w:before="120" w:after="120"/>
              <w:jc w:val="center"/>
              <w:rPr>
                <w:rFonts w:ascii="Rockwell" w:hAnsi="Rockwell"/>
                <w:color w:val="000000"/>
                <w:szCs w:val="26"/>
              </w:rPr>
            </w:pPr>
            <w:r>
              <w:rPr>
                <w:rFonts w:ascii="Rockwell" w:hAnsi="Rockwell"/>
                <w:color w:val="000000"/>
                <w:szCs w:val="26"/>
              </w:rPr>
              <w:t>102.6 MHz</w:t>
            </w:r>
          </w:p>
        </w:tc>
      </w:tr>
      <w:tr w:rsidR="00284822" w14:paraId="127FDFFA"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F21FB08" w14:textId="77777777" w:rsidR="00284822" w:rsidRDefault="00F77BF8">
            <w:pPr>
              <w:spacing w:before="120" w:after="120"/>
              <w:rPr>
                <w:rFonts w:ascii="Rockwell" w:hAnsi="Rockwell"/>
                <w:szCs w:val="26"/>
              </w:rPr>
            </w:pPr>
            <w:r>
              <w:rPr>
                <w:rFonts w:ascii="Rockwell" w:hAnsi="Rockwell"/>
                <w:szCs w:val="26"/>
              </w:rPr>
              <w:t>7</w:t>
            </w:r>
          </w:p>
        </w:tc>
        <w:tc>
          <w:tcPr>
            <w:tcW w:w="5958" w:type="dxa"/>
            <w:tcBorders>
              <w:top w:val="single" w:sz="4" w:space="0" w:color="auto"/>
              <w:left w:val="nil"/>
              <w:bottom w:val="single" w:sz="4" w:space="0" w:color="auto"/>
              <w:right w:val="single" w:sz="4" w:space="0" w:color="auto"/>
            </w:tcBorders>
            <w:shd w:val="clear" w:color="auto" w:fill="FFFFFF" w:themeFill="background1"/>
            <w:noWrap/>
            <w:vAlign w:val="bottom"/>
          </w:tcPr>
          <w:p w14:paraId="65A84243" w14:textId="77777777" w:rsidR="00284822" w:rsidRDefault="00F77BF8">
            <w:pPr>
              <w:spacing w:before="120" w:after="120"/>
              <w:rPr>
                <w:rFonts w:ascii="Rockwell" w:hAnsi="Rockwell"/>
                <w:szCs w:val="26"/>
              </w:rPr>
            </w:pPr>
            <w:r>
              <w:rPr>
                <w:rFonts w:ascii="Rockwell" w:hAnsi="Rockwell"/>
                <w:szCs w:val="26"/>
              </w:rPr>
              <w:t xml:space="preserve">Radio </w:t>
            </w:r>
            <w:proofErr w:type="spellStart"/>
            <w:r>
              <w:rPr>
                <w:rFonts w:ascii="Rockwell" w:hAnsi="Rockwell"/>
                <w:szCs w:val="26"/>
              </w:rPr>
              <w:t>Lamogoya</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0302F4D0" w14:textId="77777777" w:rsidR="00284822" w:rsidRDefault="00F77BF8">
            <w:pPr>
              <w:spacing w:before="120" w:after="120"/>
              <w:rPr>
                <w:rFonts w:ascii="Rockwell" w:hAnsi="Rockwell"/>
                <w:szCs w:val="26"/>
              </w:rPr>
            </w:pPr>
            <w:r>
              <w:rPr>
                <w:rFonts w:ascii="Rockwell" w:hAnsi="Rockwell"/>
                <w:szCs w:val="26"/>
              </w:rPr>
              <w:t>Tansila/Banwa</w:t>
            </w:r>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23767554" w14:textId="77777777" w:rsidR="00284822" w:rsidRDefault="00F77BF8">
            <w:pPr>
              <w:spacing w:before="120" w:after="120"/>
              <w:jc w:val="center"/>
              <w:rPr>
                <w:rFonts w:ascii="Rockwell" w:hAnsi="Rockwell"/>
                <w:szCs w:val="26"/>
              </w:rPr>
            </w:pPr>
            <w:r>
              <w:rPr>
                <w:rFonts w:ascii="Rockwell" w:hAnsi="Rockwell"/>
                <w:szCs w:val="26"/>
              </w:rPr>
              <w:t>101.100 MHz</w:t>
            </w:r>
          </w:p>
        </w:tc>
      </w:tr>
      <w:tr w:rsidR="00284822" w14:paraId="701CDE3C" w14:textId="77777777">
        <w:trPr>
          <w:trHeight w:val="53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EC036BD" w14:textId="77777777" w:rsidR="00284822" w:rsidRDefault="00F77BF8">
            <w:pPr>
              <w:spacing w:before="120" w:after="120"/>
              <w:jc w:val="left"/>
              <w:rPr>
                <w:rFonts w:ascii="Rockwell" w:hAnsi="Rockwell"/>
                <w:color w:val="000000"/>
                <w:szCs w:val="26"/>
              </w:rPr>
            </w:pPr>
            <w:r>
              <w:rPr>
                <w:rFonts w:ascii="Rockwell" w:hAnsi="Rockwell"/>
                <w:color w:val="000000"/>
                <w:szCs w:val="26"/>
              </w:rPr>
              <w:t>8</w:t>
            </w:r>
          </w:p>
        </w:tc>
        <w:tc>
          <w:tcPr>
            <w:tcW w:w="5958" w:type="dxa"/>
            <w:tcBorders>
              <w:top w:val="single" w:sz="4" w:space="0" w:color="auto"/>
              <w:left w:val="nil"/>
              <w:bottom w:val="single" w:sz="4" w:space="0" w:color="auto"/>
              <w:right w:val="single" w:sz="4" w:space="0" w:color="auto"/>
            </w:tcBorders>
            <w:shd w:val="clear" w:color="auto" w:fill="FFFFFF" w:themeFill="background1"/>
            <w:noWrap/>
          </w:tcPr>
          <w:p w14:paraId="3F00BDFD"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Municipale de </w:t>
            </w:r>
            <w:proofErr w:type="spellStart"/>
            <w:r>
              <w:rPr>
                <w:rFonts w:ascii="Rockwell" w:hAnsi="Rockwell"/>
                <w:color w:val="000000"/>
                <w:szCs w:val="26"/>
              </w:rPr>
              <w:t>Sya</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tcPr>
          <w:p w14:paraId="1A8557C6" w14:textId="77777777" w:rsidR="00284822" w:rsidRDefault="00F77BF8">
            <w:pPr>
              <w:tabs>
                <w:tab w:val="left" w:pos="465"/>
                <w:tab w:val="center" w:pos="1914"/>
              </w:tabs>
              <w:spacing w:before="120" w:after="120"/>
              <w:jc w:val="left"/>
              <w:rPr>
                <w:rFonts w:ascii="Rockwell" w:hAnsi="Rockwell"/>
                <w:color w:val="000000"/>
                <w:szCs w:val="26"/>
              </w:rPr>
            </w:pPr>
            <w:r>
              <w:rPr>
                <w:rFonts w:ascii="Rockwell" w:hAnsi="Rockwell"/>
                <w:color w:val="000000"/>
                <w:szCs w:val="26"/>
              </w:rPr>
              <w:t>Bobo-Dioulasso/Houet</w:t>
            </w:r>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tcPr>
          <w:p w14:paraId="0884F7A3" w14:textId="77777777" w:rsidR="00284822" w:rsidRDefault="00F77BF8">
            <w:pPr>
              <w:spacing w:before="120" w:after="120"/>
              <w:jc w:val="center"/>
              <w:rPr>
                <w:rFonts w:ascii="Rockwell" w:hAnsi="Rockwell"/>
                <w:color w:val="000000"/>
                <w:szCs w:val="26"/>
              </w:rPr>
            </w:pPr>
            <w:r>
              <w:rPr>
                <w:rFonts w:ascii="Rockwell" w:hAnsi="Rockwell"/>
                <w:color w:val="000000"/>
                <w:szCs w:val="26"/>
              </w:rPr>
              <w:t>93.100 MHz</w:t>
            </w:r>
          </w:p>
        </w:tc>
      </w:tr>
      <w:tr w:rsidR="00284822" w14:paraId="3A4C36B0"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E86A294" w14:textId="77777777" w:rsidR="00284822" w:rsidRDefault="00F77BF8">
            <w:pPr>
              <w:spacing w:before="120" w:after="120"/>
              <w:jc w:val="left"/>
              <w:rPr>
                <w:rFonts w:ascii="Rockwell" w:hAnsi="Rockwell"/>
                <w:color w:val="000000"/>
                <w:szCs w:val="26"/>
              </w:rPr>
            </w:pPr>
            <w:r>
              <w:rPr>
                <w:rFonts w:ascii="Rockwell" w:hAnsi="Rockwell"/>
                <w:color w:val="000000"/>
                <w:szCs w:val="26"/>
              </w:rPr>
              <w:t>9</w:t>
            </w:r>
          </w:p>
        </w:tc>
        <w:tc>
          <w:tcPr>
            <w:tcW w:w="5958" w:type="dxa"/>
            <w:tcBorders>
              <w:top w:val="single" w:sz="4" w:space="0" w:color="auto"/>
              <w:left w:val="nil"/>
              <w:bottom w:val="single" w:sz="4" w:space="0" w:color="auto"/>
              <w:right w:val="single" w:sz="4" w:space="0" w:color="auto"/>
            </w:tcBorders>
            <w:shd w:val="clear" w:color="auto" w:fill="FFFFFF" w:themeFill="background1"/>
            <w:noWrap/>
            <w:vAlign w:val="bottom"/>
          </w:tcPr>
          <w:p w14:paraId="2E17C821"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Zuba'ui-J</w:t>
            </w:r>
            <w:r>
              <w:rPr>
                <w:rFonts w:ascii="Cambria" w:hAnsi="Cambria" w:cs="Cambria"/>
                <w:color w:val="000000"/>
                <w:szCs w:val="26"/>
              </w:rPr>
              <w:t>ε</w:t>
            </w:r>
            <w:r>
              <w:rPr>
                <w:rFonts w:ascii="Rockwell" w:hAnsi="Rockwell"/>
                <w:color w:val="000000"/>
                <w:szCs w:val="26"/>
              </w:rPr>
              <w:t>kan</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616574F3" w14:textId="77777777" w:rsidR="00284822" w:rsidRDefault="00F77BF8">
            <w:pPr>
              <w:spacing w:before="120" w:after="120"/>
              <w:rPr>
                <w:rFonts w:ascii="Rockwell" w:hAnsi="Rockwell"/>
                <w:color w:val="000000"/>
                <w:szCs w:val="26"/>
              </w:rPr>
            </w:pPr>
            <w:r>
              <w:rPr>
                <w:rFonts w:ascii="Rockwell" w:hAnsi="Rockwell"/>
                <w:color w:val="000000"/>
                <w:szCs w:val="26"/>
              </w:rPr>
              <w:t>Djibasso/Kossi</w:t>
            </w:r>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0C447BC0" w14:textId="77777777" w:rsidR="00284822" w:rsidRDefault="00F77BF8">
            <w:pPr>
              <w:spacing w:before="120" w:after="120"/>
              <w:jc w:val="center"/>
              <w:rPr>
                <w:rFonts w:ascii="Rockwell" w:hAnsi="Rockwell"/>
                <w:color w:val="000000"/>
                <w:szCs w:val="26"/>
              </w:rPr>
            </w:pPr>
            <w:r>
              <w:rPr>
                <w:rFonts w:ascii="Rockwell" w:hAnsi="Rockwell"/>
                <w:color w:val="000000"/>
                <w:szCs w:val="26"/>
              </w:rPr>
              <w:t>94.600 MHz</w:t>
            </w:r>
          </w:p>
        </w:tc>
      </w:tr>
      <w:tr w:rsidR="00284822" w14:paraId="69EC3BA4"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8DAD1C9" w14:textId="77777777" w:rsidR="00284822" w:rsidRDefault="00F77BF8">
            <w:pPr>
              <w:spacing w:before="120" w:after="120"/>
              <w:jc w:val="left"/>
              <w:rPr>
                <w:rFonts w:ascii="Rockwell" w:hAnsi="Rockwell"/>
                <w:color w:val="000000"/>
                <w:szCs w:val="26"/>
              </w:rPr>
            </w:pPr>
            <w:r>
              <w:rPr>
                <w:rFonts w:ascii="Rockwell" w:hAnsi="Rockwell"/>
                <w:color w:val="000000"/>
                <w:szCs w:val="26"/>
              </w:rPr>
              <w:lastRenderedPageBreak/>
              <w:t>10</w:t>
            </w:r>
          </w:p>
        </w:tc>
        <w:tc>
          <w:tcPr>
            <w:tcW w:w="5958" w:type="dxa"/>
            <w:tcBorders>
              <w:top w:val="single" w:sz="4" w:space="0" w:color="auto"/>
              <w:left w:val="nil"/>
              <w:bottom w:val="single" w:sz="4" w:space="0" w:color="auto"/>
              <w:right w:val="single" w:sz="4" w:space="0" w:color="auto"/>
            </w:tcBorders>
            <w:shd w:val="clear" w:color="auto" w:fill="FFFFFF" w:themeFill="background1"/>
            <w:noWrap/>
            <w:vAlign w:val="bottom"/>
          </w:tcPr>
          <w:p w14:paraId="1DAEC950"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La </w:t>
            </w:r>
            <w:proofErr w:type="gramStart"/>
            <w:r>
              <w:rPr>
                <w:rFonts w:ascii="Rockwell" w:hAnsi="Rockwell"/>
                <w:color w:val="000000"/>
                <w:szCs w:val="26"/>
              </w:rPr>
              <w:t>Voix  du</w:t>
            </w:r>
            <w:proofErr w:type="gramEnd"/>
            <w:r>
              <w:rPr>
                <w:rFonts w:ascii="Rockwell" w:hAnsi="Rockwell"/>
                <w:color w:val="000000"/>
                <w:szCs w:val="26"/>
              </w:rPr>
              <w:t xml:space="preserve"> Soum</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556DCBDE" w14:textId="77777777" w:rsidR="00284822" w:rsidRDefault="00F77BF8">
            <w:pPr>
              <w:spacing w:before="120" w:after="120"/>
              <w:rPr>
                <w:rFonts w:ascii="Rockwell" w:hAnsi="Rockwell"/>
                <w:color w:val="000000"/>
                <w:szCs w:val="26"/>
              </w:rPr>
            </w:pPr>
            <w:r>
              <w:rPr>
                <w:rFonts w:ascii="Rockwell" w:hAnsi="Rockwell"/>
                <w:color w:val="000000"/>
                <w:szCs w:val="26"/>
              </w:rPr>
              <w:t>Djibo/Soum</w:t>
            </w:r>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tcPr>
          <w:p w14:paraId="7032DA43" w14:textId="77777777" w:rsidR="00284822" w:rsidRDefault="00F77BF8">
            <w:pPr>
              <w:spacing w:before="120" w:after="120"/>
              <w:jc w:val="center"/>
              <w:rPr>
                <w:rFonts w:ascii="Rockwell" w:hAnsi="Rockwell"/>
                <w:color w:val="000000"/>
                <w:szCs w:val="26"/>
              </w:rPr>
            </w:pPr>
            <w:r>
              <w:rPr>
                <w:rFonts w:ascii="Rockwell" w:hAnsi="Rockwell"/>
                <w:color w:val="000000"/>
                <w:szCs w:val="26"/>
              </w:rPr>
              <w:t>92.100 MHz</w:t>
            </w:r>
          </w:p>
        </w:tc>
      </w:tr>
      <w:tr w:rsidR="00284822" w14:paraId="7CD5CA2D"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6B8F3CC" w14:textId="77777777" w:rsidR="00284822" w:rsidRDefault="00F77BF8">
            <w:pPr>
              <w:spacing w:before="120" w:after="120"/>
              <w:rPr>
                <w:rFonts w:ascii="Rockwell" w:hAnsi="Rockwell"/>
                <w:color w:val="000000"/>
                <w:szCs w:val="26"/>
              </w:rPr>
            </w:pPr>
            <w:r>
              <w:rPr>
                <w:rFonts w:ascii="Rockwell" w:hAnsi="Rockwell"/>
                <w:color w:val="000000"/>
                <w:szCs w:val="26"/>
              </w:rPr>
              <w:t>11</w:t>
            </w:r>
          </w:p>
        </w:tc>
        <w:tc>
          <w:tcPr>
            <w:tcW w:w="5958" w:type="dxa"/>
            <w:tcBorders>
              <w:top w:val="single" w:sz="4" w:space="0" w:color="auto"/>
              <w:left w:val="nil"/>
              <w:bottom w:val="single" w:sz="4" w:space="0" w:color="auto"/>
              <w:right w:val="single" w:sz="4" w:space="0" w:color="auto"/>
            </w:tcBorders>
            <w:shd w:val="clear" w:color="auto" w:fill="FFFFFF" w:themeFill="background1"/>
            <w:noWrap/>
            <w:vAlign w:val="bottom"/>
          </w:tcPr>
          <w:p w14:paraId="206D9E32"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Gassan</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285AA9C6" w14:textId="77777777" w:rsidR="00284822" w:rsidRDefault="00F77BF8">
            <w:pPr>
              <w:spacing w:before="120" w:after="120"/>
              <w:rPr>
                <w:rFonts w:ascii="Rockwell" w:hAnsi="Rockwell"/>
                <w:color w:val="000000"/>
                <w:szCs w:val="26"/>
              </w:rPr>
            </w:pPr>
            <w:proofErr w:type="spellStart"/>
            <w:r>
              <w:rPr>
                <w:rFonts w:ascii="Rockwell" w:hAnsi="Rockwell"/>
                <w:color w:val="000000"/>
                <w:szCs w:val="26"/>
              </w:rPr>
              <w:t>Gassan</w:t>
            </w:r>
            <w:proofErr w:type="spellEnd"/>
            <w:r>
              <w:rPr>
                <w:rFonts w:ascii="Rockwell" w:hAnsi="Rockwell"/>
                <w:color w:val="000000"/>
                <w:szCs w:val="26"/>
              </w:rPr>
              <w:t>/Sourou</w:t>
            </w:r>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tcPr>
          <w:p w14:paraId="392FE0F4" w14:textId="77777777" w:rsidR="00284822" w:rsidRDefault="00F77BF8">
            <w:pPr>
              <w:spacing w:before="120" w:after="120"/>
              <w:jc w:val="center"/>
              <w:rPr>
                <w:rFonts w:ascii="Rockwell" w:hAnsi="Rockwell"/>
                <w:color w:val="000000"/>
                <w:szCs w:val="26"/>
              </w:rPr>
            </w:pPr>
            <w:r>
              <w:rPr>
                <w:rFonts w:ascii="Rockwell" w:hAnsi="Rockwell"/>
                <w:color w:val="000000"/>
                <w:szCs w:val="26"/>
              </w:rPr>
              <w:t>94.6 MHz</w:t>
            </w:r>
          </w:p>
        </w:tc>
      </w:tr>
      <w:tr w:rsidR="00284822" w14:paraId="2F9A1166"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0BA22E0" w14:textId="77777777" w:rsidR="00284822" w:rsidRDefault="00F77BF8">
            <w:pPr>
              <w:spacing w:before="120" w:after="120"/>
              <w:rPr>
                <w:rFonts w:ascii="Rockwell" w:hAnsi="Rockwell"/>
                <w:color w:val="000000"/>
                <w:szCs w:val="26"/>
              </w:rPr>
            </w:pPr>
            <w:r>
              <w:rPr>
                <w:rFonts w:ascii="Rockwell" w:hAnsi="Rockwell"/>
                <w:color w:val="000000"/>
                <w:szCs w:val="26"/>
              </w:rPr>
              <w:t>12</w:t>
            </w:r>
          </w:p>
        </w:tc>
        <w:tc>
          <w:tcPr>
            <w:tcW w:w="5958" w:type="dxa"/>
            <w:tcBorders>
              <w:top w:val="single" w:sz="4" w:space="0" w:color="auto"/>
              <w:left w:val="nil"/>
              <w:bottom w:val="single" w:sz="4" w:space="0" w:color="auto"/>
              <w:right w:val="single" w:sz="4" w:space="0" w:color="auto"/>
            </w:tcBorders>
            <w:shd w:val="clear" w:color="auto" w:fill="FFFFFF" w:themeFill="background1"/>
            <w:noWrap/>
            <w:vAlign w:val="bottom"/>
          </w:tcPr>
          <w:p w14:paraId="6FD8AF08"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Buama</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66BFC6EE" w14:textId="77777777" w:rsidR="00284822" w:rsidRDefault="00F77BF8">
            <w:pPr>
              <w:spacing w:before="120" w:after="120"/>
              <w:rPr>
                <w:rFonts w:ascii="Rockwell" w:hAnsi="Rockwell"/>
                <w:color w:val="000000"/>
                <w:szCs w:val="26"/>
              </w:rPr>
            </w:pPr>
            <w:r>
              <w:rPr>
                <w:rFonts w:ascii="Rockwell" w:hAnsi="Rockwell"/>
                <w:color w:val="000000"/>
                <w:szCs w:val="26"/>
              </w:rPr>
              <w:t>Gayéri/</w:t>
            </w:r>
            <w:proofErr w:type="spellStart"/>
            <w:r>
              <w:rPr>
                <w:rFonts w:ascii="Rockwell" w:hAnsi="Rockwell"/>
                <w:color w:val="000000"/>
                <w:szCs w:val="26"/>
              </w:rPr>
              <w:t>Komandjari</w:t>
            </w:r>
            <w:proofErr w:type="spellEnd"/>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tcPr>
          <w:p w14:paraId="663F9092" w14:textId="77777777" w:rsidR="00284822" w:rsidRDefault="00F77BF8">
            <w:pPr>
              <w:spacing w:before="120" w:after="120"/>
              <w:jc w:val="center"/>
              <w:rPr>
                <w:rFonts w:ascii="Rockwell" w:hAnsi="Rockwell"/>
                <w:color w:val="000000"/>
                <w:szCs w:val="26"/>
              </w:rPr>
            </w:pPr>
            <w:r>
              <w:rPr>
                <w:rFonts w:ascii="Rockwell" w:hAnsi="Rockwell"/>
                <w:color w:val="000000"/>
                <w:szCs w:val="26"/>
              </w:rPr>
              <w:t>91.8 MHz</w:t>
            </w:r>
          </w:p>
        </w:tc>
      </w:tr>
      <w:tr w:rsidR="00284822" w14:paraId="2FA6E00A"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49A4029" w14:textId="77777777" w:rsidR="00284822" w:rsidRDefault="00F77BF8">
            <w:pPr>
              <w:spacing w:before="120" w:after="120"/>
              <w:rPr>
                <w:rFonts w:ascii="Rockwell" w:hAnsi="Rockwell"/>
                <w:color w:val="000000"/>
                <w:szCs w:val="26"/>
              </w:rPr>
            </w:pPr>
            <w:r>
              <w:rPr>
                <w:rFonts w:ascii="Rockwell" w:hAnsi="Rockwell"/>
                <w:color w:val="000000"/>
                <w:szCs w:val="26"/>
              </w:rPr>
              <w:t>13</w:t>
            </w:r>
          </w:p>
        </w:tc>
        <w:tc>
          <w:tcPr>
            <w:tcW w:w="5958" w:type="dxa"/>
            <w:tcBorders>
              <w:top w:val="single" w:sz="4" w:space="0" w:color="auto"/>
              <w:left w:val="nil"/>
              <w:bottom w:val="single" w:sz="4" w:space="0" w:color="auto"/>
              <w:right w:val="single" w:sz="4" w:space="0" w:color="auto"/>
            </w:tcBorders>
            <w:shd w:val="clear" w:color="auto" w:fill="FFFFFF" w:themeFill="background1"/>
            <w:noWrap/>
            <w:vAlign w:val="bottom"/>
          </w:tcPr>
          <w:p w14:paraId="6C9C3105"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Venèg</w:t>
            </w:r>
            <w:proofErr w:type="spellEnd"/>
            <w:r>
              <w:rPr>
                <w:rFonts w:ascii="Rockwell" w:hAnsi="Rockwell"/>
                <w:color w:val="000000"/>
                <w:szCs w:val="26"/>
              </w:rPr>
              <w:t xml:space="preserve"> </w:t>
            </w:r>
            <w:proofErr w:type="spellStart"/>
            <w:r>
              <w:rPr>
                <w:rFonts w:ascii="Rockwell" w:hAnsi="Rockwell"/>
                <w:color w:val="000000"/>
                <w:szCs w:val="26"/>
              </w:rPr>
              <w:t>buûdou</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3F117BA3" w14:textId="77777777" w:rsidR="00284822" w:rsidRDefault="00F77BF8">
            <w:pPr>
              <w:spacing w:before="120" w:after="120"/>
              <w:rPr>
                <w:rFonts w:ascii="Rockwell" w:hAnsi="Rockwell"/>
                <w:color w:val="000000"/>
                <w:szCs w:val="26"/>
              </w:rPr>
            </w:pPr>
            <w:r>
              <w:rPr>
                <w:rFonts w:ascii="Rockwell" w:hAnsi="Rockwell"/>
                <w:color w:val="000000"/>
                <w:szCs w:val="26"/>
              </w:rPr>
              <w:t>Kombissiri/Bazèga</w:t>
            </w:r>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tcPr>
          <w:p w14:paraId="1CC0E892" w14:textId="77777777" w:rsidR="00284822" w:rsidRDefault="00F77BF8">
            <w:pPr>
              <w:spacing w:before="120" w:after="120"/>
              <w:jc w:val="center"/>
              <w:rPr>
                <w:rFonts w:ascii="Rockwell" w:hAnsi="Rockwell"/>
                <w:color w:val="000000"/>
                <w:szCs w:val="26"/>
              </w:rPr>
            </w:pPr>
            <w:r>
              <w:rPr>
                <w:rFonts w:ascii="Rockwell" w:hAnsi="Rockwell"/>
                <w:color w:val="000000"/>
                <w:szCs w:val="26"/>
              </w:rPr>
              <w:t>90.8 MHz</w:t>
            </w:r>
          </w:p>
        </w:tc>
      </w:tr>
      <w:tr w:rsidR="00284822" w14:paraId="354553D0"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FED9F8C" w14:textId="77777777" w:rsidR="00284822" w:rsidRDefault="00F77BF8">
            <w:pPr>
              <w:spacing w:before="120" w:after="120"/>
              <w:rPr>
                <w:rFonts w:ascii="Rockwell" w:hAnsi="Rockwell"/>
                <w:color w:val="000000"/>
                <w:szCs w:val="26"/>
                <w:highlight w:val="yellow"/>
              </w:rPr>
            </w:pPr>
            <w:r>
              <w:rPr>
                <w:rFonts w:ascii="Rockwell" w:hAnsi="Rockwell"/>
                <w:color w:val="000000"/>
                <w:szCs w:val="26"/>
              </w:rPr>
              <w:t>14</w:t>
            </w:r>
          </w:p>
        </w:tc>
        <w:tc>
          <w:tcPr>
            <w:tcW w:w="5958" w:type="dxa"/>
            <w:tcBorders>
              <w:top w:val="single" w:sz="4" w:space="0" w:color="auto"/>
              <w:left w:val="nil"/>
              <w:bottom w:val="single" w:sz="4" w:space="0" w:color="auto"/>
              <w:right w:val="single" w:sz="4" w:space="0" w:color="auto"/>
            </w:tcBorders>
            <w:shd w:val="clear" w:color="auto" w:fill="FFFFFF" w:themeFill="background1"/>
            <w:noWrap/>
            <w:vAlign w:val="bottom"/>
          </w:tcPr>
          <w:p w14:paraId="4A0E9560" w14:textId="77777777" w:rsidR="00284822" w:rsidRDefault="00F77BF8">
            <w:pPr>
              <w:spacing w:before="120" w:after="120"/>
              <w:rPr>
                <w:rFonts w:ascii="Rockwell" w:hAnsi="Rockwell"/>
                <w:color w:val="000000"/>
                <w:szCs w:val="26"/>
                <w:highlight w:val="yellow"/>
              </w:rPr>
            </w:pPr>
            <w:r>
              <w:rPr>
                <w:rFonts w:ascii="Rockwell" w:hAnsi="Rockwell"/>
                <w:color w:val="000000"/>
                <w:szCs w:val="26"/>
              </w:rPr>
              <w:t>Radio La Voix des Lacs</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2C8563B6" w14:textId="77777777" w:rsidR="00284822" w:rsidRDefault="00F77BF8">
            <w:pPr>
              <w:spacing w:before="120" w:after="120"/>
              <w:rPr>
                <w:rFonts w:ascii="Rockwell" w:hAnsi="Rockwell"/>
                <w:color w:val="000000"/>
                <w:szCs w:val="26"/>
                <w:highlight w:val="yellow"/>
              </w:rPr>
            </w:pPr>
            <w:r>
              <w:rPr>
                <w:rFonts w:ascii="Rockwell" w:hAnsi="Rockwell"/>
                <w:color w:val="000000"/>
                <w:szCs w:val="26"/>
              </w:rPr>
              <w:t>Kongoussi/Bam</w:t>
            </w:r>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tcPr>
          <w:p w14:paraId="144EFCCF" w14:textId="77777777" w:rsidR="00284822" w:rsidRDefault="00F77BF8">
            <w:pPr>
              <w:spacing w:before="120" w:after="120"/>
              <w:jc w:val="center"/>
              <w:rPr>
                <w:rFonts w:ascii="Rockwell" w:hAnsi="Rockwell"/>
                <w:color w:val="000000"/>
                <w:szCs w:val="26"/>
                <w:highlight w:val="yellow"/>
              </w:rPr>
            </w:pPr>
            <w:r>
              <w:rPr>
                <w:rFonts w:ascii="Rockwell" w:hAnsi="Rockwell"/>
                <w:color w:val="000000"/>
                <w:szCs w:val="26"/>
              </w:rPr>
              <w:t>93.2 MHz</w:t>
            </w:r>
          </w:p>
        </w:tc>
      </w:tr>
      <w:tr w:rsidR="00284822" w14:paraId="48382002"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FAD1865" w14:textId="77777777" w:rsidR="00284822" w:rsidRDefault="00F77BF8">
            <w:pPr>
              <w:spacing w:before="120" w:after="120"/>
              <w:rPr>
                <w:rFonts w:ascii="Rockwell" w:hAnsi="Rockwell"/>
                <w:color w:val="000000"/>
                <w:szCs w:val="26"/>
              </w:rPr>
            </w:pPr>
            <w:r>
              <w:rPr>
                <w:rFonts w:ascii="Rockwell" w:hAnsi="Rockwell"/>
                <w:color w:val="000000"/>
                <w:szCs w:val="26"/>
              </w:rPr>
              <w:t>15</w:t>
            </w:r>
          </w:p>
        </w:tc>
        <w:tc>
          <w:tcPr>
            <w:tcW w:w="5958" w:type="dxa"/>
            <w:tcBorders>
              <w:top w:val="single" w:sz="4" w:space="0" w:color="auto"/>
              <w:left w:val="nil"/>
              <w:bottom w:val="single" w:sz="4" w:space="0" w:color="auto"/>
              <w:right w:val="single" w:sz="4" w:space="0" w:color="auto"/>
            </w:tcBorders>
            <w:shd w:val="clear" w:color="auto" w:fill="FFFFFF" w:themeFill="background1"/>
            <w:noWrap/>
            <w:vAlign w:val="bottom"/>
          </w:tcPr>
          <w:p w14:paraId="6E8DBF9E"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Kosen</w:t>
            </w:r>
            <w:proofErr w:type="spellEnd"/>
            <w:r>
              <w:rPr>
                <w:rFonts w:ascii="Rockwell" w:hAnsi="Rockwell"/>
                <w:color w:val="000000"/>
                <w:szCs w:val="26"/>
              </w:rPr>
              <w:t xml:space="preserve"> </w:t>
            </w:r>
            <w:proofErr w:type="spellStart"/>
            <w:r>
              <w:rPr>
                <w:rFonts w:ascii="Rockwell" w:hAnsi="Rockwell"/>
                <w:color w:val="000000"/>
                <w:szCs w:val="26"/>
              </w:rPr>
              <w:t>Kibaru</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4EFD03F0" w14:textId="77777777" w:rsidR="00284822" w:rsidRDefault="00F77BF8">
            <w:pPr>
              <w:spacing w:before="120" w:after="120"/>
              <w:rPr>
                <w:rFonts w:ascii="Rockwell" w:hAnsi="Rockwell"/>
                <w:color w:val="000000"/>
                <w:szCs w:val="26"/>
              </w:rPr>
            </w:pPr>
            <w:r>
              <w:rPr>
                <w:rFonts w:ascii="Rockwell" w:hAnsi="Rockwell"/>
                <w:color w:val="000000"/>
                <w:szCs w:val="26"/>
              </w:rPr>
              <w:t>Nouna/Kossi</w:t>
            </w:r>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tcPr>
          <w:p w14:paraId="5B8CEB9F" w14:textId="77777777" w:rsidR="00284822" w:rsidRDefault="00F77BF8">
            <w:pPr>
              <w:spacing w:before="120" w:after="120"/>
              <w:jc w:val="center"/>
              <w:rPr>
                <w:rFonts w:ascii="Rockwell" w:hAnsi="Rockwell"/>
                <w:color w:val="000000"/>
                <w:szCs w:val="26"/>
              </w:rPr>
            </w:pPr>
            <w:r>
              <w:rPr>
                <w:rFonts w:ascii="Rockwell" w:hAnsi="Rockwell"/>
                <w:color w:val="000000"/>
                <w:szCs w:val="26"/>
              </w:rPr>
              <w:t>91.9 MHz</w:t>
            </w:r>
          </w:p>
        </w:tc>
      </w:tr>
      <w:tr w:rsidR="00284822" w14:paraId="4CA2687E"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C30C020" w14:textId="77777777" w:rsidR="00284822" w:rsidRDefault="00F77BF8">
            <w:pPr>
              <w:spacing w:before="120" w:after="120"/>
              <w:rPr>
                <w:rFonts w:ascii="Rockwell" w:hAnsi="Rockwell"/>
                <w:color w:val="000000"/>
                <w:szCs w:val="26"/>
              </w:rPr>
            </w:pPr>
            <w:r>
              <w:rPr>
                <w:rFonts w:ascii="Rockwell" w:hAnsi="Rockwell"/>
                <w:color w:val="000000"/>
                <w:szCs w:val="26"/>
              </w:rPr>
              <w:t>16</w:t>
            </w:r>
          </w:p>
        </w:tc>
        <w:tc>
          <w:tcPr>
            <w:tcW w:w="5958" w:type="dxa"/>
            <w:tcBorders>
              <w:top w:val="single" w:sz="4" w:space="0" w:color="auto"/>
              <w:left w:val="nil"/>
              <w:bottom w:val="single" w:sz="4" w:space="0" w:color="auto"/>
              <w:right w:val="single" w:sz="4" w:space="0" w:color="auto"/>
            </w:tcBorders>
            <w:shd w:val="clear" w:color="auto" w:fill="FFFFFF" w:themeFill="background1"/>
            <w:noWrap/>
            <w:vAlign w:val="bottom"/>
          </w:tcPr>
          <w:p w14:paraId="65474578" w14:textId="77777777" w:rsidR="00284822" w:rsidRDefault="00F77BF8">
            <w:pPr>
              <w:spacing w:before="120" w:after="120"/>
              <w:rPr>
                <w:rFonts w:ascii="Rockwell" w:hAnsi="Rockwell"/>
                <w:color w:val="000000"/>
                <w:szCs w:val="26"/>
              </w:rPr>
            </w:pPr>
            <w:r>
              <w:rPr>
                <w:rFonts w:ascii="Rockwell" w:hAnsi="Rockwell"/>
                <w:color w:val="000000"/>
                <w:szCs w:val="26"/>
              </w:rPr>
              <w:t>Radio La Voix du Verger</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7A40EF1F" w14:textId="77777777" w:rsidR="00284822" w:rsidRDefault="00F77BF8">
            <w:pPr>
              <w:spacing w:before="120" w:after="120"/>
              <w:rPr>
                <w:rFonts w:ascii="Rockwell" w:hAnsi="Rockwell"/>
                <w:color w:val="000000"/>
                <w:szCs w:val="26"/>
              </w:rPr>
            </w:pPr>
            <w:r>
              <w:rPr>
                <w:rFonts w:ascii="Rockwell" w:hAnsi="Rockwell"/>
                <w:color w:val="000000"/>
                <w:szCs w:val="26"/>
              </w:rPr>
              <w:t>Orodara/Kénédougou</w:t>
            </w:r>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tcPr>
          <w:p w14:paraId="282272FF" w14:textId="77777777" w:rsidR="00284822" w:rsidRDefault="00F77BF8">
            <w:pPr>
              <w:spacing w:before="120" w:after="120"/>
              <w:jc w:val="center"/>
              <w:rPr>
                <w:rFonts w:ascii="Rockwell" w:hAnsi="Rockwell"/>
                <w:color w:val="000000"/>
                <w:szCs w:val="26"/>
              </w:rPr>
            </w:pPr>
            <w:r>
              <w:rPr>
                <w:rFonts w:ascii="Rockwell" w:hAnsi="Rockwell"/>
                <w:color w:val="000000"/>
                <w:szCs w:val="26"/>
              </w:rPr>
              <w:t>91.2 MHz</w:t>
            </w:r>
          </w:p>
        </w:tc>
      </w:tr>
      <w:tr w:rsidR="00284822" w14:paraId="7AC63667"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D8F8B09" w14:textId="77777777" w:rsidR="00284822" w:rsidRDefault="00F77BF8">
            <w:pPr>
              <w:spacing w:before="120" w:after="120"/>
              <w:rPr>
                <w:rFonts w:ascii="Rockwell" w:hAnsi="Rockwell"/>
                <w:color w:val="000000"/>
                <w:szCs w:val="26"/>
              </w:rPr>
            </w:pPr>
            <w:r>
              <w:rPr>
                <w:rFonts w:ascii="Rockwell" w:hAnsi="Rockwell"/>
                <w:color w:val="000000"/>
                <w:szCs w:val="26"/>
              </w:rPr>
              <w:t>17</w:t>
            </w:r>
          </w:p>
        </w:tc>
        <w:tc>
          <w:tcPr>
            <w:tcW w:w="5958" w:type="dxa"/>
            <w:tcBorders>
              <w:top w:val="single" w:sz="4" w:space="0" w:color="auto"/>
              <w:left w:val="nil"/>
              <w:bottom w:val="single" w:sz="4" w:space="0" w:color="auto"/>
              <w:right w:val="single" w:sz="4" w:space="0" w:color="auto"/>
            </w:tcBorders>
            <w:shd w:val="clear" w:color="auto" w:fill="FFFFFF" w:themeFill="background1"/>
            <w:noWrap/>
            <w:vAlign w:val="bottom"/>
          </w:tcPr>
          <w:p w14:paraId="56D582E7"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Sougr-nooma</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580BBF51" w14:textId="77777777" w:rsidR="00284822" w:rsidRDefault="00F77BF8">
            <w:pPr>
              <w:spacing w:before="120" w:after="120"/>
              <w:rPr>
                <w:rFonts w:ascii="Rockwell" w:hAnsi="Rockwell"/>
                <w:color w:val="000000"/>
                <w:szCs w:val="26"/>
              </w:rPr>
            </w:pPr>
            <w:r>
              <w:rPr>
                <w:rFonts w:ascii="Rockwell" w:hAnsi="Rockwell"/>
                <w:color w:val="000000"/>
                <w:szCs w:val="26"/>
              </w:rPr>
              <w:t>Ouargaye/</w:t>
            </w:r>
            <w:proofErr w:type="spellStart"/>
            <w:r>
              <w:rPr>
                <w:rFonts w:ascii="Rockwell" w:hAnsi="Rockwell"/>
                <w:color w:val="000000"/>
                <w:szCs w:val="26"/>
              </w:rPr>
              <w:t>Koulpelogo</w:t>
            </w:r>
            <w:proofErr w:type="spellEnd"/>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tcPr>
          <w:p w14:paraId="55B779BD" w14:textId="77777777" w:rsidR="00284822" w:rsidRDefault="00F77BF8">
            <w:pPr>
              <w:spacing w:before="120" w:after="120"/>
              <w:jc w:val="center"/>
              <w:rPr>
                <w:rFonts w:ascii="Rockwell" w:hAnsi="Rockwell"/>
                <w:color w:val="000000"/>
                <w:szCs w:val="26"/>
              </w:rPr>
            </w:pPr>
            <w:r>
              <w:rPr>
                <w:rFonts w:ascii="Rockwell" w:hAnsi="Rockwell"/>
                <w:color w:val="000000"/>
                <w:szCs w:val="26"/>
              </w:rPr>
              <w:t>92.8 MHz</w:t>
            </w:r>
          </w:p>
        </w:tc>
      </w:tr>
      <w:tr w:rsidR="00284822" w14:paraId="3722339B"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121F918" w14:textId="77777777" w:rsidR="00284822" w:rsidRDefault="00F77BF8">
            <w:pPr>
              <w:spacing w:before="120" w:after="120"/>
              <w:rPr>
                <w:rFonts w:ascii="Rockwell" w:hAnsi="Rockwell"/>
                <w:color w:val="000000"/>
                <w:szCs w:val="26"/>
              </w:rPr>
            </w:pPr>
            <w:r>
              <w:rPr>
                <w:rFonts w:ascii="Rockwell" w:hAnsi="Rockwell"/>
                <w:color w:val="000000"/>
                <w:szCs w:val="26"/>
              </w:rPr>
              <w:t>18</w:t>
            </w:r>
          </w:p>
        </w:tc>
        <w:tc>
          <w:tcPr>
            <w:tcW w:w="5958" w:type="dxa"/>
            <w:tcBorders>
              <w:top w:val="single" w:sz="4" w:space="0" w:color="auto"/>
              <w:left w:val="nil"/>
              <w:bottom w:val="single" w:sz="4" w:space="0" w:color="auto"/>
              <w:right w:val="single" w:sz="4" w:space="0" w:color="auto"/>
            </w:tcBorders>
            <w:shd w:val="clear" w:color="auto" w:fill="FFFFFF" w:themeFill="background1"/>
            <w:noWrap/>
            <w:vAlign w:val="bottom"/>
          </w:tcPr>
          <w:p w14:paraId="2F5DC1F2"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Poura</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3AE62B8B" w14:textId="77777777" w:rsidR="00284822" w:rsidRDefault="00F77BF8">
            <w:pPr>
              <w:spacing w:before="120" w:after="120"/>
              <w:rPr>
                <w:rFonts w:ascii="Rockwell" w:hAnsi="Rockwell"/>
                <w:color w:val="000000"/>
                <w:szCs w:val="26"/>
              </w:rPr>
            </w:pPr>
            <w:proofErr w:type="spellStart"/>
            <w:r>
              <w:rPr>
                <w:rFonts w:ascii="Rockwell" w:hAnsi="Rockwell"/>
                <w:color w:val="000000"/>
                <w:szCs w:val="26"/>
              </w:rPr>
              <w:t>Poura</w:t>
            </w:r>
            <w:proofErr w:type="spellEnd"/>
            <w:r>
              <w:rPr>
                <w:rFonts w:ascii="Rockwell" w:hAnsi="Rockwell"/>
                <w:color w:val="000000"/>
                <w:szCs w:val="26"/>
              </w:rPr>
              <w:t>/</w:t>
            </w:r>
            <w:proofErr w:type="spellStart"/>
            <w:r>
              <w:rPr>
                <w:rFonts w:ascii="Rockwell" w:hAnsi="Rockwell"/>
                <w:color w:val="000000"/>
                <w:szCs w:val="26"/>
              </w:rPr>
              <w:t>Balé</w:t>
            </w:r>
            <w:proofErr w:type="spellEnd"/>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tcPr>
          <w:p w14:paraId="2B214A0A" w14:textId="77777777" w:rsidR="00284822" w:rsidRDefault="00F77BF8">
            <w:pPr>
              <w:spacing w:before="120" w:after="120"/>
              <w:jc w:val="center"/>
              <w:rPr>
                <w:rFonts w:ascii="Rockwell" w:hAnsi="Rockwell"/>
                <w:color w:val="000000"/>
                <w:szCs w:val="26"/>
              </w:rPr>
            </w:pPr>
            <w:r>
              <w:rPr>
                <w:rFonts w:ascii="Rockwell" w:hAnsi="Rockwell"/>
                <w:color w:val="000000"/>
                <w:szCs w:val="26"/>
              </w:rPr>
              <w:t>98.00 MHz</w:t>
            </w:r>
          </w:p>
        </w:tc>
      </w:tr>
      <w:tr w:rsidR="00284822" w14:paraId="7F066EFF"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6229036" w14:textId="77777777" w:rsidR="00284822" w:rsidRDefault="00F77BF8">
            <w:pPr>
              <w:spacing w:before="120" w:after="120"/>
              <w:rPr>
                <w:rFonts w:ascii="Rockwell" w:hAnsi="Rockwell"/>
                <w:color w:val="000000"/>
                <w:szCs w:val="26"/>
              </w:rPr>
            </w:pPr>
            <w:r>
              <w:rPr>
                <w:rFonts w:ascii="Rockwell" w:hAnsi="Rockwell"/>
                <w:color w:val="000000"/>
                <w:szCs w:val="26"/>
              </w:rPr>
              <w:t>19</w:t>
            </w:r>
          </w:p>
        </w:tc>
        <w:tc>
          <w:tcPr>
            <w:tcW w:w="5958" w:type="dxa"/>
            <w:tcBorders>
              <w:top w:val="single" w:sz="4" w:space="0" w:color="auto"/>
              <w:left w:val="nil"/>
              <w:bottom w:val="single" w:sz="4" w:space="0" w:color="auto"/>
              <w:right w:val="single" w:sz="4" w:space="0" w:color="auto"/>
            </w:tcBorders>
            <w:shd w:val="clear" w:color="auto" w:fill="FFFFFF" w:themeFill="background1"/>
            <w:noWrap/>
            <w:vAlign w:val="bottom"/>
          </w:tcPr>
          <w:p w14:paraId="6703255B"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Bassimyam</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7EBD07AB" w14:textId="77777777" w:rsidR="00284822" w:rsidRDefault="00F77BF8">
            <w:pPr>
              <w:spacing w:before="120" w:after="120"/>
              <w:rPr>
                <w:rFonts w:ascii="Rockwell" w:hAnsi="Rockwell"/>
                <w:color w:val="000000"/>
                <w:szCs w:val="26"/>
              </w:rPr>
            </w:pPr>
            <w:r>
              <w:rPr>
                <w:rFonts w:ascii="Rockwell" w:hAnsi="Rockwell"/>
                <w:color w:val="000000"/>
                <w:szCs w:val="26"/>
              </w:rPr>
              <w:t xml:space="preserve">Tanghin </w:t>
            </w:r>
            <w:proofErr w:type="spellStart"/>
            <w:r>
              <w:rPr>
                <w:rFonts w:ascii="Rockwell" w:hAnsi="Rockwell"/>
                <w:color w:val="000000"/>
                <w:szCs w:val="26"/>
              </w:rPr>
              <w:t>Dassouri</w:t>
            </w:r>
            <w:proofErr w:type="spellEnd"/>
            <w:r>
              <w:rPr>
                <w:rFonts w:ascii="Rockwell" w:hAnsi="Rockwell"/>
                <w:color w:val="000000"/>
                <w:szCs w:val="26"/>
              </w:rPr>
              <w:t>/Kadiogo</w:t>
            </w:r>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tcPr>
          <w:p w14:paraId="34DC35BD" w14:textId="77777777" w:rsidR="00284822" w:rsidRDefault="00F77BF8">
            <w:pPr>
              <w:spacing w:before="120" w:after="120"/>
              <w:jc w:val="center"/>
              <w:rPr>
                <w:rFonts w:ascii="Rockwell" w:hAnsi="Rockwell"/>
                <w:color w:val="000000"/>
                <w:szCs w:val="26"/>
              </w:rPr>
            </w:pPr>
            <w:r>
              <w:rPr>
                <w:rFonts w:ascii="Rockwell" w:hAnsi="Rockwell"/>
                <w:color w:val="000000"/>
                <w:szCs w:val="26"/>
              </w:rPr>
              <w:t>101.5 MHZ</w:t>
            </w:r>
          </w:p>
        </w:tc>
      </w:tr>
      <w:tr w:rsidR="00284822" w14:paraId="4A4F2F0A"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4DD1696" w14:textId="77777777" w:rsidR="00284822" w:rsidRDefault="00F77BF8">
            <w:pPr>
              <w:spacing w:before="120" w:after="120"/>
              <w:rPr>
                <w:rFonts w:ascii="Rockwell" w:hAnsi="Rockwell"/>
                <w:color w:val="000000"/>
                <w:szCs w:val="26"/>
              </w:rPr>
            </w:pPr>
            <w:r>
              <w:rPr>
                <w:rFonts w:ascii="Rockwell" w:hAnsi="Rockwell"/>
                <w:color w:val="000000"/>
                <w:szCs w:val="26"/>
              </w:rPr>
              <w:t>20</w:t>
            </w:r>
          </w:p>
        </w:tc>
        <w:tc>
          <w:tcPr>
            <w:tcW w:w="5958" w:type="dxa"/>
            <w:tcBorders>
              <w:top w:val="single" w:sz="4" w:space="0" w:color="auto"/>
              <w:left w:val="nil"/>
              <w:bottom w:val="single" w:sz="4" w:space="0" w:color="auto"/>
              <w:right w:val="single" w:sz="4" w:space="0" w:color="auto"/>
            </w:tcBorders>
            <w:shd w:val="clear" w:color="auto" w:fill="FFFFFF" w:themeFill="background1"/>
            <w:noWrap/>
            <w:vAlign w:val="bottom"/>
          </w:tcPr>
          <w:p w14:paraId="20B84C57" w14:textId="77777777" w:rsidR="00284822" w:rsidRDefault="00F77BF8">
            <w:pPr>
              <w:spacing w:before="120" w:after="120"/>
              <w:rPr>
                <w:rFonts w:ascii="Rockwell" w:hAnsi="Rockwell"/>
                <w:color w:val="000000"/>
                <w:szCs w:val="26"/>
              </w:rPr>
            </w:pPr>
            <w:r>
              <w:rPr>
                <w:rFonts w:ascii="Rockwell" w:hAnsi="Rockwell"/>
                <w:color w:val="000000"/>
                <w:szCs w:val="26"/>
              </w:rPr>
              <w:t>Radio communale de Diabo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595562E5" w14:textId="77777777" w:rsidR="00284822" w:rsidRDefault="00F77BF8">
            <w:pPr>
              <w:spacing w:before="120" w:after="120"/>
              <w:rPr>
                <w:rFonts w:ascii="Rockwell" w:hAnsi="Rockwell"/>
                <w:color w:val="000000"/>
                <w:szCs w:val="26"/>
              </w:rPr>
            </w:pPr>
            <w:r>
              <w:rPr>
                <w:rFonts w:ascii="Rockwell" w:hAnsi="Rockwell"/>
                <w:color w:val="000000"/>
                <w:szCs w:val="26"/>
              </w:rPr>
              <w:t>Diabo</w:t>
            </w:r>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tcPr>
          <w:p w14:paraId="3BBFDB5C" w14:textId="77777777" w:rsidR="00284822" w:rsidRDefault="00F77BF8">
            <w:pPr>
              <w:spacing w:before="120" w:after="120"/>
              <w:jc w:val="center"/>
              <w:rPr>
                <w:rFonts w:ascii="Rockwell" w:hAnsi="Rockwell"/>
                <w:color w:val="000000"/>
                <w:szCs w:val="26"/>
              </w:rPr>
            </w:pPr>
            <w:r>
              <w:rPr>
                <w:rFonts w:ascii="Rockwell" w:hAnsi="Rockwell"/>
                <w:szCs w:val="26"/>
              </w:rPr>
              <w:t>91.1 MHZ</w:t>
            </w:r>
          </w:p>
        </w:tc>
      </w:tr>
      <w:tr w:rsidR="00284822" w14:paraId="54F653ED"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ACC6B92" w14:textId="77777777" w:rsidR="00284822" w:rsidRDefault="00F77BF8">
            <w:pPr>
              <w:spacing w:before="120" w:after="120"/>
              <w:rPr>
                <w:rFonts w:ascii="Rockwell" w:hAnsi="Rockwell"/>
                <w:color w:val="000000"/>
                <w:szCs w:val="26"/>
              </w:rPr>
            </w:pPr>
            <w:r>
              <w:rPr>
                <w:rFonts w:ascii="Rockwell" w:hAnsi="Rockwell"/>
                <w:color w:val="000000"/>
                <w:szCs w:val="26"/>
              </w:rPr>
              <w:t>21</w:t>
            </w:r>
          </w:p>
        </w:tc>
        <w:tc>
          <w:tcPr>
            <w:tcW w:w="5958" w:type="dxa"/>
            <w:tcBorders>
              <w:top w:val="single" w:sz="4" w:space="0" w:color="auto"/>
              <w:left w:val="nil"/>
              <w:bottom w:val="single" w:sz="4" w:space="0" w:color="auto"/>
              <w:right w:val="single" w:sz="4" w:space="0" w:color="auto"/>
            </w:tcBorders>
            <w:shd w:val="clear" w:color="auto" w:fill="FFFFFF" w:themeFill="background1"/>
            <w:noWrap/>
            <w:vAlign w:val="bottom"/>
          </w:tcPr>
          <w:p w14:paraId="6F47B12E" w14:textId="77777777" w:rsidR="00284822" w:rsidRDefault="00F77BF8">
            <w:pPr>
              <w:spacing w:before="120" w:after="120"/>
              <w:rPr>
                <w:rFonts w:ascii="Rockwell" w:hAnsi="Rockwell"/>
                <w:color w:val="000000"/>
                <w:szCs w:val="26"/>
              </w:rPr>
            </w:pPr>
            <w:r>
              <w:rPr>
                <w:rFonts w:ascii="Rockwell" w:hAnsi="Rockwell"/>
                <w:color w:val="000000"/>
                <w:szCs w:val="26"/>
              </w:rPr>
              <w:t>Radio communale de Dori</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2C651631" w14:textId="77777777" w:rsidR="00284822" w:rsidRDefault="00F77BF8">
            <w:pPr>
              <w:spacing w:before="120" w:after="120"/>
              <w:rPr>
                <w:rFonts w:ascii="Rockwell" w:hAnsi="Rockwell"/>
                <w:color w:val="000000"/>
                <w:szCs w:val="26"/>
              </w:rPr>
            </w:pPr>
            <w:r>
              <w:rPr>
                <w:rFonts w:ascii="Rockwell" w:hAnsi="Rockwell"/>
                <w:color w:val="000000"/>
                <w:szCs w:val="26"/>
              </w:rPr>
              <w:t>Dori</w:t>
            </w:r>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tcPr>
          <w:p w14:paraId="3D111F9B" w14:textId="77777777" w:rsidR="00284822" w:rsidRDefault="00F77BF8">
            <w:pPr>
              <w:spacing w:before="120" w:after="120"/>
              <w:jc w:val="center"/>
              <w:rPr>
                <w:rFonts w:ascii="Rockwell" w:hAnsi="Rockwell"/>
                <w:color w:val="000000"/>
                <w:szCs w:val="26"/>
              </w:rPr>
            </w:pPr>
            <w:r>
              <w:rPr>
                <w:rFonts w:ascii="Rockwell" w:hAnsi="Rockwell"/>
                <w:color w:val="000000"/>
                <w:szCs w:val="26"/>
              </w:rPr>
              <w:t>87.9 MHZ</w:t>
            </w:r>
          </w:p>
        </w:tc>
      </w:tr>
      <w:tr w:rsidR="00284822" w14:paraId="26114E36"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8FE840B" w14:textId="77777777" w:rsidR="00284822" w:rsidRDefault="00F77BF8">
            <w:pPr>
              <w:spacing w:before="120" w:after="120"/>
              <w:rPr>
                <w:rFonts w:ascii="Rockwell" w:hAnsi="Rockwell"/>
                <w:color w:val="000000"/>
                <w:szCs w:val="26"/>
              </w:rPr>
            </w:pPr>
            <w:r>
              <w:rPr>
                <w:rFonts w:ascii="Rockwell" w:hAnsi="Rockwell"/>
                <w:color w:val="000000"/>
                <w:szCs w:val="26"/>
              </w:rPr>
              <w:lastRenderedPageBreak/>
              <w:t>22</w:t>
            </w:r>
          </w:p>
        </w:tc>
        <w:tc>
          <w:tcPr>
            <w:tcW w:w="5958" w:type="dxa"/>
            <w:tcBorders>
              <w:top w:val="single" w:sz="4" w:space="0" w:color="auto"/>
              <w:left w:val="nil"/>
              <w:bottom w:val="single" w:sz="4" w:space="0" w:color="auto"/>
              <w:right w:val="single" w:sz="4" w:space="0" w:color="auto"/>
            </w:tcBorders>
            <w:shd w:val="clear" w:color="auto" w:fill="FFFFFF" w:themeFill="background1"/>
            <w:noWrap/>
            <w:vAlign w:val="bottom"/>
          </w:tcPr>
          <w:p w14:paraId="271C3E6A"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w:t>
            </w:r>
            <w:proofErr w:type="spellStart"/>
            <w:r>
              <w:rPr>
                <w:rFonts w:ascii="Rockwell" w:hAnsi="Rockwell"/>
                <w:color w:val="000000"/>
                <w:szCs w:val="26"/>
              </w:rPr>
              <w:t>Zamaana</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019326A1" w14:textId="77777777" w:rsidR="00284822" w:rsidRDefault="00F77BF8">
            <w:pPr>
              <w:spacing w:before="120" w:after="120"/>
              <w:rPr>
                <w:rFonts w:ascii="Rockwell" w:hAnsi="Rockwell"/>
                <w:color w:val="000000"/>
                <w:szCs w:val="26"/>
              </w:rPr>
            </w:pPr>
            <w:r>
              <w:rPr>
                <w:rFonts w:ascii="Rockwell" w:hAnsi="Rockwell"/>
                <w:color w:val="000000"/>
                <w:szCs w:val="26"/>
              </w:rPr>
              <w:t>Kokologho/Boulkiemdé</w:t>
            </w:r>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tcPr>
          <w:p w14:paraId="053D91DC" w14:textId="77777777" w:rsidR="00284822" w:rsidRDefault="00F77BF8">
            <w:pPr>
              <w:spacing w:before="120" w:after="120"/>
              <w:jc w:val="center"/>
              <w:rPr>
                <w:rFonts w:ascii="Rockwell" w:hAnsi="Rockwell"/>
                <w:color w:val="000000"/>
                <w:szCs w:val="26"/>
              </w:rPr>
            </w:pPr>
            <w:r>
              <w:rPr>
                <w:rFonts w:ascii="Rockwell" w:hAnsi="Rockwell"/>
                <w:color w:val="000000"/>
                <w:szCs w:val="26"/>
              </w:rPr>
              <w:t>101 MHZ</w:t>
            </w:r>
          </w:p>
        </w:tc>
      </w:tr>
      <w:tr w:rsidR="00284822" w14:paraId="6F782AF2"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0F22FD1" w14:textId="77777777" w:rsidR="00284822" w:rsidRDefault="00F77BF8">
            <w:pPr>
              <w:spacing w:before="120" w:after="120"/>
              <w:rPr>
                <w:rFonts w:ascii="Rockwell" w:hAnsi="Rockwell"/>
                <w:color w:val="000000"/>
                <w:szCs w:val="26"/>
              </w:rPr>
            </w:pPr>
            <w:r>
              <w:rPr>
                <w:rFonts w:ascii="Rockwell" w:hAnsi="Rockwell"/>
                <w:color w:val="000000"/>
                <w:szCs w:val="26"/>
              </w:rPr>
              <w:t>23</w:t>
            </w:r>
          </w:p>
        </w:tc>
        <w:tc>
          <w:tcPr>
            <w:tcW w:w="5958" w:type="dxa"/>
            <w:tcBorders>
              <w:top w:val="single" w:sz="4" w:space="0" w:color="auto"/>
              <w:left w:val="nil"/>
              <w:bottom w:val="single" w:sz="4" w:space="0" w:color="auto"/>
              <w:right w:val="single" w:sz="4" w:space="0" w:color="auto"/>
            </w:tcBorders>
            <w:shd w:val="clear" w:color="auto" w:fill="FFFFFF" w:themeFill="background1"/>
            <w:noWrap/>
            <w:vAlign w:val="bottom"/>
          </w:tcPr>
          <w:p w14:paraId="66210FF8"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communale de </w:t>
            </w:r>
            <w:proofErr w:type="spellStart"/>
            <w:r>
              <w:rPr>
                <w:rFonts w:ascii="Rockwell" w:hAnsi="Rockwell"/>
                <w:color w:val="000000"/>
                <w:szCs w:val="26"/>
              </w:rPr>
              <w:t>Sebba</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1D6E97A4" w14:textId="77777777" w:rsidR="00284822" w:rsidRDefault="00F77BF8">
            <w:pPr>
              <w:spacing w:before="120" w:after="120"/>
              <w:rPr>
                <w:rFonts w:ascii="Rockwell" w:hAnsi="Rockwell"/>
                <w:color w:val="000000"/>
                <w:szCs w:val="26"/>
              </w:rPr>
            </w:pPr>
            <w:r>
              <w:rPr>
                <w:rFonts w:ascii="Rockwell" w:hAnsi="Rockwell"/>
                <w:color w:val="000000"/>
                <w:szCs w:val="26"/>
              </w:rPr>
              <w:t xml:space="preserve"> </w:t>
            </w:r>
            <w:proofErr w:type="spellStart"/>
            <w:r>
              <w:rPr>
                <w:rFonts w:ascii="Rockwell" w:hAnsi="Rockwell"/>
                <w:color w:val="000000"/>
                <w:szCs w:val="26"/>
              </w:rPr>
              <w:t>Sebba</w:t>
            </w:r>
            <w:proofErr w:type="spellEnd"/>
            <w:r>
              <w:rPr>
                <w:rFonts w:ascii="Rockwell" w:hAnsi="Rockwell"/>
                <w:color w:val="000000"/>
                <w:szCs w:val="26"/>
              </w:rPr>
              <w:t>/Yagha</w:t>
            </w:r>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tcPr>
          <w:p w14:paraId="36BC438C" w14:textId="77777777" w:rsidR="00284822" w:rsidRDefault="00F77BF8">
            <w:pPr>
              <w:spacing w:before="120" w:after="120"/>
              <w:jc w:val="center"/>
              <w:rPr>
                <w:rFonts w:ascii="Rockwell" w:hAnsi="Rockwell"/>
                <w:color w:val="000000"/>
                <w:szCs w:val="26"/>
              </w:rPr>
            </w:pPr>
            <w:r>
              <w:rPr>
                <w:rFonts w:ascii="Rockwell" w:hAnsi="Rockwell"/>
                <w:szCs w:val="26"/>
              </w:rPr>
              <w:t>94.7MHz</w:t>
            </w:r>
          </w:p>
        </w:tc>
      </w:tr>
      <w:tr w:rsidR="00284822" w14:paraId="10A5AA8D"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01484FD" w14:textId="77777777" w:rsidR="00284822" w:rsidRDefault="00F77BF8">
            <w:pPr>
              <w:spacing w:before="120" w:after="120"/>
              <w:ind w:right="1"/>
              <w:rPr>
                <w:rFonts w:ascii="Rockwell" w:hAnsi="Rockwell"/>
                <w:color w:val="000000"/>
                <w:szCs w:val="26"/>
              </w:rPr>
            </w:pPr>
            <w:r>
              <w:rPr>
                <w:rFonts w:ascii="Rockwell" w:hAnsi="Rockwell"/>
                <w:color w:val="000000"/>
                <w:szCs w:val="26"/>
              </w:rPr>
              <w:t>24</w:t>
            </w:r>
          </w:p>
        </w:tc>
        <w:tc>
          <w:tcPr>
            <w:tcW w:w="5958" w:type="dxa"/>
            <w:tcBorders>
              <w:top w:val="single" w:sz="4" w:space="0" w:color="auto"/>
              <w:left w:val="nil"/>
              <w:bottom w:val="single" w:sz="4" w:space="0" w:color="auto"/>
              <w:right w:val="single" w:sz="4" w:space="0" w:color="auto"/>
            </w:tcBorders>
            <w:shd w:val="clear" w:color="auto" w:fill="FFFFFF" w:themeFill="background1"/>
            <w:noWrap/>
            <w:vAlign w:val="bottom"/>
          </w:tcPr>
          <w:p w14:paraId="5E3EE082" w14:textId="77777777" w:rsidR="00284822" w:rsidRDefault="00F77BF8">
            <w:pPr>
              <w:spacing w:before="120" w:after="120"/>
              <w:rPr>
                <w:rFonts w:ascii="Rockwell" w:hAnsi="Rockwell"/>
                <w:color w:val="000000"/>
                <w:szCs w:val="26"/>
              </w:rPr>
            </w:pPr>
            <w:r>
              <w:rPr>
                <w:rFonts w:ascii="Rockwell" w:hAnsi="Rockwell"/>
                <w:color w:val="000000"/>
                <w:szCs w:val="26"/>
              </w:rPr>
              <w:t>Radio Municipale de Garango (RMG)</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2D37CC25" w14:textId="77777777" w:rsidR="00284822" w:rsidRDefault="00F77BF8">
            <w:pPr>
              <w:spacing w:before="120" w:after="120"/>
              <w:rPr>
                <w:rFonts w:ascii="Rockwell" w:hAnsi="Rockwell"/>
                <w:color w:val="000000"/>
                <w:szCs w:val="26"/>
              </w:rPr>
            </w:pPr>
            <w:r>
              <w:rPr>
                <w:rFonts w:ascii="Rockwell" w:hAnsi="Rockwell"/>
                <w:color w:val="000000"/>
                <w:szCs w:val="26"/>
              </w:rPr>
              <w:t>Garango/Boulgou</w:t>
            </w:r>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tcPr>
          <w:p w14:paraId="509F7704" w14:textId="77777777" w:rsidR="00284822" w:rsidRDefault="00F77BF8">
            <w:pPr>
              <w:spacing w:before="120" w:after="120"/>
              <w:jc w:val="center"/>
              <w:rPr>
                <w:rFonts w:ascii="Rockwell" w:hAnsi="Rockwell"/>
                <w:color w:val="000000"/>
                <w:szCs w:val="26"/>
              </w:rPr>
            </w:pPr>
            <w:r>
              <w:rPr>
                <w:rFonts w:ascii="Rockwell" w:hAnsi="Rockwell"/>
                <w:color w:val="000000"/>
                <w:szCs w:val="26"/>
              </w:rPr>
              <w:t>100.6 MHZ</w:t>
            </w:r>
          </w:p>
        </w:tc>
      </w:tr>
      <w:tr w:rsidR="00284822" w14:paraId="50BE531E"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E8C8B62" w14:textId="77777777" w:rsidR="00284822" w:rsidRDefault="00F77BF8">
            <w:pPr>
              <w:spacing w:before="120" w:after="120"/>
              <w:rPr>
                <w:rFonts w:ascii="Rockwell" w:hAnsi="Rockwell"/>
                <w:color w:val="000000"/>
                <w:szCs w:val="26"/>
              </w:rPr>
            </w:pPr>
            <w:r>
              <w:rPr>
                <w:rFonts w:ascii="Rockwell" w:hAnsi="Rockwell"/>
                <w:color w:val="000000"/>
                <w:szCs w:val="26"/>
              </w:rPr>
              <w:t>25</w:t>
            </w:r>
          </w:p>
        </w:tc>
        <w:tc>
          <w:tcPr>
            <w:tcW w:w="5958" w:type="dxa"/>
            <w:tcBorders>
              <w:top w:val="single" w:sz="4" w:space="0" w:color="auto"/>
              <w:left w:val="nil"/>
              <w:bottom w:val="single" w:sz="4" w:space="0" w:color="auto"/>
              <w:right w:val="single" w:sz="4" w:space="0" w:color="auto"/>
            </w:tcBorders>
            <w:shd w:val="clear" w:color="auto" w:fill="FFFFFF" w:themeFill="background1"/>
            <w:noWrap/>
            <w:vAlign w:val="bottom"/>
          </w:tcPr>
          <w:p w14:paraId="30CC163B" w14:textId="77777777" w:rsidR="00284822" w:rsidRDefault="00F77BF8">
            <w:pPr>
              <w:spacing w:before="120" w:after="120"/>
              <w:rPr>
                <w:rFonts w:ascii="Rockwell" w:hAnsi="Rockwell"/>
                <w:color w:val="000000"/>
                <w:szCs w:val="26"/>
              </w:rPr>
            </w:pPr>
            <w:r>
              <w:rPr>
                <w:rFonts w:ascii="Rockwell" w:hAnsi="Rockwell"/>
                <w:color w:val="000000"/>
                <w:szCs w:val="26"/>
              </w:rPr>
              <w:t>Radio Municipale FM de Sidéradougou</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207D90EE" w14:textId="77777777" w:rsidR="00284822" w:rsidRDefault="00F77BF8">
            <w:pPr>
              <w:spacing w:before="120" w:after="120"/>
              <w:rPr>
                <w:rFonts w:ascii="Rockwell" w:hAnsi="Rockwell"/>
                <w:color w:val="000000"/>
                <w:szCs w:val="26"/>
              </w:rPr>
            </w:pPr>
            <w:r>
              <w:rPr>
                <w:rFonts w:ascii="Rockwell" w:hAnsi="Rockwell"/>
                <w:color w:val="000000"/>
                <w:szCs w:val="26"/>
              </w:rPr>
              <w:t>Sidéradougou/Comoé</w:t>
            </w:r>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0C2DB67B" w14:textId="77777777" w:rsidR="00284822" w:rsidRDefault="00F77BF8">
            <w:pPr>
              <w:spacing w:before="120" w:after="120"/>
              <w:rPr>
                <w:rFonts w:ascii="Rockwell" w:hAnsi="Rockwell"/>
                <w:color w:val="000000"/>
                <w:szCs w:val="26"/>
              </w:rPr>
            </w:pPr>
            <w:r>
              <w:rPr>
                <w:rFonts w:ascii="Rockwell" w:hAnsi="Rockwell"/>
                <w:color w:val="000000"/>
                <w:szCs w:val="26"/>
              </w:rPr>
              <w:t>103 MHZ</w:t>
            </w:r>
          </w:p>
        </w:tc>
      </w:tr>
      <w:tr w:rsidR="00284822" w14:paraId="6689964A"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08775D9" w14:textId="77777777" w:rsidR="00284822" w:rsidRDefault="00F77BF8">
            <w:pPr>
              <w:spacing w:before="120" w:after="120"/>
              <w:rPr>
                <w:rFonts w:ascii="Rockwell" w:hAnsi="Rockwell"/>
                <w:color w:val="000000"/>
                <w:szCs w:val="26"/>
              </w:rPr>
            </w:pPr>
            <w:r>
              <w:rPr>
                <w:rFonts w:ascii="Rockwell" w:hAnsi="Rockwell"/>
                <w:color w:val="000000"/>
                <w:szCs w:val="26"/>
              </w:rPr>
              <w:t>26</w:t>
            </w:r>
          </w:p>
        </w:tc>
        <w:tc>
          <w:tcPr>
            <w:tcW w:w="5958" w:type="dxa"/>
            <w:tcBorders>
              <w:top w:val="single" w:sz="4" w:space="0" w:color="auto"/>
              <w:left w:val="nil"/>
              <w:bottom w:val="single" w:sz="4" w:space="0" w:color="auto"/>
              <w:right w:val="single" w:sz="4" w:space="0" w:color="auto"/>
            </w:tcBorders>
            <w:shd w:val="clear" w:color="auto" w:fill="FFFFFF" w:themeFill="background1"/>
            <w:noWrap/>
          </w:tcPr>
          <w:p w14:paraId="57C0D867"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Municipale Dourtenga Wong </w:t>
            </w:r>
            <w:proofErr w:type="spellStart"/>
            <w:r>
              <w:rPr>
                <w:rFonts w:ascii="Rockwell" w:hAnsi="Rockwell"/>
                <w:color w:val="000000"/>
                <w:szCs w:val="26"/>
              </w:rPr>
              <w:t>Tarkoanga</w:t>
            </w:r>
            <w:proofErr w:type="spellEnd"/>
            <w:r>
              <w:rPr>
                <w:rFonts w:ascii="Rockwell" w:hAnsi="Rockwell"/>
                <w:color w:val="000000"/>
                <w:szCs w:val="26"/>
              </w:rPr>
              <w:t xml:space="preserve"> (RMDT)</w:t>
            </w:r>
          </w:p>
        </w:tc>
        <w:tc>
          <w:tcPr>
            <w:tcW w:w="3969" w:type="dxa"/>
            <w:tcBorders>
              <w:top w:val="single" w:sz="4" w:space="0" w:color="auto"/>
              <w:left w:val="nil"/>
              <w:bottom w:val="single" w:sz="4" w:space="0" w:color="auto"/>
              <w:right w:val="single" w:sz="4" w:space="0" w:color="auto"/>
            </w:tcBorders>
            <w:shd w:val="clear" w:color="auto" w:fill="FFFFFF" w:themeFill="background1"/>
            <w:noWrap/>
          </w:tcPr>
          <w:p w14:paraId="1C3AC7B4" w14:textId="77777777" w:rsidR="00284822" w:rsidRDefault="00F77BF8">
            <w:pPr>
              <w:spacing w:before="120" w:after="120"/>
              <w:rPr>
                <w:rFonts w:ascii="Rockwell" w:hAnsi="Rockwell"/>
                <w:color w:val="000000"/>
                <w:szCs w:val="26"/>
              </w:rPr>
            </w:pPr>
            <w:r>
              <w:rPr>
                <w:rFonts w:ascii="Rockwell" w:hAnsi="Rockwell"/>
                <w:color w:val="000000"/>
                <w:szCs w:val="26"/>
              </w:rPr>
              <w:t>Dourtenga/Koulpélogo</w:t>
            </w:r>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tcPr>
          <w:p w14:paraId="160C0787" w14:textId="77777777" w:rsidR="00284822" w:rsidRDefault="00F77BF8">
            <w:pPr>
              <w:spacing w:before="120" w:after="120"/>
              <w:rPr>
                <w:rFonts w:ascii="Rockwell" w:hAnsi="Rockwell"/>
                <w:color w:val="000000"/>
                <w:szCs w:val="26"/>
              </w:rPr>
            </w:pPr>
            <w:r>
              <w:rPr>
                <w:rFonts w:ascii="Rockwell" w:hAnsi="Rockwell"/>
                <w:color w:val="000000"/>
                <w:szCs w:val="26"/>
              </w:rPr>
              <w:t>100.9 MHZ</w:t>
            </w:r>
          </w:p>
        </w:tc>
      </w:tr>
      <w:tr w:rsidR="00284822" w14:paraId="36A97D35"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7578354" w14:textId="77777777" w:rsidR="00284822" w:rsidRDefault="00F77BF8">
            <w:pPr>
              <w:spacing w:before="120" w:after="120"/>
              <w:rPr>
                <w:rFonts w:ascii="Rockwell" w:hAnsi="Rockwell"/>
                <w:color w:val="000000"/>
                <w:szCs w:val="26"/>
              </w:rPr>
            </w:pPr>
            <w:r>
              <w:rPr>
                <w:rFonts w:ascii="Rockwell" w:hAnsi="Rockwell"/>
                <w:color w:val="000000"/>
                <w:szCs w:val="26"/>
              </w:rPr>
              <w:t>27</w:t>
            </w:r>
          </w:p>
        </w:tc>
        <w:tc>
          <w:tcPr>
            <w:tcW w:w="5958" w:type="dxa"/>
            <w:tcBorders>
              <w:top w:val="single" w:sz="4" w:space="0" w:color="auto"/>
              <w:left w:val="nil"/>
              <w:bottom w:val="single" w:sz="4" w:space="0" w:color="auto"/>
              <w:right w:val="single" w:sz="4" w:space="0" w:color="auto"/>
            </w:tcBorders>
            <w:shd w:val="clear" w:color="auto" w:fill="FFFFFF" w:themeFill="background1"/>
            <w:noWrap/>
            <w:vAlign w:val="bottom"/>
          </w:tcPr>
          <w:p w14:paraId="0355FD51"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Municipale </w:t>
            </w:r>
            <w:proofErr w:type="spellStart"/>
            <w:r>
              <w:rPr>
                <w:rFonts w:ascii="Rockwell" w:hAnsi="Rockwell"/>
                <w:color w:val="000000"/>
                <w:szCs w:val="26"/>
              </w:rPr>
              <w:t>Yendieli</w:t>
            </w:r>
            <w:proofErr w:type="spellEnd"/>
            <w:r>
              <w:rPr>
                <w:rFonts w:ascii="Rockwell" w:hAnsi="Rockwell"/>
                <w:color w:val="000000"/>
                <w:szCs w:val="26"/>
              </w:rPr>
              <w:t xml:space="preserve"> de </w:t>
            </w:r>
            <w:proofErr w:type="spellStart"/>
            <w:r>
              <w:rPr>
                <w:rFonts w:ascii="Rockwell" w:hAnsi="Rockwell"/>
                <w:color w:val="000000"/>
                <w:szCs w:val="26"/>
              </w:rPr>
              <w:t>Boopo</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14E3D110" w14:textId="77777777" w:rsidR="00284822" w:rsidRDefault="00F77BF8">
            <w:pPr>
              <w:spacing w:before="120" w:after="120"/>
              <w:rPr>
                <w:rFonts w:ascii="Rockwell" w:hAnsi="Rockwell"/>
                <w:color w:val="000000"/>
                <w:szCs w:val="26"/>
              </w:rPr>
            </w:pPr>
            <w:r>
              <w:rPr>
                <w:rFonts w:ascii="Rockwell" w:hAnsi="Rockwell"/>
                <w:color w:val="000000"/>
                <w:szCs w:val="26"/>
              </w:rPr>
              <w:t>Matiacoali/Gourma</w:t>
            </w:r>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02D814FA" w14:textId="77777777" w:rsidR="00284822" w:rsidRDefault="00F77BF8">
            <w:pPr>
              <w:spacing w:before="120" w:after="120"/>
              <w:rPr>
                <w:rFonts w:ascii="Rockwell" w:hAnsi="Rockwell"/>
                <w:color w:val="000000"/>
                <w:szCs w:val="26"/>
              </w:rPr>
            </w:pPr>
            <w:r>
              <w:rPr>
                <w:rFonts w:ascii="Rockwell" w:hAnsi="Rockwell"/>
                <w:szCs w:val="26"/>
              </w:rPr>
              <w:t>103 MHZ</w:t>
            </w:r>
          </w:p>
        </w:tc>
      </w:tr>
      <w:tr w:rsidR="00284822" w14:paraId="64E111FE"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F35318D" w14:textId="77777777" w:rsidR="00284822" w:rsidRDefault="00F77BF8">
            <w:pPr>
              <w:spacing w:before="120" w:after="120"/>
              <w:rPr>
                <w:rFonts w:ascii="Rockwell" w:hAnsi="Rockwell"/>
                <w:color w:val="000000"/>
                <w:szCs w:val="26"/>
              </w:rPr>
            </w:pPr>
            <w:r>
              <w:rPr>
                <w:rFonts w:ascii="Rockwell" w:hAnsi="Rockwell"/>
                <w:color w:val="000000"/>
                <w:szCs w:val="26"/>
              </w:rPr>
              <w:t>28</w:t>
            </w:r>
          </w:p>
        </w:tc>
        <w:tc>
          <w:tcPr>
            <w:tcW w:w="5958" w:type="dxa"/>
            <w:tcBorders>
              <w:top w:val="single" w:sz="4" w:space="0" w:color="auto"/>
              <w:left w:val="nil"/>
              <w:bottom w:val="single" w:sz="4" w:space="0" w:color="auto"/>
              <w:right w:val="single" w:sz="4" w:space="0" w:color="auto"/>
            </w:tcBorders>
            <w:shd w:val="clear" w:color="auto" w:fill="FFFFFF" w:themeFill="background1"/>
            <w:noWrap/>
            <w:vAlign w:val="bottom"/>
          </w:tcPr>
          <w:p w14:paraId="56BAA9CA"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communale </w:t>
            </w:r>
            <w:proofErr w:type="spellStart"/>
            <w:r>
              <w:rPr>
                <w:rFonts w:ascii="Rockwell" w:hAnsi="Rockwell"/>
                <w:color w:val="000000"/>
                <w:szCs w:val="26"/>
              </w:rPr>
              <w:t>Djayal</w:t>
            </w:r>
            <w:proofErr w:type="spellEnd"/>
            <w:r>
              <w:rPr>
                <w:rFonts w:ascii="Rockwell" w:hAnsi="Rockwell"/>
                <w:color w:val="000000"/>
                <w:szCs w:val="26"/>
              </w:rPr>
              <w:t xml:space="preserve"> de Seytenga</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521093BB" w14:textId="77777777" w:rsidR="00284822" w:rsidRDefault="00F77BF8">
            <w:pPr>
              <w:spacing w:before="120" w:after="120"/>
              <w:rPr>
                <w:rFonts w:ascii="Rockwell" w:hAnsi="Rockwell"/>
                <w:color w:val="000000"/>
                <w:szCs w:val="26"/>
              </w:rPr>
            </w:pPr>
            <w:r>
              <w:rPr>
                <w:rFonts w:ascii="Rockwell" w:hAnsi="Rockwell"/>
                <w:color w:val="000000"/>
                <w:szCs w:val="26"/>
              </w:rPr>
              <w:t>Seytenga/Séno</w:t>
            </w:r>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6100559B" w14:textId="77777777" w:rsidR="00284822" w:rsidRDefault="00F77BF8">
            <w:pPr>
              <w:spacing w:before="120" w:after="120"/>
              <w:rPr>
                <w:rFonts w:ascii="Rockwell" w:hAnsi="Rockwell"/>
                <w:szCs w:val="26"/>
              </w:rPr>
            </w:pPr>
            <w:r>
              <w:rPr>
                <w:rFonts w:ascii="Rockwell" w:hAnsi="Rockwell"/>
                <w:szCs w:val="26"/>
              </w:rPr>
              <w:t>103 MHZ</w:t>
            </w:r>
          </w:p>
        </w:tc>
      </w:tr>
      <w:tr w:rsidR="00284822" w14:paraId="1D45702B"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97C32B0" w14:textId="77777777" w:rsidR="00284822" w:rsidRDefault="00F77BF8">
            <w:pPr>
              <w:spacing w:before="120" w:after="120"/>
              <w:rPr>
                <w:rFonts w:ascii="Rockwell" w:hAnsi="Rockwell"/>
                <w:color w:val="000000"/>
                <w:szCs w:val="26"/>
              </w:rPr>
            </w:pPr>
            <w:r>
              <w:rPr>
                <w:rFonts w:ascii="Rockwell" w:hAnsi="Rockwell"/>
                <w:color w:val="000000"/>
                <w:szCs w:val="26"/>
              </w:rPr>
              <w:t>29</w:t>
            </w:r>
          </w:p>
        </w:tc>
        <w:tc>
          <w:tcPr>
            <w:tcW w:w="5958" w:type="dxa"/>
            <w:tcBorders>
              <w:top w:val="single" w:sz="4" w:space="0" w:color="auto"/>
              <w:left w:val="nil"/>
              <w:bottom w:val="single" w:sz="4" w:space="0" w:color="auto"/>
              <w:right w:val="single" w:sz="4" w:space="0" w:color="auto"/>
            </w:tcBorders>
            <w:shd w:val="clear" w:color="auto" w:fill="FFFFFF" w:themeFill="background1"/>
            <w:noWrap/>
            <w:vAlign w:val="bottom"/>
          </w:tcPr>
          <w:p w14:paraId="1CB1559E" w14:textId="77777777" w:rsidR="00284822" w:rsidRDefault="00F77BF8">
            <w:pPr>
              <w:spacing w:before="120" w:after="120"/>
              <w:rPr>
                <w:rFonts w:ascii="Rockwell" w:hAnsi="Rockwell"/>
                <w:color w:val="000000"/>
                <w:szCs w:val="26"/>
              </w:rPr>
            </w:pPr>
            <w:r>
              <w:rPr>
                <w:rFonts w:ascii="Rockwell" w:hAnsi="Rockwell"/>
                <w:color w:val="000000"/>
                <w:szCs w:val="26"/>
              </w:rPr>
              <w:t>Radio Municipale de Sampelga</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5A2E5368" w14:textId="77777777" w:rsidR="00284822" w:rsidRDefault="00F77BF8">
            <w:pPr>
              <w:spacing w:before="120" w:after="120"/>
              <w:rPr>
                <w:rFonts w:ascii="Rockwell" w:hAnsi="Rockwell"/>
                <w:color w:val="000000"/>
                <w:szCs w:val="26"/>
              </w:rPr>
            </w:pPr>
            <w:r>
              <w:rPr>
                <w:rFonts w:ascii="Rockwell" w:hAnsi="Rockwell"/>
                <w:color w:val="000000"/>
                <w:szCs w:val="26"/>
              </w:rPr>
              <w:t>Sampelga/Séno</w:t>
            </w:r>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3E42A1C9" w14:textId="77777777" w:rsidR="00284822" w:rsidRDefault="00F77BF8">
            <w:pPr>
              <w:spacing w:before="120" w:after="120"/>
              <w:rPr>
                <w:rFonts w:ascii="Rockwell" w:hAnsi="Rockwell"/>
                <w:szCs w:val="26"/>
              </w:rPr>
            </w:pPr>
            <w:r>
              <w:rPr>
                <w:rFonts w:ascii="Rockwell" w:hAnsi="Rockwell"/>
                <w:szCs w:val="26"/>
              </w:rPr>
              <w:t>104.2 MHZ</w:t>
            </w:r>
          </w:p>
        </w:tc>
      </w:tr>
      <w:tr w:rsidR="00284822" w14:paraId="7263C4C9"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BECD46D" w14:textId="77777777" w:rsidR="00284822" w:rsidRDefault="00F77BF8">
            <w:pPr>
              <w:spacing w:before="120" w:after="120"/>
              <w:rPr>
                <w:rFonts w:ascii="Rockwell" w:hAnsi="Rockwell"/>
                <w:color w:val="000000"/>
                <w:szCs w:val="26"/>
              </w:rPr>
            </w:pPr>
            <w:r>
              <w:rPr>
                <w:rFonts w:ascii="Rockwell" w:hAnsi="Rockwell"/>
                <w:color w:val="000000"/>
                <w:szCs w:val="26"/>
              </w:rPr>
              <w:t>30</w:t>
            </w:r>
          </w:p>
        </w:tc>
        <w:tc>
          <w:tcPr>
            <w:tcW w:w="5958" w:type="dxa"/>
            <w:tcBorders>
              <w:top w:val="single" w:sz="4" w:space="0" w:color="auto"/>
              <w:left w:val="nil"/>
              <w:bottom w:val="single" w:sz="4" w:space="0" w:color="auto"/>
              <w:right w:val="single" w:sz="4" w:space="0" w:color="auto"/>
            </w:tcBorders>
            <w:shd w:val="clear" w:color="auto" w:fill="FFFFFF" w:themeFill="background1"/>
            <w:noWrap/>
          </w:tcPr>
          <w:p w14:paraId="179E12EC" w14:textId="77777777" w:rsidR="00284822" w:rsidRDefault="00F77BF8">
            <w:pPr>
              <w:spacing w:before="120" w:after="120"/>
              <w:rPr>
                <w:rFonts w:ascii="Rockwell" w:hAnsi="Rockwell"/>
                <w:color w:val="000000"/>
                <w:szCs w:val="26"/>
              </w:rPr>
            </w:pPr>
            <w:r>
              <w:rPr>
                <w:rFonts w:ascii="Rockwell" w:hAnsi="Rockwell"/>
                <w:color w:val="000000"/>
                <w:szCs w:val="26"/>
              </w:rPr>
              <w:t xml:space="preserve">Radio Municipale </w:t>
            </w:r>
            <w:proofErr w:type="spellStart"/>
            <w:r>
              <w:rPr>
                <w:rFonts w:ascii="Rockwell" w:hAnsi="Rockwell"/>
                <w:color w:val="000000"/>
                <w:szCs w:val="26"/>
              </w:rPr>
              <w:t>Fongouré</w:t>
            </w:r>
            <w:proofErr w:type="spellEnd"/>
            <w:r>
              <w:rPr>
                <w:rFonts w:ascii="Rockwell" w:hAnsi="Rockwell"/>
                <w:color w:val="000000"/>
                <w:szCs w:val="26"/>
              </w:rPr>
              <w:t xml:space="preserve"> de </w:t>
            </w:r>
            <w:proofErr w:type="spellStart"/>
            <w:r>
              <w:rPr>
                <w:rFonts w:ascii="Rockwell" w:hAnsi="Rockwell"/>
                <w:color w:val="000000"/>
                <w:szCs w:val="26"/>
              </w:rPr>
              <w:t>Gonboussougou</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tcPr>
          <w:p w14:paraId="2648997D" w14:textId="77777777" w:rsidR="00284822" w:rsidRDefault="00F77BF8">
            <w:pPr>
              <w:spacing w:before="120" w:after="120"/>
              <w:jc w:val="center"/>
              <w:rPr>
                <w:rFonts w:ascii="Rockwell" w:hAnsi="Rockwell"/>
                <w:color w:val="000000"/>
                <w:szCs w:val="26"/>
              </w:rPr>
            </w:pPr>
            <w:proofErr w:type="spellStart"/>
            <w:r>
              <w:rPr>
                <w:rFonts w:ascii="Rockwell" w:hAnsi="Rockwell"/>
                <w:color w:val="000000"/>
                <w:szCs w:val="26"/>
              </w:rPr>
              <w:t>Gonboussougou</w:t>
            </w:r>
            <w:proofErr w:type="spellEnd"/>
            <w:r>
              <w:rPr>
                <w:rFonts w:ascii="Rockwell" w:hAnsi="Rockwell"/>
                <w:color w:val="000000"/>
                <w:szCs w:val="26"/>
              </w:rPr>
              <w:t>/Zoundwéogo</w:t>
            </w:r>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tcPr>
          <w:p w14:paraId="4A351B43" w14:textId="77777777" w:rsidR="00284822" w:rsidRDefault="00F77BF8">
            <w:pPr>
              <w:spacing w:before="120" w:after="120"/>
              <w:rPr>
                <w:rFonts w:ascii="Rockwell" w:hAnsi="Rockwell"/>
                <w:szCs w:val="26"/>
              </w:rPr>
            </w:pPr>
            <w:r>
              <w:rPr>
                <w:rFonts w:ascii="Rockwell" w:hAnsi="Rockwell"/>
                <w:szCs w:val="26"/>
              </w:rPr>
              <w:t>103 MHZ</w:t>
            </w:r>
          </w:p>
        </w:tc>
      </w:tr>
      <w:tr w:rsidR="00284822" w14:paraId="59F4C3B2"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8813EFD" w14:textId="77777777" w:rsidR="00284822" w:rsidRDefault="00F77BF8">
            <w:pPr>
              <w:spacing w:before="120" w:after="120"/>
              <w:rPr>
                <w:rFonts w:ascii="Rockwell" w:hAnsi="Rockwell"/>
                <w:color w:val="000000"/>
                <w:szCs w:val="26"/>
              </w:rPr>
            </w:pPr>
            <w:r>
              <w:rPr>
                <w:rFonts w:ascii="Rockwell" w:hAnsi="Rockwell"/>
                <w:color w:val="000000"/>
                <w:szCs w:val="26"/>
              </w:rPr>
              <w:t>31</w:t>
            </w:r>
          </w:p>
        </w:tc>
        <w:tc>
          <w:tcPr>
            <w:tcW w:w="5958" w:type="dxa"/>
            <w:tcBorders>
              <w:top w:val="single" w:sz="4" w:space="0" w:color="auto"/>
              <w:left w:val="nil"/>
              <w:bottom w:val="single" w:sz="4" w:space="0" w:color="auto"/>
              <w:right w:val="single" w:sz="4" w:space="0" w:color="auto"/>
            </w:tcBorders>
            <w:shd w:val="clear" w:color="auto" w:fill="FFFFFF" w:themeFill="background1"/>
            <w:noWrap/>
            <w:vAlign w:val="bottom"/>
          </w:tcPr>
          <w:p w14:paraId="115A6660" w14:textId="77777777" w:rsidR="00284822" w:rsidRDefault="00F77BF8">
            <w:pPr>
              <w:spacing w:before="120" w:after="120"/>
              <w:rPr>
                <w:rFonts w:ascii="Rockwell" w:hAnsi="Rockwell"/>
                <w:color w:val="000000"/>
                <w:szCs w:val="26"/>
              </w:rPr>
            </w:pPr>
            <w:r>
              <w:rPr>
                <w:rFonts w:ascii="Rockwell" w:hAnsi="Rockwell"/>
                <w:color w:val="000000"/>
                <w:szCs w:val="26"/>
              </w:rPr>
              <w:t>Radio Communale de Tougouri</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54162B18" w14:textId="77777777" w:rsidR="00284822" w:rsidRDefault="00F77BF8">
            <w:pPr>
              <w:spacing w:before="120" w:after="120"/>
              <w:rPr>
                <w:rFonts w:ascii="Rockwell" w:hAnsi="Rockwell"/>
                <w:color w:val="000000"/>
                <w:szCs w:val="26"/>
              </w:rPr>
            </w:pPr>
            <w:r>
              <w:rPr>
                <w:rFonts w:ascii="Rockwell" w:hAnsi="Rockwell"/>
                <w:color w:val="000000"/>
                <w:szCs w:val="26"/>
              </w:rPr>
              <w:t>Tougouri/Namentenga</w:t>
            </w:r>
          </w:p>
        </w:tc>
        <w:tc>
          <w:tcPr>
            <w:tcW w:w="2713" w:type="dxa"/>
            <w:gridSpan w:val="2"/>
            <w:tcBorders>
              <w:top w:val="single" w:sz="4" w:space="0" w:color="auto"/>
              <w:left w:val="nil"/>
              <w:bottom w:val="single" w:sz="4" w:space="0" w:color="auto"/>
              <w:right w:val="single" w:sz="4" w:space="0" w:color="auto"/>
            </w:tcBorders>
            <w:shd w:val="clear" w:color="auto" w:fill="FFFFFF" w:themeFill="background1"/>
            <w:noWrap/>
            <w:vAlign w:val="bottom"/>
          </w:tcPr>
          <w:p w14:paraId="718016BA" w14:textId="77777777" w:rsidR="00284822" w:rsidRDefault="00F77BF8">
            <w:pPr>
              <w:spacing w:before="120" w:after="120"/>
              <w:rPr>
                <w:rFonts w:ascii="Rockwell" w:hAnsi="Rockwell"/>
                <w:szCs w:val="26"/>
              </w:rPr>
            </w:pPr>
            <w:r>
              <w:rPr>
                <w:rFonts w:ascii="Rockwell" w:hAnsi="Rockwell"/>
                <w:szCs w:val="26"/>
              </w:rPr>
              <w:t>103.8 MHZ</w:t>
            </w:r>
          </w:p>
        </w:tc>
      </w:tr>
    </w:tbl>
    <w:p w14:paraId="1E0473AF" w14:textId="77777777" w:rsidR="00284822" w:rsidRDefault="00284822">
      <w:pPr>
        <w:spacing w:before="120" w:after="120"/>
        <w:rPr>
          <w:rFonts w:ascii="Rockwell" w:hAnsi="Rockwell"/>
          <w:szCs w:val="26"/>
        </w:rPr>
      </w:pPr>
    </w:p>
    <w:p w14:paraId="2BD6C942" w14:textId="77777777" w:rsidR="00284822" w:rsidRDefault="00284822">
      <w:pPr>
        <w:spacing w:before="120" w:after="120"/>
        <w:rPr>
          <w:rFonts w:ascii="Rockwell" w:hAnsi="Rockwell"/>
          <w:szCs w:val="26"/>
        </w:rPr>
      </w:pPr>
    </w:p>
    <w:p w14:paraId="3EE30F0A" w14:textId="77777777" w:rsidR="00284822" w:rsidRDefault="00284822">
      <w:pPr>
        <w:spacing w:before="120" w:after="120"/>
        <w:rPr>
          <w:rFonts w:ascii="Rockwell" w:hAnsi="Rockwell"/>
          <w:szCs w:val="26"/>
        </w:rPr>
        <w:sectPr w:rsidR="00284822">
          <w:pgSz w:w="16838" w:h="11906" w:orient="landscape"/>
          <w:pgMar w:top="1418" w:right="1418" w:bottom="1418" w:left="1418" w:header="720" w:footer="720" w:gutter="0"/>
          <w:cols w:space="720"/>
        </w:sectPr>
      </w:pPr>
    </w:p>
    <w:p w14:paraId="42DF9324" w14:textId="77777777" w:rsidR="00284822" w:rsidRDefault="00F77BF8">
      <w:pPr>
        <w:pStyle w:val="Paragraphedeliste"/>
        <w:numPr>
          <w:ilvl w:val="0"/>
          <w:numId w:val="59"/>
        </w:numPr>
        <w:ind w:left="1276" w:firstLine="556"/>
        <w:rPr>
          <w:rFonts w:ascii="Rockwell" w:hAnsi="Rockwell"/>
        </w:rPr>
      </w:pPr>
      <w:r>
        <w:rPr>
          <w:rFonts w:ascii="Rockwell" w:hAnsi="Rockwell"/>
        </w:rPr>
        <w:lastRenderedPageBreak/>
        <w:t>Radios institutionnelles : sept (07)</w:t>
      </w:r>
    </w:p>
    <w:tbl>
      <w:tblPr>
        <w:tblW w:w="11639" w:type="dxa"/>
        <w:jc w:val="center"/>
        <w:tblLayout w:type="fixed"/>
        <w:tblCellMar>
          <w:left w:w="70" w:type="dxa"/>
          <w:right w:w="70" w:type="dxa"/>
        </w:tblCellMar>
        <w:tblLook w:val="04A0" w:firstRow="1" w:lastRow="0" w:firstColumn="1" w:lastColumn="0" w:noHBand="0" w:noVBand="1"/>
      </w:tblPr>
      <w:tblGrid>
        <w:gridCol w:w="846"/>
        <w:gridCol w:w="5675"/>
        <w:gridCol w:w="3402"/>
        <w:gridCol w:w="1716"/>
      </w:tblGrid>
      <w:tr w:rsidR="00284822" w14:paraId="49F11EB6"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BDD6EE" w:themeFill="accent1" w:themeFillTint="66"/>
            <w:noWrap/>
          </w:tcPr>
          <w:p w14:paraId="161C913D" w14:textId="77777777" w:rsidR="00284822" w:rsidRDefault="00F77BF8">
            <w:pPr>
              <w:spacing w:before="120" w:after="120"/>
              <w:jc w:val="center"/>
              <w:rPr>
                <w:rFonts w:ascii="Rockwell" w:hAnsi="Rockwell"/>
                <w:b/>
                <w:bCs/>
                <w:color w:val="000000"/>
                <w:szCs w:val="26"/>
              </w:rPr>
            </w:pPr>
            <w:r>
              <w:rPr>
                <w:rFonts w:ascii="Rockwell" w:hAnsi="Rockwell"/>
                <w:b/>
                <w:bCs/>
                <w:color w:val="000000"/>
                <w:szCs w:val="26"/>
              </w:rPr>
              <w:t>N°</w:t>
            </w:r>
          </w:p>
        </w:tc>
        <w:tc>
          <w:tcPr>
            <w:tcW w:w="5675" w:type="dxa"/>
            <w:tcBorders>
              <w:top w:val="single" w:sz="4" w:space="0" w:color="auto"/>
              <w:left w:val="nil"/>
              <w:bottom w:val="single" w:sz="4" w:space="0" w:color="auto"/>
              <w:right w:val="single" w:sz="4" w:space="0" w:color="auto"/>
            </w:tcBorders>
            <w:shd w:val="clear" w:color="auto" w:fill="BDD6EE" w:themeFill="accent1" w:themeFillTint="66"/>
            <w:noWrap/>
          </w:tcPr>
          <w:p w14:paraId="60FC9DBC" w14:textId="77777777" w:rsidR="00284822" w:rsidRDefault="00F77BF8">
            <w:pPr>
              <w:spacing w:before="120" w:after="120"/>
              <w:jc w:val="center"/>
              <w:rPr>
                <w:rFonts w:ascii="Rockwell" w:hAnsi="Rockwell"/>
                <w:b/>
                <w:bCs/>
                <w:color w:val="000000"/>
                <w:szCs w:val="26"/>
              </w:rPr>
            </w:pPr>
            <w:r>
              <w:rPr>
                <w:rFonts w:ascii="Rockwell" w:hAnsi="Rockwell"/>
                <w:b/>
                <w:bCs/>
                <w:color w:val="000000"/>
                <w:szCs w:val="26"/>
              </w:rPr>
              <w:t>Dénomination</w:t>
            </w:r>
          </w:p>
        </w:tc>
        <w:tc>
          <w:tcPr>
            <w:tcW w:w="3402" w:type="dxa"/>
            <w:tcBorders>
              <w:top w:val="single" w:sz="4" w:space="0" w:color="auto"/>
              <w:left w:val="nil"/>
              <w:bottom w:val="single" w:sz="4" w:space="0" w:color="auto"/>
              <w:right w:val="single" w:sz="4" w:space="0" w:color="auto"/>
            </w:tcBorders>
            <w:shd w:val="clear" w:color="auto" w:fill="BDD6EE" w:themeFill="accent1" w:themeFillTint="66"/>
            <w:noWrap/>
          </w:tcPr>
          <w:p w14:paraId="563C2790" w14:textId="77777777" w:rsidR="00284822" w:rsidRDefault="00F77BF8">
            <w:pPr>
              <w:spacing w:before="120" w:after="120"/>
              <w:jc w:val="center"/>
              <w:rPr>
                <w:rFonts w:ascii="Rockwell" w:hAnsi="Rockwell"/>
                <w:b/>
                <w:bCs/>
                <w:color w:val="000000"/>
                <w:szCs w:val="26"/>
              </w:rPr>
            </w:pPr>
            <w:r>
              <w:rPr>
                <w:rFonts w:ascii="Rockwell" w:hAnsi="Rockwell"/>
                <w:b/>
                <w:bCs/>
                <w:color w:val="000000"/>
                <w:szCs w:val="26"/>
              </w:rPr>
              <w:t>Localité/Province</w:t>
            </w:r>
          </w:p>
        </w:tc>
        <w:tc>
          <w:tcPr>
            <w:tcW w:w="1716" w:type="dxa"/>
            <w:tcBorders>
              <w:top w:val="single" w:sz="4" w:space="0" w:color="auto"/>
              <w:left w:val="nil"/>
              <w:bottom w:val="single" w:sz="4" w:space="0" w:color="auto"/>
              <w:right w:val="single" w:sz="4" w:space="0" w:color="auto"/>
            </w:tcBorders>
            <w:shd w:val="clear" w:color="auto" w:fill="BDD6EE" w:themeFill="accent1" w:themeFillTint="66"/>
            <w:noWrap/>
          </w:tcPr>
          <w:p w14:paraId="5CC6993A" w14:textId="77777777" w:rsidR="00284822" w:rsidRDefault="00F77BF8">
            <w:pPr>
              <w:spacing w:before="120" w:after="120"/>
              <w:jc w:val="center"/>
              <w:rPr>
                <w:rFonts w:ascii="Rockwell" w:hAnsi="Rockwell"/>
                <w:b/>
                <w:bCs/>
                <w:color w:val="000000"/>
                <w:szCs w:val="26"/>
              </w:rPr>
            </w:pPr>
            <w:r>
              <w:rPr>
                <w:rFonts w:ascii="Rockwell" w:hAnsi="Rockwell"/>
                <w:b/>
                <w:bCs/>
                <w:color w:val="000000"/>
                <w:szCs w:val="26"/>
              </w:rPr>
              <w:t>Fréquence</w:t>
            </w:r>
          </w:p>
        </w:tc>
      </w:tr>
      <w:tr w:rsidR="00284822" w14:paraId="37FF6D36" w14:textId="77777777">
        <w:trPr>
          <w:trHeight w:val="825"/>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2340163" w14:textId="77777777" w:rsidR="00284822" w:rsidRDefault="00F77BF8">
            <w:pPr>
              <w:spacing w:before="120" w:after="120"/>
              <w:jc w:val="left"/>
              <w:rPr>
                <w:rFonts w:ascii="Rockwell" w:hAnsi="Rockwell"/>
                <w:color w:val="000000"/>
                <w:szCs w:val="26"/>
              </w:rPr>
            </w:pPr>
            <w:r>
              <w:rPr>
                <w:rFonts w:ascii="Rockwell" w:hAnsi="Rockwell"/>
                <w:color w:val="000000"/>
                <w:szCs w:val="26"/>
              </w:rPr>
              <w:t>1</w:t>
            </w:r>
          </w:p>
        </w:tc>
        <w:tc>
          <w:tcPr>
            <w:tcW w:w="5675" w:type="dxa"/>
            <w:tcBorders>
              <w:top w:val="single" w:sz="4" w:space="0" w:color="auto"/>
              <w:left w:val="nil"/>
              <w:bottom w:val="single" w:sz="4" w:space="0" w:color="auto"/>
              <w:right w:val="single" w:sz="4" w:space="0" w:color="auto"/>
            </w:tcBorders>
            <w:shd w:val="clear" w:color="auto" w:fill="FFFFFF" w:themeFill="background1"/>
            <w:noWrap/>
          </w:tcPr>
          <w:p w14:paraId="60260190" w14:textId="77777777" w:rsidR="00284822" w:rsidRDefault="00F77BF8">
            <w:pPr>
              <w:spacing w:before="120" w:after="120"/>
              <w:jc w:val="left"/>
              <w:rPr>
                <w:rFonts w:ascii="Rockwell" w:hAnsi="Rockwell"/>
                <w:color w:val="000000"/>
                <w:szCs w:val="26"/>
              </w:rPr>
            </w:pPr>
            <w:r>
              <w:rPr>
                <w:rFonts w:ascii="Rockwell" w:hAnsi="Rockwell"/>
                <w:color w:val="000000"/>
                <w:szCs w:val="26"/>
              </w:rPr>
              <w:t>Radio Campus</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2D16DFE8" w14:textId="77777777" w:rsidR="00284822" w:rsidRDefault="00F77BF8">
            <w:pPr>
              <w:spacing w:before="120" w:after="120"/>
              <w:jc w:val="left"/>
              <w:rPr>
                <w:rFonts w:ascii="Rockwell" w:hAnsi="Rockwell"/>
                <w:color w:val="000000"/>
                <w:szCs w:val="26"/>
              </w:rPr>
            </w:pPr>
            <w:r>
              <w:rPr>
                <w:rFonts w:ascii="Rockwell" w:hAnsi="Rockwell"/>
                <w:color w:val="000000"/>
                <w:szCs w:val="26"/>
              </w:rPr>
              <w:t>Ouagadougou/Kadiogo</w:t>
            </w:r>
          </w:p>
        </w:tc>
        <w:tc>
          <w:tcPr>
            <w:tcW w:w="1716" w:type="dxa"/>
            <w:tcBorders>
              <w:top w:val="single" w:sz="4" w:space="0" w:color="auto"/>
              <w:left w:val="nil"/>
              <w:bottom w:val="single" w:sz="4" w:space="0" w:color="auto"/>
              <w:right w:val="single" w:sz="4" w:space="0" w:color="auto"/>
            </w:tcBorders>
            <w:shd w:val="clear" w:color="auto" w:fill="FFFFFF" w:themeFill="background1"/>
            <w:noWrap/>
          </w:tcPr>
          <w:p w14:paraId="6198A504" w14:textId="77777777" w:rsidR="00284822" w:rsidRDefault="00F77BF8">
            <w:pPr>
              <w:spacing w:before="120" w:after="120"/>
              <w:jc w:val="left"/>
              <w:rPr>
                <w:rFonts w:ascii="Rockwell" w:hAnsi="Rockwell"/>
                <w:color w:val="000000"/>
                <w:szCs w:val="26"/>
              </w:rPr>
            </w:pPr>
            <w:r>
              <w:rPr>
                <w:rFonts w:ascii="Rockwell" w:hAnsi="Rockwell"/>
                <w:color w:val="000000"/>
                <w:szCs w:val="26"/>
              </w:rPr>
              <w:t>91.200 MHz</w:t>
            </w:r>
          </w:p>
        </w:tc>
      </w:tr>
      <w:tr w:rsidR="00284822" w14:paraId="1FF5FC4F" w14:textId="77777777">
        <w:trPr>
          <w:trHeight w:val="83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D0D7387" w14:textId="77777777" w:rsidR="00284822" w:rsidRDefault="00F77BF8">
            <w:pPr>
              <w:spacing w:before="120" w:after="120"/>
              <w:jc w:val="left"/>
              <w:rPr>
                <w:rFonts w:ascii="Rockwell" w:hAnsi="Rockwell"/>
                <w:color w:val="000000"/>
                <w:szCs w:val="26"/>
              </w:rPr>
            </w:pPr>
            <w:r>
              <w:rPr>
                <w:rFonts w:ascii="Rockwell" w:hAnsi="Rockwell"/>
                <w:color w:val="000000"/>
                <w:szCs w:val="26"/>
              </w:rPr>
              <w:t>2</w:t>
            </w:r>
          </w:p>
        </w:tc>
        <w:tc>
          <w:tcPr>
            <w:tcW w:w="5675" w:type="dxa"/>
            <w:tcBorders>
              <w:top w:val="single" w:sz="4" w:space="0" w:color="auto"/>
              <w:left w:val="nil"/>
              <w:bottom w:val="single" w:sz="4" w:space="0" w:color="auto"/>
              <w:right w:val="single" w:sz="4" w:space="0" w:color="auto"/>
            </w:tcBorders>
            <w:shd w:val="clear" w:color="auto" w:fill="FFFFFF" w:themeFill="background1"/>
            <w:noWrap/>
          </w:tcPr>
          <w:p w14:paraId="6815E3BF" w14:textId="77777777" w:rsidR="00284822" w:rsidRDefault="00F77BF8">
            <w:pPr>
              <w:spacing w:before="120" w:after="120"/>
              <w:jc w:val="left"/>
              <w:rPr>
                <w:rFonts w:ascii="Rockwell" w:hAnsi="Rockwell"/>
                <w:color w:val="000000"/>
                <w:szCs w:val="26"/>
              </w:rPr>
            </w:pPr>
            <w:r>
              <w:rPr>
                <w:rFonts w:ascii="Rockwell" w:hAnsi="Rockwell"/>
                <w:color w:val="000000"/>
                <w:szCs w:val="26"/>
              </w:rPr>
              <w:t>Radio La Voix du Parlement</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2ACF1132" w14:textId="77777777" w:rsidR="00284822" w:rsidRDefault="00F77BF8">
            <w:pPr>
              <w:spacing w:before="120" w:after="120"/>
              <w:jc w:val="left"/>
              <w:rPr>
                <w:rFonts w:ascii="Rockwell" w:hAnsi="Rockwell"/>
                <w:color w:val="000000"/>
                <w:szCs w:val="26"/>
              </w:rPr>
            </w:pPr>
            <w:r>
              <w:rPr>
                <w:rFonts w:ascii="Rockwell" w:hAnsi="Rockwell"/>
                <w:color w:val="000000"/>
                <w:szCs w:val="26"/>
              </w:rPr>
              <w:t>Ouagadougou/Kadiogo</w:t>
            </w:r>
          </w:p>
        </w:tc>
        <w:tc>
          <w:tcPr>
            <w:tcW w:w="1716" w:type="dxa"/>
            <w:tcBorders>
              <w:top w:val="single" w:sz="4" w:space="0" w:color="auto"/>
              <w:left w:val="nil"/>
              <w:bottom w:val="single" w:sz="4" w:space="0" w:color="auto"/>
              <w:right w:val="single" w:sz="4" w:space="0" w:color="auto"/>
            </w:tcBorders>
            <w:shd w:val="clear" w:color="auto" w:fill="FFFFFF" w:themeFill="background1"/>
            <w:noWrap/>
          </w:tcPr>
          <w:p w14:paraId="64D379D6" w14:textId="77777777" w:rsidR="00284822" w:rsidRDefault="00F77BF8">
            <w:pPr>
              <w:spacing w:before="120" w:after="120"/>
              <w:jc w:val="left"/>
              <w:rPr>
                <w:rFonts w:ascii="Rockwell" w:hAnsi="Rockwell"/>
                <w:color w:val="000000"/>
                <w:szCs w:val="26"/>
              </w:rPr>
            </w:pPr>
            <w:r>
              <w:rPr>
                <w:rFonts w:ascii="Rockwell" w:hAnsi="Rockwell"/>
                <w:color w:val="000000"/>
                <w:szCs w:val="26"/>
              </w:rPr>
              <w:t>89.7 MHz</w:t>
            </w:r>
          </w:p>
        </w:tc>
      </w:tr>
      <w:tr w:rsidR="00284822" w14:paraId="22FCFE55" w14:textId="77777777">
        <w:trPr>
          <w:trHeight w:val="834"/>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ADD15F3" w14:textId="77777777" w:rsidR="00284822" w:rsidRDefault="00F77BF8">
            <w:pPr>
              <w:spacing w:before="120" w:after="120"/>
              <w:jc w:val="left"/>
              <w:rPr>
                <w:rFonts w:ascii="Rockwell" w:hAnsi="Rockwell"/>
                <w:color w:val="000000"/>
                <w:szCs w:val="26"/>
              </w:rPr>
            </w:pPr>
            <w:r>
              <w:rPr>
                <w:rFonts w:ascii="Rockwell" w:hAnsi="Rockwell"/>
                <w:color w:val="000000"/>
                <w:szCs w:val="26"/>
              </w:rPr>
              <w:t>3</w:t>
            </w:r>
          </w:p>
        </w:tc>
        <w:tc>
          <w:tcPr>
            <w:tcW w:w="5675" w:type="dxa"/>
            <w:tcBorders>
              <w:top w:val="single" w:sz="4" w:space="0" w:color="auto"/>
              <w:left w:val="nil"/>
              <w:bottom w:val="single" w:sz="4" w:space="0" w:color="auto"/>
              <w:right w:val="single" w:sz="4" w:space="0" w:color="auto"/>
            </w:tcBorders>
            <w:shd w:val="clear" w:color="auto" w:fill="FFFFFF" w:themeFill="background1"/>
            <w:noWrap/>
          </w:tcPr>
          <w:p w14:paraId="4E9FEE68" w14:textId="77777777" w:rsidR="00284822" w:rsidRDefault="00F77BF8">
            <w:pPr>
              <w:spacing w:before="120" w:after="120"/>
              <w:jc w:val="left"/>
              <w:rPr>
                <w:rFonts w:ascii="Rockwell" w:hAnsi="Rockwell"/>
                <w:color w:val="000000"/>
                <w:szCs w:val="26"/>
              </w:rPr>
            </w:pPr>
            <w:r>
              <w:rPr>
                <w:rFonts w:ascii="Rockwell" w:hAnsi="Rockwell"/>
                <w:color w:val="000000"/>
                <w:szCs w:val="26"/>
              </w:rPr>
              <w:t>Radio Bagrépôle FM</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6889F188" w14:textId="77777777" w:rsidR="00284822" w:rsidRDefault="00F77BF8">
            <w:pPr>
              <w:spacing w:before="120" w:after="120"/>
              <w:jc w:val="left"/>
              <w:rPr>
                <w:rFonts w:ascii="Rockwell" w:hAnsi="Rockwell"/>
                <w:color w:val="000000"/>
                <w:szCs w:val="26"/>
              </w:rPr>
            </w:pPr>
            <w:r>
              <w:rPr>
                <w:rFonts w:ascii="Rockwell" w:hAnsi="Rockwell"/>
                <w:color w:val="000000"/>
                <w:szCs w:val="26"/>
              </w:rPr>
              <w:t>Bagré/Boulgou</w:t>
            </w:r>
          </w:p>
        </w:tc>
        <w:tc>
          <w:tcPr>
            <w:tcW w:w="1716" w:type="dxa"/>
            <w:tcBorders>
              <w:top w:val="single" w:sz="4" w:space="0" w:color="auto"/>
              <w:left w:val="nil"/>
              <w:bottom w:val="single" w:sz="4" w:space="0" w:color="auto"/>
              <w:right w:val="single" w:sz="4" w:space="0" w:color="auto"/>
            </w:tcBorders>
            <w:shd w:val="clear" w:color="auto" w:fill="FFFFFF" w:themeFill="background1"/>
            <w:noWrap/>
          </w:tcPr>
          <w:p w14:paraId="0F03E1E0" w14:textId="77777777" w:rsidR="00284822" w:rsidRDefault="00F77BF8">
            <w:pPr>
              <w:spacing w:before="120" w:after="120"/>
              <w:jc w:val="left"/>
              <w:rPr>
                <w:rFonts w:ascii="Rockwell" w:hAnsi="Rockwell"/>
                <w:color w:val="000000"/>
                <w:szCs w:val="26"/>
              </w:rPr>
            </w:pPr>
            <w:r>
              <w:rPr>
                <w:rFonts w:ascii="Rockwell" w:hAnsi="Rockwell"/>
                <w:color w:val="000000"/>
                <w:szCs w:val="26"/>
              </w:rPr>
              <w:t>93.3 MHz</w:t>
            </w:r>
          </w:p>
        </w:tc>
      </w:tr>
      <w:tr w:rsidR="00284822" w14:paraId="605B5B17" w14:textId="77777777">
        <w:trPr>
          <w:trHeight w:val="846"/>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EB5BFF2" w14:textId="77777777" w:rsidR="00284822" w:rsidRDefault="00F77BF8">
            <w:pPr>
              <w:spacing w:before="120" w:after="120"/>
              <w:jc w:val="left"/>
              <w:rPr>
                <w:rFonts w:ascii="Rockwell" w:hAnsi="Rockwell"/>
                <w:color w:val="000000"/>
                <w:szCs w:val="26"/>
              </w:rPr>
            </w:pPr>
            <w:r>
              <w:rPr>
                <w:rFonts w:ascii="Rockwell" w:hAnsi="Rockwell"/>
                <w:color w:val="000000"/>
                <w:szCs w:val="26"/>
              </w:rPr>
              <w:t>4</w:t>
            </w:r>
          </w:p>
        </w:tc>
        <w:tc>
          <w:tcPr>
            <w:tcW w:w="5675" w:type="dxa"/>
            <w:tcBorders>
              <w:top w:val="single" w:sz="4" w:space="0" w:color="auto"/>
              <w:left w:val="nil"/>
              <w:bottom w:val="single" w:sz="4" w:space="0" w:color="auto"/>
              <w:right w:val="single" w:sz="4" w:space="0" w:color="auto"/>
            </w:tcBorders>
            <w:shd w:val="clear" w:color="auto" w:fill="FFFFFF" w:themeFill="background1"/>
            <w:noWrap/>
          </w:tcPr>
          <w:p w14:paraId="7D91822C" w14:textId="77777777" w:rsidR="00284822" w:rsidRDefault="00F77BF8">
            <w:pPr>
              <w:spacing w:before="120" w:after="120"/>
              <w:jc w:val="left"/>
              <w:rPr>
                <w:rFonts w:ascii="Rockwell" w:hAnsi="Rockwell"/>
                <w:color w:val="000000"/>
                <w:szCs w:val="26"/>
              </w:rPr>
            </w:pPr>
            <w:r>
              <w:rPr>
                <w:rFonts w:ascii="Rockwell" w:hAnsi="Rockwell"/>
                <w:color w:val="000000"/>
                <w:szCs w:val="26"/>
              </w:rPr>
              <w:t xml:space="preserve">Radio </w:t>
            </w:r>
            <w:proofErr w:type="gramStart"/>
            <w:r>
              <w:rPr>
                <w:rFonts w:ascii="Rockwell" w:hAnsi="Rockwell"/>
                <w:color w:val="000000"/>
                <w:szCs w:val="26"/>
              </w:rPr>
              <w:t>Scolaire  Emettrice</w:t>
            </w:r>
            <w:proofErr w:type="gramEnd"/>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523BDB54" w14:textId="77777777" w:rsidR="00284822" w:rsidRDefault="00F77BF8">
            <w:pPr>
              <w:spacing w:before="120" w:after="120"/>
              <w:jc w:val="left"/>
              <w:rPr>
                <w:rFonts w:ascii="Rockwell" w:hAnsi="Rockwell"/>
                <w:color w:val="000000"/>
                <w:szCs w:val="26"/>
              </w:rPr>
            </w:pPr>
            <w:r>
              <w:rPr>
                <w:rFonts w:ascii="Rockwell" w:hAnsi="Rockwell"/>
                <w:color w:val="000000"/>
                <w:szCs w:val="26"/>
              </w:rPr>
              <w:t>Ouagadougou</w:t>
            </w:r>
          </w:p>
        </w:tc>
        <w:tc>
          <w:tcPr>
            <w:tcW w:w="1716" w:type="dxa"/>
            <w:tcBorders>
              <w:top w:val="single" w:sz="4" w:space="0" w:color="auto"/>
              <w:left w:val="nil"/>
              <w:bottom w:val="single" w:sz="4" w:space="0" w:color="auto"/>
              <w:right w:val="single" w:sz="4" w:space="0" w:color="auto"/>
            </w:tcBorders>
            <w:shd w:val="clear" w:color="auto" w:fill="FFFFFF" w:themeFill="background1"/>
            <w:noWrap/>
          </w:tcPr>
          <w:p w14:paraId="5D59FD68" w14:textId="77777777" w:rsidR="00284822" w:rsidRDefault="00F77BF8">
            <w:pPr>
              <w:spacing w:before="120" w:after="120"/>
              <w:jc w:val="left"/>
              <w:rPr>
                <w:rFonts w:ascii="Rockwell" w:hAnsi="Rockwell"/>
                <w:color w:val="000000"/>
                <w:szCs w:val="26"/>
              </w:rPr>
            </w:pPr>
            <w:r>
              <w:rPr>
                <w:rFonts w:ascii="Rockwell" w:hAnsi="Rockwell"/>
                <w:color w:val="000000"/>
                <w:szCs w:val="26"/>
              </w:rPr>
              <w:t>107.4 MHz</w:t>
            </w:r>
          </w:p>
        </w:tc>
      </w:tr>
      <w:tr w:rsidR="00284822" w14:paraId="1742641F" w14:textId="77777777">
        <w:trPr>
          <w:trHeight w:val="658"/>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BC2792B" w14:textId="77777777" w:rsidR="00284822" w:rsidRDefault="00F77BF8">
            <w:pPr>
              <w:spacing w:before="120" w:after="120"/>
              <w:jc w:val="left"/>
              <w:rPr>
                <w:rFonts w:ascii="Rockwell" w:hAnsi="Rockwell"/>
                <w:color w:val="000000"/>
                <w:szCs w:val="26"/>
              </w:rPr>
            </w:pPr>
            <w:r>
              <w:rPr>
                <w:rFonts w:ascii="Rockwell" w:hAnsi="Rockwell"/>
                <w:color w:val="000000"/>
                <w:szCs w:val="26"/>
              </w:rPr>
              <w:t>5</w:t>
            </w:r>
          </w:p>
        </w:tc>
        <w:tc>
          <w:tcPr>
            <w:tcW w:w="5675" w:type="dxa"/>
            <w:tcBorders>
              <w:top w:val="single" w:sz="4" w:space="0" w:color="auto"/>
              <w:left w:val="nil"/>
              <w:bottom w:val="single" w:sz="4" w:space="0" w:color="auto"/>
              <w:right w:val="single" w:sz="4" w:space="0" w:color="auto"/>
            </w:tcBorders>
            <w:shd w:val="clear" w:color="auto" w:fill="FFFFFF" w:themeFill="background1"/>
            <w:noWrap/>
          </w:tcPr>
          <w:p w14:paraId="5EAF2B1B" w14:textId="77777777" w:rsidR="00284822" w:rsidRDefault="00F77BF8">
            <w:pPr>
              <w:spacing w:before="120" w:after="120"/>
              <w:jc w:val="left"/>
              <w:rPr>
                <w:rFonts w:ascii="Rockwell" w:hAnsi="Rockwell"/>
                <w:color w:val="000000"/>
                <w:szCs w:val="26"/>
              </w:rPr>
            </w:pPr>
            <w:r>
              <w:rPr>
                <w:rFonts w:ascii="Rockwell" w:hAnsi="Rockwell"/>
                <w:color w:val="000000"/>
                <w:szCs w:val="26"/>
              </w:rPr>
              <w:t>Unité Mobile de Production de la Radio (UMPR)</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01158567" w14:textId="77777777" w:rsidR="00284822" w:rsidRDefault="00F77BF8">
            <w:pPr>
              <w:spacing w:before="120" w:after="120"/>
              <w:jc w:val="left"/>
              <w:rPr>
                <w:rFonts w:ascii="Rockwell" w:hAnsi="Rockwell"/>
                <w:color w:val="000000"/>
                <w:szCs w:val="26"/>
              </w:rPr>
            </w:pPr>
            <w:r>
              <w:rPr>
                <w:rFonts w:ascii="Rockwell" w:hAnsi="Rockwell"/>
                <w:color w:val="000000"/>
                <w:szCs w:val="26"/>
              </w:rPr>
              <w:t>Hauts-Bassins, Cascades, Boucle du Mouhoun, Sud-Ouest et Centre-Ouest</w:t>
            </w:r>
          </w:p>
        </w:tc>
        <w:tc>
          <w:tcPr>
            <w:tcW w:w="1716" w:type="dxa"/>
            <w:tcBorders>
              <w:top w:val="single" w:sz="4" w:space="0" w:color="auto"/>
              <w:left w:val="nil"/>
              <w:bottom w:val="single" w:sz="4" w:space="0" w:color="auto"/>
              <w:right w:val="single" w:sz="4" w:space="0" w:color="auto"/>
            </w:tcBorders>
            <w:shd w:val="clear" w:color="auto" w:fill="FFFFFF" w:themeFill="background1"/>
            <w:noWrap/>
          </w:tcPr>
          <w:p w14:paraId="31AB64AF" w14:textId="77777777" w:rsidR="00284822" w:rsidRDefault="00F77BF8">
            <w:pPr>
              <w:spacing w:before="120" w:after="120"/>
              <w:jc w:val="left"/>
              <w:rPr>
                <w:rFonts w:ascii="Rockwell" w:hAnsi="Rockwell"/>
                <w:color w:val="000000"/>
                <w:szCs w:val="26"/>
              </w:rPr>
            </w:pPr>
            <w:r>
              <w:rPr>
                <w:rFonts w:ascii="Rockwell" w:hAnsi="Rockwell"/>
                <w:color w:val="000000"/>
                <w:szCs w:val="26"/>
              </w:rPr>
              <w:t>107.6 MHz</w:t>
            </w:r>
          </w:p>
        </w:tc>
      </w:tr>
      <w:tr w:rsidR="00284822" w14:paraId="1CD4626B" w14:textId="77777777">
        <w:trPr>
          <w:trHeight w:val="587"/>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907B05F" w14:textId="77777777" w:rsidR="00284822" w:rsidRDefault="00F77BF8">
            <w:pPr>
              <w:spacing w:before="120" w:after="120"/>
              <w:jc w:val="left"/>
              <w:rPr>
                <w:rFonts w:ascii="Rockwell" w:hAnsi="Rockwell"/>
                <w:color w:val="000000"/>
                <w:szCs w:val="26"/>
              </w:rPr>
            </w:pPr>
            <w:r>
              <w:rPr>
                <w:rFonts w:ascii="Rockwell" w:hAnsi="Rockwell"/>
                <w:color w:val="000000"/>
                <w:szCs w:val="26"/>
              </w:rPr>
              <w:t>6</w:t>
            </w:r>
          </w:p>
        </w:tc>
        <w:tc>
          <w:tcPr>
            <w:tcW w:w="5675" w:type="dxa"/>
            <w:tcBorders>
              <w:top w:val="single" w:sz="4" w:space="0" w:color="auto"/>
              <w:left w:val="nil"/>
              <w:bottom w:val="single" w:sz="4" w:space="0" w:color="auto"/>
              <w:right w:val="single" w:sz="4" w:space="0" w:color="auto"/>
            </w:tcBorders>
            <w:shd w:val="clear" w:color="auto" w:fill="FFFFFF" w:themeFill="background1"/>
            <w:noWrap/>
          </w:tcPr>
          <w:p w14:paraId="67060A0F" w14:textId="77777777" w:rsidR="00284822" w:rsidRDefault="00F77BF8">
            <w:pPr>
              <w:spacing w:before="120" w:after="120"/>
              <w:jc w:val="left"/>
              <w:rPr>
                <w:rFonts w:ascii="Rockwell" w:hAnsi="Rockwell"/>
                <w:color w:val="000000"/>
                <w:szCs w:val="26"/>
              </w:rPr>
            </w:pPr>
            <w:r>
              <w:rPr>
                <w:rFonts w:ascii="Rockwell" w:hAnsi="Rockwell"/>
                <w:color w:val="000000"/>
                <w:szCs w:val="26"/>
              </w:rPr>
              <w:t>Radio Jeunesse Sahel</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6DBCC600" w14:textId="77777777" w:rsidR="00284822" w:rsidRDefault="00F77BF8">
            <w:pPr>
              <w:spacing w:before="120" w:after="120"/>
              <w:jc w:val="left"/>
              <w:rPr>
                <w:rFonts w:ascii="Rockwell" w:hAnsi="Rockwell"/>
                <w:color w:val="000000"/>
                <w:szCs w:val="26"/>
              </w:rPr>
            </w:pPr>
            <w:r>
              <w:rPr>
                <w:rFonts w:ascii="Rockwell" w:hAnsi="Rockwell"/>
                <w:color w:val="000000"/>
                <w:szCs w:val="26"/>
              </w:rPr>
              <w:t>Ouagadougou</w:t>
            </w:r>
          </w:p>
        </w:tc>
        <w:tc>
          <w:tcPr>
            <w:tcW w:w="1716" w:type="dxa"/>
            <w:tcBorders>
              <w:top w:val="single" w:sz="4" w:space="0" w:color="auto"/>
              <w:left w:val="nil"/>
              <w:bottom w:val="single" w:sz="4" w:space="0" w:color="auto"/>
              <w:right w:val="single" w:sz="4" w:space="0" w:color="auto"/>
            </w:tcBorders>
            <w:shd w:val="clear" w:color="auto" w:fill="FFFFFF" w:themeFill="background1"/>
            <w:noWrap/>
          </w:tcPr>
          <w:p w14:paraId="7E04E50F" w14:textId="77777777" w:rsidR="00284822" w:rsidRDefault="00F77BF8">
            <w:pPr>
              <w:spacing w:before="120" w:after="120"/>
              <w:jc w:val="left"/>
              <w:rPr>
                <w:rFonts w:ascii="Rockwell" w:hAnsi="Rockwell"/>
                <w:color w:val="000000"/>
                <w:szCs w:val="26"/>
              </w:rPr>
            </w:pPr>
            <w:r>
              <w:rPr>
                <w:rFonts w:ascii="Rockwell" w:hAnsi="Rockwell"/>
                <w:color w:val="000000"/>
                <w:szCs w:val="26"/>
              </w:rPr>
              <w:t>95.3 MHZ</w:t>
            </w:r>
          </w:p>
        </w:tc>
      </w:tr>
      <w:tr w:rsidR="00284822" w14:paraId="540012C1"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AD060FD" w14:textId="77777777" w:rsidR="00284822" w:rsidRDefault="00F77BF8">
            <w:pPr>
              <w:spacing w:before="120" w:after="120"/>
              <w:jc w:val="left"/>
              <w:rPr>
                <w:rFonts w:ascii="Rockwell" w:hAnsi="Rockwell"/>
                <w:color w:val="000000"/>
                <w:szCs w:val="26"/>
              </w:rPr>
            </w:pPr>
            <w:r>
              <w:rPr>
                <w:rFonts w:ascii="Rockwell" w:hAnsi="Rockwell"/>
                <w:color w:val="000000"/>
                <w:szCs w:val="26"/>
              </w:rPr>
              <w:t>7</w:t>
            </w:r>
          </w:p>
        </w:tc>
        <w:tc>
          <w:tcPr>
            <w:tcW w:w="5675" w:type="dxa"/>
            <w:tcBorders>
              <w:top w:val="single" w:sz="4" w:space="0" w:color="auto"/>
              <w:left w:val="nil"/>
              <w:bottom w:val="single" w:sz="4" w:space="0" w:color="auto"/>
              <w:right w:val="single" w:sz="4" w:space="0" w:color="auto"/>
            </w:tcBorders>
            <w:shd w:val="clear" w:color="auto" w:fill="FFFFFF" w:themeFill="background1"/>
            <w:noWrap/>
          </w:tcPr>
          <w:p w14:paraId="472593A4" w14:textId="77777777" w:rsidR="00284822" w:rsidRDefault="00F77BF8">
            <w:pPr>
              <w:spacing w:before="120" w:after="120"/>
              <w:jc w:val="left"/>
              <w:rPr>
                <w:rFonts w:ascii="Rockwell" w:hAnsi="Rockwell"/>
                <w:color w:val="000000"/>
                <w:szCs w:val="26"/>
              </w:rPr>
            </w:pPr>
            <w:r>
              <w:rPr>
                <w:rFonts w:ascii="Rockwell" w:hAnsi="Rockwell"/>
                <w:color w:val="000000"/>
                <w:szCs w:val="26"/>
              </w:rPr>
              <w:t>ISTIC FM</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079DCA3B" w14:textId="77777777" w:rsidR="00284822" w:rsidRDefault="00F77BF8">
            <w:pPr>
              <w:spacing w:before="120" w:after="120"/>
              <w:jc w:val="left"/>
              <w:rPr>
                <w:rFonts w:ascii="Rockwell" w:hAnsi="Rockwell"/>
                <w:color w:val="000000"/>
                <w:szCs w:val="26"/>
              </w:rPr>
            </w:pPr>
            <w:r>
              <w:rPr>
                <w:rFonts w:ascii="Rockwell" w:hAnsi="Rockwell"/>
                <w:color w:val="000000"/>
                <w:szCs w:val="26"/>
              </w:rPr>
              <w:t>Ouagadougou/Kadiogo</w:t>
            </w:r>
          </w:p>
        </w:tc>
        <w:tc>
          <w:tcPr>
            <w:tcW w:w="1716" w:type="dxa"/>
            <w:tcBorders>
              <w:top w:val="single" w:sz="4" w:space="0" w:color="auto"/>
              <w:left w:val="nil"/>
              <w:bottom w:val="single" w:sz="4" w:space="0" w:color="auto"/>
              <w:right w:val="single" w:sz="4" w:space="0" w:color="auto"/>
            </w:tcBorders>
            <w:shd w:val="clear" w:color="auto" w:fill="FFFFFF" w:themeFill="background1"/>
            <w:noWrap/>
          </w:tcPr>
          <w:p w14:paraId="4B63F022" w14:textId="77777777" w:rsidR="00284822" w:rsidRDefault="00F77BF8">
            <w:pPr>
              <w:spacing w:before="120" w:after="120"/>
              <w:jc w:val="left"/>
              <w:rPr>
                <w:rFonts w:ascii="Rockwell" w:hAnsi="Rockwell"/>
                <w:color w:val="000000"/>
                <w:szCs w:val="26"/>
              </w:rPr>
            </w:pPr>
            <w:r>
              <w:rPr>
                <w:rFonts w:ascii="Rockwell" w:hAnsi="Rockwell"/>
                <w:color w:val="000000"/>
                <w:szCs w:val="26"/>
              </w:rPr>
              <w:t>88.9 MHZ</w:t>
            </w:r>
          </w:p>
        </w:tc>
      </w:tr>
    </w:tbl>
    <w:p w14:paraId="21DC5E1E" w14:textId="77777777" w:rsidR="00284822" w:rsidRDefault="00284822">
      <w:pPr>
        <w:spacing w:before="120" w:after="120"/>
        <w:rPr>
          <w:rFonts w:ascii="Rockwell" w:hAnsi="Rockwell"/>
          <w:szCs w:val="26"/>
        </w:rPr>
      </w:pPr>
    </w:p>
    <w:p w14:paraId="1E135CDF" w14:textId="77777777" w:rsidR="00284822" w:rsidRDefault="00284822">
      <w:pPr>
        <w:spacing w:before="120" w:after="120"/>
        <w:rPr>
          <w:rFonts w:ascii="Rockwell" w:hAnsi="Rockwell"/>
          <w:szCs w:val="26"/>
        </w:rPr>
      </w:pPr>
    </w:p>
    <w:p w14:paraId="6364A1B0" w14:textId="77777777" w:rsidR="00284822" w:rsidRDefault="00F77BF8">
      <w:pPr>
        <w:pStyle w:val="Paragraphedeliste"/>
        <w:numPr>
          <w:ilvl w:val="0"/>
          <w:numId w:val="60"/>
        </w:numPr>
        <w:suppressAutoHyphens w:val="0"/>
        <w:autoSpaceDN/>
        <w:ind w:firstLine="414"/>
        <w:contextualSpacing/>
        <w:textAlignment w:val="auto"/>
        <w:rPr>
          <w:rFonts w:ascii="Rockwell" w:hAnsi="Rockwell"/>
        </w:rPr>
      </w:pPr>
      <w:r>
        <w:rPr>
          <w:rFonts w:ascii="Rockwell" w:hAnsi="Rockwell"/>
        </w:rPr>
        <w:lastRenderedPageBreak/>
        <w:t>Radios publiques : six (06)</w:t>
      </w:r>
    </w:p>
    <w:tbl>
      <w:tblPr>
        <w:tblW w:w="11907" w:type="dxa"/>
        <w:tblInd w:w="988" w:type="dxa"/>
        <w:tblLayout w:type="fixed"/>
        <w:tblCellMar>
          <w:left w:w="70" w:type="dxa"/>
          <w:right w:w="70" w:type="dxa"/>
        </w:tblCellMar>
        <w:tblLook w:val="04A0" w:firstRow="1" w:lastRow="0" w:firstColumn="1" w:lastColumn="0" w:noHBand="0" w:noVBand="1"/>
      </w:tblPr>
      <w:tblGrid>
        <w:gridCol w:w="850"/>
        <w:gridCol w:w="3402"/>
        <w:gridCol w:w="3686"/>
        <w:gridCol w:w="3969"/>
      </w:tblGrid>
      <w:tr w:rsidR="00284822" w14:paraId="717894AA" w14:textId="77777777">
        <w:trPr>
          <w:trHeight w:val="600"/>
        </w:trPr>
        <w:tc>
          <w:tcPr>
            <w:tcW w:w="850" w:type="dxa"/>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bottom"/>
          </w:tcPr>
          <w:p w14:paraId="269BC1A5" w14:textId="77777777" w:rsidR="00284822" w:rsidRDefault="00F77BF8">
            <w:pPr>
              <w:spacing w:before="120" w:after="120"/>
              <w:rPr>
                <w:rFonts w:ascii="Rockwell" w:hAnsi="Rockwell"/>
                <w:b/>
                <w:bCs/>
                <w:color w:val="000000"/>
                <w:szCs w:val="26"/>
              </w:rPr>
            </w:pPr>
            <w:r>
              <w:rPr>
                <w:rFonts w:ascii="Rockwell" w:hAnsi="Rockwell"/>
                <w:b/>
                <w:bCs/>
                <w:color w:val="000000"/>
                <w:szCs w:val="26"/>
              </w:rPr>
              <w:t>N°</w:t>
            </w:r>
          </w:p>
        </w:tc>
        <w:tc>
          <w:tcPr>
            <w:tcW w:w="3402" w:type="dxa"/>
            <w:tcBorders>
              <w:top w:val="single" w:sz="4" w:space="0" w:color="auto"/>
              <w:left w:val="nil"/>
              <w:bottom w:val="single" w:sz="4" w:space="0" w:color="auto"/>
              <w:right w:val="single" w:sz="4" w:space="0" w:color="auto"/>
            </w:tcBorders>
            <w:shd w:val="clear" w:color="auto" w:fill="BDD6EE" w:themeFill="accent1" w:themeFillTint="66"/>
            <w:noWrap/>
            <w:vAlign w:val="bottom"/>
          </w:tcPr>
          <w:p w14:paraId="40608F36" w14:textId="77777777" w:rsidR="00284822" w:rsidRDefault="00F77BF8">
            <w:pPr>
              <w:spacing w:before="120" w:after="120"/>
              <w:rPr>
                <w:rFonts w:ascii="Rockwell" w:hAnsi="Rockwell"/>
                <w:b/>
                <w:bCs/>
                <w:color w:val="000000"/>
                <w:szCs w:val="26"/>
              </w:rPr>
            </w:pPr>
            <w:r>
              <w:rPr>
                <w:rFonts w:ascii="Rockwell" w:hAnsi="Rockwell"/>
                <w:b/>
                <w:bCs/>
                <w:color w:val="000000"/>
                <w:szCs w:val="26"/>
              </w:rPr>
              <w:t>Dénomination</w:t>
            </w:r>
          </w:p>
        </w:tc>
        <w:tc>
          <w:tcPr>
            <w:tcW w:w="3686" w:type="dxa"/>
            <w:tcBorders>
              <w:top w:val="single" w:sz="4" w:space="0" w:color="auto"/>
              <w:left w:val="nil"/>
              <w:bottom w:val="single" w:sz="4" w:space="0" w:color="auto"/>
              <w:right w:val="single" w:sz="4" w:space="0" w:color="auto"/>
            </w:tcBorders>
            <w:shd w:val="clear" w:color="auto" w:fill="BDD6EE" w:themeFill="accent1" w:themeFillTint="66"/>
            <w:noWrap/>
            <w:vAlign w:val="bottom"/>
          </w:tcPr>
          <w:p w14:paraId="5362F444" w14:textId="77777777" w:rsidR="00284822" w:rsidRDefault="00F77BF8">
            <w:pPr>
              <w:spacing w:before="120" w:after="120"/>
              <w:rPr>
                <w:rFonts w:ascii="Rockwell" w:hAnsi="Rockwell"/>
                <w:b/>
                <w:bCs/>
                <w:color w:val="000000"/>
                <w:szCs w:val="26"/>
              </w:rPr>
            </w:pPr>
            <w:r>
              <w:rPr>
                <w:rFonts w:ascii="Rockwell" w:hAnsi="Rockwell"/>
                <w:b/>
                <w:bCs/>
                <w:color w:val="000000"/>
                <w:szCs w:val="26"/>
              </w:rPr>
              <w:t>Localité/Province</w:t>
            </w:r>
          </w:p>
        </w:tc>
        <w:tc>
          <w:tcPr>
            <w:tcW w:w="3969" w:type="dxa"/>
            <w:tcBorders>
              <w:top w:val="single" w:sz="4" w:space="0" w:color="auto"/>
              <w:left w:val="nil"/>
              <w:bottom w:val="single" w:sz="4" w:space="0" w:color="auto"/>
              <w:right w:val="single" w:sz="4" w:space="0" w:color="auto"/>
            </w:tcBorders>
            <w:shd w:val="clear" w:color="auto" w:fill="BDD6EE" w:themeFill="accent1" w:themeFillTint="66"/>
            <w:noWrap/>
            <w:vAlign w:val="bottom"/>
          </w:tcPr>
          <w:p w14:paraId="1641B2E4" w14:textId="77777777" w:rsidR="00284822" w:rsidRDefault="00F77BF8">
            <w:pPr>
              <w:spacing w:before="120" w:after="120"/>
              <w:rPr>
                <w:rFonts w:ascii="Rockwell" w:hAnsi="Rockwell"/>
                <w:b/>
                <w:bCs/>
                <w:color w:val="000000"/>
                <w:szCs w:val="26"/>
              </w:rPr>
            </w:pPr>
            <w:r>
              <w:rPr>
                <w:rFonts w:ascii="Rockwell" w:hAnsi="Rockwell"/>
                <w:b/>
                <w:bCs/>
                <w:color w:val="000000"/>
                <w:szCs w:val="26"/>
              </w:rPr>
              <w:t>Fréquence</w:t>
            </w:r>
          </w:p>
        </w:tc>
      </w:tr>
      <w:tr w:rsidR="00284822" w14:paraId="0E44DCFC" w14:textId="77777777">
        <w:trPr>
          <w:trHeight w:val="600"/>
        </w:trPr>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9EC34AB" w14:textId="77777777" w:rsidR="00284822" w:rsidRDefault="00F77BF8">
            <w:pPr>
              <w:spacing w:before="120" w:after="120"/>
              <w:rPr>
                <w:rFonts w:ascii="Rockwell" w:hAnsi="Rockwell"/>
                <w:color w:val="000000"/>
                <w:szCs w:val="26"/>
              </w:rPr>
            </w:pPr>
            <w:r>
              <w:rPr>
                <w:rFonts w:ascii="Rockwell" w:hAnsi="Rockwell"/>
                <w:color w:val="000000"/>
                <w:szCs w:val="26"/>
              </w:rPr>
              <w:t>1</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35AD6827" w14:textId="77777777" w:rsidR="00284822" w:rsidRDefault="00F77BF8">
            <w:pPr>
              <w:spacing w:before="120" w:after="120"/>
              <w:rPr>
                <w:rFonts w:ascii="Rockwell" w:hAnsi="Rockwell"/>
                <w:color w:val="000000"/>
                <w:szCs w:val="26"/>
              </w:rPr>
            </w:pPr>
            <w:r>
              <w:rPr>
                <w:rFonts w:ascii="Rockwell" w:hAnsi="Rockwell"/>
                <w:color w:val="000000"/>
                <w:szCs w:val="26"/>
              </w:rPr>
              <w:t>Radio Rurale</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58816673" w14:textId="77777777" w:rsidR="00284822" w:rsidRDefault="00F77BF8">
            <w:pPr>
              <w:spacing w:before="120" w:after="120"/>
              <w:rPr>
                <w:rFonts w:ascii="Rockwell" w:hAnsi="Rockwell"/>
                <w:color w:val="000000"/>
                <w:szCs w:val="26"/>
              </w:rPr>
            </w:pPr>
            <w:r>
              <w:rPr>
                <w:rFonts w:ascii="Rockwell" w:hAnsi="Rockwell"/>
                <w:color w:val="000000"/>
                <w:szCs w:val="26"/>
              </w:rPr>
              <w:t>Banfora/Comoé</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77443226" w14:textId="77777777" w:rsidR="00284822" w:rsidRDefault="00F77BF8">
            <w:pPr>
              <w:spacing w:before="120" w:after="120"/>
              <w:rPr>
                <w:rFonts w:ascii="Rockwell" w:hAnsi="Rockwell"/>
                <w:color w:val="000000"/>
                <w:szCs w:val="26"/>
              </w:rPr>
            </w:pPr>
            <w:r>
              <w:rPr>
                <w:rFonts w:ascii="Rockwell" w:hAnsi="Rockwell"/>
                <w:color w:val="000000"/>
                <w:szCs w:val="26"/>
              </w:rPr>
              <w:t>88.4 MHz</w:t>
            </w:r>
          </w:p>
        </w:tc>
      </w:tr>
      <w:tr w:rsidR="00284822" w14:paraId="60ACF8F0" w14:textId="77777777">
        <w:trPr>
          <w:trHeight w:val="600"/>
        </w:trPr>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2DE68B9" w14:textId="77777777" w:rsidR="00284822" w:rsidRDefault="00F77BF8">
            <w:pPr>
              <w:spacing w:before="120" w:after="120"/>
              <w:rPr>
                <w:rFonts w:ascii="Rockwell" w:hAnsi="Rockwell"/>
                <w:szCs w:val="26"/>
              </w:rPr>
            </w:pPr>
            <w:r>
              <w:rPr>
                <w:rFonts w:ascii="Rockwell" w:hAnsi="Rockwell"/>
                <w:szCs w:val="26"/>
              </w:rPr>
              <w:t>2</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29642506" w14:textId="77777777" w:rsidR="00284822" w:rsidRDefault="00F77BF8">
            <w:pPr>
              <w:spacing w:before="120" w:after="120"/>
              <w:rPr>
                <w:rFonts w:ascii="Rockwell" w:hAnsi="Rockwell"/>
                <w:color w:val="000000"/>
                <w:szCs w:val="26"/>
              </w:rPr>
            </w:pPr>
            <w:r>
              <w:rPr>
                <w:rFonts w:ascii="Rockwell" w:hAnsi="Rockwell"/>
                <w:color w:val="000000"/>
                <w:szCs w:val="26"/>
              </w:rPr>
              <w:t>RTB2 Hauts-Bassins</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01ED2A48" w14:textId="77777777" w:rsidR="00284822" w:rsidRDefault="00F77BF8">
            <w:pPr>
              <w:spacing w:before="120" w:after="120"/>
              <w:rPr>
                <w:rFonts w:ascii="Rockwell" w:hAnsi="Rockwell"/>
                <w:color w:val="000000"/>
                <w:szCs w:val="26"/>
              </w:rPr>
            </w:pPr>
            <w:r>
              <w:rPr>
                <w:rFonts w:ascii="Rockwell" w:hAnsi="Rockwell"/>
                <w:color w:val="000000"/>
                <w:szCs w:val="26"/>
              </w:rPr>
              <w:t>Bobo-Dioulasso/Houet</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027BC122" w14:textId="77777777" w:rsidR="00284822" w:rsidRDefault="00F77BF8">
            <w:pPr>
              <w:spacing w:before="120" w:after="120"/>
              <w:rPr>
                <w:rFonts w:ascii="Rockwell" w:hAnsi="Rockwell"/>
                <w:color w:val="000000"/>
                <w:szCs w:val="26"/>
              </w:rPr>
            </w:pPr>
            <w:r>
              <w:rPr>
                <w:rFonts w:ascii="Rockwell" w:hAnsi="Rockwell"/>
                <w:color w:val="000000"/>
                <w:szCs w:val="26"/>
              </w:rPr>
              <w:t>88.9 MHz</w:t>
            </w:r>
          </w:p>
        </w:tc>
      </w:tr>
      <w:tr w:rsidR="00284822" w14:paraId="443F4BF0" w14:textId="77777777">
        <w:trPr>
          <w:trHeight w:val="600"/>
        </w:trPr>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6D6F9E1" w14:textId="77777777" w:rsidR="00284822" w:rsidRDefault="00F77BF8">
            <w:pPr>
              <w:spacing w:before="120" w:after="120"/>
              <w:rPr>
                <w:rFonts w:ascii="Rockwell" w:hAnsi="Rockwell"/>
                <w:color w:val="000000"/>
                <w:szCs w:val="26"/>
              </w:rPr>
            </w:pPr>
            <w:r>
              <w:rPr>
                <w:rFonts w:ascii="Rockwell" w:hAnsi="Rockwell"/>
                <w:color w:val="000000"/>
                <w:szCs w:val="26"/>
              </w:rPr>
              <w:t>3</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603D181C" w14:textId="77777777" w:rsidR="00284822" w:rsidRDefault="00F77BF8">
            <w:pPr>
              <w:spacing w:before="120" w:after="120"/>
              <w:rPr>
                <w:rFonts w:ascii="Rockwell" w:hAnsi="Rockwell"/>
                <w:color w:val="000000"/>
                <w:szCs w:val="26"/>
              </w:rPr>
            </w:pPr>
            <w:r>
              <w:rPr>
                <w:rFonts w:ascii="Rockwell" w:hAnsi="Rockwell"/>
                <w:color w:val="000000"/>
                <w:szCs w:val="26"/>
              </w:rPr>
              <w:t>Radio Gaoua</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22D2CF2D" w14:textId="77777777" w:rsidR="00284822" w:rsidRDefault="00F77BF8">
            <w:pPr>
              <w:spacing w:before="120" w:after="120"/>
              <w:rPr>
                <w:rFonts w:ascii="Rockwell" w:hAnsi="Rockwell"/>
                <w:color w:val="000000"/>
                <w:szCs w:val="26"/>
              </w:rPr>
            </w:pPr>
            <w:r>
              <w:rPr>
                <w:rFonts w:ascii="Rockwell" w:hAnsi="Rockwell"/>
                <w:color w:val="000000"/>
                <w:szCs w:val="26"/>
              </w:rPr>
              <w:t>Gaoua/</w:t>
            </w:r>
            <w:proofErr w:type="spellStart"/>
            <w:r>
              <w:rPr>
                <w:rFonts w:ascii="Rockwell" w:hAnsi="Rockwell"/>
                <w:color w:val="000000"/>
                <w:szCs w:val="26"/>
              </w:rPr>
              <w:t>Poni</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0C62C57F" w14:textId="77777777" w:rsidR="00284822" w:rsidRDefault="00F77BF8">
            <w:pPr>
              <w:spacing w:before="120" w:after="120"/>
              <w:rPr>
                <w:rFonts w:ascii="Rockwell" w:hAnsi="Rockwell"/>
                <w:color w:val="000000"/>
                <w:szCs w:val="26"/>
              </w:rPr>
            </w:pPr>
            <w:r>
              <w:rPr>
                <w:rFonts w:ascii="Rockwell" w:hAnsi="Rockwell"/>
                <w:color w:val="000000"/>
                <w:szCs w:val="26"/>
              </w:rPr>
              <w:t>90.1 MHz</w:t>
            </w:r>
          </w:p>
        </w:tc>
      </w:tr>
      <w:tr w:rsidR="00284822" w14:paraId="6C56DFB1" w14:textId="77777777">
        <w:trPr>
          <w:trHeight w:val="600"/>
        </w:trPr>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B5115DF" w14:textId="77777777" w:rsidR="00284822" w:rsidRDefault="00F77BF8">
            <w:pPr>
              <w:spacing w:before="120" w:after="120"/>
              <w:rPr>
                <w:rFonts w:ascii="Rockwell" w:hAnsi="Rockwell"/>
                <w:color w:val="000000"/>
                <w:szCs w:val="26"/>
              </w:rPr>
            </w:pPr>
            <w:r>
              <w:rPr>
                <w:rFonts w:ascii="Rockwell" w:hAnsi="Rockwell"/>
                <w:color w:val="000000"/>
                <w:szCs w:val="26"/>
              </w:rPr>
              <w:t>4</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00C0E422" w14:textId="77777777" w:rsidR="00284822" w:rsidRDefault="00F77BF8">
            <w:pPr>
              <w:spacing w:before="120" w:after="120"/>
              <w:rPr>
                <w:rFonts w:ascii="Rockwell" w:hAnsi="Rockwell"/>
                <w:color w:val="000000"/>
                <w:szCs w:val="26"/>
              </w:rPr>
            </w:pPr>
            <w:r>
              <w:rPr>
                <w:rFonts w:ascii="Rockwell" w:hAnsi="Rockwell"/>
                <w:color w:val="000000"/>
                <w:szCs w:val="26"/>
              </w:rPr>
              <w:t>Radio Rurale</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02FC90D8" w14:textId="77777777" w:rsidR="00284822" w:rsidRDefault="00F77BF8">
            <w:pPr>
              <w:spacing w:before="120" w:after="120"/>
              <w:rPr>
                <w:rFonts w:ascii="Rockwell" w:hAnsi="Rockwell"/>
                <w:color w:val="000000"/>
                <w:szCs w:val="26"/>
              </w:rPr>
            </w:pPr>
            <w:r>
              <w:rPr>
                <w:rFonts w:ascii="Rockwell" w:hAnsi="Rockwell"/>
                <w:color w:val="000000"/>
                <w:szCs w:val="26"/>
              </w:rPr>
              <w:t>Gaoua/</w:t>
            </w:r>
            <w:proofErr w:type="spellStart"/>
            <w:r>
              <w:rPr>
                <w:rFonts w:ascii="Rockwell" w:hAnsi="Rockwell"/>
                <w:color w:val="000000"/>
                <w:szCs w:val="26"/>
              </w:rPr>
              <w:t>Poni</w:t>
            </w:r>
            <w:proofErr w:type="spellEnd"/>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2E4D738E" w14:textId="77777777" w:rsidR="00284822" w:rsidRDefault="00F77BF8">
            <w:pPr>
              <w:spacing w:before="120" w:after="120"/>
              <w:rPr>
                <w:rFonts w:ascii="Rockwell" w:hAnsi="Rockwell"/>
                <w:color w:val="000000"/>
                <w:szCs w:val="26"/>
              </w:rPr>
            </w:pPr>
            <w:r>
              <w:rPr>
                <w:rFonts w:ascii="Rockwell" w:hAnsi="Rockwell"/>
                <w:color w:val="000000"/>
                <w:szCs w:val="26"/>
              </w:rPr>
              <w:t>93.2 MHz</w:t>
            </w:r>
          </w:p>
        </w:tc>
      </w:tr>
      <w:tr w:rsidR="00284822" w14:paraId="031DED57" w14:textId="77777777">
        <w:trPr>
          <w:trHeight w:val="600"/>
        </w:trPr>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BD07755" w14:textId="77777777" w:rsidR="00284822" w:rsidRDefault="00F77BF8">
            <w:pPr>
              <w:spacing w:before="120" w:after="120"/>
              <w:rPr>
                <w:rFonts w:ascii="Rockwell" w:hAnsi="Rockwell"/>
                <w:color w:val="000000"/>
                <w:szCs w:val="26"/>
              </w:rPr>
            </w:pPr>
            <w:r>
              <w:rPr>
                <w:rFonts w:ascii="Rockwell" w:hAnsi="Rockwell"/>
                <w:color w:val="000000"/>
                <w:szCs w:val="26"/>
              </w:rPr>
              <w:t>5</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677EDB02" w14:textId="77777777" w:rsidR="00284822" w:rsidRDefault="00F77BF8">
            <w:pPr>
              <w:spacing w:before="120" w:after="120"/>
              <w:rPr>
                <w:rFonts w:ascii="Rockwell" w:hAnsi="Rockwell"/>
                <w:color w:val="000000"/>
                <w:szCs w:val="26"/>
              </w:rPr>
            </w:pPr>
            <w:r>
              <w:rPr>
                <w:rFonts w:ascii="Rockwell" w:hAnsi="Rockwell"/>
                <w:color w:val="000000"/>
                <w:szCs w:val="26"/>
              </w:rPr>
              <w:t>Radio Arc en ciel</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08A4C17C"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339F58C9" w14:textId="77777777" w:rsidR="00284822" w:rsidRDefault="00F77BF8">
            <w:pPr>
              <w:spacing w:before="120" w:after="120"/>
              <w:rPr>
                <w:rFonts w:ascii="Rockwell" w:hAnsi="Rockwell"/>
                <w:color w:val="000000"/>
                <w:szCs w:val="26"/>
              </w:rPr>
            </w:pPr>
            <w:r>
              <w:rPr>
                <w:rFonts w:ascii="Rockwell" w:hAnsi="Rockwell"/>
                <w:color w:val="000000"/>
                <w:szCs w:val="26"/>
              </w:rPr>
              <w:t>96.6 MHz</w:t>
            </w:r>
          </w:p>
        </w:tc>
      </w:tr>
      <w:tr w:rsidR="00284822" w14:paraId="42283482" w14:textId="77777777">
        <w:trPr>
          <w:trHeight w:val="600"/>
        </w:trPr>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E26DFAC" w14:textId="77777777" w:rsidR="00284822" w:rsidRDefault="00F77BF8">
            <w:pPr>
              <w:spacing w:before="120" w:after="120"/>
              <w:rPr>
                <w:rFonts w:ascii="Rockwell" w:hAnsi="Rockwell"/>
                <w:color w:val="000000"/>
                <w:szCs w:val="26"/>
              </w:rPr>
            </w:pPr>
            <w:r>
              <w:rPr>
                <w:rFonts w:ascii="Rockwell" w:hAnsi="Rockwell"/>
                <w:color w:val="000000"/>
                <w:szCs w:val="26"/>
              </w:rPr>
              <w:t>6</w:t>
            </w:r>
          </w:p>
        </w:tc>
        <w:tc>
          <w:tcPr>
            <w:tcW w:w="3402" w:type="dxa"/>
            <w:tcBorders>
              <w:top w:val="single" w:sz="4" w:space="0" w:color="auto"/>
              <w:left w:val="nil"/>
              <w:bottom w:val="single" w:sz="4" w:space="0" w:color="auto"/>
              <w:right w:val="single" w:sz="4" w:space="0" w:color="auto"/>
            </w:tcBorders>
            <w:shd w:val="clear" w:color="auto" w:fill="FFFFFF" w:themeFill="background1"/>
            <w:noWrap/>
            <w:vAlign w:val="bottom"/>
          </w:tcPr>
          <w:p w14:paraId="245FA4C0" w14:textId="77777777" w:rsidR="00284822" w:rsidRDefault="00F77BF8">
            <w:pPr>
              <w:spacing w:before="120" w:after="120"/>
              <w:rPr>
                <w:rFonts w:ascii="Rockwell" w:hAnsi="Rockwell"/>
                <w:color w:val="000000"/>
                <w:szCs w:val="26"/>
              </w:rPr>
            </w:pPr>
            <w:r>
              <w:rPr>
                <w:rFonts w:ascii="Rockwell" w:hAnsi="Rockwell"/>
                <w:color w:val="000000"/>
                <w:szCs w:val="26"/>
              </w:rPr>
              <w:t xml:space="preserve">RTB/Radio </w:t>
            </w:r>
          </w:p>
        </w:tc>
        <w:tc>
          <w:tcPr>
            <w:tcW w:w="3686" w:type="dxa"/>
            <w:tcBorders>
              <w:top w:val="single" w:sz="4" w:space="0" w:color="auto"/>
              <w:left w:val="nil"/>
              <w:bottom w:val="single" w:sz="4" w:space="0" w:color="auto"/>
              <w:right w:val="single" w:sz="4" w:space="0" w:color="auto"/>
            </w:tcBorders>
            <w:shd w:val="clear" w:color="auto" w:fill="FFFFFF" w:themeFill="background1"/>
            <w:noWrap/>
            <w:vAlign w:val="bottom"/>
          </w:tcPr>
          <w:p w14:paraId="04402D60"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2D196443" w14:textId="77777777" w:rsidR="00284822" w:rsidRDefault="00F77BF8">
            <w:pPr>
              <w:spacing w:before="120" w:after="120"/>
              <w:rPr>
                <w:rFonts w:ascii="Rockwell" w:hAnsi="Rockwell"/>
                <w:color w:val="000000"/>
                <w:szCs w:val="26"/>
              </w:rPr>
            </w:pPr>
            <w:r>
              <w:rPr>
                <w:rFonts w:ascii="Rockwell" w:hAnsi="Rockwell"/>
                <w:color w:val="000000"/>
                <w:szCs w:val="26"/>
              </w:rPr>
              <w:t>99.9 MHz</w:t>
            </w:r>
          </w:p>
        </w:tc>
      </w:tr>
    </w:tbl>
    <w:p w14:paraId="1B7334B9" w14:textId="77777777" w:rsidR="00284822" w:rsidRDefault="00284822">
      <w:pPr>
        <w:spacing w:before="120" w:after="120"/>
        <w:rPr>
          <w:rFonts w:ascii="Rockwell" w:hAnsi="Rockwell"/>
          <w:b/>
          <w:bCs/>
          <w:color w:val="000000"/>
          <w:szCs w:val="26"/>
        </w:rPr>
      </w:pPr>
    </w:p>
    <w:p w14:paraId="01F8216F" w14:textId="77777777" w:rsidR="00284822" w:rsidRDefault="00284822">
      <w:pPr>
        <w:spacing w:before="120" w:after="120"/>
        <w:rPr>
          <w:rFonts w:ascii="Rockwell" w:hAnsi="Rockwell"/>
          <w:b/>
          <w:bCs/>
          <w:color w:val="000000"/>
          <w:szCs w:val="26"/>
        </w:rPr>
        <w:sectPr w:rsidR="00284822">
          <w:pgSz w:w="16838" w:h="11906" w:orient="landscape"/>
          <w:pgMar w:top="1418" w:right="1418" w:bottom="1418" w:left="1418" w:header="720" w:footer="720" w:gutter="0"/>
          <w:cols w:space="720"/>
        </w:sectPr>
      </w:pPr>
    </w:p>
    <w:p w14:paraId="6128EA90" w14:textId="77777777" w:rsidR="00284822" w:rsidRDefault="00F77BF8">
      <w:pPr>
        <w:pStyle w:val="Paragraphedeliste"/>
        <w:numPr>
          <w:ilvl w:val="0"/>
          <w:numId w:val="61"/>
        </w:numPr>
        <w:ind w:firstLine="273"/>
        <w:rPr>
          <w:rFonts w:ascii="Rockwell" w:hAnsi="Rockwell"/>
        </w:rPr>
      </w:pPr>
      <w:r>
        <w:rPr>
          <w:rFonts w:ascii="Rockwell" w:hAnsi="Rockwell"/>
        </w:rPr>
        <w:lastRenderedPageBreak/>
        <w:t>RADIODIFFUSIONS TELEVISUELLES PUBLIQUES : QUATRE (04)</w:t>
      </w:r>
    </w:p>
    <w:tbl>
      <w:tblPr>
        <w:tblW w:w="12190" w:type="dxa"/>
        <w:tblInd w:w="455" w:type="dxa"/>
        <w:tblLayout w:type="fixed"/>
        <w:tblCellMar>
          <w:left w:w="70" w:type="dxa"/>
          <w:right w:w="70" w:type="dxa"/>
        </w:tblCellMar>
        <w:tblLook w:val="04A0" w:firstRow="1" w:lastRow="0" w:firstColumn="1" w:lastColumn="0" w:noHBand="0" w:noVBand="1"/>
      </w:tblPr>
      <w:tblGrid>
        <w:gridCol w:w="992"/>
        <w:gridCol w:w="3118"/>
        <w:gridCol w:w="3261"/>
        <w:gridCol w:w="2126"/>
        <w:gridCol w:w="2693"/>
      </w:tblGrid>
      <w:tr w:rsidR="00284822" w14:paraId="4DD1400B" w14:textId="77777777">
        <w:trPr>
          <w:trHeight w:val="687"/>
        </w:trPr>
        <w:tc>
          <w:tcPr>
            <w:tcW w:w="992" w:type="dxa"/>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bottom"/>
          </w:tcPr>
          <w:p w14:paraId="79BB752B" w14:textId="77777777" w:rsidR="00284822" w:rsidRDefault="00F77BF8">
            <w:pPr>
              <w:spacing w:before="120" w:after="120"/>
              <w:rPr>
                <w:rFonts w:ascii="Rockwell" w:hAnsi="Rockwell"/>
                <w:b/>
                <w:bCs/>
                <w:color w:val="000000"/>
                <w:szCs w:val="26"/>
              </w:rPr>
            </w:pPr>
            <w:r>
              <w:rPr>
                <w:rFonts w:ascii="Rockwell" w:hAnsi="Rockwell"/>
                <w:b/>
                <w:bCs/>
                <w:color w:val="000000"/>
                <w:szCs w:val="26"/>
              </w:rPr>
              <w:t>N°</w:t>
            </w:r>
          </w:p>
        </w:tc>
        <w:tc>
          <w:tcPr>
            <w:tcW w:w="3118" w:type="dxa"/>
            <w:tcBorders>
              <w:top w:val="single" w:sz="4" w:space="0" w:color="auto"/>
              <w:left w:val="nil"/>
              <w:bottom w:val="single" w:sz="4" w:space="0" w:color="auto"/>
              <w:right w:val="single" w:sz="4" w:space="0" w:color="auto"/>
            </w:tcBorders>
            <w:shd w:val="clear" w:color="auto" w:fill="BDD6EE" w:themeFill="accent1" w:themeFillTint="66"/>
            <w:noWrap/>
            <w:vAlign w:val="bottom"/>
          </w:tcPr>
          <w:p w14:paraId="278AF12D" w14:textId="77777777" w:rsidR="00284822" w:rsidRDefault="00F77BF8">
            <w:pPr>
              <w:spacing w:before="120" w:after="120"/>
              <w:rPr>
                <w:rFonts w:ascii="Rockwell" w:hAnsi="Rockwell"/>
                <w:b/>
                <w:bCs/>
                <w:color w:val="000000"/>
                <w:szCs w:val="26"/>
              </w:rPr>
            </w:pPr>
            <w:r>
              <w:rPr>
                <w:rFonts w:ascii="Rockwell" w:hAnsi="Rockwell"/>
                <w:b/>
                <w:bCs/>
                <w:color w:val="000000"/>
                <w:szCs w:val="26"/>
              </w:rPr>
              <w:t>Dénomination</w:t>
            </w:r>
          </w:p>
        </w:tc>
        <w:tc>
          <w:tcPr>
            <w:tcW w:w="3261" w:type="dxa"/>
            <w:tcBorders>
              <w:top w:val="single" w:sz="4" w:space="0" w:color="auto"/>
              <w:left w:val="nil"/>
              <w:bottom w:val="single" w:sz="4" w:space="0" w:color="auto"/>
              <w:right w:val="single" w:sz="4" w:space="0" w:color="auto"/>
            </w:tcBorders>
            <w:shd w:val="clear" w:color="auto" w:fill="BDD6EE" w:themeFill="accent1" w:themeFillTint="66"/>
            <w:noWrap/>
            <w:vAlign w:val="bottom"/>
          </w:tcPr>
          <w:p w14:paraId="18531D3F" w14:textId="77777777" w:rsidR="00284822" w:rsidRDefault="00F77BF8">
            <w:pPr>
              <w:spacing w:before="120" w:after="120"/>
              <w:rPr>
                <w:rFonts w:ascii="Rockwell" w:hAnsi="Rockwell"/>
                <w:b/>
                <w:bCs/>
                <w:color w:val="000000"/>
                <w:szCs w:val="26"/>
              </w:rPr>
            </w:pPr>
            <w:r>
              <w:rPr>
                <w:rFonts w:ascii="Rockwell" w:hAnsi="Rockwell"/>
                <w:b/>
                <w:bCs/>
                <w:color w:val="000000"/>
                <w:szCs w:val="26"/>
              </w:rPr>
              <w:t>Localité/Province</w:t>
            </w:r>
          </w:p>
        </w:tc>
        <w:tc>
          <w:tcPr>
            <w:tcW w:w="2126" w:type="dxa"/>
            <w:tcBorders>
              <w:top w:val="single" w:sz="4" w:space="0" w:color="auto"/>
              <w:left w:val="nil"/>
              <w:bottom w:val="single" w:sz="4" w:space="0" w:color="auto"/>
              <w:right w:val="single" w:sz="4" w:space="0" w:color="auto"/>
            </w:tcBorders>
            <w:shd w:val="clear" w:color="auto" w:fill="BDD6EE" w:themeFill="accent1" w:themeFillTint="66"/>
            <w:noWrap/>
            <w:vAlign w:val="bottom"/>
          </w:tcPr>
          <w:p w14:paraId="4795C1D1" w14:textId="77777777" w:rsidR="00284822" w:rsidRDefault="00F77BF8">
            <w:pPr>
              <w:spacing w:before="120" w:after="120"/>
              <w:rPr>
                <w:rFonts w:ascii="Rockwell" w:hAnsi="Rockwell"/>
                <w:b/>
                <w:bCs/>
                <w:color w:val="000000"/>
                <w:szCs w:val="26"/>
              </w:rPr>
            </w:pPr>
            <w:r>
              <w:rPr>
                <w:rFonts w:ascii="Rockwell" w:hAnsi="Rockwell"/>
                <w:b/>
                <w:bCs/>
                <w:color w:val="000000"/>
                <w:szCs w:val="26"/>
              </w:rPr>
              <w:t>Canal TNT</w:t>
            </w:r>
          </w:p>
        </w:tc>
        <w:tc>
          <w:tcPr>
            <w:tcW w:w="2693" w:type="dxa"/>
            <w:tcBorders>
              <w:top w:val="single" w:sz="4" w:space="0" w:color="auto"/>
              <w:left w:val="nil"/>
              <w:bottom w:val="single" w:sz="4" w:space="0" w:color="auto"/>
              <w:right w:val="single" w:sz="4" w:space="0" w:color="auto"/>
            </w:tcBorders>
            <w:shd w:val="clear" w:color="auto" w:fill="BDD6EE" w:themeFill="accent1" w:themeFillTint="66"/>
            <w:noWrap/>
            <w:vAlign w:val="bottom"/>
          </w:tcPr>
          <w:p w14:paraId="57395726" w14:textId="77777777" w:rsidR="00284822" w:rsidRDefault="00F77BF8">
            <w:pPr>
              <w:spacing w:before="120" w:after="120"/>
              <w:rPr>
                <w:rFonts w:ascii="Rockwell" w:hAnsi="Rockwell"/>
                <w:b/>
                <w:bCs/>
                <w:color w:val="000000"/>
                <w:szCs w:val="26"/>
              </w:rPr>
            </w:pPr>
            <w:r>
              <w:rPr>
                <w:rFonts w:ascii="Rockwell" w:hAnsi="Rockwell"/>
                <w:b/>
                <w:bCs/>
                <w:color w:val="000000"/>
                <w:szCs w:val="26"/>
              </w:rPr>
              <w:t xml:space="preserve"> Zone de couverture</w:t>
            </w:r>
          </w:p>
        </w:tc>
      </w:tr>
      <w:tr w:rsidR="00284822" w14:paraId="2F1FBC9D" w14:textId="77777777">
        <w:trPr>
          <w:trHeight w:val="742"/>
        </w:trPr>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F92CDC5" w14:textId="77777777" w:rsidR="00284822" w:rsidRDefault="00F77BF8">
            <w:pPr>
              <w:spacing w:before="120" w:after="120"/>
              <w:rPr>
                <w:rFonts w:ascii="Rockwell" w:hAnsi="Rockwell"/>
                <w:color w:val="000000"/>
                <w:szCs w:val="26"/>
              </w:rPr>
            </w:pPr>
            <w:r>
              <w:rPr>
                <w:rFonts w:ascii="Rockwell" w:hAnsi="Rockwell"/>
                <w:color w:val="000000"/>
                <w:szCs w:val="26"/>
              </w:rPr>
              <w:t>1</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6DECEE5B" w14:textId="77777777" w:rsidR="00284822" w:rsidRDefault="00F77BF8">
            <w:pPr>
              <w:spacing w:before="120" w:after="120"/>
              <w:rPr>
                <w:rFonts w:ascii="Rockwell" w:hAnsi="Rockwell"/>
                <w:color w:val="000000"/>
                <w:szCs w:val="26"/>
              </w:rPr>
            </w:pPr>
            <w:r>
              <w:rPr>
                <w:rFonts w:ascii="Rockwell" w:hAnsi="Rockwell"/>
                <w:color w:val="000000"/>
                <w:szCs w:val="26"/>
              </w:rPr>
              <w:t xml:space="preserve"> RTB2 Hauts-Bassins</w:t>
            </w:r>
          </w:p>
        </w:tc>
        <w:tc>
          <w:tcPr>
            <w:tcW w:w="3261" w:type="dxa"/>
            <w:tcBorders>
              <w:top w:val="single" w:sz="4" w:space="0" w:color="auto"/>
              <w:left w:val="nil"/>
              <w:bottom w:val="single" w:sz="4" w:space="0" w:color="auto"/>
              <w:right w:val="single" w:sz="4" w:space="0" w:color="auto"/>
            </w:tcBorders>
            <w:shd w:val="clear" w:color="auto" w:fill="FFFFFF" w:themeFill="background1"/>
            <w:noWrap/>
            <w:vAlign w:val="bottom"/>
          </w:tcPr>
          <w:p w14:paraId="35811990" w14:textId="77777777" w:rsidR="00284822" w:rsidRDefault="00F77BF8">
            <w:pPr>
              <w:spacing w:before="120" w:after="120"/>
              <w:rPr>
                <w:rFonts w:ascii="Rockwell" w:hAnsi="Rockwell"/>
                <w:color w:val="000000"/>
                <w:szCs w:val="26"/>
              </w:rPr>
            </w:pPr>
            <w:r>
              <w:rPr>
                <w:rFonts w:ascii="Rockwell" w:hAnsi="Rockwell"/>
                <w:color w:val="000000"/>
                <w:szCs w:val="26"/>
              </w:rPr>
              <w:t>Bobo-Dioulasso/Houet</w:t>
            </w:r>
          </w:p>
        </w:tc>
        <w:tc>
          <w:tcPr>
            <w:tcW w:w="2126" w:type="dxa"/>
            <w:tcBorders>
              <w:top w:val="single" w:sz="4" w:space="0" w:color="auto"/>
              <w:left w:val="nil"/>
              <w:bottom w:val="single" w:sz="4" w:space="0" w:color="auto"/>
              <w:right w:val="single" w:sz="4" w:space="0" w:color="auto"/>
            </w:tcBorders>
            <w:shd w:val="clear" w:color="auto" w:fill="FFFFFF" w:themeFill="background1"/>
            <w:noWrap/>
            <w:vAlign w:val="bottom"/>
          </w:tcPr>
          <w:p w14:paraId="34BE7092" w14:textId="77777777" w:rsidR="00284822" w:rsidRDefault="00F77BF8">
            <w:pPr>
              <w:spacing w:before="120" w:after="120"/>
              <w:rPr>
                <w:rFonts w:ascii="Rockwell" w:hAnsi="Rockwell"/>
                <w:color w:val="000000"/>
                <w:szCs w:val="26"/>
              </w:rPr>
            </w:pPr>
            <w:r>
              <w:rPr>
                <w:rFonts w:ascii="Rockwell" w:hAnsi="Rockwell"/>
                <w:color w:val="000000"/>
                <w:szCs w:val="26"/>
              </w:rPr>
              <w:t xml:space="preserve"> Canal TNT</w:t>
            </w:r>
          </w:p>
        </w:tc>
        <w:tc>
          <w:tcPr>
            <w:tcW w:w="2693" w:type="dxa"/>
            <w:tcBorders>
              <w:top w:val="single" w:sz="4" w:space="0" w:color="auto"/>
              <w:left w:val="nil"/>
              <w:bottom w:val="single" w:sz="4" w:space="0" w:color="auto"/>
              <w:right w:val="single" w:sz="4" w:space="0" w:color="auto"/>
            </w:tcBorders>
            <w:shd w:val="clear" w:color="auto" w:fill="FFFFFF" w:themeFill="background1"/>
            <w:noWrap/>
            <w:vAlign w:val="bottom"/>
          </w:tcPr>
          <w:p w14:paraId="08F160EB" w14:textId="77777777" w:rsidR="00284822" w:rsidRDefault="00F77BF8">
            <w:pPr>
              <w:spacing w:before="120" w:after="120"/>
              <w:jc w:val="center"/>
              <w:rPr>
                <w:rFonts w:ascii="Rockwell" w:hAnsi="Rockwell"/>
                <w:color w:val="000000"/>
                <w:szCs w:val="26"/>
              </w:rPr>
            </w:pPr>
            <w:r>
              <w:rPr>
                <w:rFonts w:ascii="Rockwell" w:hAnsi="Rockwell"/>
                <w:color w:val="000000"/>
                <w:szCs w:val="26"/>
              </w:rPr>
              <w:t>B</w:t>
            </w:r>
          </w:p>
        </w:tc>
      </w:tr>
      <w:tr w:rsidR="00284822" w14:paraId="1360F14D" w14:textId="77777777">
        <w:trPr>
          <w:trHeight w:val="600"/>
        </w:trPr>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F939113" w14:textId="77777777" w:rsidR="00284822" w:rsidRDefault="00F77BF8">
            <w:pPr>
              <w:spacing w:before="120" w:after="120"/>
              <w:rPr>
                <w:rFonts w:ascii="Rockwell" w:hAnsi="Rockwell"/>
                <w:color w:val="000000"/>
                <w:szCs w:val="26"/>
              </w:rPr>
            </w:pPr>
            <w:r>
              <w:rPr>
                <w:rFonts w:ascii="Rockwell" w:hAnsi="Rockwell"/>
                <w:color w:val="000000"/>
                <w:szCs w:val="26"/>
              </w:rPr>
              <w:t>2</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0B316F08" w14:textId="77777777" w:rsidR="00284822" w:rsidRDefault="00F77BF8">
            <w:pPr>
              <w:spacing w:before="120" w:after="120"/>
              <w:rPr>
                <w:rFonts w:ascii="Rockwell" w:hAnsi="Rockwell"/>
                <w:color w:val="000000"/>
                <w:szCs w:val="26"/>
              </w:rPr>
            </w:pPr>
            <w:r>
              <w:rPr>
                <w:rFonts w:ascii="Rockwell" w:hAnsi="Rockwell"/>
                <w:color w:val="000000"/>
                <w:szCs w:val="26"/>
              </w:rPr>
              <w:t>RTB/Télé</w:t>
            </w:r>
          </w:p>
        </w:tc>
        <w:tc>
          <w:tcPr>
            <w:tcW w:w="3261" w:type="dxa"/>
            <w:tcBorders>
              <w:top w:val="single" w:sz="4" w:space="0" w:color="auto"/>
              <w:left w:val="nil"/>
              <w:bottom w:val="single" w:sz="4" w:space="0" w:color="auto"/>
              <w:right w:val="single" w:sz="4" w:space="0" w:color="auto"/>
            </w:tcBorders>
            <w:shd w:val="clear" w:color="auto" w:fill="FFFFFF" w:themeFill="background1"/>
            <w:noWrap/>
            <w:vAlign w:val="bottom"/>
          </w:tcPr>
          <w:p w14:paraId="027D3364" w14:textId="77777777" w:rsidR="00284822" w:rsidRDefault="00F77BF8">
            <w:pPr>
              <w:spacing w:before="120" w:after="120"/>
              <w:rPr>
                <w:rFonts w:ascii="Rockwell" w:hAnsi="Rockwell"/>
                <w:color w:val="000000"/>
                <w:szCs w:val="26"/>
              </w:rPr>
            </w:pPr>
            <w:r>
              <w:rPr>
                <w:rFonts w:ascii="Rockwell" w:hAnsi="Rockwell"/>
                <w:color w:val="000000"/>
                <w:szCs w:val="26"/>
              </w:rPr>
              <w:t>Ouagadougou/Kadiogo</w:t>
            </w:r>
          </w:p>
        </w:tc>
        <w:tc>
          <w:tcPr>
            <w:tcW w:w="2126" w:type="dxa"/>
            <w:tcBorders>
              <w:top w:val="single" w:sz="4" w:space="0" w:color="auto"/>
              <w:left w:val="nil"/>
              <w:bottom w:val="single" w:sz="4" w:space="0" w:color="auto"/>
              <w:right w:val="single" w:sz="4" w:space="0" w:color="auto"/>
            </w:tcBorders>
            <w:shd w:val="clear" w:color="auto" w:fill="FFFFFF" w:themeFill="background1"/>
            <w:noWrap/>
            <w:vAlign w:val="bottom"/>
          </w:tcPr>
          <w:p w14:paraId="1829409F" w14:textId="77777777" w:rsidR="00284822" w:rsidRDefault="00F77BF8">
            <w:pPr>
              <w:spacing w:before="120" w:after="120"/>
              <w:rPr>
                <w:rFonts w:ascii="Rockwell" w:hAnsi="Rockwell"/>
                <w:color w:val="000000"/>
                <w:szCs w:val="26"/>
              </w:rPr>
            </w:pPr>
            <w:r>
              <w:rPr>
                <w:rFonts w:ascii="Rockwell" w:hAnsi="Rockwell"/>
                <w:color w:val="000000"/>
                <w:szCs w:val="26"/>
              </w:rPr>
              <w:t xml:space="preserve"> Canal TNT</w:t>
            </w:r>
          </w:p>
        </w:tc>
        <w:tc>
          <w:tcPr>
            <w:tcW w:w="2693" w:type="dxa"/>
            <w:tcBorders>
              <w:top w:val="single" w:sz="4" w:space="0" w:color="auto"/>
              <w:left w:val="nil"/>
              <w:bottom w:val="single" w:sz="4" w:space="0" w:color="auto"/>
              <w:right w:val="single" w:sz="4" w:space="0" w:color="auto"/>
            </w:tcBorders>
            <w:shd w:val="clear" w:color="auto" w:fill="FFFFFF" w:themeFill="background1"/>
            <w:noWrap/>
            <w:vAlign w:val="bottom"/>
          </w:tcPr>
          <w:p w14:paraId="01A0DD93" w14:textId="77777777" w:rsidR="00284822" w:rsidRDefault="00F77BF8">
            <w:pPr>
              <w:spacing w:before="120" w:after="120"/>
              <w:jc w:val="center"/>
              <w:rPr>
                <w:rFonts w:ascii="Rockwell" w:hAnsi="Rockwell"/>
                <w:color w:val="000000"/>
                <w:szCs w:val="26"/>
              </w:rPr>
            </w:pPr>
            <w:r>
              <w:rPr>
                <w:rFonts w:ascii="Rockwell" w:hAnsi="Rockwell"/>
                <w:color w:val="000000"/>
                <w:szCs w:val="26"/>
              </w:rPr>
              <w:t>Nationale</w:t>
            </w:r>
          </w:p>
        </w:tc>
      </w:tr>
      <w:tr w:rsidR="00284822" w14:paraId="70AF360D" w14:textId="77777777">
        <w:trPr>
          <w:trHeight w:val="600"/>
        </w:trPr>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915C07D" w14:textId="77777777" w:rsidR="00284822" w:rsidRDefault="00F77BF8">
            <w:pPr>
              <w:spacing w:before="120" w:after="120"/>
              <w:rPr>
                <w:rFonts w:ascii="Rockwell" w:hAnsi="Rockwell"/>
                <w:color w:val="000000"/>
                <w:szCs w:val="26"/>
              </w:rPr>
            </w:pPr>
            <w:r>
              <w:rPr>
                <w:rFonts w:ascii="Rockwell" w:hAnsi="Rockwell"/>
                <w:color w:val="000000"/>
                <w:szCs w:val="26"/>
              </w:rPr>
              <w:t>3</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22862C27" w14:textId="77777777" w:rsidR="00284822" w:rsidRDefault="00F77BF8">
            <w:pPr>
              <w:spacing w:before="120" w:after="120"/>
              <w:rPr>
                <w:rFonts w:ascii="Rockwell" w:hAnsi="Rockwell"/>
                <w:color w:val="000000"/>
                <w:szCs w:val="26"/>
              </w:rPr>
            </w:pPr>
            <w:r>
              <w:rPr>
                <w:rFonts w:ascii="Rockwell" w:hAnsi="Rockwell"/>
                <w:color w:val="000000"/>
                <w:szCs w:val="26"/>
              </w:rPr>
              <w:t>RTB /Gaoua</w:t>
            </w:r>
          </w:p>
        </w:tc>
        <w:tc>
          <w:tcPr>
            <w:tcW w:w="3261" w:type="dxa"/>
            <w:tcBorders>
              <w:top w:val="single" w:sz="4" w:space="0" w:color="auto"/>
              <w:left w:val="nil"/>
              <w:bottom w:val="single" w:sz="4" w:space="0" w:color="auto"/>
              <w:right w:val="single" w:sz="4" w:space="0" w:color="auto"/>
            </w:tcBorders>
            <w:shd w:val="clear" w:color="auto" w:fill="FFFFFF" w:themeFill="background1"/>
            <w:noWrap/>
            <w:vAlign w:val="bottom"/>
          </w:tcPr>
          <w:p w14:paraId="1058A0DC" w14:textId="77777777" w:rsidR="00284822" w:rsidRDefault="00F77BF8">
            <w:pPr>
              <w:spacing w:before="120" w:after="120"/>
              <w:rPr>
                <w:rFonts w:ascii="Rockwell" w:hAnsi="Rockwell"/>
                <w:color w:val="000000"/>
                <w:szCs w:val="26"/>
              </w:rPr>
            </w:pPr>
            <w:r>
              <w:rPr>
                <w:rFonts w:ascii="Rockwell" w:hAnsi="Rockwell"/>
                <w:color w:val="000000"/>
                <w:szCs w:val="26"/>
              </w:rPr>
              <w:t>Bobo-Dioulasso/Houet</w:t>
            </w:r>
          </w:p>
        </w:tc>
        <w:tc>
          <w:tcPr>
            <w:tcW w:w="2126" w:type="dxa"/>
            <w:tcBorders>
              <w:top w:val="single" w:sz="4" w:space="0" w:color="auto"/>
              <w:left w:val="nil"/>
              <w:bottom w:val="single" w:sz="4" w:space="0" w:color="auto"/>
              <w:right w:val="single" w:sz="4" w:space="0" w:color="auto"/>
            </w:tcBorders>
            <w:shd w:val="clear" w:color="auto" w:fill="FFFFFF" w:themeFill="background1"/>
            <w:noWrap/>
            <w:vAlign w:val="bottom"/>
          </w:tcPr>
          <w:p w14:paraId="331FDB19" w14:textId="77777777" w:rsidR="00284822" w:rsidRDefault="00F77BF8">
            <w:pPr>
              <w:spacing w:before="120" w:after="120"/>
              <w:rPr>
                <w:rFonts w:ascii="Rockwell" w:hAnsi="Rockwell"/>
                <w:color w:val="000000"/>
                <w:szCs w:val="26"/>
              </w:rPr>
            </w:pPr>
            <w:r>
              <w:rPr>
                <w:rFonts w:ascii="Rockwell" w:hAnsi="Rockwell"/>
                <w:color w:val="000000"/>
                <w:szCs w:val="26"/>
              </w:rPr>
              <w:t> Canal TNT</w:t>
            </w:r>
          </w:p>
        </w:tc>
        <w:tc>
          <w:tcPr>
            <w:tcW w:w="2693" w:type="dxa"/>
            <w:tcBorders>
              <w:top w:val="single" w:sz="4" w:space="0" w:color="auto"/>
              <w:left w:val="nil"/>
              <w:bottom w:val="single" w:sz="4" w:space="0" w:color="auto"/>
              <w:right w:val="single" w:sz="4" w:space="0" w:color="auto"/>
            </w:tcBorders>
            <w:shd w:val="clear" w:color="auto" w:fill="FFFFFF" w:themeFill="background1"/>
            <w:noWrap/>
            <w:vAlign w:val="bottom"/>
          </w:tcPr>
          <w:p w14:paraId="68250EA1" w14:textId="77777777" w:rsidR="00284822" w:rsidRDefault="00F77BF8">
            <w:pPr>
              <w:spacing w:before="120" w:after="120"/>
              <w:jc w:val="center"/>
              <w:rPr>
                <w:rFonts w:ascii="Rockwell" w:hAnsi="Rockwell"/>
                <w:color w:val="000000"/>
                <w:szCs w:val="26"/>
              </w:rPr>
            </w:pPr>
            <w:r>
              <w:rPr>
                <w:rFonts w:ascii="Rockwell" w:hAnsi="Rockwell"/>
                <w:color w:val="000000"/>
                <w:szCs w:val="26"/>
              </w:rPr>
              <w:t>D</w:t>
            </w:r>
          </w:p>
        </w:tc>
      </w:tr>
      <w:tr w:rsidR="00284822" w14:paraId="0D56EFAD" w14:textId="77777777">
        <w:trPr>
          <w:trHeight w:val="600"/>
        </w:trPr>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CB9871D" w14:textId="77777777" w:rsidR="00284822" w:rsidRDefault="00F77BF8">
            <w:pPr>
              <w:spacing w:before="120" w:after="120"/>
              <w:rPr>
                <w:rFonts w:ascii="Rockwell" w:hAnsi="Rockwell"/>
                <w:color w:val="000000"/>
                <w:szCs w:val="26"/>
              </w:rPr>
            </w:pPr>
            <w:r>
              <w:rPr>
                <w:rFonts w:ascii="Rockwell" w:hAnsi="Rockwell"/>
                <w:color w:val="000000"/>
                <w:szCs w:val="26"/>
              </w:rPr>
              <w:t>4</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448116B6" w14:textId="77777777" w:rsidR="00284822" w:rsidRDefault="00F77BF8">
            <w:pPr>
              <w:spacing w:before="120" w:after="120"/>
              <w:rPr>
                <w:rFonts w:ascii="Rockwell" w:hAnsi="Rockwell"/>
                <w:color w:val="000000"/>
                <w:szCs w:val="26"/>
              </w:rPr>
            </w:pPr>
            <w:r>
              <w:rPr>
                <w:rFonts w:ascii="Rockwell" w:hAnsi="Rockwell"/>
                <w:color w:val="000000"/>
                <w:szCs w:val="26"/>
              </w:rPr>
              <w:t>RTB Zénith</w:t>
            </w:r>
          </w:p>
        </w:tc>
        <w:tc>
          <w:tcPr>
            <w:tcW w:w="3261" w:type="dxa"/>
            <w:tcBorders>
              <w:top w:val="single" w:sz="4" w:space="0" w:color="auto"/>
              <w:left w:val="nil"/>
              <w:bottom w:val="single" w:sz="4" w:space="0" w:color="auto"/>
              <w:right w:val="single" w:sz="4" w:space="0" w:color="auto"/>
            </w:tcBorders>
            <w:shd w:val="clear" w:color="auto" w:fill="FFFFFF" w:themeFill="background1"/>
            <w:noWrap/>
            <w:vAlign w:val="bottom"/>
          </w:tcPr>
          <w:p w14:paraId="27512048" w14:textId="77777777" w:rsidR="00284822" w:rsidRDefault="00F77BF8">
            <w:pPr>
              <w:spacing w:before="120" w:after="120"/>
              <w:rPr>
                <w:rFonts w:ascii="Rockwell" w:hAnsi="Rockwell"/>
                <w:color w:val="000000"/>
                <w:szCs w:val="26"/>
              </w:rPr>
            </w:pPr>
            <w:r>
              <w:rPr>
                <w:rFonts w:ascii="Rockwell" w:hAnsi="Rockwell"/>
                <w:color w:val="000000"/>
                <w:szCs w:val="26"/>
              </w:rPr>
              <w:t xml:space="preserve">Ouagadougou/Kadiogo </w:t>
            </w:r>
          </w:p>
        </w:tc>
        <w:tc>
          <w:tcPr>
            <w:tcW w:w="2126" w:type="dxa"/>
            <w:tcBorders>
              <w:top w:val="single" w:sz="4" w:space="0" w:color="auto"/>
              <w:left w:val="nil"/>
              <w:bottom w:val="single" w:sz="4" w:space="0" w:color="auto"/>
              <w:right w:val="single" w:sz="4" w:space="0" w:color="auto"/>
            </w:tcBorders>
            <w:shd w:val="clear" w:color="auto" w:fill="FFFFFF" w:themeFill="background1"/>
            <w:noWrap/>
            <w:vAlign w:val="bottom"/>
          </w:tcPr>
          <w:p w14:paraId="6E502DAA" w14:textId="77777777" w:rsidR="00284822" w:rsidRDefault="00F77BF8">
            <w:pPr>
              <w:spacing w:before="120" w:after="120"/>
              <w:rPr>
                <w:rFonts w:ascii="Rockwell" w:hAnsi="Rockwell"/>
                <w:color w:val="000000"/>
                <w:szCs w:val="26"/>
              </w:rPr>
            </w:pPr>
            <w:r>
              <w:rPr>
                <w:rFonts w:ascii="Rockwell" w:hAnsi="Rockwell"/>
                <w:color w:val="000000"/>
                <w:szCs w:val="26"/>
              </w:rPr>
              <w:t>Canal TNT</w:t>
            </w:r>
          </w:p>
        </w:tc>
        <w:tc>
          <w:tcPr>
            <w:tcW w:w="2693" w:type="dxa"/>
            <w:tcBorders>
              <w:top w:val="single" w:sz="4" w:space="0" w:color="auto"/>
              <w:left w:val="nil"/>
              <w:bottom w:val="single" w:sz="4" w:space="0" w:color="auto"/>
              <w:right w:val="single" w:sz="4" w:space="0" w:color="auto"/>
            </w:tcBorders>
            <w:shd w:val="clear" w:color="auto" w:fill="FFFFFF" w:themeFill="background1"/>
            <w:noWrap/>
            <w:vAlign w:val="bottom"/>
          </w:tcPr>
          <w:p w14:paraId="14F4C5DA" w14:textId="77777777" w:rsidR="00284822" w:rsidRDefault="00F77BF8">
            <w:pPr>
              <w:spacing w:before="120" w:after="120"/>
              <w:jc w:val="center"/>
              <w:rPr>
                <w:rFonts w:ascii="Rockwell" w:hAnsi="Rockwell"/>
                <w:color w:val="000000"/>
                <w:szCs w:val="26"/>
              </w:rPr>
            </w:pPr>
            <w:r>
              <w:rPr>
                <w:rFonts w:ascii="Rockwell" w:hAnsi="Rockwell"/>
                <w:color w:val="000000"/>
                <w:szCs w:val="26"/>
              </w:rPr>
              <w:t>A</w:t>
            </w:r>
          </w:p>
        </w:tc>
      </w:tr>
    </w:tbl>
    <w:p w14:paraId="0C54D158" w14:textId="77777777" w:rsidR="00284822" w:rsidRDefault="00284822">
      <w:pPr>
        <w:spacing w:before="120" w:after="120"/>
        <w:rPr>
          <w:rFonts w:ascii="Rockwell" w:hAnsi="Rockwell"/>
          <w:b/>
          <w:bCs/>
          <w:color w:val="000000"/>
          <w:szCs w:val="26"/>
        </w:rPr>
        <w:sectPr w:rsidR="00284822">
          <w:pgSz w:w="16838" w:h="11906" w:orient="landscape"/>
          <w:pgMar w:top="1418" w:right="1418" w:bottom="1418" w:left="1418" w:header="720" w:footer="720" w:gutter="0"/>
          <w:cols w:space="720"/>
        </w:sectPr>
      </w:pPr>
    </w:p>
    <w:p w14:paraId="2B5CB6EC" w14:textId="77777777" w:rsidR="00284822" w:rsidRDefault="00F77BF8">
      <w:pPr>
        <w:spacing w:before="120" w:after="120"/>
        <w:ind w:firstLine="284"/>
        <w:rPr>
          <w:rFonts w:ascii="Rockwell" w:hAnsi="Rockwell"/>
          <w:b/>
        </w:rPr>
      </w:pPr>
      <w:r>
        <w:rPr>
          <w:rFonts w:ascii="Rockwell" w:hAnsi="Rockwell"/>
        </w:rPr>
        <w:lastRenderedPageBreak/>
        <w:t xml:space="preserve">   </w:t>
      </w:r>
      <w:r>
        <w:rPr>
          <w:rFonts w:ascii="Rockwell" w:hAnsi="Rockwell"/>
          <w:b/>
        </w:rPr>
        <w:t xml:space="preserve">RECAPITULATIF </w:t>
      </w:r>
    </w:p>
    <w:p w14:paraId="1EE249F6" w14:textId="77777777" w:rsidR="00284822" w:rsidRDefault="00284822">
      <w:pPr>
        <w:spacing w:before="120" w:after="120"/>
        <w:rPr>
          <w:rFonts w:ascii="Rockwell" w:hAnsi="Rockwell"/>
        </w:rPr>
      </w:pPr>
    </w:p>
    <w:tbl>
      <w:tblPr>
        <w:tblStyle w:val="Grilledutableau1"/>
        <w:tblW w:w="15871" w:type="dxa"/>
        <w:jc w:val="center"/>
        <w:tblLayout w:type="fixed"/>
        <w:tblLook w:val="04A0" w:firstRow="1" w:lastRow="0" w:firstColumn="1" w:lastColumn="0" w:noHBand="0" w:noVBand="1"/>
      </w:tblPr>
      <w:tblGrid>
        <w:gridCol w:w="1282"/>
        <w:gridCol w:w="1832"/>
        <w:gridCol w:w="2268"/>
        <w:gridCol w:w="1984"/>
        <w:gridCol w:w="1843"/>
        <w:gridCol w:w="1985"/>
        <w:gridCol w:w="1417"/>
        <w:gridCol w:w="1843"/>
        <w:gridCol w:w="1417"/>
      </w:tblGrid>
      <w:tr w:rsidR="00284822" w14:paraId="06E4092E" w14:textId="77777777">
        <w:trPr>
          <w:trHeight w:val="494"/>
          <w:jc w:val="center"/>
        </w:trPr>
        <w:tc>
          <w:tcPr>
            <w:tcW w:w="1282" w:type="dxa"/>
            <w:shd w:val="clear" w:color="auto" w:fill="BDD6EE" w:themeFill="accent1" w:themeFillTint="66"/>
          </w:tcPr>
          <w:p w14:paraId="6A3C2E1E" w14:textId="77777777" w:rsidR="00284822" w:rsidRDefault="00F77BF8">
            <w:pPr>
              <w:autoSpaceDN/>
              <w:spacing w:before="120" w:after="120"/>
              <w:textAlignment w:val="auto"/>
              <w:rPr>
                <w:rFonts w:ascii="Rockwell" w:hAnsi="Rockwell"/>
                <w:b/>
                <w:bCs/>
                <w:color w:val="000000"/>
                <w:sz w:val="24"/>
              </w:rPr>
            </w:pPr>
            <w:r>
              <w:rPr>
                <w:rFonts w:ascii="Rockwell" w:hAnsi="Rockwell"/>
                <w:b/>
                <w:bCs/>
                <w:color w:val="000000"/>
                <w:sz w:val="24"/>
              </w:rPr>
              <w:t>Genre</w:t>
            </w:r>
          </w:p>
        </w:tc>
        <w:tc>
          <w:tcPr>
            <w:tcW w:w="1832" w:type="dxa"/>
            <w:shd w:val="clear" w:color="auto" w:fill="BDD6EE" w:themeFill="accent1" w:themeFillTint="66"/>
          </w:tcPr>
          <w:p w14:paraId="21C2273E" w14:textId="77777777" w:rsidR="00284822" w:rsidRDefault="00F77BF8">
            <w:pPr>
              <w:autoSpaceDN/>
              <w:spacing w:before="120" w:after="120"/>
              <w:textAlignment w:val="auto"/>
              <w:rPr>
                <w:rFonts w:ascii="Rockwell" w:hAnsi="Rockwell"/>
                <w:b/>
                <w:bCs/>
                <w:iCs/>
                <w:color w:val="000000"/>
                <w:sz w:val="24"/>
              </w:rPr>
            </w:pPr>
            <w:r>
              <w:rPr>
                <w:rFonts w:ascii="Rockwell" w:hAnsi="Rockwell"/>
                <w:b/>
                <w:bCs/>
                <w:iCs/>
                <w:color w:val="000000"/>
                <w:sz w:val="24"/>
              </w:rPr>
              <w:t>Commercial</w:t>
            </w:r>
          </w:p>
        </w:tc>
        <w:tc>
          <w:tcPr>
            <w:tcW w:w="2268" w:type="dxa"/>
            <w:shd w:val="clear" w:color="auto" w:fill="BDD6EE" w:themeFill="accent1" w:themeFillTint="66"/>
          </w:tcPr>
          <w:p w14:paraId="3068300B" w14:textId="77777777" w:rsidR="00284822" w:rsidRDefault="00F77BF8">
            <w:pPr>
              <w:autoSpaceDN/>
              <w:spacing w:before="120" w:after="120"/>
              <w:textAlignment w:val="auto"/>
              <w:rPr>
                <w:rFonts w:ascii="Rockwell" w:hAnsi="Rockwell"/>
                <w:b/>
                <w:bCs/>
                <w:iCs/>
                <w:color w:val="000000"/>
                <w:sz w:val="24"/>
              </w:rPr>
            </w:pPr>
            <w:r>
              <w:rPr>
                <w:rFonts w:ascii="Rockwell" w:hAnsi="Rockwell"/>
                <w:b/>
                <w:bCs/>
                <w:iCs/>
                <w:color w:val="000000"/>
                <w:sz w:val="24"/>
              </w:rPr>
              <w:t>Communautaire</w:t>
            </w:r>
          </w:p>
        </w:tc>
        <w:tc>
          <w:tcPr>
            <w:tcW w:w="1984" w:type="dxa"/>
            <w:shd w:val="clear" w:color="auto" w:fill="BDD6EE" w:themeFill="accent1" w:themeFillTint="66"/>
          </w:tcPr>
          <w:p w14:paraId="2807EA84" w14:textId="77777777" w:rsidR="00284822" w:rsidRDefault="00F77BF8">
            <w:pPr>
              <w:autoSpaceDN/>
              <w:spacing w:before="120" w:after="120"/>
              <w:textAlignment w:val="auto"/>
              <w:rPr>
                <w:rFonts w:ascii="Rockwell" w:hAnsi="Rockwell"/>
                <w:b/>
                <w:bCs/>
                <w:iCs/>
                <w:color w:val="000000"/>
                <w:sz w:val="24"/>
              </w:rPr>
            </w:pPr>
            <w:r>
              <w:rPr>
                <w:rFonts w:ascii="Rockwell" w:hAnsi="Rockwell"/>
                <w:b/>
                <w:bCs/>
                <w:iCs/>
                <w:color w:val="000000"/>
                <w:sz w:val="24"/>
              </w:rPr>
              <w:t>Confessionnel</w:t>
            </w:r>
          </w:p>
        </w:tc>
        <w:tc>
          <w:tcPr>
            <w:tcW w:w="1843" w:type="dxa"/>
            <w:shd w:val="clear" w:color="auto" w:fill="BDD6EE" w:themeFill="accent1" w:themeFillTint="66"/>
          </w:tcPr>
          <w:p w14:paraId="52BC9F98" w14:textId="77777777" w:rsidR="00284822" w:rsidRDefault="00F77BF8">
            <w:pPr>
              <w:autoSpaceDN/>
              <w:spacing w:before="120" w:after="120"/>
              <w:textAlignment w:val="auto"/>
              <w:rPr>
                <w:rFonts w:ascii="Rockwell" w:hAnsi="Rockwell"/>
                <w:b/>
                <w:bCs/>
                <w:iCs/>
                <w:color w:val="000000"/>
                <w:sz w:val="24"/>
              </w:rPr>
            </w:pPr>
            <w:r>
              <w:rPr>
                <w:rFonts w:ascii="Rockwell" w:hAnsi="Rockwell"/>
                <w:b/>
                <w:bCs/>
                <w:iCs/>
                <w:color w:val="000000"/>
                <w:sz w:val="24"/>
              </w:rPr>
              <w:t>Communal</w:t>
            </w:r>
          </w:p>
        </w:tc>
        <w:tc>
          <w:tcPr>
            <w:tcW w:w="1985" w:type="dxa"/>
            <w:shd w:val="clear" w:color="auto" w:fill="BDD6EE" w:themeFill="accent1" w:themeFillTint="66"/>
          </w:tcPr>
          <w:p w14:paraId="29437BA9" w14:textId="77777777" w:rsidR="00284822" w:rsidRDefault="00F77BF8">
            <w:pPr>
              <w:autoSpaceDN/>
              <w:spacing w:before="120" w:after="120"/>
              <w:textAlignment w:val="auto"/>
              <w:rPr>
                <w:rFonts w:ascii="Rockwell" w:hAnsi="Rockwell"/>
                <w:b/>
                <w:bCs/>
                <w:iCs/>
                <w:color w:val="000000"/>
                <w:sz w:val="24"/>
              </w:rPr>
            </w:pPr>
            <w:r>
              <w:rPr>
                <w:rFonts w:ascii="Rockwell" w:hAnsi="Rockwell"/>
                <w:b/>
                <w:bCs/>
                <w:iCs/>
                <w:color w:val="000000"/>
                <w:sz w:val="24"/>
              </w:rPr>
              <w:t xml:space="preserve">International </w:t>
            </w:r>
          </w:p>
        </w:tc>
        <w:tc>
          <w:tcPr>
            <w:tcW w:w="1417" w:type="dxa"/>
            <w:shd w:val="clear" w:color="auto" w:fill="BDD6EE" w:themeFill="accent1" w:themeFillTint="66"/>
          </w:tcPr>
          <w:p w14:paraId="1CEBDC63" w14:textId="77777777" w:rsidR="00284822" w:rsidRDefault="00F77BF8">
            <w:pPr>
              <w:autoSpaceDN/>
              <w:spacing w:before="120" w:after="120"/>
              <w:textAlignment w:val="auto"/>
              <w:rPr>
                <w:rFonts w:ascii="Rockwell" w:hAnsi="Rockwell"/>
                <w:b/>
                <w:bCs/>
                <w:iCs/>
                <w:color w:val="000000"/>
                <w:sz w:val="24"/>
              </w:rPr>
            </w:pPr>
            <w:r>
              <w:rPr>
                <w:rFonts w:ascii="Rockwell" w:hAnsi="Rockwell"/>
                <w:b/>
                <w:bCs/>
                <w:iCs/>
                <w:color w:val="000000"/>
                <w:sz w:val="24"/>
              </w:rPr>
              <w:t>Public</w:t>
            </w:r>
          </w:p>
        </w:tc>
        <w:tc>
          <w:tcPr>
            <w:tcW w:w="1843" w:type="dxa"/>
            <w:shd w:val="clear" w:color="auto" w:fill="BDD6EE" w:themeFill="accent1" w:themeFillTint="66"/>
          </w:tcPr>
          <w:p w14:paraId="1F727B36" w14:textId="77777777" w:rsidR="00284822" w:rsidRDefault="00F77BF8">
            <w:pPr>
              <w:autoSpaceDN/>
              <w:spacing w:before="120" w:after="120"/>
              <w:textAlignment w:val="auto"/>
              <w:rPr>
                <w:rFonts w:ascii="Rockwell" w:hAnsi="Rockwell"/>
                <w:b/>
                <w:bCs/>
                <w:iCs/>
                <w:color w:val="000000"/>
                <w:sz w:val="24"/>
              </w:rPr>
            </w:pPr>
            <w:r>
              <w:rPr>
                <w:rFonts w:ascii="Rockwell" w:hAnsi="Rockwell"/>
                <w:b/>
                <w:bCs/>
                <w:iCs/>
                <w:color w:val="000000"/>
                <w:sz w:val="24"/>
              </w:rPr>
              <w:t>Institutionnel</w:t>
            </w:r>
          </w:p>
        </w:tc>
        <w:tc>
          <w:tcPr>
            <w:tcW w:w="1417" w:type="dxa"/>
            <w:shd w:val="clear" w:color="auto" w:fill="BDD6EE" w:themeFill="accent1" w:themeFillTint="66"/>
          </w:tcPr>
          <w:p w14:paraId="05ED97C5" w14:textId="77777777" w:rsidR="00284822" w:rsidRDefault="00F77BF8">
            <w:pPr>
              <w:autoSpaceDN/>
              <w:spacing w:before="120" w:after="120"/>
              <w:textAlignment w:val="auto"/>
              <w:rPr>
                <w:rFonts w:ascii="Rockwell" w:hAnsi="Rockwell"/>
                <w:b/>
                <w:bCs/>
                <w:color w:val="000000"/>
                <w:sz w:val="24"/>
              </w:rPr>
            </w:pPr>
            <w:r>
              <w:rPr>
                <w:rFonts w:ascii="Rockwell" w:hAnsi="Rockwell"/>
                <w:b/>
                <w:bCs/>
                <w:color w:val="000000"/>
                <w:sz w:val="24"/>
              </w:rPr>
              <w:t>TOTAL</w:t>
            </w:r>
          </w:p>
        </w:tc>
      </w:tr>
      <w:tr w:rsidR="00284822" w14:paraId="3EA88A75" w14:textId="77777777">
        <w:trPr>
          <w:trHeight w:val="672"/>
          <w:jc w:val="center"/>
        </w:trPr>
        <w:tc>
          <w:tcPr>
            <w:tcW w:w="1282" w:type="dxa"/>
          </w:tcPr>
          <w:p w14:paraId="7540EE6B" w14:textId="77777777" w:rsidR="00284822" w:rsidRDefault="00F77BF8">
            <w:pPr>
              <w:autoSpaceDN/>
              <w:spacing w:before="120" w:after="120"/>
              <w:textAlignment w:val="auto"/>
              <w:rPr>
                <w:rFonts w:ascii="Rockwell" w:hAnsi="Rockwell"/>
                <w:b/>
                <w:bCs/>
                <w:color w:val="000000"/>
                <w:szCs w:val="26"/>
              </w:rPr>
            </w:pPr>
            <w:r>
              <w:rPr>
                <w:rFonts w:ascii="Rockwell" w:hAnsi="Rockwell"/>
                <w:b/>
                <w:bCs/>
                <w:color w:val="000000"/>
                <w:szCs w:val="26"/>
              </w:rPr>
              <w:t>Radio</w:t>
            </w:r>
          </w:p>
        </w:tc>
        <w:tc>
          <w:tcPr>
            <w:tcW w:w="1832" w:type="dxa"/>
          </w:tcPr>
          <w:p w14:paraId="57076E5D" w14:textId="77777777" w:rsidR="00284822" w:rsidRDefault="00F77BF8">
            <w:pPr>
              <w:autoSpaceDN/>
              <w:spacing w:before="120" w:after="120"/>
              <w:jc w:val="center"/>
              <w:textAlignment w:val="auto"/>
              <w:rPr>
                <w:rFonts w:ascii="Rockwell" w:hAnsi="Rockwell"/>
                <w:color w:val="000000"/>
                <w:szCs w:val="26"/>
              </w:rPr>
            </w:pPr>
            <w:r>
              <w:rPr>
                <w:rFonts w:ascii="Rockwell" w:hAnsi="Rockwell"/>
                <w:color w:val="000000"/>
                <w:szCs w:val="26"/>
              </w:rPr>
              <w:t>42</w:t>
            </w:r>
          </w:p>
        </w:tc>
        <w:tc>
          <w:tcPr>
            <w:tcW w:w="2268" w:type="dxa"/>
          </w:tcPr>
          <w:p w14:paraId="5321CA6A" w14:textId="77777777" w:rsidR="00284822" w:rsidRDefault="00F77BF8">
            <w:pPr>
              <w:autoSpaceDN/>
              <w:spacing w:before="120" w:after="120"/>
              <w:jc w:val="center"/>
              <w:textAlignment w:val="auto"/>
              <w:rPr>
                <w:rFonts w:ascii="Rockwell" w:hAnsi="Rockwell"/>
                <w:color w:val="000000"/>
                <w:szCs w:val="26"/>
              </w:rPr>
            </w:pPr>
            <w:r>
              <w:rPr>
                <w:rFonts w:ascii="Rockwell" w:hAnsi="Rockwell"/>
                <w:color w:val="000000"/>
                <w:szCs w:val="26"/>
              </w:rPr>
              <w:t>55</w:t>
            </w:r>
          </w:p>
        </w:tc>
        <w:tc>
          <w:tcPr>
            <w:tcW w:w="1984" w:type="dxa"/>
          </w:tcPr>
          <w:p w14:paraId="525F1C2C" w14:textId="77777777" w:rsidR="00284822" w:rsidRDefault="00F77BF8">
            <w:pPr>
              <w:autoSpaceDN/>
              <w:spacing w:before="120" w:after="120"/>
              <w:jc w:val="center"/>
              <w:textAlignment w:val="auto"/>
              <w:rPr>
                <w:rFonts w:ascii="Rockwell" w:hAnsi="Rockwell"/>
                <w:color w:val="000000"/>
                <w:szCs w:val="26"/>
              </w:rPr>
            </w:pPr>
            <w:r>
              <w:rPr>
                <w:rFonts w:ascii="Rockwell" w:hAnsi="Rockwell"/>
                <w:color w:val="000000"/>
                <w:szCs w:val="26"/>
              </w:rPr>
              <w:t>40</w:t>
            </w:r>
          </w:p>
        </w:tc>
        <w:tc>
          <w:tcPr>
            <w:tcW w:w="1843" w:type="dxa"/>
          </w:tcPr>
          <w:p w14:paraId="25C8B1C2" w14:textId="77777777" w:rsidR="00284822" w:rsidRDefault="00F77BF8">
            <w:pPr>
              <w:autoSpaceDN/>
              <w:spacing w:before="120" w:after="120"/>
              <w:jc w:val="center"/>
              <w:textAlignment w:val="auto"/>
              <w:rPr>
                <w:rFonts w:ascii="Rockwell" w:hAnsi="Rockwell"/>
                <w:color w:val="000000"/>
                <w:szCs w:val="26"/>
              </w:rPr>
            </w:pPr>
            <w:r>
              <w:rPr>
                <w:rFonts w:ascii="Rockwell" w:hAnsi="Rockwell"/>
                <w:color w:val="000000"/>
                <w:szCs w:val="26"/>
              </w:rPr>
              <w:t>31</w:t>
            </w:r>
          </w:p>
        </w:tc>
        <w:tc>
          <w:tcPr>
            <w:tcW w:w="1985" w:type="dxa"/>
          </w:tcPr>
          <w:p w14:paraId="1F5816ED" w14:textId="77777777" w:rsidR="00284822" w:rsidRDefault="00F77BF8">
            <w:pPr>
              <w:autoSpaceDN/>
              <w:spacing w:before="120" w:after="120"/>
              <w:jc w:val="center"/>
              <w:textAlignment w:val="auto"/>
              <w:rPr>
                <w:rFonts w:ascii="Rockwell" w:hAnsi="Rockwell"/>
                <w:color w:val="000000"/>
                <w:szCs w:val="26"/>
              </w:rPr>
            </w:pPr>
            <w:r>
              <w:rPr>
                <w:rFonts w:ascii="Rockwell" w:hAnsi="Rockwell"/>
                <w:color w:val="000000"/>
                <w:szCs w:val="26"/>
              </w:rPr>
              <w:t>4</w:t>
            </w:r>
          </w:p>
        </w:tc>
        <w:tc>
          <w:tcPr>
            <w:tcW w:w="1417" w:type="dxa"/>
          </w:tcPr>
          <w:p w14:paraId="11744576" w14:textId="77777777" w:rsidR="00284822" w:rsidRDefault="00F77BF8">
            <w:pPr>
              <w:autoSpaceDN/>
              <w:spacing w:before="120" w:after="120"/>
              <w:jc w:val="center"/>
              <w:textAlignment w:val="auto"/>
              <w:rPr>
                <w:rFonts w:ascii="Rockwell" w:hAnsi="Rockwell"/>
                <w:color w:val="000000"/>
                <w:szCs w:val="26"/>
              </w:rPr>
            </w:pPr>
            <w:r>
              <w:rPr>
                <w:rFonts w:ascii="Rockwell" w:hAnsi="Rockwell"/>
                <w:color w:val="000000"/>
                <w:szCs w:val="26"/>
              </w:rPr>
              <w:t>6</w:t>
            </w:r>
          </w:p>
        </w:tc>
        <w:tc>
          <w:tcPr>
            <w:tcW w:w="1843" w:type="dxa"/>
          </w:tcPr>
          <w:p w14:paraId="34997EA8" w14:textId="77777777" w:rsidR="00284822" w:rsidRDefault="00F77BF8">
            <w:pPr>
              <w:autoSpaceDN/>
              <w:spacing w:before="120" w:after="120"/>
              <w:jc w:val="center"/>
              <w:textAlignment w:val="auto"/>
              <w:rPr>
                <w:rFonts w:ascii="Rockwell" w:hAnsi="Rockwell"/>
                <w:color w:val="000000"/>
                <w:szCs w:val="26"/>
              </w:rPr>
            </w:pPr>
            <w:r>
              <w:rPr>
                <w:rFonts w:ascii="Rockwell" w:hAnsi="Rockwell"/>
                <w:color w:val="000000"/>
                <w:szCs w:val="26"/>
              </w:rPr>
              <w:t>7</w:t>
            </w:r>
          </w:p>
        </w:tc>
        <w:tc>
          <w:tcPr>
            <w:tcW w:w="1417" w:type="dxa"/>
          </w:tcPr>
          <w:p w14:paraId="7F9CD51C" w14:textId="77777777" w:rsidR="00284822" w:rsidRDefault="00F77BF8">
            <w:pPr>
              <w:autoSpaceDN/>
              <w:spacing w:before="120" w:after="120"/>
              <w:jc w:val="center"/>
              <w:textAlignment w:val="auto"/>
              <w:rPr>
                <w:rFonts w:ascii="Rockwell" w:hAnsi="Rockwell"/>
                <w:b/>
                <w:bCs/>
                <w:color w:val="000000"/>
                <w:szCs w:val="26"/>
              </w:rPr>
            </w:pPr>
            <w:r>
              <w:rPr>
                <w:rFonts w:ascii="Rockwell" w:hAnsi="Rockwell"/>
                <w:b/>
                <w:bCs/>
                <w:color w:val="000000"/>
                <w:szCs w:val="26"/>
              </w:rPr>
              <w:t>185</w:t>
            </w:r>
          </w:p>
        </w:tc>
      </w:tr>
      <w:tr w:rsidR="00284822" w14:paraId="7BCD7D7A" w14:textId="77777777">
        <w:trPr>
          <w:trHeight w:val="810"/>
          <w:jc w:val="center"/>
        </w:trPr>
        <w:tc>
          <w:tcPr>
            <w:tcW w:w="1282" w:type="dxa"/>
          </w:tcPr>
          <w:p w14:paraId="62D48AEF" w14:textId="77777777" w:rsidR="00284822" w:rsidRDefault="00F77BF8">
            <w:pPr>
              <w:autoSpaceDN/>
              <w:spacing w:before="120" w:after="120"/>
              <w:textAlignment w:val="auto"/>
              <w:rPr>
                <w:rFonts w:ascii="Rockwell" w:hAnsi="Rockwell"/>
                <w:b/>
                <w:bCs/>
                <w:color w:val="000000"/>
                <w:szCs w:val="26"/>
              </w:rPr>
            </w:pPr>
            <w:r>
              <w:rPr>
                <w:rFonts w:ascii="Rockwell" w:hAnsi="Rockwell"/>
                <w:b/>
                <w:bCs/>
                <w:color w:val="000000"/>
                <w:szCs w:val="26"/>
              </w:rPr>
              <w:t>Télé</w:t>
            </w:r>
          </w:p>
        </w:tc>
        <w:tc>
          <w:tcPr>
            <w:tcW w:w="1832" w:type="dxa"/>
          </w:tcPr>
          <w:p w14:paraId="0EE2EA43" w14:textId="77777777" w:rsidR="00284822" w:rsidRDefault="00F77BF8">
            <w:pPr>
              <w:autoSpaceDN/>
              <w:spacing w:before="120" w:after="120"/>
              <w:jc w:val="center"/>
              <w:textAlignment w:val="auto"/>
              <w:rPr>
                <w:rFonts w:ascii="Rockwell" w:hAnsi="Rockwell"/>
                <w:color w:val="000000"/>
                <w:szCs w:val="26"/>
              </w:rPr>
            </w:pPr>
            <w:r>
              <w:rPr>
                <w:rFonts w:ascii="Rockwell" w:hAnsi="Rockwell"/>
                <w:color w:val="000000"/>
                <w:szCs w:val="26"/>
              </w:rPr>
              <w:t>16</w:t>
            </w:r>
          </w:p>
        </w:tc>
        <w:tc>
          <w:tcPr>
            <w:tcW w:w="2268" w:type="dxa"/>
          </w:tcPr>
          <w:p w14:paraId="3241D459" w14:textId="77777777" w:rsidR="00284822" w:rsidRDefault="00F77BF8">
            <w:pPr>
              <w:autoSpaceDN/>
              <w:spacing w:before="120" w:after="120"/>
              <w:jc w:val="center"/>
              <w:textAlignment w:val="auto"/>
              <w:rPr>
                <w:rFonts w:ascii="Rockwell" w:hAnsi="Rockwell"/>
                <w:color w:val="000000"/>
                <w:szCs w:val="26"/>
              </w:rPr>
            </w:pPr>
            <w:r>
              <w:rPr>
                <w:rFonts w:ascii="Rockwell" w:hAnsi="Rockwell"/>
                <w:color w:val="000000"/>
                <w:szCs w:val="26"/>
              </w:rPr>
              <w:t>7</w:t>
            </w:r>
          </w:p>
        </w:tc>
        <w:tc>
          <w:tcPr>
            <w:tcW w:w="1984" w:type="dxa"/>
          </w:tcPr>
          <w:p w14:paraId="227C232A" w14:textId="77777777" w:rsidR="00284822" w:rsidRDefault="00F77BF8">
            <w:pPr>
              <w:autoSpaceDN/>
              <w:spacing w:before="120" w:after="120"/>
              <w:jc w:val="center"/>
              <w:textAlignment w:val="auto"/>
              <w:rPr>
                <w:rFonts w:ascii="Rockwell" w:hAnsi="Rockwell"/>
                <w:color w:val="000000"/>
                <w:szCs w:val="26"/>
              </w:rPr>
            </w:pPr>
            <w:r>
              <w:rPr>
                <w:rFonts w:ascii="Rockwell" w:hAnsi="Rockwell"/>
                <w:color w:val="000000"/>
                <w:szCs w:val="26"/>
              </w:rPr>
              <w:t>5</w:t>
            </w:r>
          </w:p>
        </w:tc>
        <w:tc>
          <w:tcPr>
            <w:tcW w:w="1843" w:type="dxa"/>
          </w:tcPr>
          <w:p w14:paraId="0F5DCB04" w14:textId="77777777" w:rsidR="00284822" w:rsidRDefault="00F77BF8">
            <w:pPr>
              <w:autoSpaceDN/>
              <w:spacing w:before="120" w:after="120"/>
              <w:jc w:val="center"/>
              <w:textAlignment w:val="auto"/>
              <w:rPr>
                <w:rFonts w:ascii="Rockwell" w:hAnsi="Rockwell"/>
                <w:color w:val="000000"/>
                <w:szCs w:val="26"/>
              </w:rPr>
            </w:pPr>
            <w:r>
              <w:rPr>
                <w:rFonts w:ascii="Rockwell" w:hAnsi="Rockwell"/>
                <w:color w:val="000000"/>
                <w:szCs w:val="26"/>
              </w:rPr>
              <w:t>0</w:t>
            </w:r>
          </w:p>
        </w:tc>
        <w:tc>
          <w:tcPr>
            <w:tcW w:w="1985" w:type="dxa"/>
          </w:tcPr>
          <w:p w14:paraId="1C421A3E" w14:textId="77777777" w:rsidR="00284822" w:rsidRDefault="00F77BF8">
            <w:pPr>
              <w:autoSpaceDN/>
              <w:spacing w:before="120" w:after="120"/>
              <w:jc w:val="center"/>
              <w:textAlignment w:val="auto"/>
              <w:rPr>
                <w:rFonts w:ascii="Rockwell" w:hAnsi="Rockwell"/>
                <w:color w:val="000000"/>
                <w:szCs w:val="26"/>
              </w:rPr>
            </w:pPr>
            <w:r>
              <w:rPr>
                <w:rFonts w:ascii="Rockwell" w:hAnsi="Rockwell"/>
                <w:color w:val="000000"/>
                <w:szCs w:val="26"/>
              </w:rPr>
              <w:t>0</w:t>
            </w:r>
          </w:p>
        </w:tc>
        <w:tc>
          <w:tcPr>
            <w:tcW w:w="1417" w:type="dxa"/>
          </w:tcPr>
          <w:p w14:paraId="2EF5826F" w14:textId="77777777" w:rsidR="00284822" w:rsidRDefault="00F77BF8">
            <w:pPr>
              <w:autoSpaceDN/>
              <w:spacing w:before="120" w:after="120"/>
              <w:jc w:val="center"/>
              <w:textAlignment w:val="auto"/>
              <w:rPr>
                <w:rFonts w:ascii="Rockwell" w:hAnsi="Rockwell"/>
                <w:color w:val="000000"/>
                <w:szCs w:val="26"/>
              </w:rPr>
            </w:pPr>
            <w:r>
              <w:rPr>
                <w:rFonts w:ascii="Rockwell" w:hAnsi="Rockwell"/>
                <w:color w:val="000000"/>
                <w:szCs w:val="26"/>
              </w:rPr>
              <w:t>4</w:t>
            </w:r>
          </w:p>
        </w:tc>
        <w:tc>
          <w:tcPr>
            <w:tcW w:w="1843" w:type="dxa"/>
          </w:tcPr>
          <w:p w14:paraId="1B99A1DC" w14:textId="77777777" w:rsidR="00284822" w:rsidRDefault="00F77BF8">
            <w:pPr>
              <w:autoSpaceDN/>
              <w:spacing w:before="120" w:after="120"/>
              <w:jc w:val="center"/>
              <w:textAlignment w:val="auto"/>
              <w:rPr>
                <w:rFonts w:ascii="Rockwell" w:hAnsi="Rockwell"/>
                <w:color w:val="000000"/>
                <w:szCs w:val="26"/>
              </w:rPr>
            </w:pPr>
            <w:r>
              <w:rPr>
                <w:rFonts w:ascii="Rockwell" w:hAnsi="Rockwell"/>
                <w:color w:val="000000"/>
                <w:szCs w:val="26"/>
              </w:rPr>
              <w:t>0</w:t>
            </w:r>
          </w:p>
        </w:tc>
        <w:tc>
          <w:tcPr>
            <w:tcW w:w="1417" w:type="dxa"/>
          </w:tcPr>
          <w:p w14:paraId="6FE33DF9" w14:textId="77777777" w:rsidR="00284822" w:rsidRDefault="00F77BF8">
            <w:pPr>
              <w:autoSpaceDN/>
              <w:spacing w:before="120" w:after="120"/>
              <w:jc w:val="center"/>
              <w:textAlignment w:val="auto"/>
              <w:rPr>
                <w:rFonts w:ascii="Rockwell" w:hAnsi="Rockwell"/>
                <w:b/>
                <w:bCs/>
                <w:color w:val="000000"/>
                <w:szCs w:val="26"/>
              </w:rPr>
            </w:pPr>
            <w:r>
              <w:rPr>
                <w:rFonts w:ascii="Rockwell" w:hAnsi="Rockwell"/>
                <w:b/>
                <w:bCs/>
                <w:color w:val="000000"/>
                <w:szCs w:val="26"/>
              </w:rPr>
              <w:t>32</w:t>
            </w:r>
          </w:p>
        </w:tc>
      </w:tr>
      <w:tr w:rsidR="00284822" w14:paraId="3178D8DD" w14:textId="77777777">
        <w:trPr>
          <w:trHeight w:val="849"/>
          <w:jc w:val="center"/>
        </w:trPr>
        <w:tc>
          <w:tcPr>
            <w:tcW w:w="1282" w:type="dxa"/>
          </w:tcPr>
          <w:p w14:paraId="1553B3A0" w14:textId="77777777" w:rsidR="00284822" w:rsidRDefault="00F77BF8">
            <w:pPr>
              <w:autoSpaceDN/>
              <w:spacing w:before="120" w:after="120"/>
              <w:textAlignment w:val="auto"/>
              <w:rPr>
                <w:rFonts w:ascii="Rockwell" w:hAnsi="Rockwell"/>
                <w:b/>
                <w:bCs/>
                <w:color w:val="000000"/>
                <w:szCs w:val="26"/>
              </w:rPr>
            </w:pPr>
            <w:r>
              <w:rPr>
                <w:rFonts w:ascii="Rockwell" w:hAnsi="Rockwell"/>
                <w:b/>
                <w:bCs/>
                <w:color w:val="000000"/>
                <w:szCs w:val="26"/>
              </w:rPr>
              <w:t>TOTAL</w:t>
            </w:r>
          </w:p>
        </w:tc>
        <w:tc>
          <w:tcPr>
            <w:tcW w:w="1832" w:type="dxa"/>
          </w:tcPr>
          <w:p w14:paraId="471EAFCE" w14:textId="77777777" w:rsidR="00284822" w:rsidRDefault="00F77BF8">
            <w:pPr>
              <w:autoSpaceDN/>
              <w:spacing w:before="120" w:after="120"/>
              <w:jc w:val="center"/>
              <w:textAlignment w:val="auto"/>
              <w:rPr>
                <w:rFonts w:ascii="Rockwell" w:hAnsi="Rockwell"/>
                <w:b/>
                <w:bCs/>
                <w:color w:val="000000"/>
                <w:szCs w:val="26"/>
              </w:rPr>
            </w:pPr>
            <w:r>
              <w:rPr>
                <w:rFonts w:ascii="Rockwell" w:hAnsi="Rockwell"/>
                <w:b/>
                <w:bCs/>
                <w:color w:val="000000"/>
                <w:szCs w:val="26"/>
              </w:rPr>
              <w:t>58</w:t>
            </w:r>
          </w:p>
        </w:tc>
        <w:tc>
          <w:tcPr>
            <w:tcW w:w="2268" w:type="dxa"/>
          </w:tcPr>
          <w:p w14:paraId="7F4B51E4" w14:textId="77777777" w:rsidR="00284822" w:rsidRDefault="00F77BF8">
            <w:pPr>
              <w:autoSpaceDN/>
              <w:spacing w:before="120" w:after="120"/>
              <w:jc w:val="center"/>
              <w:textAlignment w:val="auto"/>
              <w:rPr>
                <w:rFonts w:ascii="Rockwell" w:hAnsi="Rockwell"/>
                <w:b/>
                <w:bCs/>
                <w:color w:val="000000"/>
                <w:szCs w:val="26"/>
              </w:rPr>
            </w:pPr>
            <w:r>
              <w:rPr>
                <w:rFonts w:ascii="Rockwell" w:hAnsi="Rockwell"/>
                <w:b/>
                <w:bCs/>
                <w:color w:val="000000"/>
                <w:szCs w:val="26"/>
              </w:rPr>
              <w:t>62</w:t>
            </w:r>
          </w:p>
        </w:tc>
        <w:tc>
          <w:tcPr>
            <w:tcW w:w="1984" w:type="dxa"/>
          </w:tcPr>
          <w:p w14:paraId="079192CA" w14:textId="77777777" w:rsidR="00284822" w:rsidRDefault="00F77BF8">
            <w:pPr>
              <w:autoSpaceDN/>
              <w:spacing w:before="120" w:after="120"/>
              <w:jc w:val="center"/>
              <w:textAlignment w:val="auto"/>
              <w:rPr>
                <w:rFonts w:ascii="Rockwell" w:hAnsi="Rockwell"/>
                <w:b/>
                <w:bCs/>
                <w:color w:val="000000"/>
                <w:szCs w:val="26"/>
              </w:rPr>
            </w:pPr>
            <w:r>
              <w:rPr>
                <w:rFonts w:ascii="Rockwell" w:hAnsi="Rockwell"/>
                <w:b/>
                <w:bCs/>
                <w:color w:val="000000"/>
                <w:szCs w:val="26"/>
              </w:rPr>
              <w:t>45</w:t>
            </w:r>
          </w:p>
        </w:tc>
        <w:tc>
          <w:tcPr>
            <w:tcW w:w="1843" w:type="dxa"/>
          </w:tcPr>
          <w:p w14:paraId="76B905B4" w14:textId="77777777" w:rsidR="00284822" w:rsidRDefault="00F77BF8">
            <w:pPr>
              <w:autoSpaceDN/>
              <w:spacing w:before="120" w:after="120"/>
              <w:jc w:val="center"/>
              <w:textAlignment w:val="auto"/>
              <w:rPr>
                <w:rFonts w:ascii="Rockwell" w:hAnsi="Rockwell"/>
                <w:b/>
                <w:bCs/>
                <w:color w:val="000000"/>
                <w:szCs w:val="26"/>
              </w:rPr>
            </w:pPr>
            <w:r>
              <w:rPr>
                <w:rFonts w:ascii="Rockwell" w:hAnsi="Rockwell"/>
                <w:b/>
                <w:bCs/>
                <w:color w:val="000000"/>
                <w:szCs w:val="26"/>
              </w:rPr>
              <w:t>31</w:t>
            </w:r>
          </w:p>
        </w:tc>
        <w:tc>
          <w:tcPr>
            <w:tcW w:w="1985" w:type="dxa"/>
          </w:tcPr>
          <w:p w14:paraId="331CBEAE" w14:textId="77777777" w:rsidR="00284822" w:rsidRDefault="00F77BF8">
            <w:pPr>
              <w:autoSpaceDN/>
              <w:spacing w:before="120" w:after="120"/>
              <w:jc w:val="center"/>
              <w:textAlignment w:val="auto"/>
              <w:rPr>
                <w:rFonts w:ascii="Rockwell" w:hAnsi="Rockwell"/>
                <w:b/>
                <w:bCs/>
                <w:color w:val="000000"/>
                <w:szCs w:val="26"/>
              </w:rPr>
            </w:pPr>
            <w:r>
              <w:rPr>
                <w:rFonts w:ascii="Rockwell" w:hAnsi="Rockwell"/>
                <w:b/>
                <w:bCs/>
                <w:color w:val="000000"/>
                <w:szCs w:val="26"/>
              </w:rPr>
              <w:t>4</w:t>
            </w:r>
          </w:p>
        </w:tc>
        <w:tc>
          <w:tcPr>
            <w:tcW w:w="1417" w:type="dxa"/>
          </w:tcPr>
          <w:p w14:paraId="70CBEF73" w14:textId="77777777" w:rsidR="00284822" w:rsidRDefault="00F77BF8">
            <w:pPr>
              <w:autoSpaceDN/>
              <w:spacing w:before="120" w:after="120"/>
              <w:jc w:val="center"/>
              <w:textAlignment w:val="auto"/>
              <w:rPr>
                <w:rFonts w:ascii="Rockwell" w:hAnsi="Rockwell"/>
                <w:b/>
                <w:bCs/>
                <w:color w:val="000000"/>
                <w:szCs w:val="26"/>
              </w:rPr>
            </w:pPr>
            <w:r>
              <w:rPr>
                <w:rFonts w:ascii="Rockwell" w:hAnsi="Rockwell"/>
                <w:b/>
                <w:bCs/>
                <w:color w:val="000000"/>
                <w:szCs w:val="26"/>
              </w:rPr>
              <w:t>11</w:t>
            </w:r>
          </w:p>
        </w:tc>
        <w:tc>
          <w:tcPr>
            <w:tcW w:w="1843" w:type="dxa"/>
          </w:tcPr>
          <w:p w14:paraId="5AAE119A" w14:textId="77777777" w:rsidR="00284822" w:rsidRDefault="00F77BF8">
            <w:pPr>
              <w:autoSpaceDN/>
              <w:spacing w:before="120" w:after="120"/>
              <w:jc w:val="center"/>
              <w:textAlignment w:val="auto"/>
              <w:rPr>
                <w:rFonts w:ascii="Rockwell" w:hAnsi="Rockwell"/>
                <w:b/>
                <w:bCs/>
                <w:color w:val="000000"/>
                <w:szCs w:val="26"/>
              </w:rPr>
            </w:pPr>
            <w:r>
              <w:rPr>
                <w:rFonts w:ascii="Rockwell" w:hAnsi="Rockwell"/>
                <w:b/>
                <w:bCs/>
                <w:color w:val="000000"/>
                <w:szCs w:val="26"/>
              </w:rPr>
              <w:t>8</w:t>
            </w:r>
          </w:p>
        </w:tc>
        <w:tc>
          <w:tcPr>
            <w:tcW w:w="1417" w:type="dxa"/>
            <w:shd w:val="clear" w:color="auto" w:fill="BFBFBF" w:themeFill="background1" w:themeFillShade="BF"/>
          </w:tcPr>
          <w:p w14:paraId="62E6207A" w14:textId="77777777" w:rsidR="00284822" w:rsidRDefault="00F77BF8">
            <w:pPr>
              <w:autoSpaceDN/>
              <w:spacing w:before="120" w:after="120"/>
              <w:jc w:val="center"/>
              <w:textAlignment w:val="auto"/>
              <w:rPr>
                <w:rFonts w:ascii="Rockwell" w:hAnsi="Rockwell"/>
                <w:b/>
                <w:bCs/>
                <w:color w:val="000000"/>
                <w:szCs w:val="26"/>
              </w:rPr>
            </w:pPr>
            <w:r>
              <w:rPr>
                <w:rFonts w:ascii="Rockwell" w:hAnsi="Rockwell"/>
                <w:b/>
                <w:bCs/>
                <w:color w:val="000000"/>
                <w:szCs w:val="26"/>
              </w:rPr>
              <w:t>217</w:t>
            </w:r>
          </w:p>
        </w:tc>
      </w:tr>
    </w:tbl>
    <w:p w14:paraId="04246962" w14:textId="77777777" w:rsidR="00284822" w:rsidRDefault="00284822">
      <w:pPr>
        <w:spacing w:before="120" w:after="120"/>
        <w:rPr>
          <w:rFonts w:ascii="Rockwell" w:hAnsi="Rockwell"/>
          <w:b/>
          <w:bCs/>
          <w:color w:val="000000"/>
          <w:szCs w:val="26"/>
        </w:rPr>
      </w:pPr>
    </w:p>
    <w:p w14:paraId="03EB98F1" w14:textId="77777777" w:rsidR="00284822" w:rsidRDefault="00284822">
      <w:pPr>
        <w:spacing w:before="120" w:after="120"/>
        <w:rPr>
          <w:rFonts w:ascii="Rockwell" w:hAnsi="Rockwell"/>
          <w:b/>
          <w:bCs/>
          <w:color w:val="000000"/>
          <w:szCs w:val="26"/>
        </w:rPr>
      </w:pPr>
    </w:p>
    <w:p w14:paraId="55D291E4" w14:textId="77777777" w:rsidR="00284822" w:rsidRDefault="00284822">
      <w:pPr>
        <w:pStyle w:val="Paragraphedeliste"/>
        <w:keepNext/>
        <w:keepLines/>
        <w:ind w:left="2912"/>
        <w:rPr>
          <w:rFonts w:ascii="Rockwell" w:hAnsi="Rockwell"/>
          <w:b/>
        </w:rPr>
        <w:sectPr w:rsidR="00284822">
          <w:pgSz w:w="16838" w:h="11906" w:orient="landscape"/>
          <w:pgMar w:top="1418" w:right="1418" w:bottom="1418" w:left="1418" w:header="720" w:footer="720" w:gutter="0"/>
          <w:cols w:space="720"/>
        </w:sectPr>
      </w:pPr>
    </w:p>
    <w:p w14:paraId="240839FA" w14:textId="77777777" w:rsidR="00284822" w:rsidRDefault="00284822">
      <w:pPr>
        <w:pStyle w:val="Paragraphedeliste"/>
        <w:keepNext/>
        <w:keepLines/>
        <w:ind w:left="2912"/>
        <w:rPr>
          <w:rFonts w:ascii="Rockwell" w:hAnsi="Rockwell"/>
          <w:b/>
        </w:rPr>
      </w:pPr>
    </w:p>
    <w:p w14:paraId="6AA5019D" w14:textId="77777777" w:rsidR="00284822" w:rsidRDefault="00284822">
      <w:pPr>
        <w:pStyle w:val="Paragraphedeliste"/>
        <w:keepNext/>
        <w:keepLines/>
        <w:ind w:left="2912"/>
        <w:rPr>
          <w:rFonts w:ascii="Rockwell" w:hAnsi="Rockwell"/>
          <w:b/>
        </w:rPr>
      </w:pPr>
    </w:p>
    <w:p w14:paraId="573BCB6F" w14:textId="77777777" w:rsidR="00284822" w:rsidRDefault="00284822">
      <w:pPr>
        <w:pStyle w:val="Paragraphedeliste"/>
        <w:keepNext/>
        <w:keepLines/>
        <w:ind w:left="2912"/>
        <w:rPr>
          <w:rFonts w:ascii="Rockwell" w:hAnsi="Rockwell"/>
          <w:b/>
        </w:rPr>
      </w:pPr>
    </w:p>
    <w:p w14:paraId="2BF854A4" w14:textId="77777777" w:rsidR="00284822" w:rsidRDefault="00284822">
      <w:pPr>
        <w:pStyle w:val="Paragraphedeliste"/>
        <w:keepNext/>
        <w:keepLines/>
        <w:ind w:left="2912"/>
        <w:rPr>
          <w:rFonts w:ascii="Rockwell" w:hAnsi="Rockwell"/>
          <w:b/>
        </w:rPr>
      </w:pPr>
    </w:p>
    <w:p w14:paraId="70D3DFF5" w14:textId="77777777" w:rsidR="00284822" w:rsidRDefault="00284822">
      <w:pPr>
        <w:pStyle w:val="Paragraphedeliste"/>
        <w:keepNext/>
        <w:keepLines/>
        <w:ind w:left="2912"/>
        <w:rPr>
          <w:rFonts w:ascii="Rockwell" w:hAnsi="Rockwell"/>
          <w:b/>
        </w:rPr>
      </w:pPr>
    </w:p>
    <w:p w14:paraId="0B43A5AE" w14:textId="77777777" w:rsidR="00284822" w:rsidRDefault="00284822">
      <w:pPr>
        <w:pStyle w:val="Paragraphedeliste"/>
        <w:keepNext/>
        <w:keepLines/>
        <w:ind w:left="2912"/>
        <w:rPr>
          <w:rFonts w:ascii="Rockwell" w:hAnsi="Rockwell"/>
          <w:b/>
        </w:rPr>
      </w:pPr>
    </w:p>
    <w:p w14:paraId="3D37B870" w14:textId="77777777" w:rsidR="00284822" w:rsidRDefault="00284822">
      <w:pPr>
        <w:pStyle w:val="Paragraphedeliste"/>
        <w:keepNext/>
        <w:keepLines/>
        <w:ind w:left="2912"/>
        <w:rPr>
          <w:rFonts w:ascii="Rockwell" w:hAnsi="Rockwell"/>
          <w:b/>
        </w:rPr>
      </w:pPr>
    </w:p>
    <w:p w14:paraId="1DAB6B52" w14:textId="77777777" w:rsidR="00284822" w:rsidRDefault="00284822">
      <w:pPr>
        <w:pStyle w:val="Paragraphedeliste"/>
        <w:keepNext/>
        <w:keepLines/>
        <w:ind w:left="2912"/>
        <w:rPr>
          <w:rFonts w:ascii="Rockwell" w:hAnsi="Rockwell"/>
          <w:b/>
        </w:rPr>
      </w:pPr>
    </w:p>
    <w:p w14:paraId="5440D8F8" w14:textId="77777777" w:rsidR="00284822" w:rsidRDefault="00F77BF8">
      <w:pPr>
        <w:pStyle w:val="Paragraphedeliste"/>
        <w:keepNext/>
        <w:keepLines/>
        <w:ind w:left="2912"/>
        <w:rPr>
          <w:rFonts w:ascii="Rockwell" w:hAnsi="Rockwell"/>
          <w:b/>
        </w:rPr>
      </w:pPr>
      <w:r>
        <w:rPr>
          <w:rFonts w:ascii="Rockwell" w:hAnsi="Rockwell"/>
          <w:noProof/>
        </w:rPr>
        <mc:AlternateContent>
          <mc:Choice Requires="wps">
            <w:drawing>
              <wp:anchor distT="0" distB="0" distL="114300" distR="114300" simplePos="0" relativeHeight="251666432" behindDoc="0" locked="0" layoutInCell="1" allowOverlap="1" wp14:anchorId="464B2A2D" wp14:editId="4C9DD9F6">
                <wp:simplePos x="0" y="0"/>
                <wp:positionH relativeFrom="column">
                  <wp:posOffset>-102870</wp:posOffset>
                </wp:positionH>
                <wp:positionV relativeFrom="paragraph">
                  <wp:posOffset>77470</wp:posOffset>
                </wp:positionV>
                <wp:extent cx="5826760" cy="1669415"/>
                <wp:effectExtent l="19050" t="19050" r="21590" b="26035"/>
                <wp:wrapNone/>
                <wp:docPr id="24" name="Rectangle 8"/>
                <wp:cNvGraphicFramePr/>
                <a:graphic xmlns:a="http://schemas.openxmlformats.org/drawingml/2006/main">
                  <a:graphicData uri="http://schemas.microsoft.com/office/word/2010/wordprocessingShape">
                    <wps:wsp>
                      <wps:cNvSpPr/>
                      <wps:spPr>
                        <a:xfrm>
                          <a:off x="0" y="0"/>
                          <a:ext cx="5826760" cy="1669415"/>
                        </a:xfrm>
                        <a:prstGeom prst="rect">
                          <a:avLst/>
                        </a:prstGeom>
                        <a:solidFill>
                          <a:sysClr val="window" lastClr="FFFFFF"/>
                        </a:solidFill>
                        <a:ln w="28575" cap="flat" cmpd="sng" algn="ctr">
                          <a:solidFill>
                            <a:srgbClr val="00B0F0"/>
                          </a:solidFill>
                          <a:prstDash val="lgDashDot"/>
                          <a:miter lim="800000"/>
                        </a:ln>
                        <a:effectLst/>
                      </wps:spPr>
                      <wps:txbx>
                        <w:txbxContent>
                          <w:p w14:paraId="25D73B24" w14:textId="77777777" w:rsidR="003148F1" w:rsidRDefault="003148F1">
                            <w:pPr>
                              <w:jc w:val="center"/>
                              <w:rPr>
                                <w:rFonts w:ascii="Rockwell" w:hAnsi="Rockwell"/>
                                <w:b/>
                                <w:sz w:val="32"/>
                                <w:szCs w:val="32"/>
                              </w:rPr>
                            </w:pPr>
                            <w:r>
                              <w:rPr>
                                <w:rFonts w:ascii="Rockwell" w:hAnsi="Rockwell"/>
                                <w:b/>
                                <w:sz w:val="32"/>
                                <w:szCs w:val="32"/>
                              </w:rPr>
                              <w:t xml:space="preserve">ANNEXE 3 : </w:t>
                            </w:r>
                            <w:r>
                              <w:rPr>
                                <w:rFonts w:ascii="Rockwell" w:eastAsiaTheme="majorEastAsia" w:hAnsi="Rockwell"/>
                                <w:b/>
                                <w:sz w:val="32"/>
                                <w:szCs w:val="32"/>
                              </w:rPr>
                              <w:t>REPERTOIRE DES MEDIAS EN LIGNE</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464B2A2D" id="_x0000_s1046" style="position:absolute;left:0;text-align:left;margin-left:-8.1pt;margin-top:6.1pt;width:458.8pt;height:131.4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" fillcolor="window" strokecolor="#00b0f0" strokeweight="2.25pt">
                <v:stroke dashstyle="longDashDot"/>
                <v:textbox>
                  <w:txbxContent>
                    <w:p w14:paraId="25D73B24" w14:textId="77777777" w:rsidR="003148F1" w:rsidRDefault="003148F1">
                      <w:pPr>
                        <w:jc w:val="center"/>
                        <w:rPr>
                          <w:rFonts w:ascii="Rockwell" w:hAnsi="Rockwell"/>
                          <w:b/>
                          <w:sz w:val="32"/>
                          <w:szCs w:val="32"/>
                        </w:rPr>
                      </w:pPr>
                      <w:r>
                        <w:rPr>
                          <w:rFonts w:ascii="Rockwell" w:hAnsi="Rockwell"/>
                          <w:b/>
                          <w:sz w:val="32"/>
                          <w:szCs w:val="32"/>
                        </w:rPr>
                        <w:t xml:space="preserve">ANNEXE 3 : </w:t>
                      </w:r>
                      <w:r>
                        <w:rPr>
                          <w:rFonts w:ascii="Rockwell" w:eastAsiaTheme="majorEastAsia" w:hAnsi="Rockwell"/>
                          <w:b/>
                          <w:sz w:val="32"/>
                          <w:szCs w:val="32"/>
                        </w:rPr>
                        <w:t>REPERTOIRE DES MEDIAS EN LIGNE</w:t>
                      </w:r>
                    </w:p>
                  </w:txbxContent>
                </v:textbox>
              </v:rect>
            </w:pict>
          </mc:Fallback>
        </mc:AlternateContent>
      </w:r>
    </w:p>
    <w:p w14:paraId="56D07410" w14:textId="77777777" w:rsidR="00284822" w:rsidRDefault="00284822">
      <w:pPr>
        <w:pStyle w:val="Paragraphedeliste"/>
        <w:keepNext/>
        <w:keepLines/>
        <w:ind w:left="2912"/>
        <w:rPr>
          <w:rFonts w:ascii="Rockwell" w:hAnsi="Rockwell"/>
          <w:b/>
        </w:rPr>
      </w:pPr>
    </w:p>
    <w:p w14:paraId="16017F14" w14:textId="77777777" w:rsidR="00284822" w:rsidRDefault="00284822">
      <w:pPr>
        <w:pStyle w:val="Paragraphedeliste"/>
        <w:keepNext/>
        <w:keepLines/>
        <w:ind w:left="2912"/>
        <w:rPr>
          <w:rFonts w:ascii="Rockwell" w:hAnsi="Rockwell"/>
          <w:b/>
        </w:rPr>
      </w:pPr>
    </w:p>
    <w:p w14:paraId="5274E001" w14:textId="77777777" w:rsidR="00284822" w:rsidRDefault="00284822">
      <w:pPr>
        <w:pStyle w:val="Paragraphedeliste"/>
        <w:keepNext/>
        <w:keepLines/>
        <w:ind w:left="2912"/>
        <w:rPr>
          <w:rFonts w:ascii="Rockwell" w:hAnsi="Rockwell"/>
          <w:b/>
        </w:rPr>
      </w:pPr>
    </w:p>
    <w:p w14:paraId="68C279FA" w14:textId="77777777" w:rsidR="00284822" w:rsidRDefault="00284822">
      <w:pPr>
        <w:pStyle w:val="Paragraphedeliste"/>
        <w:keepNext/>
        <w:keepLines/>
        <w:ind w:left="2912"/>
        <w:rPr>
          <w:rFonts w:ascii="Rockwell" w:hAnsi="Rockwell"/>
          <w:b/>
        </w:rPr>
      </w:pPr>
    </w:p>
    <w:p w14:paraId="07CE5014" w14:textId="77777777" w:rsidR="00284822" w:rsidRDefault="00284822">
      <w:pPr>
        <w:pStyle w:val="Paragraphedeliste"/>
        <w:keepNext/>
        <w:keepLines/>
        <w:ind w:left="2912"/>
        <w:rPr>
          <w:rFonts w:ascii="Rockwell" w:hAnsi="Rockwell"/>
          <w:b/>
        </w:rPr>
      </w:pPr>
    </w:p>
    <w:p w14:paraId="10E2C418" w14:textId="77777777" w:rsidR="00284822" w:rsidRDefault="00284822">
      <w:pPr>
        <w:pStyle w:val="Paragraphedeliste"/>
        <w:keepNext/>
        <w:keepLines/>
        <w:ind w:left="2912"/>
        <w:rPr>
          <w:rFonts w:ascii="Rockwell" w:hAnsi="Rockwell"/>
          <w:b/>
        </w:rPr>
      </w:pPr>
    </w:p>
    <w:p w14:paraId="6689825E" w14:textId="77777777" w:rsidR="00284822" w:rsidRDefault="00284822">
      <w:pPr>
        <w:pStyle w:val="Paragraphedeliste"/>
        <w:keepNext/>
        <w:keepLines/>
        <w:ind w:left="2912"/>
        <w:rPr>
          <w:rFonts w:ascii="Rockwell" w:hAnsi="Rockwell"/>
          <w:b/>
        </w:rPr>
      </w:pPr>
    </w:p>
    <w:p w14:paraId="445B2C16" w14:textId="77777777" w:rsidR="00284822" w:rsidRDefault="00284822">
      <w:pPr>
        <w:pStyle w:val="Paragraphedeliste"/>
        <w:keepNext/>
        <w:keepLines/>
        <w:ind w:left="2912"/>
        <w:rPr>
          <w:rFonts w:ascii="Rockwell" w:hAnsi="Rockwell"/>
          <w:b/>
        </w:rPr>
      </w:pPr>
    </w:p>
    <w:p w14:paraId="78B71CF5" w14:textId="77777777" w:rsidR="00284822" w:rsidRDefault="00284822">
      <w:pPr>
        <w:pStyle w:val="Paragraphedeliste"/>
        <w:keepNext/>
        <w:keepLines/>
        <w:ind w:left="2912"/>
        <w:rPr>
          <w:rFonts w:ascii="Rockwell" w:hAnsi="Rockwell"/>
          <w:b/>
        </w:rPr>
      </w:pPr>
    </w:p>
    <w:p w14:paraId="5E0D636A" w14:textId="77777777" w:rsidR="00284822" w:rsidRDefault="00284822">
      <w:pPr>
        <w:pStyle w:val="Paragraphedeliste"/>
        <w:keepNext/>
        <w:keepLines/>
        <w:ind w:left="2912"/>
        <w:rPr>
          <w:rFonts w:ascii="Rockwell" w:hAnsi="Rockwell"/>
          <w:b/>
        </w:rPr>
        <w:sectPr w:rsidR="00284822">
          <w:pgSz w:w="11906" w:h="16838"/>
          <w:pgMar w:top="1418" w:right="1418" w:bottom="1418" w:left="1418" w:header="708" w:footer="708" w:gutter="0"/>
          <w:cols w:space="708"/>
          <w:docGrid w:linePitch="360"/>
        </w:sectPr>
      </w:pPr>
    </w:p>
    <w:tbl>
      <w:tblPr>
        <w:tblStyle w:val="Grilledutableau2"/>
        <w:tblW w:w="9923" w:type="dxa"/>
        <w:tblInd w:w="-147" w:type="dxa"/>
        <w:tblLayout w:type="fixed"/>
        <w:tblLook w:val="04A0" w:firstRow="1" w:lastRow="0" w:firstColumn="1" w:lastColumn="0" w:noHBand="0" w:noVBand="1"/>
      </w:tblPr>
      <w:tblGrid>
        <w:gridCol w:w="851"/>
        <w:gridCol w:w="4678"/>
        <w:gridCol w:w="4394"/>
      </w:tblGrid>
      <w:tr w:rsidR="00284822" w14:paraId="57377360" w14:textId="77777777">
        <w:trPr>
          <w:trHeight w:val="552"/>
        </w:trPr>
        <w:tc>
          <w:tcPr>
            <w:tcW w:w="851" w:type="dxa"/>
            <w:shd w:val="clear" w:color="auto" w:fill="A6A6A6" w:themeFill="background1" w:themeFillShade="A6"/>
          </w:tcPr>
          <w:p w14:paraId="4C60CF73" w14:textId="77777777" w:rsidR="00284822" w:rsidRDefault="00F77BF8">
            <w:pPr>
              <w:autoSpaceDN/>
              <w:spacing w:before="120" w:after="120"/>
              <w:jc w:val="center"/>
              <w:textAlignment w:val="auto"/>
              <w:rPr>
                <w:rFonts w:ascii="Rockwell" w:eastAsiaTheme="minorHAnsi" w:hAnsi="Rockwell"/>
              </w:rPr>
            </w:pPr>
            <w:r>
              <w:rPr>
                <w:rFonts w:ascii="Rockwell" w:eastAsiaTheme="minorHAnsi" w:hAnsi="Rockwell"/>
              </w:rPr>
              <w:lastRenderedPageBreak/>
              <w:t>N</w:t>
            </w:r>
            <w:r>
              <w:rPr>
                <w:rFonts w:ascii="Rockwell" w:eastAsiaTheme="minorHAnsi" w:hAnsi="Rockwell"/>
                <w:vertAlign w:val="superscript"/>
              </w:rPr>
              <w:t>o</w:t>
            </w:r>
          </w:p>
        </w:tc>
        <w:tc>
          <w:tcPr>
            <w:tcW w:w="4678" w:type="dxa"/>
            <w:shd w:val="clear" w:color="auto" w:fill="A6A6A6" w:themeFill="background1" w:themeFillShade="A6"/>
          </w:tcPr>
          <w:p w14:paraId="39035B80" w14:textId="77777777" w:rsidR="00284822" w:rsidRDefault="00F77BF8">
            <w:pPr>
              <w:autoSpaceDN/>
              <w:spacing w:before="120" w:after="120"/>
              <w:jc w:val="center"/>
              <w:textAlignment w:val="auto"/>
              <w:rPr>
                <w:rFonts w:ascii="Rockwell" w:eastAsiaTheme="minorHAnsi" w:hAnsi="Rockwell"/>
              </w:rPr>
            </w:pPr>
            <w:r>
              <w:rPr>
                <w:rFonts w:ascii="Rockwell" w:eastAsiaTheme="minorHAnsi" w:hAnsi="Rockwell"/>
              </w:rPr>
              <w:t>Dénomination</w:t>
            </w:r>
          </w:p>
        </w:tc>
        <w:tc>
          <w:tcPr>
            <w:tcW w:w="4394" w:type="dxa"/>
            <w:shd w:val="clear" w:color="auto" w:fill="A6A6A6" w:themeFill="background1" w:themeFillShade="A6"/>
          </w:tcPr>
          <w:p w14:paraId="50DA067B" w14:textId="77777777" w:rsidR="00284822" w:rsidRDefault="00F77BF8">
            <w:pPr>
              <w:autoSpaceDN/>
              <w:spacing w:before="120" w:after="120"/>
              <w:jc w:val="center"/>
              <w:textAlignment w:val="auto"/>
              <w:rPr>
                <w:rFonts w:ascii="Rockwell" w:eastAsiaTheme="minorHAnsi" w:hAnsi="Rockwell"/>
              </w:rPr>
            </w:pPr>
            <w:r>
              <w:rPr>
                <w:rFonts w:ascii="Rockwell" w:eastAsiaTheme="minorHAnsi" w:hAnsi="Rockwell"/>
              </w:rPr>
              <w:t>Lien électronique</w:t>
            </w:r>
          </w:p>
        </w:tc>
      </w:tr>
      <w:tr w:rsidR="00284822" w14:paraId="32A8A699" w14:textId="77777777">
        <w:trPr>
          <w:trHeight w:val="530"/>
        </w:trPr>
        <w:tc>
          <w:tcPr>
            <w:tcW w:w="851" w:type="dxa"/>
          </w:tcPr>
          <w:p w14:paraId="055209CA"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w:t>
            </w:r>
          </w:p>
        </w:tc>
        <w:tc>
          <w:tcPr>
            <w:tcW w:w="4678" w:type="dxa"/>
            <w:vAlign w:val="bottom"/>
          </w:tcPr>
          <w:p w14:paraId="374E2AAE" w14:textId="77777777" w:rsidR="00284822" w:rsidRDefault="00F77BF8">
            <w:pPr>
              <w:autoSpaceDN/>
              <w:spacing w:before="120" w:after="120"/>
              <w:textAlignment w:val="auto"/>
              <w:rPr>
                <w:rFonts w:ascii="Rockwell" w:eastAsiaTheme="minorHAnsi" w:hAnsi="Rockwell"/>
              </w:rPr>
            </w:pPr>
            <w:proofErr w:type="spellStart"/>
            <w:r>
              <w:rPr>
                <w:rFonts w:ascii="Rockwell" w:eastAsiaTheme="minorHAnsi" w:hAnsi="Rockwell"/>
              </w:rPr>
              <w:t>Fasozine</w:t>
            </w:r>
            <w:proofErr w:type="spellEnd"/>
          </w:p>
        </w:tc>
        <w:tc>
          <w:tcPr>
            <w:tcW w:w="4394" w:type="dxa"/>
            <w:vAlign w:val="bottom"/>
          </w:tcPr>
          <w:p w14:paraId="4CC813B3" w14:textId="77777777" w:rsidR="00284822" w:rsidRDefault="003148F1">
            <w:pPr>
              <w:autoSpaceDN/>
              <w:spacing w:before="120" w:after="120"/>
              <w:textAlignment w:val="auto"/>
              <w:rPr>
                <w:rFonts w:ascii="Rockwell" w:eastAsiaTheme="minorHAnsi" w:hAnsi="Rockwell"/>
              </w:rPr>
            </w:pPr>
            <w:hyperlink r:id="rId132" w:history="1">
              <w:r w:rsidR="00F77BF8">
                <w:rPr>
                  <w:rStyle w:val="Lienhypertexte"/>
                  <w:rFonts w:ascii="Rockwell" w:eastAsiaTheme="minorHAnsi" w:hAnsi="Rockwell"/>
                </w:rPr>
                <w:t>www.fasozine.com</w:t>
              </w:r>
            </w:hyperlink>
          </w:p>
        </w:tc>
      </w:tr>
      <w:tr w:rsidR="00284822" w14:paraId="0345AB31" w14:textId="77777777">
        <w:trPr>
          <w:trHeight w:val="559"/>
        </w:trPr>
        <w:tc>
          <w:tcPr>
            <w:tcW w:w="851" w:type="dxa"/>
          </w:tcPr>
          <w:p w14:paraId="0B0C1CFE"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2</w:t>
            </w:r>
          </w:p>
        </w:tc>
        <w:tc>
          <w:tcPr>
            <w:tcW w:w="4678" w:type="dxa"/>
            <w:vAlign w:val="bottom"/>
          </w:tcPr>
          <w:p w14:paraId="6AC0F4D8" w14:textId="77777777" w:rsidR="00284822" w:rsidRDefault="00F77BF8">
            <w:pPr>
              <w:autoSpaceDN/>
              <w:spacing w:before="120" w:after="120"/>
              <w:textAlignment w:val="auto"/>
              <w:rPr>
                <w:rFonts w:ascii="Rockwell" w:eastAsia="Calibri" w:hAnsi="Rockwell"/>
              </w:rPr>
            </w:pPr>
            <w:r>
              <w:rPr>
                <w:rFonts w:ascii="Rockwell" w:eastAsia="Calibri" w:hAnsi="Rockwell"/>
              </w:rPr>
              <w:t>Lefaso.net</w:t>
            </w:r>
          </w:p>
        </w:tc>
        <w:tc>
          <w:tcPr>
            <w:tcW w:w="4394" w:type="dxa"/>
            <w:vAlign w:val="bottom"/>
          </w:tcPr>
          <w:p w14:paraId="077DE1A2" w14:textId="77777777" w:rsidR="00284822" w:rsidRDefault="003148F1">
            <w:pPr>
              <w:autoSpaceDN/>
              <w:spacing w:before="120" w:after="120"/>
              <w:textAlignment w:val="auto"/>
              <w:rPr>
                <w:rFonts w:ascii="Rockwell" w:eastAsia="Calibri" w:hAnsi="Rockwell"/>
              </w:rPr>
            </w:pPr>
            <w:hyperlink r:id="rId133" w:history="1">
              <w:r w:rsidR="00F77BF8">
                <w:rPr>
                  <w:rStyle w:val="Lienhypertexte"/>
                  <w:rFonts w:ascii="Rockwell" w:eastAsia="Calibri" w:hAnsi="Rockwell"/>
                </w:rPr>
                <w:t>www.lefaso.net</w:t>
              </w:r>
            </w:hyperlink>
          </w:p>
        </w:tc>
      </w:tr>
      <w:tr w:rsidR="00284822" w14:paraId="1F2BF4CD" w14:textId="77777777">
        <w:trPr>
          <w:trHeight w:val="517"/>
        </w:trPr>
        <w:tc>
          <w:tcPr>
            <w:tcW w:w="851" w:type="dxa"/>
          </w:tcPr>
          <w:p w14:paraId="22C53824"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3</w:t>
            </w:r>
          </w:p>
        </w:tc>
        <w:tc>
          <w:tcPr>
            <w:tcW w:w="4678" w:type="dxa"/>
            <w:vAlign w:val="bottom"/>
          </w:tcPr>
          <w:p w14:paraId="03077F8C" w14:textId="77777777" w:rsidR="00284822" w:rsidRDefault="00F77BF8">
            <w:pPr>
              <w:autoSpaceDN/>
              <w:spacing w:before="120" w:after="120"/>
              <w:textAlignment w:val="auto"/>
              <w:rPr>
                <w:rFonts w:ascii="Rockwell" w:eastAsia="Calibri" w:hAnsi="Rockwell"/>
              </w:rPr>
            </w:pPr>
            <w:r>
              <w:rPr>
                <w:rFonts w:ascii="Rockwell" w:eastAsia="Calibri" w:hAnsi="Rockwell"/>
              </w:rPr>
              <w:t>Ouaga24</w:t>
            </w:r>
          </w:p>
        </w:tc>
        <w:tc>
          <w:tcPr>
            <w:tcW w:w="4394" w:type="dxa"/>
            <w:vAlign w:val="bottom"/>
          </w:tcPr>
          <w:p w14:paraId="51B4C665" w14:textId="77777777" w:rsidR="00284822" w:rsidRDefault="003148F1">
            <w:pPr>
              <w:autoSpaceDN/>
              <w:spacing w:before="120" w:after="120"/>
              <w:textAlignment w:val="auto"/>
              <w:rPr>
                <w:rFonts w:ascii="Rockwell" w:eastAsia="Calibri" w:hAnsi="Rockwell"/>
              </w:rPr>
            </w:pPr>
            <w:hyperlink r:id="rId134" w:history="1">
              <w:r w:rsidR="00F77BF8">
                <w:rPr>
                  <w:rStyle w:val="Lienhypertexte"/>
                  <w:rFonts w:ascii="Rockwell" w:eastAsia="Calibri" w:hAnsi="Rockwell"/>
                </w:rPr>
                <w:t>www.ouaga24.com</w:t>
              </w:r>
            </w:hyperlink>
          </w:p>
        </w:tc>
      </w:tr>
      <w:tr w:rsidR="00284822" w14:paraId="1425CF68" w14:textId="77777777">
        <w:tc>
          <w:tcPr>
            <w:tcW w:w="851" w:type="dxa"/>
          </w:tcPr>
          <w:p w14:paraId="745B1A5C"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4</w:t>
            </w:r>
          </w:p>
        </w:tc>
        <w:tc>
          <w:tcPr>
            <w:tcW w:w="4678" w:type="dxa"/>
            <w:vAlign w:val="bottom"/>
          </w:tcPr>
          <w:p w14:paraId="660F3CF9" w14:textId="77777777" w:rsidR="00284822" w:rsidRDefault="00F77BF8">
            <w:pPr>
              <w:autoSpaceDN/>
              <w:spacing w:before="120" w:after="120"/>
              <w:textAlignment w:val="auto"/>
              <w:rPr>
                <w:rFonts w:ascii="Rockwell" w:eastAsia="Calibri" w:hAnsi="Rockwell"/>
              </w:rPr>
            </w:pPr>
            <w:proofErr w:type="spellStart"/>
            <w:r>
              <w:rPr>
                <w:rFonts w:ascii="Rockwell" w:eastAsia="Calibri" w:hAnsi="Rockwell"/>
              </w:rPr>
              <w:t>Zoodomail</w:t>
            </w:r>
            <w:proofErr w:type="spellEnd"/>
          </w:p>
        </w:tc>
        <w:tc>
          <w:tcPr>
            <w:tcW w:w="4394" w:type="dxa"/>
            <w:vAlign w:val="bottom"/>
          </w:tcPr>
          <w:p w14:paraId="71A2F88B" w14:textId="77777777" w:rsidR="00284822" w:rsidRDefault="003148F1">
            <w:pPr>
              <w:autoSpaceDN/>
              <w:spacing w:before="120" w:after="120"/>
              <w:textAlignment w:val="auto"/>
              <w:rPr>
                <w:rFonts w:ascii="Rockwell" w:eastAsia="Calibri" w:hAnsi="Rockwell"/>
              </w:rPr>
            </w:pPr>
            <w:hyperlink r:id="rId135" w:history="1">
              <w:r w:rsidR="00F77BF8">
                <w:rPr>
                  <w:rStyle w:val="Lienhypertexte"/>
                  <w:rFonts w:ascii="Rockwell" w:eastAsia="Calibri" w:hAnsi="Rockwell"/>
                </w:rPr>
                <w:t>www.zoodomail.com</w:t>
              </w:r>
            </w:hyperlink>
          </w:p>
        </w:tc>
      </w:tr>
      <w:tr w:rsidR="00284822" w14:paraId="6DBDA08E" w14:textId="77777777">
        <w:trPr>
          <w:trHeight w:val="503"/>
        </w:trPr>
        <w:tc>
          <w:tcPr>
            <w:tcW w:w="851" w:type="dxa"/>
          </w:tcPr>
          <w:p w14:paraId="09927345"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5</w:t>
            </w:r>
          </w:p>
        </w:tc>
        <w:tc>
          <w:tcPr>
            <w:tcW w:w="4678" w:type="dxa"/>
            <w:vAlign w:val="bottom"/>
          </w:tcPr>
          <w:p w14:paraId="525CD12B" w14:textId="77777777" w:rsidR="00284822" w:rsidRDefault="00F77BF8">
            <w:pPr>
              <w:autoSpaceDN/>
              <w:spacing w:before="120" w:after="120"/>
              <w:textAlignment w:val="auto"/>
              <w:rPr>
                <w:rFonts w:ascii="Rockwell" w:eastAsia="Calibri" w:hAnsi="Rockwell"/>
              </w:rPr>
            </w:pPr>
            <w:r>
              <w:rPr>
                <w:rFonts w:ascii="Rockwell" w:eastAsia="Calibri" w:hAnsi="Rockwell"/>
              </w:rPr>
              <w:t>Burkina24</w:t>
            </w:r>
          </w:p>
        </w:tc>
        <w:tc>
          <w:tcPr>
            <w:tcW w:w="4394" w:type="dxa"/>
            <w:vAlign w:val="bottom"/>
          </w:tcPr>
          <w:p w14:paraId="4DD133D0" w14:textId="77777777" w:rsidR="00284822" w:rsidRDefault="003148F1">
            <w:pPr>
              <w:autoSpaceDN/>
              <w:spacing w:before="120" w:after="120"/>
              <w:textAlignment w:val="auto"/>
              <w:rPr>
                <w:rFonts w:ascii="Rockwell" w:eastAsia="Calibri" w:hAnsi="Rockwell"/>
              </w:rPr>
            </w:pPr>
            <w:hyperlink r:id="rId136" w:history="1">
              <w:r w:rsidR="00F77BF8">
                <w:rPr>
                  <w:rStyle w:val="Lienhypertexte"/>
                  <w:rFonts w:ascii="Rockwell" w:eastAsia="Calibri" w:hAnsi="Rockwell"/>
                </w:rPr>
                <w:t>www.burkina24.com</w:t>
              </w:r>
            </w:hyperlink>
          </w:p>
        </w:tc>
      </w:tr>
      <w:tr w:rsidR="00284822" w14:paraId="493A17F0" w14:textId="77777777">
        <w:tc>
          <w:tcPr>
            <w:tcW w:w="851" w:type="dxa"/>
          </w:tcPr>
          <w:p w14:paraId="1EC55A4E"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6</w:t>
            </w:r>
          </w:p>
        </w:tc>
        <w:tc>
          <w:tcPr>
            <w:tcW w:w="4678" w:type="dxa"/>
            <w:vAlign w:val="bottom"/>
          </w:tcPr>
          <w:p w14:paraId="14261969" w14:textId="77777777" w:rsidR="00284822" w:rsidRDefault="00F77BF8">
            <w:pPr>
              <w:autoSpaceDN/>
              <w:spacing w:before="120" w:after="120"/>
              <w:textAlignment w:val="auto"/>
              <w:rPr>
                <w:rFonts w:ascii="Rockwell" w:eastAsia="Calibri" w:hAnsi="Rockwell"/>
              </w:rPr>
            </w:pPr>
            <w:r>
              <w:rPr>
                <w:rFonts w:ascii="Rockwell" w:eastAsia="Calibri" w:hAnsi="Rockwell"/>
              </w:rPr>
              <w:t xml:space="preserve">Editions </w:t>
            </w:r>
            <w:proofErr w:type="spellStart"/>
            <w:r>
              <w:rPr>
                <w:rFonts w:ascii="Rockwell" w:eastAsia="Calibri" w:hAnsi="Rockwell"/>
              </w:rPr>
              <w:t>Fasoactu</w:t>
            </w:r>
            <w:proofErr w:type="spellEnd"/>
          </w:p>
        </w:tc>
        <w:tc>
          <w:tcPr>
            <w:tcW w:w="4394" w:type="dxa"/>
            <w:vAlign w:val="bottom"/>
          </w:tcPr>
          <w:p w14:paraId="14A99808" w14:textId="77777777" w:rsidR="00284822" w:rsidRDefault="003148F1">
            <w:pPr>
              <w:autoSpaceDN/>
              <w:spacing w:before="120" w:after="120"/>
              <w:textAlignment w:val="auto"/>
              <w:rPr>
                <w:rFonts w:ascii="Rockwell" w:eastAsia="Calibri" w:hAnsi="Rockwell"/>
              </w:rPr>
            </w:pPr>
            <w:hyperlink r:id="rId137" w:history="1">
              <w:r w:rsidR="00F77BF8">
                <w:rPr>
                  <w:rStyle w:val="Lienhypertexte"/>
                  <w:rFonts w:ascii="Rockwell" w:eastAsia="Calibri" w:hAnsi="Rockwell"/>
                </w:rPr>
                <w:t>www.fasoactu.com</w:t>
              </w:r>
            </w:hyperlink>
          </w:p>
        </w:tc>
      </w:tr>
      <w:tr w:rsidR="00284822" w14:paraId="3E3830F9" w14:textId="77777777">
        <w:tc>
          <w:tcPr>
            <w:tcW w:w="851" w:type="dxa"/>
          </w:tcPr>
          <w:p w14:paraId="54B53265"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7</w:t>
            </w:r>
          </w:p>
        </w:tc>
        <w:tc>
          <w:tcPr>
            <w:tcW w:w="4678" w:type="dxa"/>
            <w:vAlign w:val="bottom"/>
          </w:tcPr>
          <w:p w14:paraId="465B2F39" w14:textId="77777777" w:rsidR="00284822" w:rsidRDefault="00F77BF8">
            <w:pPr>
              <w:autoSpaceDN/>
              <w:spacing w:before="120" w:after="120"/>
              <w:textAlignment w:val="auto"/>
              <w:rPr>
                <w:rFonts w:ascii="Rockwell" w:eastAsia="Calibri" w:hAnsi="Rockwell"/>
              </w:rPr>
            </w:pPr>
            <w:r>
              <w:rPr>
                <w:rFonts w:ascii="Rockwell" w:eastAsia="Calibri" w:hAnsi="Rockwell"/>
              </w:rPr>
              <w:t>Faso-actu</w:t>
            </w:r>
          </w:p>
        </w:tc>
        <w:tc>
          <w:tcPr>
            <w:tcW w:w="4394" w:type="dxa"/>
            <w:vAlign w:val="bottom"/>
          </w:tcPr>
          <w:p w14:paraId="332F7214" w14:textId="77777777" w:rsidR="00284822" w:rsidRDefault="003148F1">
            <w:pPr>
              <w:autoSpaceDN/>
              <w:spacing w:before="120" w:after="120"/>
              <w:textAlignment w:val="auto"/>
              <w:rPr>
                <w:rFonts w:ascii="Rockwell" w:eastAsia="Calibri" w:hAnsi="Rockwell"/>
              </w:rPr>
            </w:pPr>
            <w:hyperlink r:id="rId138" w:history="1">
              <w:r w:rsidR="00F77BF8">
                <w:rPr>
                  <w:rStyle w:val="Lienhypertexte"/>
                  <w:rFonts w:ascii="Rockwell" w:eastAsia="Calibri" w:hAnsi="Rockwell"/>
                </w:rPr>
                <w:t>www.fasoactu.net</w:t>
              </w:r>
            </w:hyperlink>
            <w:r w:rsidR="00F77BF8">
              <w:rPr>
                <w:rFonts w:ascii="Rockwell" w:eastAsia="Calibri" w:hAnsi="Rockwell"/>
              </w:rPr>
              <w:t xml:space="preserve"> </w:t>
            </w:r>
          </w:p>
        </w:tc>
      </w:tr>
      <w:tr w:rsidR="00284822" w14:paraId="44175D72" w14:textId="77777777">
        <w:tc>
          <w:tcPr>
            <w:tcW w:w="851" w:type="dxa"/>
          </w:tcPr>
          <w:p w14:paraId="0CBB93C8"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8</w:t>
            </w:r>
          </w:p>
        </w:tc>
        <w:tc>
          <w:tcPr>
            <w:tcW w:w="4678" w:type="dxa"/>
            <w:vAlign w:val="bottom"/>
          </w:tcPr>
          <w:p w14:paraId="13211289" w14:textId="77777777" w:rsidR="00284822" w:rsidRDefault="00F77BF8">
            <w:pPr>
              <w:autoSpaceDN/>
              <w:spacing w:before="120" w:after="120"/>
              <w:textAlignment w:val="auto"/>
              <w:rPr>
                <w:rFonts w:ascii="Rockwell" w:eastAsiaTheme="minorHAnsi" w:hAnsi="Rockwell"/>
              </w:rPr>
            </w:pPr>
            <w:r>
              <w:rPr>
                <w:rFonts w:ascii="Rockwell" w:eastAsia="Calibri" w:hAnsi="Rockwell"/>
              </w:rPr>
              <w:t>Faso News</w:t>
            </w:r>
          </w:p>
        </w:tc>
        <w:tc>
          <w:tcPr>
            <w:tcW w:w="4394" w:type="dxa"/>
            <w:vAlign w:val="bottom"/>
          </w:tcPr>
          <w:p w14:paraId="76D0D20E" w14:textId="77777777" w:rsidR="00284822" w:rsidRDefault="003148F1">
            <w:pPr>
              <w:autoSpaceDN/>
              <w:spacing w:before="120" w:after="120"/>
              <w:textAlignment w:val="auto"/>
              <w:rPr>
                <w:rFonts w:ascii="Rockwell" w:eastAsiaTheme="minorHAnsi" w:hAnsi="Rockwell"/>
              </w:rPr>
            </w:pPr>
            <w:hyperlink r:id="rId139" w:history="1">
              <w:r w:rsidR="00F77BF8">
                <w:rPr>
                  <w:rStyle w:val="Lienhypertexte"/>
                  <w:rFonts w:ascii="Rockwell" w:eastAsia="Calibri" w:hAnsi="Rockwell"/>
                </w:rPr>
                <w:t>www.fasonews.com</w:t>
              </w:r>
            </w:hyperlink>
            <w:r w:rsidR="00F77BF8">
              <w:rPr>
                <w:rFonts w:ascii="Rockwell" w:eastAsia="Calibri" w:hAnsi="Rockwell"/>
              </w:rPr>
              <w:t xml:space="preserve"> </w:t>
            </w:r>
          </w:p>
        </w:tc>
      </w:tr>
      <w:tr w:rsidR="00284822" w14:paraId="1CE9D59C" w14:textId="77777777">
        <w:tc>
          <w:tcPr>
            <w:tcW w:w="851" w:type="dxa"/>
          </w:tcPr>
          <w:p w14:paraId="4F68A9B7"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9</w:t>
            </w:r>
          </w:p>
        </w:tc>
        <w:tc>
          <w:tcPr>
            <w:tcW w:w="4678" w:type="dxa"/>
            <w:vAlign w:val="bottom"/>
          </w:tcPr>
          <w:p w14:paraId="7D43C05F" w14:textId="77777777" w:rsidR="00284822" w:rsidRDefault="00F77BF8">
            <w:pPr>
              <w:autoSpaceDN/>
              <w:spacing w:before="120" w:after="120"/>
              <w:textAlignment w:val="auto"/>
              <w:rPr>
                <w:rFonts w:ascii="Rockwell" w:eastAsia="Calibri" w:hAnsi="Rockwell"/>
              </w:rPr>
            </w:pPr>
            <w:r>
              <w:rPr>
                <w:rFonts w:ascii="Rockwell" w:eastAsia="Calibri" w:hAnsi="Rockwell"/>
              </w:rPr>
              <w:t>Laborpresse.Net</w:t>
            </w:r>
          </w:p>
        </w:tc>
        <w:tc>
          <w:tcPr>
            <w:tcW w:w="4394" w:type="dxa"/>
            <w:vAlign w:val="bottom"/>
          </w:tcPr>
          <w:p w14:paraId="2B37F61F" w14:textId="77777777" w:rsidR="00284822" w:rsidRDefault="003148F1">
            <w:pPr>
              <w:autoSpaceDN/>
              <w:spacing w:before="120" w:after="120"/>
              <w:textAlignment w:val="auto"/>
              <w:rPr>
                <w:rFonts w:ascii="Rockwell" w:eastAsia="Calibri" w:hAnsi="Rockwell"/>
              </w:rPr>
            </w:pPr>
            <w:hyperlink r:id="rId140" w:history="1">
              <w:r w:rsidR="00F77BF8">
                <w:rPr>
                  <w:rStyle w:val="Lienhypertexte"/>
                  <w:rFonts w:ascii="Rockwell" w:eastAsia="Calibri" w:hAnsi="Rockwell"/>
                </w:rPr>
                <w:t>www.laborpresse.net</w:t>
              </w:r>
            </w:hyperlink>
          </w:p>
        </w:tc>
      </w:tr>
      <w:tr w:rsidR="00284822" w14:paraId="5CA32606" w14:textId="77777777">
        <w:tc>
          <w:tcPr>
            <w:tcW w:w="851" w:type="dxa"/>
          </w:tcPr>
          <w:p w14:paraId="51B48D0D"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10</w:t>
            </w:r>
          </w:p>
        </w:tc>
        <w:tc>
          <w:tcPr>
            <w:tcW w:w="4678" w:type="dxa"/>
            <w:vAlign w:val="bottom"/>
          </w:tcPr>
          <w:p w14:paraId="1693FB39" w14:textId="77777777" w:rsidR="00284822" w:rsidRDefault="00F77BF8">
            <w:pPr>
              <w:autoSpaceDN/>
              <w:spacing w:before="120" w:after="120"/>
              <w:textAlignment w:val="auto"/>
              <w:rPr>
                <w:rFonts w:ascii="Rockwell" w:eastAsia="Calibri" w:hAnsi="Rockwell"/>
              </w:rPr>
            </w:pPr>
            <w:r>
              <w:rPr>
                <w:rFonts w:ascii="Rockwell" w:eastAsia="Calibri" w:hAnsi="Rockwell"/>
              </w:rPr>
              <w:t>Lestratege.net</w:t>
            </w:r>
          </w:p>
        </w:tc>
        <w:tc>
          <w:tcPr>
            <w:tcW w:w="4394" w:type="dxa"/>
            <w:vAlign w:val="bottom"/>
          </w:tcPr>
          <w:p w14:paraId="461988D5" w14:textId="77777777" w:rsidR="00284822" w:rsidRDefault="003148F1">
            <w:pPr>
              <w:autoSpaceDN/>
              <w:spacing w:before="120" w:after="120"/>
              <w:textAlignment w:val="auto"/>
              <w:rPr>
                <w:rFonts w:ascii="Rockwell" w:eastAsia="Calibri" w:hAnsi="Rockwell"/>
              </w:rPr>
            </w:pPr>
            <w:hyperlink r:id="rId141" w:history="1">
              <w:r w:rsidR="00F77BF8">
                <w:rPr>
                  <w:rStyle w:val="Lienhypertexte"/>
                  <w:rFonts w:ascii="Rockwell" w:eastAsia="Calibri" w:hAnsi="Rockwell"/>
                </w:rPr>
                <w:t>www.lestratege.net</w:t>
              </w:r>
            </w:hyperlink>
          </w:p>
        </w:tc>
      </w:tr>
      <w:tr w:rsidR="00284822" w14:paraId="6F6FDDDC" w14:textId="77777777">
        <w:tc>
          <w:tcPr>
            <w:tcW w:w="851" w:type="dxa"/>
          </w:tcPr>
          <w:p w14:paraId="79F69B6D"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11</w:t>
            </w:r>
          </w:p>
        </w:tc>
        <w:tc>
          <w:tcPr>
            <w:tcW w:w="4678" w:type="dxa"/>
            <w:vAlign w:val="bottom"/>
          </w:tcPr>
          <w:p w14:paraId="04B5B058"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Legerstic</w:t>
            </w:r>
            <w:proofErr w:type="spellEnd"/>
          </w:p>
        </w:tc>
        <w:tc>
          <w:tcPr>
            <w:tcW w:w="4394" w:type="dxa"/>
            <w:vAlign w:val="bottom"/>
          </w:tcPr>
          <w:p w14:paraId="493ACA4E" w14:textId="77777777" w:rsidR="00284822" w:rsidRDefault="003148F1">
            <w:pPr>
              <w:autoSpaceDN/>
              <w:spacing w:before="120" w:after="120"/>
              <w:textAlignment w:val="auto"/>
              <w:rPr>
                <w:rFonts w:ascii="Rockwell" w:eastAsia="Calibri" w:hAnsi="Rockwell"/>
              </w:rPr>
            </w:pPr>
            <w:hyperlink r:id="rId142" w:history="1">
              <w:r w:rsidR="00F77BF8">
                <w:rPr>
                  <w:rStyle w:val="Lienhypertexte"/>
                  <w:rFonts w:ascii="Rockwell" w:eastAsia="Calibri" w:hAnsi="Rockwell"/>
                </w:rPr>
                <w:t>www.legerstic.com</w:t>
              </w:r>
            </w:hyperlink>
          </w:p>
        </w:tc>
      </w:tr>
      <w:tr w:rsidR="00284822" w14:paraId="731FF4D9" w14:textId="77777777">
        <w:tc>
          <w:tcPr>
            <w:tcW w:w="851" w:type="dxa"/>
          </w:tcPr>
          <w:p w14:paraId="319F44B9"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12</w:t>
            </w:r>
          </w:p>
        </w:tc>
        <w:tc>
          <w:tcPr>
            <w:tcW w:w="4678" w:type="dxa"/>
            <w:vAlign w:val="bottom"/>
          </w:tcPr>
          <w:p w14:paraId="461C342A"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Africa</w:t>
            </w:r>
            <w:proofErr w:type="spellEnd"/>
            <w:r>
              <w:rPr>
                <w:rFonts w:ascii="Rockwell" w:eastAsia="Calibri" w:hAnsi="Rockwell"/>
              </w:rPr>
              <w:t xml:space="preserve"> </w:t>
            </w:r>
            <w:proofErr w:type="spellStart"/>
            <w:r>
              <w:rPr>
                <w:rFonts w:ascii="Rockwell" w:eastAsia="Calibri" w:hAnsi="Rockwell"/>
              </w:rPr>
              <w:t>voice</w:t>
            </w:r>
            <w:proofErr w:type="spellEnd"/>
          </w:p>
        </w:tc>
        <w:tc>
          <w:tcPr>
            <w:tcW w:w="4394" w:type="dxa"/>
            <w:vAlign w:val="bottom"/>
          </w:tcPr>
          <w:p w14:paraId="430A099F" w14:textId="77777777" w:rsidR="00284822" w:rsidRDefault="003148F1">
            <w:pPr>
              <w:autoSpaceDN/>
              <w:spacing w:before="120" w:after="120"/>
              <w:textAlignment w:val="auto"/>
              <w:rPr>
                <w:rFonts w:ascii="Rockwell" w:eastAsia="Calibri" w:hAnsi="Rockwell"/>
              </w:rPr>
            </w:pPr>
            <w:hyperlink r:id="rId143" w:history="1">
              <w:r w:rsidR="00F77BF8">
                <w:rPr>
                  <w:rStyle w:val="Lienhypertexte"/>
                  <w:rFonts w:ascii="Rockwell" w:eastAsia="Calibri" w:hAnsi="Rockwell"/>
                </w:rPr>
                <w:t>www.africa-voice.com</w:t>
              </w:r>
            </w:hyperlink>
          </w:p>
        </w:tc>
      </w:tr>
      <w:tr w:rsidR="00284822" w14:paraId="4F1E917E" w14:textId="77777777">
        <w:tc>
          <w:tcPr>
            <w:tcW w:w="851" w:type="dxa"/>
          </w:tcPr>
          <w:p w14:paraId="2C010BBD"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13</w:t>
            </w:r>
          </w:p>
        </w:tc>
        <w:tc>
          <w:tcPr>
            <w:tcW w:w="4678" w:type="dxa"/>
            <w:vAlign w:val="center"/>
          </w:tcPr>
          <w:p w14:paraId="3F2C2282" w14:textId="77777777" w:rsidR="00284822" w:rsidRDefault="00F77BF8">
            <w:pPr>
              <w:autoSpaceDN/>
              <w:spacing w:before="120" w:after="120"/>
              <w:textAlignment w:val="auto"/>
              <w:rPr>
                <w:rFonts w:ascii="Rockwell" w:eastAsiaTheme="minorHAnsi" w:hAnsi="Rockwell"/>
              </w:rPr>
            </w:pPr>
            <w:r>
              <w:rPr>
                <w:rFonts w:ascii="Rockwell" w:eastAsia="Calibri" w:hAnsi="Rockwell"/>
              </w:rPr>
              <w:t>Switch-maker</w:t>
            </w:r>
          </w:p>
        </w:tc>
        <w:tc>
          <w:tcPr>
            <w:tcW w:w="4394" w:type="dxa"/>
            <w:vAlign w:val="center"/>
          </w:tcPr>
          <w:p w14:paraId="1B34AEB2" w14:textId="77777777" w:rsidR="00284822" w:rsidRDefault="003148F1">
            <w:pPr>
              <w:autoSpaceDN/>
              <w:spacing w:before="120" w:after="120"/>
              <w:textAlignment w:val="auto"/>
              <w:rPr>
                <w:rFonts w:ascii="Rockwell" w:eastAsiaTheme="minorHAnsi" w:hAnsi="Rockwell"/>
              </w:rPr>
            </w:pPr>
            <w:hyperlink r:id="rId144" w:history="1">
              <w:r w:rsidR="00F77BF8">
                <w:rPr>
                  <w:rStyle w:val="Lienhypertexte"/>
                  <w:rFonts w:ascii="Rockwell" w:eastAsia="Calibri" w:hAnsi="Rockwell"/>
                </w:rPr>
                <w:t>www.switch-maker.com</w:t>
              </w:r>
            </w:hyperlink>
            <w:r w:rsidR="00F77BF8">
              <w:rPr>
                <w:rFonts w:ascii="Rockwell" w:eastAsia="Calibri" w:hAnsi="Rockwell"/>
              </w:rPr>
              <w:t xml:space="preserve"> </w:t>
            </w:r>
          </w:p>
        </w:tc>
      </w:tr>
      <w:tr w:rsidR="00284822" w14:paraId="22413536" w14:textId="77777777">
        <w:tc>
          <w:tcPr>
            <w:tcW w:w="851" w:type="dxa"/>
          </w:tcPr>
          <w:p w14:paraId="62C07CC4"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14</w:t>
            </w:r>
          </w:p>
        </w:tc>
        <w:tc>
          <w:tcPr>
            <w:tcW w:w="4678" w:type="dxa"/>
            <w:vAlign w:val="center"/>
          </w:tcPr>
          <w:p w14:paraId="0D7F5DEC" w14:textId="77777777" w:rsidR="00284822" w:rsidRDefault="00F77BF8">
            <w:pPr>
              <w:autoSpaceDN/>
              <w:spacing w:before="120" w:after="120"/>
              <w:textAlignment w:val="auto"/>
              <w:rPr>
                <w:rFonts w:ascii="Rockwell" w:eastAsiaTheme="minorHAnsi" w:hAnsi="Rockwell"/>
              </w:rPr>
            </w:pPr>
            <w:r>
              <w:rPr>
                <w:rFonts w:ascii="Rockwell" w:eastAsia="Calibri" w:hAnsi="Rockwell"/>
              </w:rPr>
              <w:t>Faso amazone</w:t>
            </w:r>
          </w:p>
        </w:tc>
        <w:tc>
          <w:tcPr>
            <w:tcW w:w="4394" w:type="dxa"/>
            <w:vAlign w:val="center"/>
          </w:tcPr>
          <w:p w14:paraId="6A42DDBB" w14:textId="77777777" w:rsidR="00284822" w:rsidRDefault="00F77BF8">
            <w:pPr>
              <w:autoSpaceDN/>
              <w:spacing w:before="120" w:after="120"/>
              <w:textAlignment w:val="auto"/>
              <w:rPr>
                <w:rFonts w:ascii="Rockwell" w:eastAsiaTheme="minorHAnsi" w:hAnsi="Rockwell"/>
              </w:rPr>
            </w:pPr>
            <w:r>
              <w:rPr>
                <w:rFonts w:ascii="Rockwell" w:eastAsia="Calibri" w:hAnsi="Rockwell"/>
              </w:rPr>
              <w:t>www.fasoamazone.net</w:t>
            </w:r>
          </w:p>
        </w:tc>
      </w:tr>
      <w:tr w:rsidR="00284822" w14:paraId="26F9E99A" w14:textId="77777777">
        <w:tc>
          <w:tcPr>
            <w:tcW w:w="851" w:type="dxa"/>
          </w:tcPr>
          <w:p w14:paraId="3AA33022"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15</w:t>
            </w:r>
          </w:p>
        </w:tc>
        <w:tc>
          <w:tcPr>
            <w:tcW w:w="4678" w:type="dxa"/>
            <w:vAlign w:val="center"/>
          </w:tcPr>
          <w:p w14:paraId="217A6830"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Fasopo</w:t>
            </w:r>
            <w:proofErr w:type="spellEnd"/>
          </w:p>
        </w:tc>
        <w:tc>
          <w:tcPr>
            <w:tcW w:w="4394" w:type="dxa"/>
            <w:vAlign w:val="center"/>
          </w:tcPr>
          <w:p w14:paraId="6FFBB920" w14:textId="77777777" w:rsidR="00284822" w:rsidRDefault="003148F1">
            <w:pPr>
              <w:autoSpaceDN/>
              <w:spacing w:before="120" w:after="120"/>
              <w:textAlignment w:val="auto"/>
              <w:rPr>
                <w:rFonts w:ascii="Rockwell" w:eastAsiaTheme="minorHAnsi" w:hAnsi="Rockwell"/>
              </w:rPr>
            </w:pPr>
            <w:hyperlink r:id="rId145" w:history="1">
              <w:r w:rsidR="00F77BF8">
                <w:rPr>
                  <w:rStyle w:val="Lienhypertexte"/>
                  <w:rFonts w:ascii="Rockwell" w:eastAsia="Calibri" w:hAnsi="Rockwell"/>
                </w:rPr>
                <w:t>www.fasopo.info</w:t>
              </w:r>
            </w:hyperlink>
            <w:r w:rsidR="00F77BF8">
              <w:rPr>
                <w:rFonts w:ascii="Rockwell" w:eastAsia="Calibri" w:hAnsi="Rockwell"/>
              </w:rPr>
              <w:t xml:space="preserve"> </w:t>
            </w:r>
          </w:p>
        </w:tc>
      </w:tr>
      <w:tr w:rsidR="00284822" w14:paraId="69CBCB96" w14:textId="77777777">
        <w:tc>
          <w:tcPr>
            <w:tcW w:w="851" w:type="dxa"/>
          </w:tcPr>
          <w:p w14:paraId="5C837EDA"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16</w:t>
            </w:r>
          </w:p>
        </w:tc>
        <w:tc>
          <w:tcPr>
            <w:tcW w:w="4678" w:type="dxa"/>
            <w:vAlign w:val="center"/>
          </w:tcPr>
          <w:p w14:paraId="3BA65D18" w14:textId="77777777" w:rsidR="00284822" w:rsidRDefault="00F77BF8">
            <w:pPr>
              <w:autoSpaceDN/>
              <w:spacing w:before="120" w:after="120"/>
              <w:textAlignment w:val="auto"/>
              <w:rPr>
                <w:rFonts w:ascii="Rockwell" w:eastAsiaTheme="minorHAnsi" w:hAnsi="Rockwell"/>
              </w:rPr>
            </w:pPr>
            <w:proofErr w:type="gramStart"/>
            <w:r>
              <w:rPr>
                <w:rFonts w:ascii="Rockwell" w:eastAsia="Calibri" w:hAnsi="Rockwell"/>
              </w:rPr>
              <w:t>initiatives</w:t>
            </w:r>
            <w:proofErr w:type="gramEnd"/>
            <w:r>
              <w:rPr>
                <w:rFonts w:ascii="Rockwell" w:eastAsia="Calibri" w:hAnsi="Rockwell"/>
              </w:rPr>
              <w:t xml:space="preserve"> magazines</w:t>
            </w:r>
          </w:p>
        </w:tc>
        <w:tc>
          <w:tcPr>
            <w:tcW w:w="4394" w:type="dxa"/>
            <w:vAlign w:val="center"/>
          </w:tcPr>
          <w:p w14:paraId="784E2AC5" w14:textId="77777777" w:rsidR="00284822" w:rsidRDefault="003148F1">
            <w:pPr>
              <w:autoSpaceDN/>
              <w:spacing w:before="120" w:after="120"/>
              <w:textAlignment w:val="auto"/>
              <w:rPr>
                <w:rFonts w:ascii="Rockwell" w:eastAsiaTheme="minorHAnsi" w:hAnsi="Rockwell"/>
              </w:rPr>
            </w:pPr>
            <w:hyperlink r:id="rId146" w:history="1">
              <w:r w:rsidR="00F77BF8">
                <w:rPr>
                  <w:rStyle w:val="Lienhypertexte"/>
                  <w:rFonts w:ascii="Rockwell" w:eastAsia="Calibri" w:hAnsi="Rockwell"/>
                </w:rPr>
                <w:t>www.initiativesmagazines.net</w:t>
              </w:r>
            </w:hyperlink>
            <w:r w:rsidR="00F77BF8">
              <w:rPr>
                <w:rFonts w:ascii="Rockwell" w:eastAsia="Calibri" w:hAnsi="Rockwell"/>
              </w:rPr>
              <w:t xml:space="preserve"> </w:t>
            </w:r>
          </w:p>
        </w:tc>
      </w:tr>
      <w:tr w:rsidR="00284822" w14:paraId="28D631C2" w14:textId="77777777">
        <w:tc>
          <w:tcPr>
            <w:tcW w:w="851" w:type="dxa"/>
          </w:tcPr>
          <w:p w14:paraId="4A4E3BCB"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17</w:t>
            </w:r>
          </w:p>
        </w:tc>
        <w:tc>
          <w:tcPr>
            <w:tcW w:w="4678" w:type="dxa"/>
            <w:vAlign w:val="center"/>
          </w:tcPr>
          <w:p w14:paraId="3658AFB7"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BurkinaOnline</w:t>
            </w:r>
            <w:proofErr w:type="spellEnd"/>
          </w:p>
        </w:tc>
        <w:tc>
          <w:tcPr>
            <w:tcW w:w="4394" w:type="dxa"/>
            <w:vAlign w:val="bottom"/>
          </w:tcPr>
          <w:p w14:paraId="0359D893" w14:textId="77777777" w:rsidR="00284822" w:rsidRDefault="003148F1">
            <w:pPr>
              <w:autoSpaceDN/>
              <w:spacing w:before="120" w:after="120"/>
              <w:textAlignment w:val="auto"/>
              <w:rPr>
                <w:rFonts w:ascii="Rockwell" w:eastAsia="Calibri" w:hAnsi="Rockwell"/>
              </w:rPr>
            </w:pPr>
            <w:hyperlink r:id="rId147" w:history="1">
              <w:r w:rsidR="00F77BF8">
                <w:rPr>
                  <w:rStyle w:val="Lienhypertexte"/>
                  <w:rFonts w:ascii="Rockwell" w:eastAsia="Calibri" w:hAnsi="Rockwell"/>
                </w:rPr>
                <w:t>www.burkinaonline.com</w:t>
              </w:r>
            </w:hyperlink>
          </w:p>
        </w:tc>
      </w:tr>
      <w:tr w:rsidR="00284822" w14:paraId="26DFC0EE" w14:textId="77777777">
        <w:tc>
          <w:tcPr>
            <w:tcW w:w="851" w:type="dxa"/>
          </w:tcPr>
          <w:p w14:paraId="3C3F955A"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18</w:t>
            </w:r>
          </w:p>
        </w:tc>
        <w:tc>
          <w:tcPr>
            <w:tcW w:w="4678" w:type="dxa"/>
            <w:vAlign w:val="center"/>
          </w:tcPr>
          <w:p w14:paraId="6E51682C" w14:textId="77777777" w:rsidR="00284822" w:rsidRDefault="00F77BF8">
            <w:pPr>
              <w:autoSpaceDN/>
              <w:spacing w:before="120" w:after="120"/>
              <w:textAlignment w:val="auto"/>
              <w:rPr>
                <w:rFonts w:ascii="Rockwell" w:eastAsiaTheme="minorHAnsi" w:hAnsi="Rockwell"/>
              </w:rPr>
            </w:pPr>
            <w:r>
              <w:rPr>
                <w:rFonts w:ascii="Rockwell" w:eastAsia="Calibri" w:hAnsi="Rockwell"/>
              </w:rPr>
              <w:t>Lavoixdujuriste.com</w:t>
            </w:r>
          </w:p>
        </w:tc>
        <w:tc>
          <w:tcPr>
            <w:tcW w:w="4394" w:type="dxa"/>
            <w:vAlign w:val="bottom"/>
          </w:tcPr>
          <w:p w14:paraId="44164EF4" w14:textId="77777777" w:rsidR="00284822" w:rsidRDefault="003148F1">
            <w:pPr>
              <w:autoSpaceDN/>
              <w:spacing w:before="120" w:after="120"/>
              <w:textAlignment w:val="auto"/>
              <w:rPr>
                <w:rFonts w:ascii="Rockwell" w:eastAsiaTheme="minorHAnsi" w:hAnsi="Rockwell"/>
              </w:rPr>
            </w:pPr>
            <w:hyperlink r:id="rId148" w:history="1">
              <w:r w:rsidR="00F77BF8">
                <w:rPr>
                  <w:rStyle w:val="Lienhypertexte"/>
                  <w:rFonts w:ascii="Rockwell" w:eastAsia="Calibri" w:hAnsi="Rockwell"/>
                </w:rPr>
                <w:t>www.lavoixdujuriste.com</w:t>
              </w:r>
            </w:hyperlink>
            <w:r w:rsidR="00F77BF8">
              <w:rPr>
                <w:rFonts w:ascii="Rockwell" w:eastAsia="Calibri" w:hAnsi="Rockwell"/>
              </w:rPr>
              <w:t xml:space="preserve"> </w:t>
            </w:r>
          </w:p>
        </w:tc>
      </w:tr>
      <w:tr w:rsidR="00284822" w14:paraId="6019DC33" w14:textId="77777777">
        <w:tc>
          <w:tcPr>
            <w:tcW w:w="851" w:type="dxa"/>
          </w:tcPr>
          <w:p w14:paraId="70F93F94"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lastRenderedPageBreak/>
              <w:t>19</w:t>
            </w:r>
          </w:p>
        </w:tc>
        <w:tc>
          <w:tcPr>
            <w:tcW w:w="4678" w:type="dxa"/>
            <w:vAlign w:val="center"/>
          </w:tcPr>
          <w:p w14:paraId="2508F7CB"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Burkinademain</w:t>
            </w:r>
            <w:proofErr w:type="spellEnd"/>
          </w:p>
        </w:tc>
        <w:tc>
          <w:tcPr>
            <w:tcW w:w="4394" w:type="dxa"/>
            <w:vAlign w:val="bottom"/>
          </w:tcPr>
          <w:p w14:paraId="6416F74B" w14:textId="77777777" w:rsidR="00284822" w:rsidRDefault="003148F1">
            <w:pPr>
              <w:autoSpaceDN/>
              <w:spacing w:before="120" w:after="120"/>
              <w:textAlignment w:val="auto"/>
              <w:rPr>
                <w:rFonts w:ascii="Rockwell" w:eastAsiaTheme="minorHAnsi" w:hAnsi="Rockwell"/>
              </w:rPr>
            </w:pPr>
            <w:hyperlink r:id="rId149" w:history="1">
              <w:r w:rsidR="00F77BF8">
                <w:rPr>
                  <w:rStyle w:val="Lienhypertexte"/>
                  <w:rFonts w:ascii="Rockwell" w:eastAsia="Calibri" w:hAnsi="Rockwell"/>
                </w:rPr>
                <w:t>www.burkinademain.com</w:t>
              </w:r>
            </w:hyperlink>
            <w:r w:rsidR="00F77BF8">
              <w:rPr>
                <w:rFonts w:ascii="Rockwell" w:eastAsia="Calibri" w:hAnsi="Rockwell"/>
              </w:rPr>
              <w:t xml:space="preserve"> </w:t>
            </w:r>
          </w:p>
        </w:tc>
      </w:tr>
      <w:tr w:rsidR="00284822" w14:paraId="55813F79" w14:textId="77777777">
        <w:tc>
          <w:tcPr>
            <w:tcW w:w="851" w:type="dxa"/>
          </w:tcPr>
          <w:p w14:paraId="5B217634"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20</w:t>
            </w:r>
          </w:p>
        </w:tc>
        <w:tc>
          <w:tcPr>
            <w:tcW w:w="4678" w:type="dxa"/>
            <w:vAlign w:val="center"/>
          </w:tcPr>
          <w:p w14:paraId="2DC09563"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Laplumedufaso</w:t>
            </w:r>
            <w:proofErr w:type="spellEnd"/>
          </w:p>
        </w:tc>
        <w:tc>
          <w:tcPr>
            <w:tcW w:w="4394" w:type="dxa"/>
            <w:vAlign w:val="center"/>
          </w:tcPr>
          <w:p w14:paraId="502FD167" w14:textId="77777777" w:rsidR="00284822" w:rsidRDefault="003148F1">
            <w:pPr>
              <w:autoSpaceDN/>
              <w:spacing w:before="120" w:after="120"/>
              <w:textAlignment w:val="auto"/>
              <w:rPr>
                <w:rFonts w:ascii="Rockwell" w:eastAsiaTheme="minorHAnsi" w:hAnsi="Rockwell"/>
              </w:rPr>
            </w:pPr>
            <w:hyperlink r:id="rId150" w:history="1">
              <w:r w:rsidR="00F77BF8">
                <w:rPr>
                  <w:rStyle w:val="Lienhypertexte"/>
                  <w:rFonts w:ascii="Rockwell" w:eastAsia="Calibri" w:hAnsi="Rockwell"/>
                </w:rPr>
                <w:t>www.laplumedufaso.net</w:t>
              </w:r>
            </w:hyperlink>
            <w:r w:rsidR="00F77BF8">
              <w:rPr>
                <w:rFonts w:ascii="Rockwell" w:eastAsia="Calibri" w:hAnsi="Rockwell"/>
              </w:rPr>
              <w:t xml:space="preserve"> </w:t>
            </w:r>
          </w:p>
        </w:tc>
      </w:tr>
      <w:tr w:rsidR="00284822" w14:paraId="342DA2F8" w14:textId="77777777">
        <w:tc>
          <w:tcPr>
            <w:tcW w:w="851" w:type="dxa"/>
          </w:tcPr>
          <w:p w14:paraId="5A6CE3BD"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21</w:t>
            </w:r>
          </w:p>
        </w:tc>
        <w:tc>
          <w:tcPr>
            <w:tcW w:w="4678" w:type="dxa"/>
            <w:shd w:val="clear" w:color="auto" w:fill="auto"/>
            <w:vAlign w:val="center"/>
          </w:tcPr>
          <w:p w14:paraId="1E69C140"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Refleafrique</w:t>
            </w:r>
            <w:proofErr w:type="spellEnd"/>
          </w:p>
        </w:tc>
        <w:tc>
          <w:tcPr>
            <w:tcW w:w="4394" w:type="dxa"/>
            <w:shd w:val="clear" w:color="auto" w:fill="auto"/>
            <w:vAlign w:val="center"/>
          </w:tcPr>
          <w:p w14:paraId="5A2763D4" w14:textId="77777777" w:rsidR="00284822" w:rsidRDefault="003148F1">
            <w:pPr>
              <w:autoSpaceDN/>
              <w:spacing w:before="120" w:after="120"/>
              <w:textAlignment w:val="auto"/>
              <w:rPr>
                <w:rFonts w:ascii="Rockwell" w:eastAsiaTheme="minorHAnsi" w:hAnsi="Rockwell"/>
              </w:rPr>
            </w:pPr>
            <w:hyperlink r:id="rId151" w:history="1">
              <w:r w:rsidR="00F77BF8">
                <w:rPr>
                  <w:rStyle w:val="Lienhypertexte"/>
                  <w:rFonts w:ascii="Rockwell" w:eastAsia="Calibri" w:hAnsi="Rockwell"/>
                </w:rPr>
                <w:t>www.refleafrique.net</w:t>
              </w:r>
            </w:hyperlink>
          </w:p>
        </w:tc>
      </w:tr>
      <w:tr w:rsidR="00284822" w14:paraId="49A9FD24" w14:textId="77777777">
        <w:tc>
          <w:tcPr>
            <w:tcW w:w="851" w:type="dxa"/>
          </w:tcPr>
          <w:p w14:paraId="55D1CD99"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22</w:t>
            </w:r>
          </w:p>
        </w:tc>
        <w:tc>
          <w:tcPr>
            <w:tcW w:w="4678" w:type="dxa"/>
            <w:vAlign w:val="center"/>
          </w:tcPr>
          <w:p w14:paraId="6CC947B0"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Kaceto</w:t>
            </w:r>
            <w:proofErr w:type="spellEnd"/>
          </w:p>
        </w:tc>
        <w:tc>
          <w:tcPr>
            <w:tcW w:w="4394" w:type="dxa"/>
            <w:vAlign w:val="center"/>
          </w:tcPr>
          <w:p w14:paraId="00D0145E" w14:textId="77777777" w:rsidR="00284822" w:rsidRDefault="003148F1">
            <w:pPr>
              <w:autoSpaceDN/>
              <w:spacing w:before="120" w:after="120"/>
              <w:textAlignment w:val="auto"/>
              <w:rPr>
                <w:rFonts w:ascii="Rockwell" w:eastAsiaTheme="minorHAnsi" w:hAnsi="Rockwell"/>
              </w:rPr>
            </w:pPr>
            <w:hyperlink r:id="rId152" w:history="1">
              <w:r w:rsidR="00F77BF8">
                <w:rPr>
                  <w:rStyle w:val="Lienhypertexte"/>
                  <w:rFonts w:ascii="Rockwell" w:eastAsia="Calibri" w:hAnsi="Rockwell"/>
                </w:rPr>
                <w:t>www.kaceto.net</w:t>
              </w:r>
            </w:hyperlink>
          </w:p>
        </w:tc>
      </w:tr>
      <w:tr w:rsidR="00284822" w14:paraId="6981026A" w14:textId="77777777">
        <w:tc>
          <w:tcPr>
            <w:tcW w:w="851" w:type="dxa"/>
          </w:tcPr>
          <w:p w14:paraId="19612141"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23</w:t>
            </w:r>
          </w:p>
        </w:tc>
        <w:tc>
          <w:tcPr>
            <w:tcW w:w="4678" w:type="dxa"/>
            <w:vAlign w:val="center"/>
          </w:tcPr>
          <w:p w14:paraId="3E456B04"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Iburkina</w:t>
            </w:r>
            <w:proofErr w:type="spellEnd"/>
          </w:p>
        </w:tc>
        <w:tc>
          <w:tcPr>
            <w:tcW w:w="4394" w:type="dxa"/>
            <w:vAlign w:val="center"/>
          </w:tcPr>
          <w:p w14:paraId="08275F55" w14:textId="77777777" w:rsidR="00284822" w:rsidRDefault="003148F1">
            <w:pPr>
              <w:autoSpaceDN/>
              <w:spacing w:before="120" w:after="120"/>
              <w:textAlignment w:val="auto"/>
              <w:rPr>
                <w:rFonts w:ascii="Rockwell" w:eastAsiaTheme="minorHAnsi" w:hAnsi="Rockwell"/>
              </w:rPr>
            </w:pPr>
            <w:hyperlink r:id="rId153" w:history="1">
              <w:r w:rsidR="00F77BF8">
                <w:rPr>
                  <w:rStyle w:val="Lienhypertexte"/>
                  <w:rFonts w:ascii="Rockwell" w:eastAsia="Calibri" w:hAnsi="Rockwell"/>
                </w:rPr>
                <w:t>www.iburkina.com</w:t>
              </w:r>
            </w:hyperlink>
            <w:r w:rsidR="00F77BF8">
              <w:rPr>
                <w:rFonts w:ascii="Rockwell" w:eastAsia="Calibri" w:hAnsi="Rockwell"/>
              </w:rPr>
              <w:t xml:space="preserve"> </w:t>
            </w:r>
          </w:p>
        </w:tc>
      </w:tr>
      <w:tr w:rsidR="00284822" w14:paraId="79ADB228" w14:textId="77777777">
        <w:tc>
          <w:tcPr>
            <w:tcW w:w="851" w:type="dxa"/>
          </w:tcPr>
          <w:p w14:paraId="154681BD"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24</w:t>
            </w:r>
          </w:p>
        </w:tc>
        <w:tc>
          <w:tcPr>
            <w:tcW w:w="4678" w:type="dxa"/>
            <w:vAlign w:val="center"/>
          </w:tcPr>
          <w:p w14:paraId="4CEBF259"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Touteinfo</w:t>
            </w:r>
            <w:proofErr w:type="spellEnd"/>
          </w:p>
        </w:tc>
        <w:tc>
          <w:tcPr>
            <w:tcW w:w="4394" w:type="dxa"/>
            <w:vAlign w:val="center"/>
          </w:tcPr>
          <w:p w14:paraId="12BD0D23" w14:textId="77777777" w:rsidR="00284822" w:rsidRDefault="003148F1">
            <w:pPr>
              <w:autoSpaceDN/>
              <w:spacing w:before="120" w:after="120"/>
              <w:textAlignment w:val="auto"/>
              <w:rPr>
                <w:rFonts w:ascii="Rockwell" w:eastAsiaTheme="minorHAnsi" w:hAnsi="Rockwell"/>
              </w:rPr>
            </w:pPr>
            <w:hyperlink r:id="rId154" w:history="1">
              <w:r w:rsidR="00F77BF8">
                <w:rPr>
                  <w:rStyle w:val="Lienhypertexte"/>
                  <w:rFonts w:ascii="Rockwell" w:eastAsia="Calibri" w:hAnsi="Rockwell"/>
                </w:rPr>
                <w:t>www.touteinfo.com</w:t>
              </w:r>
            </w:hyperlink>
            <w:r w:rsidR="00F77BF8">
              <w:rPr>
                <w:rFonts w:ascii="Rockwell" w:eastAsia="Calibri" w:hAnsi="Rockwell"/>
              </w:rPr>
              <w:t xml:space="preserve"> </w:t>
            </w:r>
          </w:p>
        </w:tc>
      </w:tr>
      <w:tr w:rsidR="00284822" w14:paraId="44526FE9" w14:textId="77777777">
        <w:tc>
          <w:tcPr>
            <w:tcW w:w="851" w:type="dxa"/>
          </w:tcPr>
          <w:p w14:paraId="17989C73"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25</w:t>
            </w:r>
          </w:p>
        </w:tc>
        <w:tc>
          <w:tcPr>
            <w:tcW w:w="4678" w:type="dxa"/>
            <w:vAlign w:val="center"/>
          </w:tcPr>
          <w:p w14:paraId="54B69B41"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Wakatsera</w:t>
            </w:r>
            <w:proofErr w:type="spellEnd"/>
          </w:p>
        </w:tc>
        <w:tc>
          <w:tcPr>
            <w:tcW w:w="4394" w:type="dxa"/>
            <w:vAlign w:val="center"/>
          </w:tcPr>
          <w:p w14:paraId="7C6EDE48" w14:textId="77777777" w:rsidR="00284822" w:rsidRDefault="003148F1">
            <w:pPr>
              <w:autoSpaceDN/>
              <w:spacing w:before="120" w:after="120"/>
              <w:textAlignment w:val="auto"/>
              <w:rPr>
                <w:rFonts w:ascii="Rockwell" w:eastAsiaTheme="minorHAnsi" w:hAnsi="Rockwell"/>
              </w:rPr>
            </w:pPr>
            <w:hyperlink r:id="rId155" w:history="1">
              <w:r w:rsidR="00F77BF8">
                <w:rPr>
                  <w:rStyle w:val="Lienhypertexte"/>
                  <w:rFonts w:ascii="Rockwell" w:eastAsia="Calibri" w:hAnsi="Rockwell"/>
                </w:rPr>
                <w:t>www.wakatsera.bf</w:t>
              </w:r>
            </w:hyperlink>
            <w:r w:rsidR="00F77BF8">
              <w:rPr>
                <w:rFonts w:ascii="Rockwell" w:eastAsia="Calibri" w:hAnsi="Rockwell"/>
              </w:rPr>
              <w:t xml:space="preserve"> </w:t>
            </w:r>
          </w:p>
        </w:tc>
      </w:tr>
      <w:tr w:rsidR="00284822" w14:paraId="47DE51CC" w14:textId="77777777">
        <w:tc>
          <w:tcPr>
            <w:tcW w:w="851" w:type="dxa"/>
          </w:tcPr>
          <w:p w14:paraId="299C0BF2"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26</w:t>
            </w:r>
          </w:p>
        </w:tc>
        <w:tc>
          <w:tcPr>
            <w:tcW w:w="4678" w:type="dxa"/>
            <w:vAlign w:val="center"/>
          </w:tcPr>
          <w:p w14:paraId="628315A2"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Vieconjugale</w:t>
            </w:r>
            <w:proofErr w:type="spellEnd"/>
          </w:p>
        </w:tc>
        <w:tc>
          <w:tcPr>
            <w:tcW w:w="4394" w:type="dxa"/>
            <w:vAlign w:val="center"/>
          </w:tcPr>
          <w:p w14:paraId="59E1D612" w14:textId="77777777" w:rsidR="00284822" w:rsidRDefault="003148F1">
            <w:pPr>
              <w:autoSpaceDN/>
              <w:spacing w:before="120" w:after="120"/>
              <w:textAlignment w:val="auto"/>
              <w:rPr>
                <w:rFonts w:ascii="Rockwell" w:eastAsiaTheme="minorHAnsi" w:hAnsi="Rockwell"/>
              </w:rPr>
            </w:pPr>
            <w:hyperlink r:id="rId156" w:history="1">
              <w:r w:rsidR="00F77BF8">
                <w:rPr>
                  <w:rStyle w:val="Lienhypertexte"/>
                  <w:rFonts w:ascii="Rockwell" w:hAnsi="Rockwell"/>
                </w:rPr>
                <w:t>www.vieconjugale.bf</w:t>
              </w:r>
            </w:hyperlink>
            <w:r w:rsidR="00F77BF8">
              <w:rPr>
                <w:rFonts w:ascii="Rockwell" w:hAnsi="Rockwell"/>
              </w:rPr>
              <w:t xml:space="preserve"> </w:t>
            </w:r>
          </w:p>
        </w:tc>
      </w:tr>
      <w:tr w:rsidR="00284822" w14:paraId="618F586B" w14:textId="77777777">
        <w:tc>
          <w:tcPr>
            <w:tcW w:w="851" w:type="dxa"/>
          </w:tcPr>
          <w:p w14:paraId="36F4D01C"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27</w:t>
            </w:r>
          </w:p>
        </w:tc>
        <w:tc>
          <w:tcPr>
            <w:tcW w:w="4678" w:type="dxa"/>
            <w:vAlign w:val="center"/>
          </w:tcPr>
          <w:p w14:paraId="68E08335" w14:textId="77777777" w:rsidR="00284822" w:rsidRDefault="00F77BF8">
            <w:pPr>
              <w:autoSpaceDN/>
              <w:spacing w:before="120" w:after="120"/>
              <w:textAlignment w:val="auto"/>
              <w:rPr>
                <w:rFonts w:ascii="Rockwell" w:eastAsiaTheme="minorHAnsi" w:hAnsi="Rockwell"/>
              </w:rPr>
            </w:pPr>
            <w:proofErr w:type="spellStart"/>
            <w:r>
              <w:rPr>
                <w:rFonts w:ascii="Rockwell" w:hAnsi="Rockwell"/>
              </w:rPr>
              <w:t>Kamanews</w:t>
            </w:r>
            <w:proofErr w:type="spellEnd"/>
          </w:p>
        </w:tc>
        <w:tc>
          <w:tcPr>
            <w:tcW w:w="4394" w:type="dxa"/>
            <w:vAlign w:val="center"/>
          </w:tcPr>
          <w:p w14:paraId="08167B93" w14:textId="77777777" w:rsidR="00284822" w:rsidRDefault="003148F1">
            <w:pPr>
              <w:autoSpaceDN/>
              <w:spacing w:before="120" w:after="120"/>
              <w:textAlignment w:val="auto"/>
              <w:rPr>
                <w:rFonts w:ascii="Rockwell" w:eastAsiaTheme="minorHAnsi" w:hAnsi="Rockwell"/>
              </w:rPr>
            </w:pPr>
            <w:hyperlink r:id="rId157" w:history="1">
              <w:r w:rsidR="00F77BF8">
                <w:rPr>
                  <w:rStyle w:val="Lienhypertexte"/>
                  <w:rFonts w:ascii="Rockwell" w:hAnsi="Rockwell"/>
                </w:rPr>
                <w:t>www.kamanews.net</w:t>
              </w:r>
            </w:hyperlink>
            <w:r w:rsidR="00F77BF8">
              <w:rPr>
                <w:rFonts w:ascii="Rockwell" w:hAnsi="Rockwell"/>
              </w:rPr>
              <w:t xml:space="preserve"> </w:t>
            </w:r>
          </w:p>
        </w:tc>
      </w:tr>
      <w:tr w:rsidR="00284822" w14:paraId="363F416A" w14:textId="77777777">
        <w:tc>
          <w:tcPr>
            <w:tcW w:w="851" w:type="dxa"/>
          </w:tcPr>
          <w:p w14:paraId="533FEC8B"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28</w:t>
            </w:r>
          </w:p>
        </w:tc>
        <w:tc>
          <w:tcPr>
            <w:tcW w:w="4678" w:type="dxa"/>
            <w:vAlign w:val="center"/>
          </w:tcPr>
          <w:p w14:paraId="56626B02" w14:textId="77777777" w:rsidR="00284822" w:rsidRDefault="00F77BF8">
            <w:pPr>
              <w:autoSpaceDN/>
              <w:spacing w:before="120" w:after="120"/>
              <w:textAlignment w:val="auto"/>
              <w:rPr>
                <w:rFonts w:ascii="Rockwell" w:eastAsiaTheme="minorHAnsi" w:hAnsi="Rockwell"/>
              </w:rPr>
            </w:pPr>
            <w:proofErr w:type="spellStart"/>
            <w:r>
              <w:rPr>
                <w:rFonts w:ascii="Rockwell" w:hAnsi="Rockwell"/>
              </w:rPr>
              <w:t>Artistesbf</w:t>
            </w:r>
            <w:proofErr w:type="spellEnd"/>
          </w:p>
        </w:tc>
        <w:tc>
          <w:tcPr>
            <w:tcW w:w="4394" w:type="dxa"/>
            <w:vAlign w:val="center"/>
          </w:tcPr>
          <w:p w14:paraId="18B015C1" w14:textId="77777777" w:rsidR="00284822" w:rsidRDefault="003148F1">
            <w:pPr>
              <w:autoSpaceDN/>
              <w:spacing w:before="120" w:after="120"/>
              <w:textAlignment w:val="auto"/>
              <w:rPr>
                <w:rFonts w:ascii="Rockwell" w:eastAsiaTheme="minorHAnsi" w:hAnsi="Rockwell"/>
              </w:rPr>
            </w:pPr>
            <w:hyperlink r:id="rId158" w:history="1">
              <w:r w:rsidR="00F77BF8">
                <w:rPr>
                  <w:rStyle w:val="Lienhypertexte"/>
                  <w:rFonts w:ascii="Rockwell" w:eastAsia="Calibri" w:hAnsi="Rockwell"/>
                </w:rPr>
                <w:t>www.artistes.bf.org</w:t>
              </w:r>
            </w:hyperlink>
            <w:r w:rsidR="00F77BF8">
              <w:rPr>
                <w:rFonts w:ascii="Rockwell" w:eastAsia="Calibri" w:hAnsi="Rockwell"/>
              </w:rPr>
              <w:t xml:space="preserve"> </w:t>
            </w:r>
          </w:p>
        </w:tc>
      </w:tr>
      <w:tr w:rsidR="00284822" w14:paraId="2C3E0C09" w14:textId="77777777">
        <w:tc>
          <w:tcPr>
            <w:tcW w:w="851" w:type="dxa"/>
          </w:tcPr>
          <w:p w14:paraId="33BD511B"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29</w:t>
            </w:r>
          </w:p>
        </w:tc>
        <w:tc>
          <w:tcPr>
            <w:tcW w:w="4678" w:type="dxa"/>
            <w:vAlign w:val="center"/>
          </w:tcPr>
          <w:p w14:paraId="00DD4B3C" w14:textId="77777777" w:rsidR="00284822" w:rsidRDefault="00F77BF8">
            <w:pPr>
              <w:autoSpaceDN/>
              <w:spacing w:before="120" w:after="120"/>
              <w:textAlignment w:val="auto"/>
              <w:rPr>
                <w:rFonts w:ascii="Rockwell" w:eastAsiaTheme="minorHAnsi" w:hAnsi="Rockwell"/>
              </w:rPr>
            </w:pPr>
            <w:r>
              <w:rPr>
                <w:rFonts w:ascii="Rockwell" w:eastAsia="Calibri" w:hAnsi="Rockwell"/>
              </w:rPr>
              <w:t xml:space="preserve">Les </w:t>
            </w:r>
            <w:proofErr w:type="spellStart"/>
            <w:r>
              <w:rPr>
                <w:rFonts w:ascii="Rockwell" w:eastAsia="Calibri" w:hAnsi="Rockwell"/>
              </w:rPr>
              <w:t>echos</w:t>
            </w:r>
            <w:proofErr w:type="spellEnd"/>
            <w:r>
              <w:rPr>
                <w:rFonts w:ascii="Rockwell" w:eastAsia="Calibri" w:hAnsi="Rockwell"/>
              </w:rPr>
              <w:t xml:space="preserve"> du </w:t>
            </w:r>
            <w:proofErr w:type="spellStart"/>
            <w:r>
              <w:rPr>
                <w:rFonts w:ascii="Rockwell" w:eastAsia="Calibri" w:hAnsi="Rockwell"/>
              </w:rPr>
              <w:t>faso</w:t>
            </w:r>
            <w:proofErr w:type="spellEnd"/>
          </w:p>
        </w:tc>
        <w:tc>
          <w:tcPr>
            <w:tcW w:w="4394" w:type="dxa"/>
            <w:vAlign w:val="center"/>
          </w:tcPr>
          <w:p w14:paraId="449BE8C8" w14:textId="77777777" w:rsidR="00284822" w:rsidRDefault="003148F1">
            <w:pPr>
              <w:autoSpaceDN/>
              <w:spacing w:before="120" w:after="120"/>
              <w:textAlignment w:val="auto"/>
              <w:rPr>
                <w:rFonts w:ascii="Rockwell" w:eastAsiaTheme="minorHAnsi" w:hAnsi="Rockwell"/>
              </w:rPr>
            </w:pPr>
            <w:hyperlink r:id="rId159" w:history="1">
              <w:r w:rsidR="00F77BF8">
                <w:rPr>
                  <w:rStyle w:val="Lienhypertexte"/>
                  <w:rFonts w:ascii="Rockwell" w:eastAsia="Calibri" w:hAnsi="Rockwell"/>
                </w:rPr>
                <w:t>www.lesechosdufaso.net</w:t>
              </w:r>
            </w:hyperlink>
            <w:r w:rsidR="00F77BF8">
              <w:rPr>
                <w:rFonts w:ascii="Rockwell" w:eastAsia="Calibri" w:hAnsi="Rockwell"/>
              </w:rPr>
              <w:t xml:space="preserve">    </w:t>
            </w:r>
          </w:p>
        </w:tc>
      </w:tr>
      <w:tr w:rsidR="00284822" w14:paraId="2C6A9A31" w14:textId="77777777">
        <w:tc>
          <w:tcPr>
            <w:tcW w:w="851" w:type="dxa"/>
          </w:tcPr>
          <w:p w14:paraId="6360903B"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30</w:t>
            </w:r>
          </w:p>
        </w:tc>
        <w:tc>
          <w:tcPr>
            <w:tcW w:w="4678" w:type="dxa"/>
            <w:vAlign w:val="center"/>
          </w:tcPr>
          <w:p w14:paraId="0A8A14E8" w14:textId="77777777" w:rsidR="00284822" w:rsidRDefault="00F77BF8">
            <w:pPr>
              <w:autoSpaceDN/>
              <w:spacing w:before="120" w:after="120"/>
              <w:textAlignment w:val="auto"/>
              <w:rPr>
                <w:rFonts w:ascii="Rockwell" w:eastAsiaTheme="minorHAnsi" w:hAnsi="Rockwell"/>
              </w:rPr>
            </w:pPr>
            <w:r>
              <w:rPr>
                <w:rFonts w:ascii="Rockwell" w:eastAsia="Calibri" w:hAnsi="Rockwell"/>
              </w:rPr>
              <w:t>Contacts.bf</w:t>
            </w:r>
          </w:p>
        </w:tc>
        <w:tc>
          <w:tcPr>
            <w:tcW w:w="4394" w:type="dxa"/>
            <w:vAlign w:val="center"/>
          </w:tcPr>
          <w:p w14:paraId="6E50CA37" w14:textId="77777777" w:rsidR="00284822" w:rsidRDefault="003148F1">
            <w:pPr>
              <w:autoSpaceDN/>
              <w:spacing w:before="120" w:after="120"/>
              <w:textAlignment w:val="auto"/>
              <w:rPr>
                <w:rFonts w:ascii="Rockwell" w:eastAsiaTheme="minorHAnsi" w:hAnsi="Rockwell"/>
              </w:rPr>
            </w:pPr>
            <w:hyperlink r:id="rId160" w:history="1">
              <w:r w:rsidR="00F77BF8">
                <w:rPr>
                  <w:rStyle w:val="Lienhypertexte"/>
                  <w:rFonts w:ascii="Rockwell" w:eastAsia="Calibri" w:hAnsi="Rockwell"/>
                </w:rPr>
                <w:t>www.contacts.bf</w:t>
              </w:r>
            </w:hyperlink>
            <w:r w:rsidR="00F77BF8">
              <w:rPr>
                <w:rFonts w:ascii="Rockwell" w:eastAsia="Calibri" w:hAnsi="Rockwell"/>
              </w:rPr>
              <w:t xml:space="preserve"> </w:t>
            </w:r>
          </w:p>
        </w:tc>
      </w:tr>
      <w:tr w:rsidR="00284822" w14:paraId="403D00C1" w14:textId="77777777">
        <w:tc>
          <w:tcPr>
            <w:tcW w:w="851" w:type="dxa"/>
          </w:tcPr>
          <w:p w14:paraId="10AA072C"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31</w:t>
            </w:r>
          </w:p>
        </w:tc>
        <w:tc>
          <w:tcPr>
            <w:tcW w:w="4678" w:type="dxa"/>
            <w:vAlign w:val="center"/>
          </w:tcPr>
          <w:p w14:paraId="65E1CD64"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Daawatoul.islamia</w:t>
            </w:r>
            <w:proofErr w:type="spellEnd"/>
          </w:p>
        </w:tc>
        <w:tc>
          <w:tcPr>
            <w:tcW w:w="4394" w:type="dxa"/>
            <w:vAlign w:val="center"/>
          </w:tcPr>
          <w:p w14:paraId="22916E31" w14:textId="77777777" w:rsidR="00284822" w:rsidRDefault="003148F1">
            <w:pPr>
              <w:autoSpaceDN/>
              <w:spacing w:before="120" w:after="120"/>
              <w:textAlignment w:val="auto"/>
              <w:rPr>
                <w:rFonts w:ascii="Rockwell" w:eastAsiaTheme="minorHAnsi" w:hAnsi="Rockwell"/>
              </w:rPr>
            </w:pPr>
            <w:hyperlink r:id="rId161" w:history="1">
              <w:r w:rsidR="00F77BF8">
                <w:rPr>
                  <w:rStyle w:val="Lienhypertexte"/>
                  <w:rFonts w:ascii="Rockwell" w:eastAsia="Calibri" w:hAnsi="Rockwell"/>
                </w:rPr>
                <w:t>www.daawatoul.islamia.net</w:t>
              </w:r>
            </w:hyperlink>
            <w:r w:rsidR="00F77BF8">
              <w:rPr>
                <w:rFonts w:ascii="Rockwell" w:eastAsia="Calibri" w:hAnsi="Rockwell"/>
              </w:rPr>
              <w:t xml:space="preserve"> </w:t>
            </w:r>
          </w:p>
        </w:tc>
      </w:tr>
      <w:tr w:rsidR="00284822" w14:paraId="63A5C6D2" w14:textId="77777777">
        <w:tc>
          <w:tcPr>
            <w:tcW w:w="851" w:type="dxa"/>
          </w:tcPr>
          <w:p w14:paraId="7F52B35E"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32</w:t>
            </w:r>
          </w:p>
        </w:tc>
        <w:tc>
          <w:tcPr>
            <w:tcW w:w="4678" w:type="dxa"/>
            <w:vAlign w:val="center"/>
          </w:tcPr>
          <w:p w14:paraId="22B81363"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Santéactu</w:t>
            </w:r>
            <w:proofErr w:type="spellEnd"/>
          </w:p>
        </w:tc>
        <w:tc>
          <w:tcPr>
            <w:tcW w:w="4394" w:type="dxa"/>
            <w:vAlign w:val="center"/>
          </w:tcPr>
          <w:p w14:paraId="0ACC88B9" w14:textId="77777777" w:rsidR="00284822" w:rsidRDefault="003148F1">
            <w:pPr>
              <w:autoSpaceDN/>
              <w:spacing w:before="120" w:after="120"/>
              <w:textAlignment w:val="auto"/>
              <w:rPr>
                <w:rFonts w:ascii="Rockwell" w:eastAsiaTheme="minorHAnsi" w:hAnsi="Rockwell"/>
              </w:rPr>
            </w:pPr>
            <w:hyperlink r:id="rId162" w:history="1">
              <w:r w:rsidR="00F77BF8">
                <w:rPr>
                  <w:rStyle w:val="Lienhypertexte"/>
                  <w:rFonts w:ascii="Rockwell" w:eastAsia="Calibri" w:hAnsi="Rockwell"/>
                </w:rPr>
                <w:t>www.santéactu.bf</w:t>
              </w:r>
            </w:hyperlink>
            <w:r w:rsidR="00F77BF8">
              <w:rPr>
                <w:rFonts w:ascii="Rockwell" w:eastAsia="Calibri" w:hAnsi="Rockwell"/>
              </w:rPr>
              <w:t xml:space="preserve"> </w:t>
            </w:r>
          </w:p>
        </w:tc>
      </w:tr>
      <w:tr w:rsidR="00284822" w14:paraId="3E6DB74E" w14:textId="77777777">
        <w:tc>
          <w:tcPr>
            <w:tcW w:w="851" w:type="dxa"/>
          </w:tcPr>
          <w:p w14:paraId="69C9472B"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33</w:t>
            </w:r>
          </w:p>
        </w:tc>
        <w:tc>
          <w:tcPr>
            <w:tcW w:w="4678" w:type="dxa"/>
            <w:vAlign w:val="center"/>
          </w:tcPr>
          <w:p w14:paraId="69BC3780"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Queenmafa</w:t>
            </w:r>
            <w:proofErr w:type="spellEnd"/>
          </w:p>
        </w:tc>
        <w:tc>
          <w:tcPr>
            <w:tcW w:w="4394" w:type="dxa"/>
            <w:vAlign w:val="center"/>
          </w:tcPr>
          <w:p w14:paraId="74AA2581" w14:textId="77777777" w:rsidR="00284822" w:rsidRDefault="003148F1">
            <w:pPr>
              <w:autoSpaceDN/>
              <w:spacing w:before="120" w:after="120"/>
              <w:textAlignment w:val="auto"/>
              <w:rPr>
                <w:rFonts w:ascii="Rockwell" w:eastAsiaTheme="minorHAnsi" w:hAnsi="Rockwell"/>
              </w:rPr>
            </w:pPr>
            <w:hyperlink r:id="rId163" w:history="1">
              <w:r w:rsidR="00F77BF8">
                <w:rPr>
                  <w:rStyle w:val="Lienhypertexte"/>
                  <w:rFonts w:ascii="Rockwell" w:eastAsia="Calibri" w:hAnsi="Rockwell"/>
                </w:rPr>
                <w:t>www.queenmafa.net</w:t>
              </w:r>
            </w:hyperlink>
            <w:r w:rsidR="00F77BF8">
              <w:rPr>
                <w:rFonts w:ascii="Rockwell" w:eastAsia="Calibri" w:hAnsi="Rockwell"/>
              </w:rPr>
              <w:t xml:space="preserve">  </w:t>
            </w:r>
          </w:p>
        </w:tc>
      </w:tr>
      <w:tr w:rsidR="00284822" w14:paraId="1216BE4B" w14:textId="77777777">
        <w:tc>
          <w:tcPr>
            <w:tcW w:w="851" w:type="dxa"/>
          </w:tcPr>
          <w:p w14:paraId="121E057A"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34</w:t>
            </w:r>
          </w:p>
        </w:tc>
        <w:tc>
          <w:tcPr>
            <w:tcW w:w="4678" w:type="dxa"/>
            <w:vAlign w:val="center"/>
          </w:tcPr>
          <w:p w14:paraId="24C4E081" w14:textId="77777777" w:rsidR="00284822" w:rsidRDefault="00F77BF8">
            <w:pPr>
              <w:autoSpaceDN/>
              <w:spacing w:before="120" w:after="120"/>
              <w:textAlignment w:val="auto"/>
              <w:rPr>
                <w:rFonts w:ascii="Rockwell" w:eastAsiaTheme="minorHAnsi" w:hAnsi="Rockwell"/>
              </w:rPr>
            </w:pPr>
            <w:r>
              <w:rPr>
                <w:rFonts w:ascii="Rockwell" w:eastAsia="Calibri" w:hAnsi="Rockwell"/>
              </w:rPr>
              <w:t>infowakat.net</w:t>
            </w:r>
          </w:p>
        </w:tc>
        <w:tc>
          <w:tcPr>
            <w:tcW w:w="4394" w:type="dxa"/>
            <w:vAlign w:val="bottom"/>
          </w:tcPr>
          <w:p w14:paraId="2FE57DC5" w14:textId="77777777" w:rsidR="00284822" w:rsidRDefault="003148F1">
            <w:pPr>
              <w:autoSpaceDN/>
              <w:spacing w:before="120" w:after="120"/>
              <w:textAlignment w:val="auto"/>
              <w:rPr>
                <w:rFonts w:ascii="Rockwell" w:eastAsia="Calibri" w:hAnsi="Rockwell"/>
              </w:rPr>
            </w:pPr>
            <w:hyperlink r:id="rId164" w:history="1">
              <w:r w:rsidR="00F77BF8">
                <w:rPr>
                  <w:rStyle w:val="Lienhypertexte"/>
                  <w:rFonts w:ascii="Rockwell" w:eastAsia="Calibri" w:hAnsi="Rockwell"/>
                </w:rPr>
                <w:t>www.infowakat.net</w:t>
              </w:r>
            </w:hyperlink>
          </w:p>
        </w:tc>
      </w:tr>
      <w:tr w:rsidR="00284822" w14:paraId="11BE30CB" w14:textId="77777777">
        <w:tc>
          <w:tcPr>
            <w:tcW w:w="851" w:type="dxa"/>
          </w:tcPr>
          <w:p w14:paraId="0D8F00EA"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35</w:t>
            </w:r>
          </w:p>
        </w:tc>
        <w:tc>
          <w:tcPr>
            <w:tcW w:w="4678" w:type="dxa"/>
            <w:vAlign w:val="center"/>
          </w:tcPr>
          <w:p w14:paraId="4222D74A" w14:textId="77777777" w:rsidR="00284822" w:rsidRDefault="00F77BF8">
            <w:pPr>
              <w:autoSpaceDN/>
              <w:spacing w:before="120" w:after="120"/>
              <w:textAlignment w:val="auto"/>
              <w:rPr>
                <w:rFonts w:ascii="Rockwell" w:eastAsiaTheme="minorHAnsi" w:hAnsi="Rockwell"/>
              </w:rPr>
            </w:pPr>
            <w:r>
              <w:rPr>
                <w:rFonts w:ascii="Rockwell" w:eastAsia="Calibri" w:hAnsi="Rockwell"/>
              </w:rPr>
              <w:t>Tic magazine</w:t>
            </w:r>
          </w:p>
        </w:tc>
        <w:tc>
          <w:tcPr>
            <w:tcW w:w="4394" w:type="dxa"/>
            <w:vAlign w:val="center"/>
          </w:tcPr>
          <w:p w14:paraId="4DAA1A42" w14:textId="77777777" w:rsidR="00284822" w:rsidRDefault="003148F1">
            <w:pPr>
              <w:autoSpaceDN/>
              <w:spacing w:before="120" w:after="120"/>
              <w:textAlignment w:val="auto"/>
              <w:rPr>
                <w:rFonts w:ascii="Rockwell" w:eastAsiaTheme="minorHAnsi" w:hAnsi="Rockwell"/>
              </w:rPr>
            </w:pPr>
            <w:hyperlink r:id="rId165" w:history="1">
              <w:r w:rsidR="00F77BF8">
                <w:rPr>
                  <w:rStyle w:val="Lienhypertexte"/>
                  <w:rFonts w:ascii="Rockwell" w:eastAsia="Calibri" w:hAnsi="Rockwell"/>
                </w:rPr>
                <w:t>www.ticmagazine.bf</w:t>
              </w:r>
            </w:hyperlink>
            <w:r w:rsidR="00F77BF8">
              <w:rPr>
                <w:rFonts w:ascii="Rockwell" w:eastAsia="Calibri" w:hAnsi="Rockwell"/>
              </w:rPr>
              <w:t xml:space="preserve"> </w:t>
            </w:r>
          </w:p>
        </w:tc>
      </w:tr>
      <w:tr w:rsidR="00284822" w14:paraId="72A15F1F" w14:textId="77777777">
        <w:tc>
          <w:tcPr>
            <w:tcW w:w="851" w:type="dxa"/>
          </w:tcPr>
          <w:p w14:paraId="486294EB"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36</w:t>
            </w:r>
          </w:p>
        </w:tc>
        <w:tc>
          <w:tcPr>
            <w:tcW w:w="4678" w:type="dxa"/>
            <w:vAlign w:val="center"/>
          </w:tcPr>
          <w:p w14:paraId="08F7C58E" w14:textId="77777777" w:rsidR="00284822" w:rsidRDefault="00F77BF8">
            <w:pPr>
              <w:autoSpaceDN/>
              <w:spacing w:before="120" w:after="120"/>
              <w:textAlignment w:val="auto"/>
              <w:rPr>
                <w:rFonts w:ascii="Rockwell" w:eastAsiaTheme="minorHAnsi" w:hAnsi="Rockwell"/>
              </w:rPr>
            </w:pPr>
            <w:r>
              <w:rPr>
                <w:rFonts w:ascii="Rockwell" w:eastAsia="Calibri" w:hAnsi="Rockwell"/>
              </w:rPr>
              <w:t>Infobf.net</w:t>
            </w:r>
          </w:p>
        </w:tc>
        <w:tc>
          <w:tcPr>
            <w:tcW w:w="4394" w:type="dxa"/>
            <w:vAlign w:val="center"/>
          </w:tcPr>
          <w:p w14:paraId="24628552" w14:textId="77777777" w:rsidR="00284822" w:rsidRDefault="003148F1">
            <w:pPr>
              <w:autoSpaceDN/>
              <w:spacing w:before="120" w:after="120"/>
              <w:textAlignment w:val="auto"/>
              <w:rPr>
                <w:rFonts w:ascii="Rockwell" w:eastAsiaTheme="minorHAnsi" w:hAnsi="Rockwell"/>
              </w:rPr>
            </w:pPr>
            <w:hyperlink r:id="rId166" w:history="1">
              <w:r w:rsidR="00F77BF8">
                <w:rPr>
                  <w:rStyle w:val="Lienhypertexte"/>
                  <w:rFonts w:ascii="Rockwell" w:eastAsia="Calibri" w:hAnsi="Rockwell"/>
                </w:rPr>
                <w:t>www.infobf.net</w:t>
              </w:r>
            </w:hyperlink>
            <w:r w:rsidR="00F77BF8">
              <w:rPr>
                <w:rFonts w:ascii="Rockwell" w:eastAsia="Calibri" w:hAnsi="Rockwell"/>
              </w:rPr>
              <w:t xml:space="preserve"> </w:t>
            </w:r>
          </w:p>
        </w:tc>
      </w:tr>
      <w:tr w:rsidR="00284822" w14:paraId="28A64421" w14:textId="77777777">
        <w:tc>
          <w:tcPr>
            <w:tcW w:w="851" w:type="dxa"/>
          </w:tcPr>
          <w:p w14:paraId="33CB1B47"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37</w:t>
            </w:r>
          </w:p>
        </w:tc>
        <w:tc>
          <w:tcPr>
            <w:tcW w:w="4678" w:type="dxa"/>
            <w:vAlign w:val="center"/>
          </w:tcPr>
          <w:p w14:paraId="11E245BE" w14:textId="77777777" w:rsidR="00284822" w:rsidRDefault="00F77BF8">
            <w:pPr>
              <w:autoSpaceDN/>
              <w:spacing w:before="120" w:after="120"/>
              <w:textAlignment w:val="auto"/>
              <w:rPr>
                <w:rFonts w:ascii="Rockwell" w:eastAsiaTheme="minorHAnsi" w:hAnsi="Rockwell"/>
              </w:rPr>
            </w:pPr>
            <w:r>
              <w:rPr>
                <w:rFonts w:ascii="Rockwell" w:eastAsia="Calibri" w:hAnsi="Rockwell"/>
              </w:rPr>
              <w:t>Bref24.com</w:t>
            </w:r>
          </w:p>
        </w:tc>
        <w:tc>
          <w:tcPr>
            <w:tcW w:w="4394" w:type="dxa"/>
            <w:vAlign w:val="center"/>
          </w:tcPr>
          <w:p w14:paraId="309A406C" w14:textId="77777777" w:rsidR="00284822" w:rsidRDefault="003148F1">
            <w:pPr>
              <w:autoSpaceDN/>
              <w:spacing w:before="120" w:after="120"/>
              <w:textAlignment w:val="auto"/>
              <w:rPr>
                <w:rFonts w:ascii="Rockwell" w:eastAsiaTheme="minorHAnsi" w:hAnsi="Rockwell"/>
              </w:rPr>
            </w:pPr>
            <w:hyperlink r:id="rId167" w:history="1">
              <w:r w:rsidR="00F77BF8">
                <w:rPr>
                  <w:rStyle w:val="Lienhypertexte"/>
                  <w:rFonts w:ascii="Rockwell" w:eastAsia="Calibri" w:hAnsi="Rockwell"/>
                </w:rPr>
                <w:t>www.bref24.com</w:t>
              </w:r>
            </w:hyperlink>
            <w:r w:rsidR="00F77BF8">
              <w:rPr>
                <w:rFonts w:ascii="Rockwell" w:eastAsia="Calibri" w:hAnsi="Rockwell"/>
              </w:rPr>
              <w:t xml:space="preserve"> </w:t>
            </w:r>
          </w:p>
        </w:tc>
      </w:tr>
      <w:tr w:rsidR="00284822" w14:paraId="75E51601" w14:textId="77777777">
        <w:tc>
          <w:tcPr>
            <w:tcW w:w="851" w:type="dxa"/>
          </w:tcPr>
          <w:p w14:paraId="0D90781D"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lastRenderedPageBreak/>
              <w:t>38</w:t>
            </w:r>
          </w:p>
        </w:tc>
        <w:tc>
          <w:tcPr>
            <w:tcW w:w="4678" w:type="dxa"/>
            <w:vAlign w:val="center"/>
          </w:tcPr>
          <w:p w14:paraId="7A5CA701" w14:textId="77777777" w:rsidR="00284822" w:rsidRDefault="00F77BF8">
            <w:pPr>
              <w:autoSpaceDN/>
              <w:spacing w:before="120" w:after="120"/>
              <w:textAlignment w:val="auto"/>
              <w:rPr>
                <w:rFonts w:ascii="Rockwell" w:eastAsiaTheme="minorHAnsi" w:hAnsi="Rockwell"/>
              </w:rPr>
            </w:pPr>
            <w:r>
              <w:rPr>
                <w:rFonts w:ascii="Rockwell" w:eastAsia="Calibri" w:hAnsi="Rockwell"/>
              </w:rPr>
              <w:t>commune-actu.bf</w:t>
            </w:r>
          </w:p>
        </w:tc>
        <w:tc>
          <w:tcPr>
            <w:tcW w:w="4394" w:type="dxa"/>
            <w:vAlign w:val="bottom"/>
          </w:tcPr>
          <w:p w14:paraId="4F7FD397" w14:textId="77777777" w:rsidR="00284822" w:rsidRDefault="003148F1">
            <w:pPr>
              <w:autoSpaceDN/>
              <w:spacing w:before="120" w:after="120"/>
              <w:textAlignment w:val="auto"/>
              <w:rPr>
                <w:rFonts w:ascii="Rockwell" w:eastAsia="Calibri" w:hAnsi="Rockwell"/>
              </w:rPr>
            </w:pPr>
            <w:hyperlink r:id="rId168" w:history="1">
              <w:r w:rsidR="00F77BF8">
                <w:rPr>
                  <w:rStyle w:val="Lienhypertexte"/>
                  <w:rFonts w:ascii="Rockwell" w:eastAsia="Calibri" w:hAnsi="Rockwell"/>
                </w:rPr>
                <w:t>www.communeactu.net</w:t>
              </w:r>
            </w:hyperlink>
          </w:p>
        </w:tc>
      </w:tr>
      <w:tr w:rsidR="00284822" w14:paraId="22BFE52F" w14:textId="77777777">
        <w:tc>
          <w:tcPr>
            <w:tcW w:w="851" w:type="dxa"/>
          </w:tcPr>
          <w:p w14:paraId="708A0F82"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39</w:t>
            </w:r>
          </w:p>
        </w:tc>
        <w:tc>
          <w:tcPr>
            <w:tcW w:w="4678" w:type="dxa"/>
            <w:vAlign w:val="center"/>
          </w:tcPr>
          <w:p w14:paraId="7B81E4D6"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Fasopic</w:t>
            </w:r>
            <w:proofErr w:type="spellEnd"/>
          </w:p>
        </w:tc>
        <w:tc>
          <w:tcPr>
            <w:tcW w:w="4394" w:type="dxa"/>
            <w:vAlign w:val="bottom"/>
          </w:tcPr>
          <w:p w14:paraId="4134D443" w14:textId="77777777" w:rsidR="00284822" w:rsidRDefault="003148F1">
            <w:pPr>
              <w:autoSpaceDN/>
              <w:spacing w:before="120" w:after="120"/>
              <w:textAlignment w:val="auto"/>
              <w:rPr>
                <w:rFonts w:ascii="Rockwell" w:eastAsia="Calibri" w:hAnsi="Rockwell"/>
              </w:rPr>
            </w:pPr>
            <w:hyperlink r:id="rId169" w:history="1">
              <w:r w:rsidR="00F77BF8">
                <w:rPr>
                  <w:rStyle w:val="Lienhypertexte"/>
                  <w:rFonts w:ascii="Rockwell" w:eastAsia="Calibri" w:hAnsi="Rockwell"/>
                </w:rPr>
                <w:t>www.fasopic.net</w:t>
              </w:r>
            </w:hyperlink>
          </w:p>
        </w:tc>
      </w:tr>
      <w:tr w:rsidR="00284822" w14:paraId="1909B77F" w14:textId="77777777">
        <w:tc>
          <w:tcPr>
            <w:tcW w:w="851" w:type="dxa"/>
          </w:tcPr>
          <w:p w14:paraId="36C8038F"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40</w:t>
            </w:r>
          </w:p>
        </w:tc>
        <w:tc>
          <w:tcPr>
            <w:tcW w:w="4678" w:type="dxa"/>
            <w:vAlign w:val="center"/>
          </w:tcPr>
          <w:p w14:paraId="323D435E" w14:textId="77777777" w:rsidR="00284822" w:rsidRDefault="00F77BF8">
            <w:pPr>
              <w:autoSpaceDN/>
              <w:spacing w:before="120" w:after="120"/>
              <w:textAlignment w:val="auto"/>
              <w:rPr>
                <w:rFonts w:ascii="Rockwell" w:eastAsiaTheme="minorHAnsi" w:hAnsi="Rockwell"/>
              </w:rPr>
            </w:pPr>
            <w:proofErr w:type="gramStart"/>
            <w:r>
              <w:rPr>
                <w:rFonts w:ascii="Rockwell" w:eastAsia="Calibri" w:hAnsi="Rockwell"/>
              </w:rPr>
              <w:t>focus</w:t>
            </w:r>
            <w:proofErr w:type="gramEnd"/>
            <w:r>
              <w:rPr>
                <w:rFonts w:ascii="Rockwell" w:eastAsia="Calibri" w:hAnsi="Rockwell"/>
              </w:rPr>
              <w:t xml:space="preserve"> telecom.net</w:t>
            </w:r>
          </w:p>
        </w:tc>
        <w:tc>
          <w:tcPr>
            <w:tcW w:w="4394" w:type="dxa"/>
            <w:vAlign w:val="bottom"/>
          </w:tcPr>
          <w:p w14:paraId="734E2C63" w14:textId="77777777" w:rsidR="00284822" w:rsidRDefault="003148F1">
            <w:pPr>
              <w:autoSpaceDN/>
              <w:spacing w:before="120" w:after="120"/>
              <w:textAlignment w:val="auto"/>
              <w:rPr>
                <w:rFonts w:ascii="Rockwell" w:eastAsia="Calibri" w:hAnsi="Rockwell"/>
              </w:rPr>
            </w:pPr>
            <w:hyperlink r:id="rId170" w:history="1">
              <w:r w:rsidR="00F77BF8">
                <w:rPr>
                  <w:rStyle w:val="Lienhypertexte"/>
                  <w:rFonts w:ascii="Rockwell" w:eastAsia="Calibri" w:hAnsi="Rockwell"/>
                </w:rPr>
                <w:t>www.focustelecom.net</w:t>
              </w:r>
            </w:hyperlink>
            <w:r w:rsidR="00F77BF8">
              <w:rPr>
                <w:rFonts w:ascii="Rockwell" w:eastAsia="Calibri" w:hAnsi="Rockwell"/>
              </w:rPr>
              <w:t xml:space="preserve"> </w:t>
            </w:r>
          </w:p>
        </w:tc>
      </w:tr>
      <w:tr w:rsidR="00284822" w14:paraId="336901A5" w14:textId="77777777">
        <w:tc>
          <w:tcPr>
            <w:tcW w:w="851" w:type="dxa"/>
          </w:tcPr>
          <w:p w14:paraId="24D13B69"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41</w:t>
            </w:r>
          </w:p>
        </w:tc>
        <w:tc>
          <w:tcPr>
            <w:tcW w:w="4678" w:type="dxa"/>
            <w:vAlign w:val="center"/>
          </w:tcPr>
          <w:p w14:paraId="09E0EE6F"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Burkimbia</w:t>
            </w:r>
            <w:proofErr w:type="spellEnd"/>
          </w:p>
        </w:tc>
        <w:tc>
          <w:tcPr>
            <w:tcW w:w="4394" w:type="dxa"/>
            <w:vAlign w:val="bottom"/>
          </w:tcPr>
          <w:p w14:paraId="1527D026" w14:textId="77777777" w:rsidR="00284822" w:rsidRDefault="003148F1">
            <w:pPr>
              <w:autoSpaceDN/>
              <w:spacing w:before="120" w:after="120"/>
              <w:textAlignment w:val="auto"/>
              <w:rPr>
                <w:rFonts w:ascii="Rockwell" w:eastAsia="Calibri" w:hAnsi="Rockwell"/>
              </w:rPr>
            </w:pPr>
            <w:hyperlink r:id="rId171" w:history="1">
              <w:r w:rsidR="00F77BF8">
                <w:rPr>
                  <w:rStyle w:val="Lienhypertexte"/>
                  <w:rFonts w:ascii="Rockwell" w:eastAsia="Calibri" w:hAnsi="Rockwell"/>
                </w:rPr>
                <w:t>www.burkimbia.com</w:t>
              </w:r>
            </w:hyperlink>
          </w:p>
        </w:tc>
      </w:tr>
      <w:tr w:rsidR="00284822" w14:paraId="265F565E" w14:textId="77777777">
        <w:tc>
          <w:tcPr>
            <w:tcW w:w="851" w:type="dxa"/>
          </w:tcPr>
          <w:p w14:paraId="5E70E77D"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42</w:t>
            </w:r>
          </w:p>
        </w:tc>
        <w:tc>
          <w:tcPr>
            <w:tcW w:w="4678" w:type="dxa"/>
            <w:vAlign w:val="center"/>
          </w:tcPr>
          <w:p w14:paraId="2C6D8A5E" w14:textId="77777777" w:rsidR="00284822" w:rsidRDefault="00F77BF8">
            <w:pPr>
              <w:autoSpaceDN/>
              <w:spacing w:before="120" w:after="120"/>
              <w:textAlignment w:val="auto"/>
              <w:rPr>
                <w:rFonts w:ascii="Rockwell" w:eastAsiaTheme="minorHAnsi" w:hAnsi="Rockwell"/>
              </w:rPr>
            </w:pPr>
            <w:proofErr w:type="spellStart"/>
            <w:proofErr w:type="gramStart"/>
            <w:r>
              <w:rPr>
                <w:rFonts w:ascii="Rockwell" w:eastAsia="Calibri" w:hAnsi="Rockwell"/>
              </w:rPr>
              <w:t>faso</w:t>
            </w:r>
            <w:proofErr w:type="spellEnd"/>
            <w:proofErr w:type="gramEnd"/>
            <w:r>
              <w:rPr>
                <w:rFonts w:ascii="Rockwell" w:eastAsia="Calibri" w:hAnsi="Rockwell"/>
              </w:rPr>
              <w:t xml:space="preserve"> infos.com</w:t>
            </w:r>
          </w:p>
        </w:tc>
        <w:tc>
          <w:tcPr>
            <w:tcW w:w="4394" w:type="dxa"/>
            <w:vAlign w:val="bottom"/>
          </w:tcPr>
          <w:p w14:paraId="0161F778" w14:textId="77777777" w:rsidR="00284822" w:rsidRDefault="003148F1">
            <w:pPr>
              <w:autoSpaceDN/>
              <w:spacing w:before="120" w:after="120"/>
              <w:textAlignment w:val="auto"/>
              <w:rPr>
                <w:rFonts w:ascii="Rockwell" w:eastAsia="Calibri" w:hAnsi="Rockwell"/>
              </w:rPr>
            </w:pPr>
            <w:hyperlink r:id="rId172" w:history="1">
              <w:r w:rsidR="00F77BF8">
                <w:rPr>
                  <w:rStyle w:val="Lienhypertexte"/>
                  <w:rFonts w:ascii="Rockwell" w:eastAsia="Calibri" w:hAnsi="Rockwell"/>
                </w:rPr>
                <w:t>www.fasoinfo.com</w:t>
              </w:r>
            </w:hyperlink>
          </w:p>
        </w:tc>
      </w:tr>
      <w:tr w:rsidR="00284822" w14:paraId="23226191" w14:textId="77777777">
        <w:tc>
          <w:tcPr>
            <w:tcW w:w="851" w:type="dxa"/>
          </w:tcPr>
          <w:p w14:paraId="3281083A"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43</w:t>
            </w:r>
          </w:p>
        </w:tc>
        <w:tc>
          <w:tcPr>
            <w:tcW w:w="4678" w:type="dxa"/>
            <w:vAlign w:val="center"/>
          </w:tcPr>
          <w:p w14:paraId="1B256144"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Aconews</w:t>
            </w:r>
            <w:proofErr w:type="spellEnd"/>
          </w:p>
        </w:tc>
        <w:tc>
          <w:tcPr>
            <w:tcW w:w="4394" w:type="dxa"/>
            <w:vAlign w:val="center"/>
          </w:tcPr>
          <w:p w14:paraId="041134C7" w14:textId="77777777" w:rsidR="00284822" w:rsidRDefault="003148F1">
            <w:pPr>
              <w:autoSpaceDN/>
              <w:spacing w:before="120" w:after="120"/>
              <w:textAlignment w:val="auto"/>
              <w:rPr>
                <w:rFonts w:ascii="Rockwell" w:eastAsiaTheme="minorHAnsi" w:hAnsi="Rockwell"/>
              </w:rPr>
            </w:pPr>
            <w:hyperlink r:id="rId173" w:history="1">
              <w:r w:rsidR="00F77BF8">
                <w:rPr>
                  <w:rStyle w:val="Lienhypertexte"/>
                  <w:rFonts w:ascii="Rockwell" w:eastAsia="Calibri" w:hAnsi="Rockwell"/>
                </w:rPr>
                <w:t>www.aconews.net</w:t>
              </w:r>
            </w:hyperlink>
            <w:r w:rsidR="00F77BF8">
              <w:rPr>
                <w:rFonts w:ascii="Rockwell" w:eastAsia="Calibri" w:hAnsi="Rockwell"/>
              </w:rPr>
              <w:t xml:space="preserve">  </w:t>
            </w:r>
          </w:p>
        </w:tc>
      </w:tr>
      <w:tr w:rsidR="00284822" w14:paraId="65503CA2" w14:textId="77777777">
        <w:tc>
          <w:tcPr>
            <w:tcW w:w="851" w:type="dxa"/>
          </w:tcPr>
          <w:p w14:paraId="7905BA65"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44</w:t>
            </w:r>
          </w:p>
        </w:tc>
        <w:tc>
          <w:tcPr>
            <w:tcW w:w="4678" w:type="dxa"/>
            <w:vAlign w:val="center"/>
          </w:tcPr>
          <w:p w14:paraId="6BCCBE85" w14:textId="77777777" w:rsidR="00284822" w:rsidRDefault="00F77BF8">
            <w:pPr>
              <w:autoSpaceDN/>
              <w:spacing w:before="120" w:after="120"/>
              <w:textAlignment w:val="auto"/>
              <w:rPr>
                <w:rFonts w:ascii="Rockwell" w:eastAsiaTheme="minorHAnsi" w:hAnsi="Rockwell"/>
              </w:rPr>
            </w:pPr>
            <w:proofErr w:type="spellStart"/>
            <w:proofErr w:type="gramStart"/>
            <w:r>
              <w:rPr>
                <w:rFonts w:ascii="Rockwell" w:eastAsia="Calibri" w:hAnsi="Rockwell"/>
              </w:rPr>
              <w:t>emdiafaso</w:t>
            </w:r>
            <w:proofErr w:type="spellEnd"/>
            <w:proofErr w:type="gramEnd"/>
            <w:r>
              <w:rPr>
                <w:rFonts w:ascii="Rockwell" w:eastAsia="Calibri" w:hAnsi="Rockwell"/>
              </w:rPr>
              <w:t>- services</w:t>
            </w:r>
          </w:p>
        </w:tc>
        <w:tc>
          <w:tcPr>
            <w:tcW w:w="4394" w:type="dxa"/>
            <w:vAlign w:val="bottom"/>
          </w:tcPr>
          <w:p w14:paraId="28B5E649" w14:textId="77777777" w:rsidR="00284822" w:rsidRDefault="003148F1">
            <w:pPr>
              <w:autoSpaceDN/>
              <w:spacing w:before="120" w:after="120"/>
              <w:textAlignment w:val="auto"/>
              <w:rPr>
                <w:rFonts w:ascii="Rockwell" w:eastAsia="Calibri" w:hAnsi="Rockwell"/>
              </w:rPr>
            </w:pPr>
            <w:hyperlink r:id="rId174" w:history="1">
              <w:r w:rsidR="00F77BF8">
                <w:rPr>
                  <w:rStyle w:val="Lienhypertexte"/>
                  <w:rFonts w:ascii="Rockwell" w:eastAsia="Calibri" w:hAnsi="Rockwell"/>
                </w:rPr>
                <w:t>www.emdiafaso</w:t>
              </w:r>
            </w:hyperlink>
          </w:p>
        </w:tc>
      </w:tr>
      <w:tr w:rsidR="00284822" w14:paraId="6F822F47" w14:textId="77777777">
        <w:tc>
          <w:tcPr>
            <w:tcW w:w="851" w:type="dxa"/>
          </w:tcPr>
          <w:p w14:paraId="523302F2"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45</w:t>
            </w:r>
          </w:p>
        </w:tc>
        <w:tc>
          <w:tcPr>
            <w:tcW w:w="4678" w:type="dxa"/>
            <w:vAlign w:val="center"/>
          </w:tcPr>
          <w:p w14:paraId="0A04CD91" w14:textId="77777777" w:rsidR="00284822" w:rsidRDefault="00F77BF8">
            <w:pPr>
              <w:autoSpaceDN/>
              <w:spacing w:before="120" w:after="120"/>
              <w:textAlignment w:val="auto"/>
              <w:rPr>
                <w:rFonts w:ascii="Rockwell" w:eastAsiaTheme="minorHAnsi" w:hAnsi="Rockwell"/>
              </w:rPr>
            </w:pPr>
            <w:r>
              <w:rPr>
                <w:rFonts w:ascii="Rockwell" w:eastAsia="Calibri" w:hAnsi="Rockwell"/>
              </w:rPr>
              <w:t>Arc-en-ciel </w:t>
            </w:r>
          </w:p>
        </w:tc>
        <w:tc>
          <w:tcPr>
            <w:tcW w:w="4394" w:type="dxa"/>
            <w:vAlign w:val="bottom"/>
          </w:tcPr>
          <w:p w14:paraId="754EEA5F" w14:textId="77777777" w:rsidR="00284822" w:rsidRDefault="003148F1">
            <w:pPr>
              <w:autoSpaceDN/>
              <w:spacing w:before="120" w:after="120"/>
              <w:textAlignment w:val="auto"/>
              <w:rPr>
                <w:rFonts w:ascii="Rockwell" w:eastAsia="Calibri" w:hAnsi="Rockwell"/>
              </w:rPr>
            </w:pPr>
            <w:hyperlink r:id="rId175" w:history="1">
              <w:r w:rsidR="00F77BF8">
                <w:rPr>
                  <w:rStyle w:val="Lienhypertexte"/>
                  <w:rFonts w:ascii="Rockwell" w:eastAsia="Calibri" w:hAnsi="Rockwell"/>
                </w:rPr>
                <w:t>www.arc-en-ciel.net</w:t>
              </w:r>
            </w:hyperlink>
          </w:p>
        </w:tc>
      </w:tr>
      <w:tr w:rsidR="00284822" w14:paraId="076D6F0E" w14:textId="77777777">
        <w:tc>
          <w:tcPr>
            <w:tcW w:w="851" w:type="dxa"/>
          </w:tcPr>
          <w:p w14:paraId="705C9EDE"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46</w:t>
            </w:r>
          </w:p>
        </w:tc>
        <w:tc>
          <w:tcPr>
            <w:tcW w:w="4678" w:type="dxa"/>
            <w:vAlign w:val="center"/>
          </w:tcPr>
          <w:p w14:paraId="2C479007" w14:textId="77777777" w:rsidR="00284822" w:rsidRDefault="00F77BF8">
            <w:pPr>
              <w:autoSpaceDN/>
              <w:spacing w:before="120" w:after="120"/>
              <w:textAlignment w:val="auto"/>
              <w:rPr>
                <w:rFonts w:ascii="Rockwell" w:eastAsiaTheme="minorHAnsi" w:hAnsi="Rockwell"/>
              </w:rPr>
            </w:pPr>
            <w:r>
              <w:rPr>
                <w:rFonts w:ascii="Rockwell" w:eastAsia="Calibri" w:hAnsi="Rockwell"/>
              </w:rPr>
              <w:t>tinganews.com</w:t>
            </w:r>
          </w:p>
        </w:tc>
        <w:tc>
          <w:tcPr>
            <w:tcW w:w="4394" w:type="dxa"/>
            <w:vAlign w:val="bottom"/>
          </w:tcPr>
          <w:p w14:paraId="506D2D3D" w14:textId="77777777" w:rsidR="00284822" w:rsidRDefault="003148F1">
            <w:pPr>
              <w:autoSpaceDN/>
              <w:spacing w:before="120" w:after="120"/>
              <w:textAlignment w:val="auto"/>
              <w:rPr>
                <w:rFonts w:ascii="Rockwell" w:eastAsia="Calibri" w:hAnsi="Rockwell"/>
              </w:rPr>
            </w:pPr>
            <w:hyperlink r:id="rId176" w:history="1">
              <w:r w:rsidR="00F77BF8">
                <w:rPr>
                  <w:rStyle w:val="Lienhypertexte"/>
                  <w:rFonts w:ascii="Rockwell" w:eastAsia="Calibri" w:hAnsi="Rockwell"/>
                </w:rPr>
                <w:t>www.tinganews.com</w:t>
              </w:r>
            </w:hyperlink>
          </w:p>
        </w:tc>
      </w:tr>
      <w:tr w:rsidR="00284822" w14:paraId="5E476325" w14:textId="77777777">
        <w:tc>
          <w:tcPr>
            <w:tcW w:w="851" w:type="dxa"/>
          </w:tcPr>
          <w:p w14:paraId="0C4A2329"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47</w:t>
            </w:r>
          </w:p>
        </w:tc>
        <w:tc>
          <w:tcPr>
            <w:tcW w:w="4678" w:type="dxa"/>
            <w:vAlign w:val="center"/>
          </w:tcPr>
          <w:p w14:paraId="1333A2C8" w14:textId="77777777" w:rsidR="00284822" w:rsidRDefault="00F77BF8">
            <w:pPr>
              <w:autoSpaceDN/>
              <w:spacing w:before="120" w:after="120"/>
              <w:textAlignment w:val="auto"/>
              <w:rPr>
                <w:rFonts w:ascii="Rockwell" w:eastAsiaTheme="minorHAnsi" w:hAnsi="Rockwell"/>
              </w:rPr>
            </w:pPr>
            <w:r>
              <w:rPr>
                <w:rFonts w:ascii="Rockwell" w:eastAsia="Calibri" w:hAnsi="Rockwell"/>
              </w:rPr>
              <w:t>Digicomfaso.info</w:t>
            </w:r>
          </w:p>
        </w:tc>
        <w:tc>
          <w:tcPr>
            <w:tcW w:w="4394" w:type="dxa"/>
            <w:vAlign w:val="bottom"/>
          </w:tcPr>
          <w:p w14:paraId="3EF87FB0" w14:textId="77777777" w:rsidR="00284822" w:rsidRDefault="003148F1">
            <w:pPr>
              <w:autoSpaceDN/>
              <w:spacing w:before="120" w:after="120"/>
              <w:textAlignment w:val="auto"/>
              <w:rPr>
                <w:rFonts w:ascii="Rockwell" w:eastAsia="Calibri" w:hAnsi="Rockwell"/>
              </w:rPr>
            </w:pPr>
            <w:hyperlink r:id="rId177" w:history="1">
              <w:r w:rsidR="00F77BF8">
                <w:rPr>
                  <w:rStyle w:val="Lienhypertexte"/>
                  <w:rFonts w:ascii="Rockwell" w:eastAsia="Calibri" w:hAnsi="Rockwell"/>
                </w:rPr>
                <w:t>www.digicomfaso.info</w:t>
              </w:r>
            </w:hyperlink>
          </w:p>
        </w:tc>
      </w:tr>
      <w:tr w:rsidR="00284822" w14:paraId="26B86045" w14:textId="77777777">
        <w:tc>
          <w:tcPr>
            <w:tcW w:w="851" w:type="dxa"/>
          </w:tcPr>
          <w:p w14:paraId="73B364F8"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48</w:t>
            </w:r>
          </w:p>
        </w:tc>
        <w:tc>
          <w:tcPr>
            <w:tcW w:w="4678" w:type="dxa"/>
            <w:vAlign w:val="center"/>
          </w:tcPr>
          <w:p w14:paraId="443578D4"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Fasolangue</w:t>
            </w:r>
            <w:proofErr w:type="spellEnd"/>
          </w:p>
        </w:tc>
        <w:tc>
          <w:tcPr>
            <w:tcW w:w="4394" w:type="dxa"/>
            <w:vAlign w:val="center"/>
          </w:tcPr>
          <w:p w14:paraId="526924DF" w14:textId="77777777" w:rsidR="00284822" w:rsidRDefault="003148F1">
            <w:pPr>
              <w:autoSpaceDN/>
              <w:spacing w:before="120" w:after="120"/>
              <w:textAlignment w:val="auto"/>
              <w:rPr>
                <w:rFonts w:ascii="Rockwell" w:eastAsiaTheme="minorHAnsi" w:hAnsi="Rockwell"/>
              </w:rPr>
            </w:pPr>
            <w:hyperlink r:id="rId178" w:history="1">
              <w:r w:rsidR="00F77BF8">
                <w:rPr>
                  <w:rStyle w:val="Lienhypertexte"/>
                  <w:rFonts w:ascii="Rockwell" w:eastAsia="Calibri" w:hAnsi="Rockwell"/>
                </w:rPr>
                <w:t>www.fasolangue.com</w:t>
              </w:r>
            </w:hyperlink>
            <w:r w:rsidR="00F77BF8">
              <w:rPr>
                <w:rFonts w:ascii="Rockwell" w:eastAsia="Calibri" w:hAnsi="Rockwell"/>
              </w:rPr>
              <w:t xml:space="preserve"> </w:t>
            </w:r>
          </w:p>
        </w:tc>
      </w:tr>
      <w:tr w:rsidR="00284822" w14:paraId="7107D834" w14:textId="77777777">
        <w:tc>
          <w:tcPr>
            <w:tcW w:w="851" w:type="dxa"/>
          </w:tcPr>
          <w:p w14:paraId="0A520811"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49</w:t>
            </w:r>
          </w:p>
        </w:tc>
        <w:tc>
          <w:tcPr>
            <w:tcW w:w="4678" w:type="dxa"/>
            <w:vAlign w:val="center"/>
          </w:tcPr>
          <w:p w14:paraId="080C3538"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Zanmazceleb</w:t>
            </w:r>
            <w:proofErr w:type="spellEnd"/>
            <w:r>
              <w:rPr>
                <w:rFonts w:ascii="Rockwell" w:eastAsia="Calibri" w:hAnsi="Rockwell"/>
              </w:rPr>
              <w:t xml:space="preserve"> </w:t>
            </w:r>
          </w:p>
        </w:tc>
        <w:tc>
          <w:tcPr>
            <w:tcW w:w="4394" w:type="dxa"/>
            <w:vAlign w:val="center"/>
          </w:tcPr>
          <w:p w14:paraId="57624BEE" w14:textId="77777777" w:rsidR="00284822" w:rsidRDefault="003148F1">
            <w:pPr>
              <w:autoSpaceDN/>
              <w:spacing w:before="120" w:after="120"/>
              <w:textAlignment w:val="auto"/>
              <w:rPr>
                <w:rFonts w:ascii="Rockwell" w:eastAsiaTheme="minorHAnsi" w:hAnsi="Rockwell"/>
              </w:rPr>
            </w:pPr>
            <w:hyperlink r:id="rId179" w:history="1">
              <w:r w:rsidR="00F77BF8">
                <w:rPr>
                  <w:rStyle w:val="Lienhypertexte"/>
                  <w:rFonts w:ascii="Rockwell" w:eastAsia="Calibri" w:hAnsi="Rockwell"/>
                </w:rPr>
                <w:t>www.Zanmazceleb.com</w:t>
              </w:r>
            </w:hyperlink>
            <w:r w:rsidR="00F77BF8">
              <w:rPr>
                <w:rFonts w:ascii="Rockwell" w:eastAsia="Calibri" w:hAnsi="Rockwell"/>
              </w:rPr>
              <w:t xml:space="preserve"> </w:t>
            </w:r>
          </w:p>
        </w:tc>
      </w:tr>
      <w:tr w:rsidR="00284822" w14:paraId="76EFDD66" w14:textId="77777777">
        <w:tc>
          <w:tcPr>
            <w:tcW w:w="851" w:type="dxa"/>
          </w:tcPr>
          <w:p w14:paraId="54FE2E90"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50</w:t>
            </w:r>
          </w:p>
        </w:tc>
        <w:tc>
          <w:tcPr>
            <w:tcW w:w="4678" w:type="dxa"/>
            <w:vAlign w:val="center"/>
          </w:tcPr>
          <w:p w14:paraId="364D24E7" w14:textId="77777777" w:rsidR="00284822" w:rsidRDefault="00F77BF8">
            <w:pPr>
              <w:autoSpaceDN/>
              <w:spacing w:before="120" w:after="120"/>
              <w:textAlignment w:val="auto"/>
              <w:rPr>
                <w:rFonts w:ascii="Rockwell" w:eastAsiaTheme="minorHAnsi" w:hAnsi="Rockwell"/>
              </w:rPr>
            </w:pPr>
            <w:r>
              <w:rPr>
                <w:rFonts w:ascii="Rockwell" w:eastAsia="Calibri" w:hAnsi="Rockwell"/>
              </w:rPr>
              <w:t>Rtsabel.com</w:t>
            </w:r>
          </w:p>
        </w:tc>
        <w:tc>
          <w:tcPr>
            <w:tcW w:w="4394" w:type="dxa"/>
            <w:vAlign w:val="center"/>
          </w:tcPr>
          <w:p w14:paraId="488D7C8C" w14:textId="77777777" w:rsidR="00284822" w:rsidRDefault="003148F1">
            <w:pPr>
              <w:autoSpaceDN/>
              <w:spacing w:before="120" w:after="120"/>
              <w:textAlignment w:val="auto"/>
              <w:rPr>
                <w:rFonts w:ascii="Rockwell" w:eastAsiaTheme="minorHAnsi" w:hAnsi="Rockwell"/>
              </w:rPr>
            </w:pPr>
            <w:hyperlink r:id="rId180" w:history="1">
              <w:r w:rsidR="00F77BF8">
                <w:rPr>
                  <w:rStyle w:val="Lienhypertexte"/>
                  <w:rFonts w:ascii="Rockwell" w:eastAsia="Calibri" w:hAnsi="Rockwell"/>
                </w:rPr>
                <w:t>www.rtsabel.com</w:t>
              </w:r>
            </w:hyperlink>
            <w:r w:rsidR="00F77BF8">
              <w:rPr>
                <w:rFonts w:ascii="Rockwell" w:eastAsia="Calibri" w:hAnsi="Rockwell"/>
              </w:rPr>
              <w:t xml:space="preserve"> </w:t>
            </w:r>
          </w:p>
        </w:tc>
      </w:tr>
      <w:tr w:rsidR="00284822" w14:paraId="2E5D7541" w14:textId="77777777">
        <w:tc>
          <w:tcPr>
            <w:tcW w:w="851" w:type="dxa"/>
          </w:tcPr>
          <w:p w14:paraId="6B0D8A63"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51</w:t>
            </w:r>
          </w:p>
        </w:tc>
        <w:tc>
          <w:tcPr>
            <w:tcW w:w="4678" w:type="dxa"/>
            <w:vAlign w:val="center"/>
          </w:tcPr>
          <w:p w14:paraId="0182ED62" w14:textId="77777777" w:rsidR="00284822" w:rsidRDefault="00F77BF8">
            <w:pPr>
              <w:autoSpaceDN/>
              <w:spacing w:before="120" w:after="120"/>
              <w:textAlignment w:val="auto"/>
              <w:rPr>
                <w:rFonts w:ascii="Rockwell" w:eastAsiaTheme="minorHAnsi" w:hAnsi="Rockwell"/>
              </w:rPr>
            </w:pPr>
            <w:r>
              <w:rPr>
                <w:rFonts w:ascii="Rockwell" w:eastAsia="Calibri" w:hAnsi="Rockwell"/>
              </w:rPr>
              <w:t>Minute.bf</w:t>
            </w:r>
          </w:p>
        </w:tc>
        <w:tc>
          <w:tcPr>
            <w:tcW w:w="4394" w:type="dxa"/>
            <w:vAlign w:val="bottom"/>
          </w:tcPr>
          <w:p w14:paraId="16D96DFE" w14:textId="77777777" w:rsidR="00284822" w:rsidRDefault="003148F1">
            <w:pPr>
              <w:autoSpaceDN/>
              <w:spacing w:before="120" w:after="120"/>
              <w:textAlignment w:val="auto"/>
              <w:rPr>
                <w:rFonts w:ascii="Rockwell" w:eastAsia="Calibri" w:hAnsi="Rockwell"/>
              </w:rPr>
            </w:pPr>
            <w:hyperlink r:id="rId181" w:history="1">
              <w:r w:rsidR="00F77BF8">
                <w:rPr>
                  <w:rStyle w:val="Lienhypertexte"/>
                  <w:rFonts w:ascii="Rockwell" w:eastAsia="Calibri" w:hAnsi="Rockwell"/>
                </w:rPr>
                <w:t>www.minute.bf</w:t>
              </w:r>
            </w:hyperlink>
          </w:p>
        </w:tc>
      </w:tr>
      <w:tr w:rsidR="00284822" w14:paraId="3492084D" w14:textId="77777777">
        <w:tc>
          <w:tcPr>
            <w:tcW w:w="851" w:type="dxa"/>
          </w:tcPr>
          <w:p w14:paraId="526804A2"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52</w:t>
            </w:r>
          </w:p>
        </w:tc>
        <w:tc>
          <w:tcPr>
            <w:tcW w:w="4678" w:type="dxa"/>
            <w:vAlign w:val="center"/>
          </w:tcPr>
          <w:p w14:paraId="7B869E04" w14:textId="77777777" w:rsidR="00284822" w:rsidRDefault="00F77BF8">
            <w:pPr>
              <w:autoSpaceDN/>
              <w:spacing w:before="120" w:after="120"/>
              <w:textAlignment w:val="auto"/>
              <w:rPr>
                <w:rFonts w:ascii="Rockwell" w:eastAsiaTheme="minorHAnsi" w:hAnsi="Rockwell"/>
              </w:rPr>
            </w:pPr>
            <w:r>
              <w:rPr>
                <w:rFonts w:ascii="Rockwell" w:eastAsia="Calibri" w:hAnsi="Rockwell"/>
              </w:rPr>
              <w:t>Faso Sport News</w:t>
            </w:r>
          </w:p>
        </w:tc>
        <w:tc>
          <w:tcPr>
            <w:tcW w:w="4394" w:type="dxa"/>
            <w:vAlign w:val="bottom"/>
          </w:tcPr>
          <w:p w14:paraId="7668FBD5" w14:textId="77777777" w:rsidR="00284822" w:rsidRDefault="003148F1">
            <w:pPr>
              <w:autoSpaceDN/>
              <w:spacing w:before="120" w:after="120"/>
              <w:textAlignment w:val="auto"/>
              <w:rPr>
                <w:rFonts w:ascii="Rockwell" w:eastAsiaTheme="minorHAnsi" w:hAnsi="Rockwell"/>
              </w:rPr>
            </w:pPr>
            <w:hyperlink r:id="rId182" w:history="1">
              <w:r w:rsidR="00F77BF8">
                <w:rPr>
                  <w:rStyle w:val="Lienhypertexte"/>
                  <w:rFonts w:ascii="Rockwell" w:eastAsiaTheme="minorHAnsi" w:hAnsi="Rockwell"/>
                </w:rPr>
                <w:t>www.fasosportnews.net</w:t>
              </w:r>
            </w:hyperlink>
            <w:r w:rsidR="00F77BF8">
              <w:rPr>
                <w:rFonts w:ascii="Rockwell" w:eastAsiaTheme="minorHAnsi" w:hAnsi="Rockwell"/>
              </w:rPr>
              <w:t xml:space="preserve"> </w:t>
            </w:r>
          </w:p>
        </w:tc>
      </w:tr>
      <w:tr w:rsidR="00284822" w14:paraId="1B6CFF83" w14:textId="77777777">
        <w:tc>
          <w:tcPr>
            <w:tcW w:w="851" w:type="dxa"/>
          </w:tcPr>
          <w:p w14:paraId="6155376E"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53</w:t>
            </w:r>
          </w:p>
        </w:tc>
        <w:tc>
          <w:tcPr>
            <w:tcW w:w="4678" w:type="dxa"/>
            <w:vAlign w:val="center"/>
          </w:tcPr>
          <w:p w14:paraId="1D3C5F6A"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Letalon</w:t>
            </w:r>
            <w:proofErr w:type="spellEnd"/>
          </w:p>
        </w:tc>
        <w:tc>
          <w:tcPr>
            <w:tcW w:w="4394" w:type="dxa"/>
            <w:vAlign w:val="center"/>
          </w:tcPr>
          <w:p w14:paraId="302520ED" w14:textId="77777777" w:rsidR="00284822" w:rsidRDefault="003148F1">
            <w:pPr>
              <w:autoSpaceDN/>
              <w:spacing w:before="120" w:after="120"/>
              <w:textAlignment w:val="auto"/>
              <w:rPr>
                <w:rFonts w:ascii="Rockwell" w:eastAsiaTheme="minorHAnsi" w:hAnsi="Rockwell"/>
              </w:rPr>
            </w:pPr>
            <w:hyperlink r:id="rId183" w:history="1">
              <w:r w:rsidR="00F77BF8">
                <w:rPr>
                  <w:rStyle w:val="Lienhypertexte"/>
                  <w:rFonts w:ascii="Rockwell" w:eastAsia="Calibri" w:hAnsi="Rockwell"/>
                </w:rPr>
                <w:t>www.letalon.net</w:t>
              </w:r>
            </w:hyperlink>
            <w:r w:rsidR="00F77BF8">
              <w:rPr>
                <w:rFonts w:ascii="Rockwell" w:eastAsia="Calibri" w:hAnsi="Rockwell"/>
              </w:rPr>
              <w:t xml:space="preserve"> </w:t>
            </w:r>
          </w:p>
        </w:tc>
      </w:tr>
      <w:tr w:rsidR="00284822" w14:paraId="1FACDA63" w14:textId="77777777">
        <w:tc>
          <w:tcPr>
            <w:tcW w:w="851" w:type="dxa"/>
          </w:tcPr>
          <w:p w14:paraId="3F930F25"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54</w:t>
            </w:r>
          </w:p>
        </w:tc>
        <w:tc>
          <w:tcPr>
            <w:tcW w:w="4678" w:type="dxa"/>
            <w:vAlign w:val="center"/>
          </w:tcPr>
          <w:p w14:paraId="07B8CE05" w14:textId="77777777" w:rsidR="00284822" w:rsidRDefault="00F77BF8">
            <w:pPr>
              <w:autoSpaceDN/>
              <w:spacing w:before="120" w:after="120"/>
              <w:textAlignment w:val="auto"/>
              <w:rPr>
                <w:rFonts w:ascii="Rockwell" w:eastAsiaTheme="minorHAnsi" w:hAnsi="Rockwell"/>
              </w:rPr>
            </w:pPr>
            <w:proofErr w:type="gramStart"/>
            <w:r>
              <w:rPr>
                <w:rFonts w:ascii="Rockwell" w:eastAsia="Calibri" w:hAnsi="Rockwell"/>
              </w:rPr>
              <w:t>libre</w:t>
            </w:r>
            <w:proofErr w:type="gramEnd"/>
            <w:r>
              <w:rPr>
                <w:rFonts w:ascii="Rockwell" w:eastAsia="Calibri" w:hAnsi="Rockwell"/>
              </w:rPr>
              <w:t xml:space="preserve"> info</w:t>
            </w:r>
          </w:p>
        </w:tc>
        <w:tc>
          <w:tcPr>
            <w:tcW w:w="4394" w:type="dxa"/>
            <w:vAlign w:val="center"/>
          </w:tcPr>
          <w:p w14:paraId="57C4458B" w14:textId="77777777" w:rsidR="00284822" w:rsidRDefault="003148F1">
            <w:pPr>
              <w:autoSpaceDN/>
              <w:spacing w:before="120" w:after="120"/>
              <w:textAlignment w:val="auto"/>
              <w:rPr>
                <w:rFonts w:ascii="Rockwell" w:eastAsiaTheme="minorHAnsi" w:hAnsi="Rockwell"/>
              </w:rPr>
            </w:pPr>
            <w:hyperlink r:id="rId184" w:history="1">
              <w:r w:rsidR="00F77BF8">
                <w:rPr>
                  <w:rStyle w:val="Lienhypertexte"/>
                  <w:rFonts w:ascii="Rockwell" w:eastAsia="Calibri" w:hAnsi="Rockwell"/>
                </w:rPr>
                <w:t>www.libreinfo.net</w:t>
              </w:r>
            </w:hyperlink>
            <w:r w:rsidR="00F77BF8">
              <w:rPr>
                <w:rFonts w:ascii="Rockwell" w:eastAsia="Calibri" w:hAnsi="Rockwell"/>
              </w:rPr>
              <w:t xml:space="preserve"> </w:t>
            </w:r>
          </w:p>
        </w:tc>
      </w:tr>
      <w:tr w:rsidR="00284822" w14:paraId="7BE7D21D" w14:textId="77777777">
        <w:tc>
          <w:tcPr>
            <w:tcW w:w="851" w:type="dxa"/>
          </w:tcPr>
          <w:p w14:paraId="4542C93A"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55</w:t>
            </w:r>
          </w:p>
        </w:tc>
        <w:tc>
          <w:tcPr>
            <w:tcW w:w="4678" w:type="dxa"/>
            <w:vAlign w:val="center"/>
          </w:tcPr>
          <w:p w14:paraId="2E2E97EE" w14:textId="77777777" w:rsidR="00284822" w:rsidRDefault="00F77BF8">
            <w:pPr>
              <w:autoSpaceDN/>
              <w:spacing w:before="120" w:after="120"/>
              <w:textAlignment w:val="auto"/>
              <w:rPr>
                <w:rFonts w:ascii="Rockwell" w:eastAsiaTheme="minorHAnsi" w:hAnsi="Rockwell"/>
              </w:rPr>
            </w:pPr>
            <w:r>
              <w:rPr>
                <w:rFonts w:ascii="Rockwell" w:eastAsia="Calibri" w:hAnsi="Rockwell"/>
              </w:rPr>
              <w:t>Sentinelle.bf</w:t>
            </w:r>
          </w:p>
        </w:tc>
        <w:tc>
          <w:tcPr>
            <w:tcW w:w="4394" w:type="dxa"/>
            <w:vAlign w:val="center"/>
          </w:tcPr>
          <w:p w14:paraId="4C87417A" w14:textId="77777777" w:rsidR="00284822" w:rsidRDefault="003148F1">
            <w:pPr>
              <w:autoSpaceDN/>
              <w:spacing w:before="120" w:after="120"/>
              <w:textAlignment w:val="auto"/>
              <w:rPr>
                <w:rFonts w:ascii="Rockwell" w:eastAsiaTheme="minorHAnsi" w:hAnsi="Rockwell"/>
              </w:rPr>
            </w:pPr>
            <w:hyperlink r:id="rId185" w:history="1">
              <w:r w:rsidR="00F77BF8">
                <w:rPr>
                  <w:rStyle w:val="Lienhypertexte"/>
                  <w:rFonts w:ascii="Rockwell" w:eastAsia="Calibri" w:hAnsi="Rockwell"/>
                </w:rPr>
                <w:t>www.sentinellebf.net</w:t>
              </w:r>
            </w:hyperlink>
            <w:r w:rsidR="00F77BF8">
              <w:rPr>
                <w:rFonts w:ascii="Rockwell" w:eastAsia="Calibri" w:hAnsi="Rockwell"/>
              </w:rPr>
              <w:t xml:space="preserve"> </w:t>
            </w:r>
          </w:p>
        </w:tc>
      </w:tr>
      <w:tr w:rsidR="00284822" w14:paraId="534C206B" w14:textId="77777777">
        <w:tc>
          <w:tcPr>
            <w:tcW w:w="851" w:type="dxa"/>
          </w:tcPr>
          <w:p w14:paraId="077498DA"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56</w:t>
            </w:r>
          </w:p>
        </w:tc>
        <w:tc>
          <w:tcPr>
            <w:tcW w:w="4678" w:type="dxa"/>
            <w:vAlign w:val="center"/>
          </w:tcPr>
          <w:p w14:paraId="1F188F7B" w14:textId="77777777" w:rsidR="00284822" w:rsidRDefault="00F77BF8">
            <w:pPr>
              <w:autoSpaceDN/>
              <w:spacing w:before="120" w:after="120"/>
              <w:textAlignment w:val="auto"/>
              <w:rPr>
                <w:rFonts w:ascii="Rockwell" w:eastAsiaTheme="minorHAnsi" w:hAnsi="Rockwell"/>
              </w:rPr>
            </w:pPr>
            <w:proofErr w:type="gramStart"/>
            <w:r>
              <w:rPr>
                <w:rFonts w:ascii="Rockwell" w:eastAsia="Calibri" w:hAnsi="Rockwell"/>
              </w:rPr>
              <w:t>star</w:t>
            </w:r>
            <w:proofErr w:type="gramEnd"/>
            <w:r>
              <w:rPr>
                <w:rFonts w:ascii="Rockwell" w:eastAsia="Calibri" w:hAnsi="Rockwell"/>
              </w:rPr>
              <w:t xml:space="preserve"> actu.net</w:t>
            </w:r>
          </w:p>
        </w:tc>
        <w:tc>
          <w:tcPr>
            <w:tcW w:w="4394" w:type="dxa"/>
            <w:vAlign w:val="bottom"/>
          </w:tcPr>
          <w:p w14:paraId="0C452293" w14:textId="77777777" w:rsidR="00284822" w:rsidRDefault="003148F1">
            <w:pPr>
              <w:autoSpaceDN/>
              <w:spacing w:before="120" w:after="120"/>
              <w:textAlignment w:val="auto"/>
              <w:rPr>
                <w:rFonts w:ascii="Rockwell" w:eastAsia="Calibri" w:hAnsi="Rockwell"/>
              </w:rPr>
            </w:pPr>
            <w:hyperlink r:id="rId186" w:history="1">
              <w:r w:rsidR="00F77BF8">
                <w:rPr>
                  <w:rStyle w:val="Lienhypertexte"/>
                  <w:rFonts w:ascii="Rockwell" w:eastAsia="Calibri" w:hAnsi="Rockwell"/>
                </w:rPr>
                <w:t>www.stars-actu.fr</w:t>
              </w:r>
            </w:hyperlink>
          </w:p>
        </w:tc>
      </w:tr>
      <w:tr w:rsidR="00284822" w14:paraId="5F397037" w14:textId="77777777">
        <w:tc>
          <w:tcPr>
            <w:tcW w:w="851" w:type="dxa"/>
          </w:tcPr>
          <w:p w14:paraId="2A84797F"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lastRenderedPageBreak/>
              <w:t>57</w:t>
            </w:r>
          </w:p>
        </w:tc>
        <w:tc>
          <w:tcPr>
            <w:tcW w:w="4678" w:type="dxa"/>
            <w:vAlign w:val="center"/>
          </w:tcPr>
          <w:p w14:paraId="3735C1B2"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Owo.mag</w:t>
            </w:r>
            <w:proofErr w:type="spellEnd"/>
          </w:p>
        </w:tc>
        <w:tc>
          <w:tcPr>
            <w:tcW w:w="4394" w:type="dxa"/>
            <w:vAlign w:val="bottom"/>
          </w:tcPr>
          <w:p w14:paraId="2454AB39" w14:textId="77777777" w:rsidR="00284822" w:rsidRDefault="003148F1">
            <w:pPr>
              <w:autoSpaceDN/>
              <w:spacing w:before="120" w:after="120"/>
              <w:textAlignment w:val="auto"/>
              <w:rPr>
                <w:rFonts w:ascii="Rockwell" w:eastAsia="Calibri" w:hAnsi="Rockwell"/>
              </w:rPr>
            </w:pPr>
            <w:hyperlink r:id="rId187" w:history="1">
              <w:r w:rsidR="00F77BF8">
                <w:rPr>
                  <w:rStyle w:val="Lienhypertexte"/>
                  <w:rFonts w:ascii="Rockwell" w:eastAsia="Calibri" w:hAnsi="Rockwell"/>
                </w:rPr>
                <w:t>www.owo.mag</w:t>
              </w:r>
            </w:hyperlink>
          </w:p>
        </w:tc>
      </w:tr>
      <w:tr w:rsidR="00284822" w14:paraId="2B9CFACC" w14:textId="77777777">
        <w:tc>
          <w:tcPr>
            <w:tcW w:w="851" w:type="dxa"/>
          </w:tcPr>
          <w:p w14:paraId="3992C4E6"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58</w:t>
            </w:r>
          </w:p>
        </w:tc>
        <w:tc>
          <w:tcPr>
            <w:tcW w:w="4678" w:type="dxa"/>
            <w:vAlign w:val="center"/>
          </w:tcPr>
          <w:p w14:paraId="4E987A01" w14:textId="77777777" w:rsidR="00284822" w:rsidRDefault="00F77BF8">
            <w:pPr>
              <w:autoSpaceDN/>
              <w:spacing w:before="120" w:after="120"/>
              <w:textAlignment w:val="auto"/>
              <w:rPr>
                <w:rFonts w:ascii="Rockwell" w:eastAsiaTheme="minorHAnsi" w:hAnsi="Rockwell"/>
              </w:rPr>
            </w:pPr>
            <w:r>
              <w:rPr>
                <w:rFonts w:ascii="Rockwell" w:eastAsia="Calibri" w:hAnsi="Rockwell"/>
              </w:rPr>
              <w:t>Top info plus</w:t>
            </w:r>
          </w:p>
        </w:tc>
        <w:tc>
          <w:tcPr>
            <w:tcW w:w="4394" w:type="dxa"/>
            <w:vAlign w:val="bottom"/>
          </w:tcPr>
          <w:p w14:paraId="4A8D5905" w14:textId="77777777" w:rsidR="00284822" w:rsidRDefault="003148F1">
            <w:pPr>
              <w:autoSpaceDN/>
              <w:spacing w:before="120" w:after="120"/>
              <w:textAlignment w:val="auto"/>
              <w:rPr>
                <w:rFonts w:ascii="Rockwell" w:eastAsia="Calibri" w:hAnsi="Rockwell"/>
              </w:rPr>
            </w:pPr>
            <w:hyperlink r:id="rId188" w:history="1">
              <w:r w:rsidR="00F77BF8">
                <w:rPr>
                  <w:rStyle w:val="Lienhypertexte"/>
                  <w:rFonts w:ascii="Rockwell" w:eastAsia="Calibri" w:hAnsi="Rockwell"/>
                </w:rPr>
                <w:t>www.topinfoplus.com</w:t>
              </w:r>
            </w:hyperlink>
          </w:p>
        </w:tc>
      </w:tr>
      <w:tr w:rsidR="00284822" w14:paraId="7A4107A1" w14:textId="77777777">
        <w:tc>
          <w:tcPr>
            <w:tcW w:w="851" w:type="dxa"/>
          </w:tcPr>
          <w:p w14:paraId="404E1FC1"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59</w:t>
            </w:r>
          </w:p>
        </w:tc>
        <w:tc>
          <w:tcPr>
            <w:tcW w:w="4678" w:type="dxa"/>
            <w:vAlign w:val="center"/>
          </w:tcPr>
          <w:p w14:paraId="1024F912"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Proximié.Info</w:t>
            </w:r>
            <w:proofErr w:type="spellEnd"/>
          </w:p>
        </w:tc>
        <w:tc>
          <w:tcPr>
            <w:tcW w:w="4394" w:type="dxa"/>
            <w:vAlign w:val="bottom"/>
          </w:tcPr>
          <w:p w14:paraId="7573E5BA" w14:textId="77777777" w:rsidR="00284822" w:rsidRDefault="003148F1">
            <w:pPr>
              <w:autoSpaceDN/>
              <w:spacing w:before="120" w:after="120"/>
              <w:textAlignment w:val="auto"/>
              <w:rPr>
                <w:rFonts w:ascii="Rockwell" w:eastAsia="Calibri" w:hAnsi="Rockwell"/>
              </w:rPr>
            </w:pPr>
            <w:hyperlink r:id="rId189" w:history="1">
              <w:r w:rsidR="00F77BF8">
                <w:rPr>
                  <w:rStyle w:val="Lienhypertexte"/>
                  <w:rFonts w:ascii="Rockwell" w:eastAsia="Calibri" w:hAnsi="Rockwell"/>
                </w:rPr>
                <w:t>www.proximiteinfo.com</w:t>
              </w:r>
            </w:hyperlink>
          </w:p>
        </w:tc>
      </w:tr>
      <w:tr w:rsidR="00284822" w14:paraId="71DEC16B" w14:textId="77777777">
        <w:tc>
          <w:tcPr>
            <w:tcW w:w="851" w:type="dxa"/>
          </w:tcPr>
          <w:p w14:paraId="2BCE9D75"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60</w:t>
            </w:r>
          </w:p>
        </w:tc>
        <w:tc>
          <w:tcPr>
            <w:tcW w:w="4678" w:type="dxa"/>
            <w:vAlign w:val="center"/>
          </w:tcPr>
          <w:p w14:paraId="307B4F9F" w14:textId="77777777" w:rsidR="00284822" w:rsidRDefault="00F77BF8">
            <w:pPr>
              <w:autoSpaceDN/>
              <w:spacing w:before="120" w:after="120"/>
              <w:textAlignment w:val="auto"/>
              <w:rPr>
                <w:rFonts w:ascii="Rockwell" w:eastAsiaTheme="minorHAnsi" w:hAnsi="Rockwell"/>
              </w:rPr>
            </w:pPr>
            <w:r>
              <w:rPr>
                <w:rFonts w:ascii="Rockwell" w:eastAsia="Calibri" w:hAnsi="Rockwell"/>
              </w:rPr>
              <w:t>bafujiinfos.com</w:t>
            </w:r>
          </w:p>
        </w:tc>
        <w:tc>
          <w:tcPr>
            <w:tcW w:w="4394" w:type="dxa"/>
            <w:vAlign w:val="bottom"/>
          </w:tcPr>
          <w:p w14:paraId="05AA507F" w14:textId="77777777" w:rsidR="00284822" w:rsidRDefault="003148F1">
            <w:pPr>
              <w:autoSpaceDN/>
              <w:spacing w:before="120" w:after="120"/>
              <w:textAlignment w:val="auto"/>
              <w:rPr>
                <w:rFonts w:ascii="Rockwell" w:eastAsia="Calibri" w:hAnsi="Rockwell"/>
              </w:rPr>
            </w:pPr>
            <w:hyperlink r:id="rId190" w:history="1">
              <w:r w:rsidR="00F77BF8">
                <w:rPr>
                  <w:rStyle w:val="Lienhypertexte"/>
                  <w:rFonts w:ascii="Rockwell" w:eastAsia="Calibri" w:hAnsi="Rockwell"/>
                </w:rPr>
                <w:t>www.bafujiinfos.com</w:t>
              </w:r>
            </w:hyperlink>
          </w:p>
        </w:tc>
      </w:tr>
      <w:tr w:rsidR="00284822" w14:paraId="0C5F1E7A" w14:textId="77777777">
        <w:tc>
          <w:tcPr>
            <w:tcW w:w="851" w:type="dxa"/>
          </w:tcPr>
          <w:p w14:paraId="09AF294D"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61</w:t>
            </w:r>
          </w:p>
        </w:tc>
        <w:tc>
          <w:tcPr>
            <w:tcW w:w="4678" w:type="dxa"/>
            <w:vAlign w:val="center"/>
          </w:tcPr>
          <w:p w14:paraId="1FD0132A" w14:textId="77777777" w:rsidR="00284822" w:rsidRDefault="00F77BF8">
            <w:pPr>
              <w:autoSpaceDN/>
              <w:spacing w:before="120" w:after="120"/>
              <w:textAlignment w:val="auto"/>
              <w:rPr>
                <w:rFonts w:ascii="Rockwell" w:eastAsiaTheme="minorHAnsi" w:hAnsi="Rockwell"/>
              </w:rPr>
            </w:pPr>
            <w:r>
              <w:rPr>
                <w:rFonts w:ascii="Rockwell" w:eastAsia="Calibri" w:hAnsi="Rockwell"/>
              </w:rPr>
              <w:t>Faso environnement.com</w:t>
            </w:r>
          </w:p>
        </w:tc>
        <w:tc>
          <w:tcPr>
            <w:tcW w:w="4394" w:type="dxa"/>
            <w:vAlign w:val="bottom"/>
          </w:tcPr>
          <w:p w14:paraId="0C7C01D6" w14:textId="77777777" w:rsidR="00284822" w:rsidRDefault="003148F1">
            <w:pPr>
              <w:autoSpaceDN/>
              <w:spacing w:before="120" w:after="120"/>
              <w:textAlignment w:val="auto"/>
              <w:rPr>
                <w:rFonts w:ascii="Rockwell" w:eastAsia="Calibri" w:hAnsi="Rockwell"/>
              </w:rPr>
            </w:pPr>
            <w:hyperlink r:id="rId191" w:history="1">
              <w:r w:rsidR="00F77BF8">
                <w:rPr>
                  <w:rStyle w:val="Lienhypertexte"/>
                  <w:rFonts w:ascii="Rockwell" w:eastAsia="Calibri" w:hAnsi="Rockwell"/>
                </w:rPr>
                <w:t>www.fasoenvironnement.com</w:t>
              </w:r>
            </w:hyperlink>
          </w:p>
        </w:tc>
      </w:tr>
      <w:tr w:rsidR="00284822" w14:paraId="5859B5F7" w14:textId="77777777">
        <w:tc>
          <w:tcPr>
            <w:tcW w:w="851" w:type="dxa"/>
          </w:tcPr>
          <w:p w14:paraId="3820D67C"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62</w:t>
            </w:r>
          </w:p>
        </w:tc>
        <w:tc>
          <w:tcPr>
            <w:tcW w:w="4678" w:type="dxa"/>
            <w:vAlign w:val="center"/>
          </w:tcPr>
          <w:p w14:paraId="5ED1144F" w14:textId="77777777" w:rsidR="00284822" w:rsidRDefault="00F77BF8">
            <w:pPr>
              <w:autoSpaceDN/>
              <w:spacing w:before="120" w:after="120"/>
              <w:textAlignment w:val="auto"/>
              <w:rPr>
                <w:rFonts w:ascii="Rockwell" w:eastAsiaTheme="minorHAnsi" w:hAnsi="Rockwell"/>
              </w:rPr>
            </w:pPr>
            <w:r>
              <w:rPr>
                <w:rFonts w:ascii="Rockwell" w:eastAsia="Calibri" w:hAnsi="Rockwell"/>
              </w:rPr>
              <w:t>islam.bf</w:t>
            </w:r>
          </w:p>
        </w:tc>
        <w:tc>
          <w:tcPr>
            <w:tcW w:w="4394" w:type="dxa"/>
            <w:vAlign w:val="bottom"/>
          </w:tcPr>
          <w:p w14:paraId="1604FC8F" w14:textId="77777777" w:rsidR="00284822" w:rsidRDefault="003148F1">
            <w:pPr>
              <w:autoSpaceDN/>
              <w:spacing w:before="120" w:after="120"/>
              <w:textAlignment w:val="auto"/>
              <w:rPr>
                <w:rFonts w:ascii="Rockwell" w:eastAsia="Calibri" w:hAnsi="Rockwell"/>
              </w:rPr>
            </w:pPr>
            <w:hyperlink r:id="rId192" w:history="1">
              <w:r w:rsidR="00F77BF8">
                <w:rPr>
                  <w:rStyle w:val="Lienhypertexte"/>
                  <w:rFonts w:ascii="Rockwell" w:eastAsia="Calibri" w:hAnsi="Rockwell"/>
                </w:rPr>
                <w:t>www.islam.bf.com</w:t>
              </w:r>
            </w:hyperlink>
            <w:r w:rsidR="00F77BF8">
              <w:rPr>
                <w:rFonts w:ascii="Rockwell" w:eastAsia="Calibri" w:hAnsi="Rockwell"/>
              </w:rPr>
              <w:t xml:space="preserve"> </w:t>
            </w:r>
          </w:p>
        </w:tc>
      </w:tr>
      <w:tr w:rsidR="00284822" w14:paraId="6611A7C0" w14:textId="77777777">
        <w:tc>
          <w:tcPr>
            <w:tcW w:w="851" w:type="dxa"/>
          </w:tcPr>
          <w:p w14:paraId="04A6B188"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63</w:t>
            </w:r>
          </w:p>
        </w:tc>
        <w:tc>
          <w:tcPr>
            <w:tcW w:w="4678" w:type="dxa"/>
            <w:vAlign w:val="center"/>
          </w:tcPr>
          <w:p w14:paraId="09F557FF" w14:textId="77777777" w:rsidR="00284822" w:rsidRDefault="00F77BF8">
            <w:pPr>
              <w:autoSpaceDN/>
              <w:spacing w:before="120" w:after="120"/>
              <w:textAlignment w:val="auto"/>
              <w:rPr>
                <w:rFonts w:ascii="Rockwell" w:eastAsiaTheme="minorHAnsi" w:hAnsi="Rockwell"/>
              </w:rPr>
            </w:pPr>
            <w:r>
              <w:rPr>
                <w:rFonts w:ascii="Rockwell" w:eastAsia="Calibri" w:hAnsi="Rockwell"/>
              </w:rPr>
              <w:t>integreburkina.net</w:t>
            </w:r>
          </w:p>
        </w:tc>
        <w:tc>
          <w:tcPr>
            <w:tcW w:w="4394" w:type="dxa"/>
            <w:vAlign w:val="bottom"/>
          </w:tcPr>
          <w:p w14:paraId="243D7DD9" w14:textId="77777777" w:rsidR="00284822" w:rsidRDefault="003148F1">
            <w:pPr>
              <w:autoSpaceDN/>
              <w:spacing w:before="120" w:after="120"/>
              <w:textAlignment w:val="auto"/>
              <w:rPr>
                <w:rFonts w:ascii="Rockwell" w:eastAsia="Calibri" w:hAnsi="Rockwell"/>
              </w:rPr>
            </w:pPr>
            <w:hyperlink r:id="rId193" w:history="1">
              <w:r w:rsidR="00F77BF8">
                <w:rPr>
                  <w:rStyle w:val="Lienhypertexte"/>
                  <w:rFonts w:ascii="Rockwell" w:eastAsia="Calibri" w:hAnsi="Rockwell"/>
                </w:rPr>
                <w:t>www.integreburkina.net</w:t>
              </w:r>
            </w:hyperlink>
          </w:p>
        </w:tc>
      </w:tr>
      <w:tr w:rsidR="00284822" w14:paraId="00082315" w14:textId="77777777">
        <w:tc>
          <w:tcPr>
            <w:tcW w:w="851" w:type="dxa"/>
          </w:tcPr>
          <w:p w14:paraId="4E5D5A40"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64</w:t>
            </w:r>
          </w:p>
        </w:tc>
        <w:tc>
          <w:tcPr>
            <w:tcW w:w="4678" w:type="dxa"/>
            <w:vAlign w:val="center"/>
          </w:tcPr>
          <w:p w14:paraId="6E5C197F"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Gulmuinfo</w:t>
            </w:r>
            <w:proofErr w:type="spellEnd"/>
          </w:p>
        </w:tc>
        <w:tc>
          <w:tcPr>
            <w:tcW w:w="4394" w:type="dxa"/>
            <w:vAlign w:val="bottom"/>
          </w:tcPr>
          <w:p w14:paraId="5E4B0B94" w14:textId="77777777" w:rsidR="00284822" w:rsidRDefault="003148F1">
            <w:pPr>
              <w:autoSpaceDN/>
              <w:spacing w:before="120" w:after="120"/>
              <w:textAlignment w:val="auto"/>
              <w:rPr>
                <w:rFonts w:ascii="Rockwell" w:eastAsia="Calibri" w:hAnsi="Rockwell"/>
              </w:rPr>
            </w:pPr>
            <w:hyperlink r:id="rId194" w:history="1">
              <w:r w:rsidR="00F77BF8">
                <w:rPr>
                  <w:rStyle w:val="Lienhypertexte"/>
                  <w:rFonts w:ascii="Rockwell" w:eastAsia="Calibri" w:hAnsi="Rockwell"/>
                </w:rPr>
                <w:t>www.gulmuinfo</w:t>
              </w:r>
            </w:hyperlink>
          </w:p>
        </w:tc>
      </w:tr>
      <w:tr w:rsidR="00284822" w14:paraId="6334E912" w14:textId="77777777">
        <w:tc>
          <w:tcPr>
            <w:tcW w:w="851" w:type="dxa"/>
          </w:tcPr>
          <w:p w14:paraId="533688D6"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65</w:t>
            </w:r>
          </w:p>
        </w:tc>
        <w:tc>
          <w:tcPr>
            <w:tcW w:w="4678" w:type="dxa"/>
            <w:vAlign w:val="center"/>
          </w:tcPr>
          <w:p w14:paraId="6E2C5A06" w14:textId="77777777" w:rsidR="00284822" w:rsidRDefault="00F77BF8">
            <w:pPr>
              <w:autoSpaceDN/>
              <w:spacing w:before="120" w:after="120"/>
              <w:textAlignment w:val="auto"/>
              <w:rPr>
                <w:rFonts w:ascii="Rockwell" w:eastAsiaTheme="minorHAnsi" w:hAnsi="Rockwell"/>
              </w:rPr>
            </w:pPr>
            <w:r>
              <w:rPr>
                <w:rFonts w:ascii="Rockwell" w:eastAsia="Calibri" w:hAnsi="Rockwell"/>
              </w:rPr>
              <w:t>hairidada.com</w:t>
            </w:r>
          </w:p>
        </w:tc>
        <w:tc>
          <w:tcPr>
            <w:tcW w:w="4394" w:type="dxa"/>
            <w:vAlign w:val="bottom"/>
          </w:tcPr>
          <w:p w14:paraId="36868F51" w14:textId="77777777" w:rsidR="00284822" w:rsidRDefault="003148F1">
            <w:pPr>
              <w:autoSpaceDN/>
              <w:spacing w:before="120" w:after="120"/>
              <w:textAlignment w:val="auto"/>
              <w:rPr>
                <w:rFonts w:ascii="Rockwell" w:eastAsia="Calibri" w:hAnsi="Rockwell"/>
              </w:rPr>
            </w:pPr>
            <w:hyperlink r:id="rId195" w:history="1">
              <w:r w:rsidR="00F77BF8">
                <w:rPr>
                  <w:rStyle w:val="Lienhypertexte"/>
                  <w:rFonts w:ascii="Rockwell" w:eastAsia="Calibri" w:hAnsi="Rockwell"/>
                </w:rPr>
                <w:t>www.hairidada.com</w:t>
              </w:r>
            </w:hyperlink>
          </w:p>
        </w:tc>
      </w:tr>
      <w:tr w:rsidR="00284822" w14:paraId="7969EEA8" w14:textId="77777777">
        <w:tc>
          <w:tcPr>
            <w:tcW w:w="851" w:type="dxa"/>
          </w:tcPr>
          <w:p w14:paraId="7FDE3EC9"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66</w:t>
            </w:r>
          </w:p>
        </w:tc>
        <w:tc>
          <w:tcPr>
            <w:tcW w:w="4678" w:type="dxa"/>
            <w:vAlign w:val="center"/>
          </w:tcPr>
          <w:p w14:paraId="0C1BB0C4" w14:textId="77777777" w:rsidR="00284822" w:rsidRDefault="00F77BF8">
            <w:pPr>
              <w:autoSpaceDN/>
              <w:spacing w:before="120" w:after="120"/>
              <w:textAlignment w:val="auto"/>
              <w:rPr>
                <w:rFonts w:ascii="Rockwell" w:eastAsiaTheme="minorHAnsi" w:hAnsi="Rockwell"/>
              </w:rPr>
            </w:pPr>
            <w:r>
              <w:rPr>
                <w:rFonts w:ascii="Rockwell" w:eastAsia="Calibri" w:hAnsi="Rockwell"/>
              </w:rPr>
              <w:t>Educbf.net</w:t>
            </w:r>
          </w:p>
        </w:tc>
        <w:tc>
          <w:tcPr>
            <w:tcW w:w="4394" w:type="dxa"/>
            <w:vAlign w:val="bottom"/>
          </w:tcPr>
          <w:p w14:paraId="1D58F98A" w14:textId="77777777" w:rsidR="00284822" w:rsidRDefault="003148F1">
            <w:pPr>
              <w:autoSpaceDN/>
              <w:spacing w:before="120" w:after="120"/>
              <w:textAlignment w:val="auto"/>
              <w:rPr>
                <w:rFonts w:ascii="Rockwell" w:eastAsia="Calibri" w:hAnsi="Rockwell"/>
              </w:rPr>
            </w:pPr>
            <w:hyperlink r:id="rId196" w:history="1">
              <w:r w:rsidR="00F77BF8">
                <w:rPr>
                  <w:rStyle w:val="Lienhypertexte"/>
                  <w:rFonts w:ascii="Rockwell" w:eastAsia="Calibri" w:hAnsi="Rockwell"/>
                </w:rPr>
                <w:t>www.educbf.net</w:t>
              </w:r>
            </w:hyperlink>
          </w:p>
        </w:tc>
      </w:tr>
      <w:tr w:rsidR="00284822" w14:paraId="548C9F44" w14:textId="77777777">
        <w:tc>
          <w:tcPr>
            <w:tcW w:w="851" w:type="dxa"/>
          </w:tcPr>
          <w:p w14:paraId="6FF5A6D4"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67</w:t>
            </w:r>
          </w:p>
        </w:tc>
        <w:tc>
          <w:tcPr>
            <w:tcW w:w="4678" w:type="dxa"/>
            <w:vAlign w:val="center"/>
          </w:tcPr>
          <w:p w14:paraId="3E0E0056" w14:textId="77777777" w:rsidR="00284822" w:rsidRDefault="00F77BF8">
            <w:pPr>
              <w:autoSpaceDN/>
              <w:spacing w:before="120" w:after="120"/>
              <w:textAlignment w:val="auto"/>
              <w:rPr>
                <w:rFonts w:ascii="Rockwell" w:eastAsiaTheme="minorHAnsi" w:hAnsi="Rockwell"/>
              </w:rPr>
            </w:pPr>
            <w:r>
              <w:rPr>
                <w:rFonts w:ascii="Rockwell" w:eastAsia="Calibri" w:hAnsi="Rockwell"/>
              </w:rPr>
              <w:t>Dikouafrica.com</w:t>
            </w:r>
          </w:p>
        </w:tc>
        <w:tc>
          <w:tcPr>
            <w:tcW w:w="4394" w:type="dxa"/>
            <w:vAlign w:val="bottom"/>
          </w:tcPr>
          <w:p w14:paraId="3A2FBDAE" w14:textId="77777777" w:rsidR="00284822" w:rsidRDefault="003148F1">
            <w:pPr>
              <w:autoSpaceDN/>
              <w:spacing w:before="120" w:after="120"/>
              <w:textAlignment w:val="auto"/>
              <w:rPr>
                <w:rFonts w:ascii="Rockwell" w:eastAsia="Calibri" w:hAnsi="Rockwell"/>
              </w:rPr>
            </w:pPr>
            <w:hyperlink r:id="rId197" w:history="1">
              <w:r w:rsidR="00F77BF8">
                <w:rPr>
                  <w:rStyle w:val="Lienhypertexte"/>
                  <w:rFonts w:ascii="Rockwell" w:eastAsia="Calibri" w:hAnsi="Rockwell"/>
                </w:rPr>
                <w:t>www.dikouafrica.com</w:t>
              </w:r>
            </w:hyperlink>
          </w:p>
        </w:tc>
      </w:tr>
      <w:tr w:rsidR="00284822" w14:paraId="66E184B2" w14:textId="77777777">
        <w:tc>
          <w:tcPr>
            <w:tcW w:w="851" w:type="dxa"/>
          </w:tcPr>
          <w:p w14:paraId="31C6D27D"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68</w:t>
            </w:r>
          </w:p>
        </w:tc>
        <w:tc>
          <w:tcPr>
            <w:tcW w:w="4678" w:type="dxa"/>
            <w:vAlign w:val="center"/>
          </w:tcPr>
          <w:p w14:paraId="3385D6A2" w14:textId="77777777" w:rsidR="00284822" w:rsidRDefault="00F77BF8">
            <w:pPr>
              <w:autoSpaceDN/>
              <w:spacing w:before="120" w:after="120"/>
              <w:textAlignment w:val="auto"/>
              <w:rPr>
                <w:rFonts w:ascii="Rockwell" w:eastAsiaTheme="minorHAnsi" w:hAnsi="Rockwell"/>
              </w:rPr>
            </w:pPr>
            <w:r>
              <w:rPr>
                <w:rFonts w:ascii="Rockwell" w:eastAsia="Calibri" w:hAnsi="Rockwell"/>
              </w:rPr>
              <w:t>Le Canarddufaso.net</w:t>
            </w:r>
          </w:p>
        </w:tc>
        <w:tc>
          <w:tcPr>
            <w:tcW w:w="4394" w:type="dxa"/>
            <w:vAlign w:val="bottom"/>
          </w:tcPr>
          <w:p w14:paraId="3087DACC" w14:textId="77777777" w:rsidR="00284822" w:rsidRDefault="003148F1">
            <w:pPr>
              <w:autoSpaceDN/>
              <w:spacing w:before="120" w:after="120"/>
              <w:textAlignment w:val="auto"/>
              <w:rPr>
                <w:rFonts w:ascii="Rockwell" w:eastAsia="Calibri" w:hAnsi="Rockwell"/>
              </w:rPr>
            </w:pPr>
            <w:hyperlink r:id="rId198" w:history="1">
              <w:r w:rsidR="00F77BF8">
                <w:rPr>
                  <w:rStyle w:val="Lienhypertexte"/>
                  <w:rFonts w:ascii="Rockwell" w:eastAsia="Calibri" w:hAnsi="Rockwell"/>
                </w:rPr>
                <w:t>www.lecanarddufaso.net</w:t>
              </w:r>
            </w:hyperlink>
          </w:p>
        </w:tc>
      </w:tr>
      <w:tr w:rsidR="00284822" w14:paraId="2B3783BC" w14:textId="77777777">
        <w:tc>
          <w:tcPr>
            <w:tcW w:w="851" w:type="dxa"/>
          </w:tcPr>
          <w:p w14:paraId="74AC9087"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69</w:t>
            </w:r>
          </w:p>
        </w:tc>
        <w:tc>
          <w:tcPr>
            <w:tcW w:w="4678" w:type="dxa"/>
            <w:vAlign w:val="center"/>
          </w:tcPr>
          <w:p w14:paraId="1B319284" w14:textId="77777777" w:rsidR="00284822" w:rsidRDefault="00F77BF8">
            <w:pPr>
              <w:autoSpaceDN/>
              <w:spacing w:before="120" w:after="120"/>
              <w:textAlignment w:val="auto"/>
              <w:rPr>
                <w:rFonts w:ascii="Rockwell" w:eastAsiaTheme="minorHAnsi" w:hAnsi="Rockwell"/>
              </w:rPr>
            </w:pPr>
            <w:r>
              <w:rPr>
                <w:rFonts w:ascii="Rockwell" w:eastAsia="Calibri" w:hAnsi="Rockwell"/>
              </w:rPr>
              <w:t>Notre avenir</w:t>
            </w:r>
          </w:p>
        </w:tc>
        <w:tc>
          <w:tcPr>
            <w:tcW w:w="4394" w:type="dxa"/>
            <w:vAlign w:val="bottom"/>
          </w:tcPr>
          <w:p w14:paraId="57CE9503" w14:textId="77777777" w:rsidR="00284822" w:rsidRDefault="003148F1">
            <w:pPr>
              <w:autoSpaceDN/>
              <w:spacing w:before="120" w:after="120"/>
              <w:textAlignment w:val="auto"/>
              <w:rPr>
                <w:rFonts w:ascii="Rockwell" w:eastAsiaTheme="minorHAnsi" w:hAnsi="Rockwell"/>
              </w:rPr>
            </w:pPr>
            <w:hyperlink r:id="rId199" w:history="1">
              <w:r w:rsidR="00F77BF8">
                <w:rPr>
                  <w:rStyle w:val="Lienhypertexte"/>
                  <w:rFonts w:ascii="Rockwell" w:eastAsiaTheme="minorHAnsi" w:hAnsi="Rockwell"/>
                </w:rPr>
                <w:t>www.notreavenir.com</w:t>
              </w:r>
            </w:hyperlink>
            <w:r w:rsidR="00F77BF8">
              <w:rPr>
                <w:rFonts w:ascii="Rockwell" w:eastAsiaTheme="minorHAnsi" w:hAnsi="Rockwell"/>
              </w:rPr>
              <w:t xml:space="preserve"> </w:t>
            </w:r>
          </w:p>
        </w:tc>
      </w:tr>
      <w:tr w:rsidR="00284822" w14:paraId="4364A061" w14:textId="77777777">
        <w:tc>
          <w:tcPr>
            <w:tcW w:w="851" w:type="dxa"/>
          </w:tcPr>
          <w:p w14:paraId="0BC58F81"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70</w:t>
            </w:r>
          </w:p>
        </w:tc>
        <w:tc>
          <w:tcPr>
            <w:tcW w:w="4678" w:type="dxa"/>
            <w:vAlign w:val="center"/>
          </w:tcPr>
          <w:p w14:paraId="351EF0ED" w14:textId="77777777" w:rsidR="00284822" w:rsidRDefault="00F77BF8">
            <w:pPr>
              <w:autoSpaceDN/>
              <w:spacing w:before="120" w:after="120"/>
              <w:textAlignment w:val="auto"/>
              <w:rPr>
                <w:rFonts w:ascii="Rockwell" w:eastAsiaTheme="minorHAnsi" w:hAnsi="Rockwell"/>
              </w:rPr>
            </w:pPr>
            <w:r>
              <w:rPr>
                <w:rFonts w:ascii="Rockwell" w:eastAsia="Calibri" w:hAnsi="Rockwell"/>
              </w:rPr>
              <w:t>Droit info</w:t>
            </w:r>
          </w:p>
        </w:tc>
        <w:tc>
          <w:tcPr>
            <w:tcW w:w="4394" w:type="dxa"/>
            <w:vAlign w:val="bottom"/>
          </w:tcPr>
          <w:p w14:paraId="7F0D7C40" w14:textId="77777777" w:rsidR="00284822" w:rsidRDefault="003148F1">
            <w:pPr>
              <w:autoSpaceDN/>
              <w:spacing w:before="120" w:after="120"/>
              <w:textAlignment w:val="auto"/>
              <w:rPr>
                <w:rFonts w:ascii="Rockwell" w:eastAsia="Calibri" w:hAnsi="Rockwell"/>
              </w:rPr>
            </w:pPr>
            <w:hyperlink r:id="rId200" w:history="1">
              <w:r w:rsidR="00F77BF8">
                <w:rPr>
                  <w:rStyle w:val="Lienhypertexte"/>
                  <w:rFonts w:ascii="Rockwell" w:eastAsia="Calibri" w:hAnsi="Rockwell"/>
                </w:rPr>
                <w:t>www.droitinfo.bf</w:t>
              </w:r>
            </w:hyperlink>
          </w:p>
        </w:tc>
      </w:tr>
      <w:tr w:rsidR="00284822" w14:paraId="22978EAE" w14:textId="77777777">
        <w:tc>
          <w:tcPr>
            <w:tcW w:w="851" w:type="dxa"/>
          </w:tcPr>
          <w:p w14:paraId="06699045"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71</w:t>
            </w:r>
          </w:p>
        </w:tc>
        <w:tc>
          <w:tcPr>
            <w:tcW w:w="4678" w:type="dxa"/>
            <w:vAlign w:val="center"/>
          </w:tcPr>
          <w:p w14:paraId="1AD0512E" w14:textId="77777777" w:rsidR="00284822" w:rsidRDefault="00F77BF8">
            <w:pPr>
              <w:autoSpaceDN/>
              <w:spacing w:before="120" w:after="120"/>
              <w:textAlignment w:val="auto"/>
              <w:rPr>
                <w:rFonts w:ascii="Rockwell" w:eastAsiaTheme="minorHAnsi" w:hAnsi="Rockwell"/>
              </w:rPr>
            </w:pPr>
            <w:r>
              <w:rPr>
                <w:rFonts w:ascii="Rockwell" w:eastAsia="Calibri" w:hAnsi="Rockwell"/>
              </w:rPr>
              <w:t>Géo-Canal-info</w:t>
            </w:r>
          </w:p>
        </w:tc>
        <w:tc>
          <w:tcPr>
            <w:tcW w:w="4394" w:type="dxa"/>
            <w:vAlign w:val="bottom"/>
          </w:tcPr>
          <w:p w14:paraId="44C70855" w14:textId="77777777" w:rsidR="00284822" w:rsidRDefault="003148F1">
            <w:pPr>
              <w:autoSpaceDN/>
              <w:spacing w:before="120" w:after="120"/>
              <w:textAlignment w:val="auto"/>
              <w:rPr>
                <w:rFonts w:ascii="Rockwell" w:eastAsia="Calibri" w:hAnsi="Rockwell"/>
              </w:rPr>
            </w:pPr>
            <w:hyperlink r:id="rId201" w:history="1">
              <w:r w:rsidR="00F77BF8">
                <w:rPr>
                  <w:rStyle w:val="Lienhypertexte"/>
                  <w:rFonts w:ascii="Rockwell" w:eastAsia="Calibri" w:hAnsi="Rockwell"/>
                </w:rPr>
                <w:t>www.geo-canal-info</w:t>
              </w:r>
            </w:hyperlink>
          </w:p>
        </w:tc>
      </w:tr>
      <w:tr w:rsidR="00284822" w14:paraId="48D1FC83" w14:textId="77777777">
        <w:tc>
          <w:tcPr>
            <w:tcW w:w="851" w:type="dxa"/>
          </w:tcPr>
          <w:p w14:paraId="2B496EF9"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72</w:t>
            </w:r>
          </w:p>
        </w:tc>
        <w:tc>
          <w:tcPr>
            <w:tcW w:w="4678" w:type="dxa"/>
            <w:vAlign w:val="center"/>
          </w:tcPr>
          <w:p w14:paraId="3B32FE0E" w14:textId="77777777" w:rsidR="00284822" w:rsidRDefault="00F77BF8">
            <w:pPr>
              <w:autoSpaceDN/>
              <w:spacing w:before="120" w:after="120"/>
              <w:textAlignment w:val="auto"/>
              <w:rPr>
                <w:rFonts w:ascii="Rockwell" w:eastAsiaTheme="minorHAnsi" w:hAnsi="Rockwell"/>
              </w:rPr>
            </w:pPr>
            <w:r>
              <w:rPr>
                <w:rFonts w:ascii="Rockwell" w:eastAsia="Calibri" w:hAnsi="Rockwell"/>
              </w:rPr>
              <w:t>raamde-bf.com</w:t>
            </w:r>
          </w:p>
        </w:tc>
        <w:tc>
          <w:tcPr>
            <w:tcW w:w="4394" w:type="dxa"/>
            <w:vAlign w:val="bottom"/>
          </w:tcPr>
          <w:p w14:paraId="2E493062" w14:textId="77777777" w:rsidR="00284822" w:rsidRDefault="003148F1">
            <w:pPr>
              <w:autoSpaceDN/>
              <w:spacing w:before="120" w:after="120"/>
              <w:textAlignment w:val="auto"/>
              <w:rPr>
                <w:rFonts w:ascii="Rockwell" w:eastAsia="Calibri" w:hAnsi="Rockwell"/>
              </w:rPr>
            </w:pPr>
            <w:hyperlink r:id="rId202" w:history="1">
              <w:r w:rsidR="00F77BF8">
                <w:rPr>
                  <w:rStyle w:val="Lienhypertexte"/>
                  <w:rFonts w:ascii="Rockwell" w:eastAsia="Calibri" w:hAnsi="Rockwell"/>
                </w:rPr>
                <w:t>www.raamde-bf.com</w:t>
              </w:r>
            </w:hyperlink>
          </w:p>
        </w:tc>
      </w:tr>
      <w:tr w:rsidR="00284822" w14:paraId="1D7FE916" w14:textId="77777777">
        <w:tc>
          <w:tcPr>
            <w:tcW w:w="851" w:type="dxa"/>
          </w:tcPr>
          <w:p w14:paraId="3AD1106C"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73</w:t>
            </w:r>
          </w:p>
        </w:tc>
        <w:tc>
          <w:tcPr>
            <w:tcW w:w="4678" w:type="dxa"/>
            <w:vAlign w:val="center"/>
          </w:tcPr>
          <w:p w14:paraId="016FC91E" w14:textId="77777777" w:rsidR="00284822" w:rsidRDefault="00F77BF8">
            <w:pPr>
              <w:autoSpaceDN/>
              <w:spacing w:before="120" w:after="120"/>
              <w:textAlignment w:val="auto"/>
              <w:rPr>
                <w:rFonts w:ascii="Rockwell" w:eastAsiaTheme="minorHAnsi" w:hAnsi="Rockwell"/>
              </w:rPr>
            </w:pPr>
            <w:r>
              <w:rPr>
                <w:rFonts w:ascii="Rockwell" w:eastAsia="Calibri" w:hAnsi="Rockwell"/>
              </w:rPr>
              <w:t xml:space="preserve">Burkina   </w:t>
            </w:r>
            <w:proofErr w:type="spellStart"/>
            <w:r>
              <w:rPr>
                <w:rFonts w:ascii="Rockwell" w:eastAsia="Calibri" w:hAnsi="Rockwell"/>
              </w:rPr>
              <w:t>kibaria</w:t>
            </w:r>
            <w:proofErr w:type="spellEnd"/>
          </w:p>
        </w:tc>
        <w:tc>
          <w:tcPr>
            <w:tcW w:w="4394" w:type="dxa"/>
            <w:vAlign w:val="bottom"/>
          </w:tcPr>
          <w:p w14:paraId="38833B1F" w14:textId="77777777" w:rsidR="00284822" w:rsidRDefault="00F77BF8">
            <w:pPr>
              <w:autoSpaceDN/>
              <w:spacing w:before="120" w:after="120"/>
              <w:textAlignment w:val="auto"/>
              <w:rPr>
                <w:rFonts w:ascii="Rockwell" w:eastAsiaTheme="minorHAnsi" w:hAnsi="Rockwell"/>
              </w:rPr>
            </w:pPr>
            <w:r>
              <w:rPr>
                <w:rFonts w:ascii="Rockwell" w:eastAsia="Calibri" w:hAnsi="Rockwell"/>
              </w:rPr>
              <w:t>www.burkinakibaria.com</w:t>
            </w:r>
          </w:p>
        </w:tc>
      </w:tr>
      <w:tr w:rsidR="00284822" w14:paraId="2B55B93A" w14:textId="77777777">
        <w:tc>
          <w:tcPr>
            <w:tcW w:w="851" w:type="dxa"/>
          </w:tcPr>
          <w:p w14:paraId="4F1DA13F"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74</w:t>
            </w:r>
          </w:p>
        </w:tc>
        <w:tc>
          <w:tcPr>
            <w:tcW w:w="4678" w:type="dxa"/>
            <w:vAlign w:val="center"/>
          </w:tcPr>
          <w:p w14:paraId="3EBFC6D4" w14:textId="77777777" w:rsidR="00284822" w:rsidRDefault="00F77BF8">
            <w:pPr>
              <w:autoSpaceDN/>
              <w:spacing w:before="120" w:after="120"/>
              <w:textAlignment w:val="auto"/>
              <w:rPr>
                <w:rFonts w:ascii="Rockwell" w:eastAsiaTheme="minorHAnsi" w:hAnsi="Rockwell"/>
              </w:rPr>
            </w:pPr>
            <w:r>
              <w:rPr>
                <w:rFonts w:ascii="Rockwell" w:eastAsia="Calibri" w:hAnsi="Rockwell"/>
              </w:rPr>
              <w:t>Tanko.info</w:t>
            </w:r>
          </w:p>
        </w:tc>
        <w:tc>
          <w:tcPr>
            <w:tcW w:w="4394" w:type="dxa"/>
            <w:vAlign w:val="bottom"/>
          </w:tcPr>
          <w:p w14:paraId="5E3B7DCB" w14:textId="77777777" w:rsidR="00284822" w:rsidRDefault="00F77BF8">
            <w:pPr>
              <w:autoSpaceDN/>
              <w:spacing w:before="120" w:after="120"/>
              <w:textAlignment w:val="auto"/>
              <w:rPr>
                <w:rFonts w:ascii="Rockwell" w:eastAsiaTheme="minorHAnsi" w:hAnsi="Rockwell"/>
              </w:rPr>
            </w:pPr>
            <w:r>
              <w:rPr>
                <w:rFonts w:ascii="Rockwell" w:eastAsia="Calibri" w:hAnsi="Rockwell"/>
              </w:rPr>
              <w:t>www.tankono.info</w:t>
            </w:r>
          </w:p>
        </w:tc>
      </w:tr>
      <w:tr w:rsidR="00284822" w14:paraId="557DA7B4" w14:textId="77777777">
        <w:tc>
          <w:tcPr>
            <w:tcW w:w="851" w:type="dxa"/>
          </w:tcPr>
          <w:p w14:paraId="12AFAFCE"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75</w:t>
            </w:r>
          </w:p>
        </w:tc>
        <w:tc>
          <w:tcPr>
            <w:tcW w:w="4678" w:type="dxa"/>
            <w:vAlign w:val="center"/>
          </w:tcPr>
          <w:p w14:paraId="78F81B1E" w14:textId="77777777" w:rsidR="00284822" w:rsidRDefault="00F77BF8">
            <w:pPr>
              <w:autoSpaceDN/>
              <w:spacing w:before="120" w:after="120"/>
              <w:textAlignment w:val="auto"/>
              <w:rPr>
                <w:rFonts w:ascii="Rockwell" w:eastAsiaTheme="minorHAnsi" w:hAnsi="Rockwell"/>
              </w:rPr>
            </w:pPr>
            <w:proofErr w:type="gramStart"/>
            <w:r>
              <w:rPr>
                <w:rFonts w:ascii="Rockwell" w:eastAsia="Calibri" w:hAnsi="Rockwell"/>
              </w:rPr>
              <w:t>le</w:t>
            </w:r>
            <w:proofErr w:type="gramEnd"/>
            <w:r>
              <w:rPr>
                <w:rFonts w:ascii="Rockwell" w:eastAsia="Calibri" w:hAnsi="Rockwell"/>
              </w:rPr>
              <w:t xml:space="preserve"> quotidien numérique d’Afrique</w:t>
            </w:r>
          </w:p>
        </w:tc>
        <w:tc>
          <w:tcPr>
            <w:tcW w:w="4394" w:type="dxa"/>
            <w:vAlign w:val="bottom"/>
          </w:tcPr>
          <w:p w14:paraId="61355152" w14:textId="77777777" w:rsidR="00284822" w:rsidRDefault="00F77BF8">
            <w:pPr>
              <w:autoSpaceDN/>
              <w:spacing w:before="120" w:after="120"/>
              <w:textAlignment w:val="auto"/>
              <w:rPr>
                <w:rFonts w:ascii="Rockwell" w:eastAsiaTheme="minorHAnsi" w:hAnsi="Rockwell"/>
              </w:rPr>
            </w:pPr>
            <w:r>
              <w:rPr>
                <w:rFonts w:ascii="Rockwell" w:eastAsia="Calibri" w:hAnsi="Rockwell"/>
              </w:rPr>
              <w:t>www.quotidiennumerique.com</w:t>
            </w:r>
          </w:p>
        </w:tc>
      </w:tr>
      <w:tr w:rsidR="00284822" w14:paraId="672B46CA" w14:textId="77777777">
        <w:tc>
          <w:tcPr>
            <w:tcW w:w="851" w:type="dxa"/>
          </w:tcPr>
          <w:p w14:paraId="50979A54"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lastRenderedPageBreak/>
              <w:t>76</w:t>
            </w:r>
          </w:p>
        </w:tc>
        <w:tc>
          <w:tcPr>
            <w:tcW w:w="4678" w:type="dxa"/>
            <w:vAlign w:val="center"/>
          </w:tcPr>
          <w:p w14:paraId="63085E9B"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Citeelegance</w:t>
            </w:r>
            <w:proofErr w:type="spellEnd"/>
          </w:p>
        </w:tc>
        <w:tc>
          <w:tcPr>
            <w:tcW w:w="4394" w:type="dxa"/>
            <w:vAlign w:val="bottom"/>
          </w:tcPr>
          <w:p w14:paraId="53225532" w14:textId="77777777" w:rsidR="00284822" w:rsidRDefault="00F77BF8">
            <w:pPr>
              <w:autoSpaceDN/>
              <w:spacing w:before="120" w:after="120"/>
              <w:textAlignment w:val="auto"/>
              <w:rPr>
                <w:rFonts w:ascii="Rockwell" w:eastAsiaTheme="minorHAnsi" w:hAnsi="Rockwell"/>
              </w:rPr>
            </w:pPr>
            <w:r>
              <w:rPr>
                <w:rFonts w:ascii="Rockwell" w:eastAsia="Calibri" w:hAnsi="Rockwell"/>
              </w:rPr>
              <w:t>www.Citeelegance.net</w:t>
            </w:r>
          </w:p>
        </w:tc>
      </w:tr>
      <w:tr w:rsidR="00284822" w14:paraId="3AC8226A" w14:textId="77777777">
        <w:tc>
          <w:tcPr>
            <w:tcW w:w="851" w:type="dxa"/>
          </w:tcPr>
          <w:p w14:paraId="0247953E"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77</w:t>
            </w:r>
          </w:p>
        </w:tc>
        <w:tc>
          <w:tcPr>
            <w:tcW w:w="4678" w:type="dxa"/>
            <w:vAlign w:val="center"/>
          </w:tcPr>
          <w:p w14:paraId="0F35278B"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Kulturekibaria</w:t>
            </w:r>
            <w:proofErr w:type="spellEnd"/>
          </w:p>
        </w:tc>
        <w:tc>
          <w:tcPr>
            <w:tcW w:w="4394" w:type="dxa"/>
            <w:vAlign w:val="bottom"/>
          </w:tcPr>
          <w:p w14:paraId="053AC5EF"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www.kulturekibaria.com</w:t>
            </w:r>
          </w:p>
        </w:tc>
      </w:tr>
      <w:tr w:rsidR="00284822" w14:paraId="2E52E736" w14:textId="77777777">
        <w:tc>
          <w:tcPr>
            <w:tcW w:w="851" w:type="dxa"/>
          </w:tcPr>
          <w:p w14:paraId="2ADD0604"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78</w:t>
            </w:r>
          </w:p>
        </w:tc>
        <w:tc>
          <w:tcPr>
            <w:tcW w:w="4678" w:type="dxa"/>
            <w:vAlign w:val="center"/>
          </w:tcPr>
          <w:p w14:paraId="7C3C8232" w14:textId="77777777" w:rsidR="00284822" w:rsidRDefault="00F77BF8">
            <w:pPr>
              <w:autoSpaceDN/>
              <w:spacing w:before="120" w:after="120"/>
              <w:textAlignment w:val="auto"/>
              <w:rPr>
                <w:rFonts w:ascii="Rockwell" w:eastAsiaTheme="minorHAnsi" w:hAnsi="Rockwell"/>
              </w:rPr>
            </w:pPr>
            <w:r>
              <w:rPr>
                <w:rFonts w:ascii="Rockwell" w:eastAsia="Calibri" w:hAnsi="Rockwell"/>
              </w:rPr>
              <w:t xml:space="preserve"> Le Monde Rural</w:t>
            </w:r>
          </w:p>
        </w:tc>
        <w:tc>
          <w:tcPr>
            <w:tcW w:w="4394" w:type="dxa"/>
            <w:vAlign w:val="bottom"/>
          </w:tcPr>
          <w:p w14:paraId="385BA197" w14:textId="77777777" w:rsidR="00284822" w:rsidRDefault="00F77BF8">
            <w:pPr>
              <w:autoSpaceDN/>
              <w:spacing w:before="120" w:after="120"/>
              <w:textAlignment w:val="auto"/>
              <w:rPr>
                <w:rFonts w:ascii="Rockwell" w:eastAsiaTheme="minorHAnsi" w:hAnsi="Rockwell"/>
              </w:rPr>
            </w:pPr>
            <w:r>
              <w:rPr>
                <w:rFonts w:ascii="Rockwell" w:eastAsia="Calibri" w:hAnsi="Rockwell"/>
              </w:rPr>
              <w:t>www.lemonderural.com</w:t>
            </w:r>
          </w:p>
        </w:tc>
      </w:tr>
      <w:tr w:rsidR="00284822" w14:paraId="20C00FD7" w14:textId="77777777">
        <w:tc>
          <w:tcPr>
            <w:tcW w:w="851" w:type="dxa"/>
          </w:tcPr>
          <w:p w14:paraId="3D7CD5CA"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79</w:t>
            </w:r>
          </w:p>
        </w:tc>
        <w:tc>
          <w:tcPr>
            <w:tcW w:w="4678" w:type="dxa"/>
            <w:vAlign w:val="center"/>
          </w:tcPr>
          <w:p w14:paraId="792271AF"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Ouagabuzz</w:t>
            </w:r>
            <w:proofErr w:type="spellEnd"/>
          </w:p>
        </w:tc>
        <w:tc>
          <w:tcPr>
            <w:tcW w:w="4394" w:type="dxa"/>
            <w:vAlign w:val="center"/>
          </w:tcPr>
          <w:p w14:paraId="39703578" w14:textId="77777777" w:rsidR="00284822" w:rsidRDefault="00F77BF8">
            <w:pPr>
              <w:autoSpaceDN/>
              <w:spacing w:before="120" w:after="120"/>
              <w:textAlignment w:val="auto"/>
              <w:rPr>
                <w:rFonts w:ascii="Rockwell" w:eastAsiaTheme="minorHAnsi" w:hAnsi="Rockwell"/>
              </w:rPr>
            </w:pPr>
            <w:r>
              <w:rPr>
                <w:rFonts w:ascii="Rockwell" w:eastAsia="Calibri" w:hAnsi="Rockwell"/>
              </w:rPr>
              <w:t>www.ouagabuzz.com</w:t>
            </w:r>
          </w:p>
        </w:tc>
      </w:tr>
      <w:tr w:rsidR="00284822" w14:paraId="4C4356DA" w14:textId="77777777">
        <w:tc>
          <w:tcPr>
            <w:tcW w:w="851" w:type="dxa"/>
          </w:tcPr>
          <w:p w14:paraId="032C7D61"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80</w:t>
            </w:r>
          </w:p>
        </w:tc>
        <w:tc>
          <w:tcPr>
            <w:tcW w:w="4678" w:type="dxa"/>
            <w:vAlign w:val="center"/>
          </w:tcPr>
          <w:p w14:paraId="5CD2B6A5"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Collectivitéinfo</w:t>
            </w:r>
            <w:proofErr w:type="spellEnd"/>
          </w:p>
        </w:tc>
        <w:tc>
          <w:tcPr>
            <w:tcW w:w="4394" w:type="dxa"/>
            <w:vAlign w:val="center"/>
          </w:tcPr>
          <w:p w14:paraId="1AB5D1EE" w14:textId="77777777" w:rsidR="00284822" w:rsidRDefault="00F77BF8">
            <w:pPr>
              <w:autoSpaceDN/>
              <w:spacing w:before="120" w:after="120"/>
              <w:textAlignment w:val="auto"/>
              <w:rPr>
                <w:rFonts w:ascii="Rockwell" w:eastAsiaTheme="minorHAnsi" w:hAnsi="Rockwell"/>
              </w:rPr>
            </w:pPr>
            <w:r>
              <w:rPr>
                <w:rFonts w:ascii="Rockwell" w:eastAsia="Calibri" w:hAnsi="Rockwell"/>
              </w:rPr>
              <w:t>www.collectivitéinfo.net</w:t>
            </w:r>
          </w:p>
        </w:tc>
      </w:tr>
      <w:tr w:rsidR="00284822" w14:paraId="6A50D061" w14:textId="77777777">
        <w:tc>
          <w:tcPr>
            <w:tcW w:w="851" w:type="dxa"/>
          </w:tcPr>
          <w:p w14:paraId="4E67B64C"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81</w:t>
            </w:r>
          </w:p>
        </w:tc>
        <w:tc>
          <w:tcPr>
            <w:tcW w:w="4678" w:type="dxa"/>
            <w:vAlign w:val="center"/>
          </w:tcPr>
          <w:p w14:paraId="7BC957EC"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Infoculturedufaso</w:t>
            </w:r>
            <w:proofErr w:type="spellEnd"/>
          </w:p>
        </w:tc>
        <w:tc>
          <w:tcPr>
            <w:tcW w:w="4394" w:type="dxa"/>
            <w:vAlign w:val="center"/>
          </w:tcPr>
          <w:p w14:paraId="763F0286" w14:textId="77777777" w:rsidR="00284822" w:rsidRDefault="00F77BF8">
            <w:pPr>
              <w:autoSpaceDN/>
              <w:spacing w:before="120" w:after="120"/>
              <w:textAlignment w:val="auto"/>
              <w:rPr>
                <w:rFonts w:ascii="Rockwell" w:eastAsiaTheme="minorHAnsi" w:hAnsi="Rockwell"/>
              </w:rPr>
            </w:pPr>
            <w:r>
              <w:rPr>
                <w:rFonts w:ascii="Rockwell" w:eastAsia="Calibri" w:hAnsi="Rockwell"/>
              </w:rPr>
              <w:t>www.infoculturedufaso.net</w:t>
            </w:r>
          </w:p>
        </w:tc>
      </w:tr>
      <w:tr w:rsidR="00284822" w14:paraId="74A746C9" w14:textId="77777777">
        <w:tc>
          <w:tcPr>
            <w:tcW w:w="851" w:type="dxa"/>
          </w:tcPr>
          <w:p w14:paraId="39570343"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82</w:t>
            </w:r>
          </w:p>
        </w:tc>
        <w:tc>
          <w:tcPr>
            <w:tcW w:w="4678" w:type="dxa"/>
            <w:vAlign w:val="center"/>
          </w:tcPr>
          <w:p w14:paraId="5A24FC00"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Ludaybusinessactualites</w:t>
            </w:r>
            <w:proofErr w:type="spellEnd"/>
            <w:r>
              <w:rPr>
                <w:rFonts w:ascii="Rockwell" w:eastAsia="Calibri" w:hAnsi="Rockwell"/>
              </w:rPr>
              <w:t>. Net</w:t>
            </w:r>
          </w:p>
        </w:tc>
        <w:tc>
          <w:tcPr>
            <w:tcW w:w="4394" w:type="dxa"/>
            <w:vAlign w:val="bottom"/>
          </w:tcPr>
          <w:p w14:paraId="57E483F6" w14:textId="77777777" w:rsidR="00284822" w:rsidRDefault="00F77BF8">
            <w:pPr>
              <w:autoSpaceDN/>
              <w:spacing w:before="120" w:after="120"/>
              <w:textAlignment w:val="auto"/>
              <w:rPr>
                <w:rFonts w:ascii="Rockwell" w:eastAsiaTheme="minorHAnsi" w:hAnsi="Rockwell"/>
              </w:rPr>
            </w:pPr>
            <w:r>
              <w:rPr>
                <w:rFonts w:ascii="Rockwell" w:eastAsia="Calibri" w:hAnsi="Rockwell"/>
              </w:rPr>
              <w:t>www.ludaybusinessactualites.net</w:t>
            </w:r>
          </w:p>
        </w:tc>
      </w:tr>
      <w:tr w:rsidR="00284822" w14:paraId="64959B53" w14:textId="77777777">
        <w:tc>
          <w:tcPr>
            <w:tcW w:w="851" w:type="dxa"/>
          </w:tcPr>
          <w:p w14:paraId="505385BA"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83</w:t>
            </w:r>
          </w:p>
        </w:tc>
        <w:tc>
          <w:tcPr>
            <w:tcW w:w="4678" w:type="dxa"/>
            <w:vAlign w:val="center"/>
          </w:tcPr>
          <w:p w14:paraId="2F3E2263"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Afriktilgré</w:t>
            </w:r>
            <w:proofErr w:type="spellEnd"/>
          </w:p>
        </w:tc>
        <w:tc>
          <w:tcPr>
            <w:tcW w:w="4394" w:type="dxa"/>
            <w:vAlign w:val="center"/>
          </w:tcPr>
          <w:p w14:paraId="7DBA066E" w14:textId="77777777" w:rsidR="00284822" w:rsidRDefault="00F77BF8">
            <w:pPr>
              <w:autoSpaceDN/>
              <w:spacing w:before="120" w:after="120"/>
              <w:textAlignment w:val="auto"/>
              <w:rPr>
                <w:rFonts w:ascii="Rockwell" w:eastAsiaTheme="minorHAnsi" w:hAnsi="Rockwell"/>
              </w:rPr>
            </w:pPr>
            <w:r>
              <w:rPr>
                <w:rFonts w:ascii="Rockwell" w:eastAsia="Calibri" w:hAnsi="Rockwell"/>
              </w:rPr>
              <w:t>www.Afriktilgre.com</w:t>
            </w:r>
          </w:p>
        </w:tc>
      </w:tr>
      <w:tr w:rsidR="00284822" w14:paraId="2320DE21" w14:textId="77777777">
        <w:tc>
          <w:tcPr>
            <w:tcW w:w="851" w:type="dxa"/>
          </w:tcPr>
          <w:p w14:paraId="5A74B89C"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84</w:t>
            </w:r>
          </w:p>
        </w:tc>
        <w:tc>
          <w:tcPr>
            <w:tcW w:w="4678" w:type="dxa"/>
            <w:vAlign w:val="center"/>
          </w:tcPr>
          <w:p w14:paraId="4ADB235F"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Latribunedufaso</w:t>
            </w:r>
            <w:proofErr w:type="spellEnd"/>
          </w:p>
        </w:tc>
        <w:tc>
          <w:tcPr>
            <w:tcW w:w="4394" w:type="dxa"/>
            <w:vAlign w:val="center"/>
          </w:tcPr>
          <w:p w14:paraId="53E8C02A" w14:textId="77777777" w:rsidR="00284822" w:rsidRDefault="00F77BF8">
            <w:pPr>
              <w:autoSpaceDN/>
              <w:spacing w:before="120" w:after="120"/>
              <w:textAlignment w:val="auto"/>
              <w:rPr>
                <w:rFonts w:ascii="Rockwell" w:eastAsiaTheme="minorHAnsi" w:hAnsi="Rockwell"/>
              </w:rPr>
            </w:pPr>
            <w:r>
              <w:rPr>
                <w:rFonts w:ascii="Rockwell" w:eastAsia="Calibri" w:hAnsi="Rockwell"/>
              </w:rPr>
              <w:t>www.latribunedufaso.net</w:t>
            </w:r>
          </w:p>
        </w:tc>
      </w:tr>
      <w:tr w:rsidR="00284822" w14:paraId="298E29CB" w14:textId="77777777">
        <w:tc>
          <w:tcPr>
            <w:tcW w:w="851" w:type="dxa"/>
          </w:tcPr>
          <w:p w14:paraId="3EF66DC8"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85</w:t>
            </w:r>
          </w:p>
        </w:tc>
        <w:tc>
          <w:tcPr>
            <w:tcW w:w="4678" w:type="dxa"/>
            <w:vAlign w:val="center"/>
          </w:tcPr>
          <w:p w14:paraId="0EDE6AAD" w14:textId="77777777" w:rsidR="00284822" w:rsidRDefault="00F77BF8">
            <w:pPr>
              <w:autoSpaceDN/>
              <w:spacing w:before="120" w:after="120"/>
              <w:textAlignment w:val="auto"/>
              <w:rPr>
                <w:rFonts w:ascii="Rockwell" w:eastAsiaTheme="minorHAnsi" w:hAnsi="Rockwell"/>
              </w:rPr>
            </w:pPr>
            <w:proofErr w:type="gramStart"/>
            <w:r>
              <w:rPr>
                <w:rFonts w:ascii="Rockwell" w:eastAsia="Calibri" w:hAnsi="Rockwell"/>
              </w:rPr>
              <w:t>amas</w:t>
            </w:r>
            <w:proofErr w:type="gramEnd"/>
            <w:r>
              <w:rPr>
                <w:rFonts w:ascii="Rockwell" w:eastAsia="Calibri" w:hAnsi="Rockwell"/>
              </w:rPr>
              <w:t xml:space="preserve"> info</w:t>
            </w:r>
          </w:p>
        </w:tc>
        <w:tc>
          <w:tcPr>
            <w:tcW w:w="4394" w:type="dxa"/>
            <w:vAlign w:val="bottom"/>
          </w:tcPr>
          <w:p w14:paraId="05AF1A3C" w14:textId="77777777" w:rsidR="00284822" w:rsidRDefault="003148F1">
            <w:pPr>
              <w:autoSpaceDN/>
              <w:spacing w:before="120" w:after="120"/>
              <w:textAlignment w:val="auto"/>
              <w:rPr>
                <w:rFonts w:ascii="Rockwell" w:eastAsia="Calibri" w:hAnsi="Rockwell"/>
              </w:rPr>
            </w:pPr>
            <w:hyperlink r:id="rId203" w:history="1">
              <w:r w:rsidR="00F77BF8">
                <w:rPr>
                  <w:rStyle w:val="Lienhypertexte"/>
                  <w:rFonts w:ascii="Rockwell" w:eastAsia="Calibri" w:hAnsi="Rockwell"/>
                </w:rPr>
                <w:t>www.amas.com</w:t>
              </w:r>
            </w:hyperlink>
          </w:p>
        </w:tc>
      </w:tr>
      <w:tr w:rsidR="00284822" w14:paraId="19F975F4" w14:textId="77777777">
        <w:tc>
          <w:tcPr>
            <w:tcW w:w="851" w:type="dxa"/>
          </w:tcPr>
          <w:p w14:paraId="4DE61ADA"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86</w:t>
            </w:r>
          </w:p>
        </w:tc>
        <w:tc>
          <w:tcPr>
            <w:tcW w:w="4678" w:type="dxa"/>
            <w:vAlign w:val="center"/>
          </w:tcPr>
          <w:p w14:paraId="0FA0E953" w14:textId="77777777" w:rsidR="00284822" w:rsidRDefault="00F77BF8">
            <w:pPr>
              <w:autoSpaceDN/>
              <w:spacing w:before="120" w:after="120"/>
              <w:textAlignment w:val="auto"/>
              <w:rPr>
                <w:rFonts w:ascii="Rockwell" w:eastAsiaTheme="minorHAnsi" w:hAnsi="Rockwell"/>
              </w:rPr>
            </w:pPr>
            <w:r>
              <w:rPr>
                <w:rFonts w:ascii="Rockwell" w:eastAsia="Calibri" w:hAnsi="Rockwell"/>
              </w:rPr>
              <w:t>Faso post</w:t>
            </w:r>
          </w:p>
        </w:tc>
        <w:tc>
          <w:tcPr>
            <w:tcW w:w="4394" w:type="dxa"/>
            <w:vAlign w:val="bottom"/>
          </w:tcPr>
          <w:p w14:paraId="2B23DD9C" w14:textId="77777777" w:rsidR="00284822" w:rsidRDefault="003148F1">
            <w:pPr>
              <w:autoSpaceDN/>
              <w:spacing w:before="120" w:after="120"/>
              <w:textAlignment w:val="auto"/>
              <w:rPr>
                <w:rFonts w:ascii="Rockwell" w:eastAsia="Calibri" w:hAnsi="Rockwell"/>
              </w:rPr>
            </w:pPr>
            <w:hyperlink r:id="rId204" w:history="1">
              <w:r w:rsidR="00F77BF8">
                <w:rPr>
                  <w:rStyle w:val="Lienhypertexte"/>
                  <w:rFonts w:ascii="Rockwell" w:eastAsia="Calibri" w:hAnsi="Rockwell"/>
                </w:rPr>
                <w:t>www.fasopost.com</w:t>
              </w:r>
            </w:hyperlink>
          </w:p>
        </w:tc>
      </w:tr>
      <w:tr w:rsidR="00284822" w14:paraId="031A1BDD" w14:textId="77777777">
        <w:tc>
          <w:tcPr>
            <w:tcW w:w="851" w:type="dxa"/>
          </w:tcPr>
          <w:p w14:paraId="122EC1AC"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87</w:t>
            </w:r>
          </w:p>
        </w:tc>
        <w:tc>
          <w:tcPr>
            <w:tcW w:w="4678" w:type="dxa"/>
            <w:vAlign w:val="center"/>
          </w:tcPr>
          <w:p w14:paraId="26C8A785"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Ledossier</w:t>
            </w:r>
            <w:proofErr w:type="spellEnd"/>
          </w:p>
        </w:tc>
        <w:tc>
          <w:tcPr>
            <w:tcW w:w="4394" w:type="dxa"/>
            <w:vAlign w:val="bottom"/>
          </w:tcPr>
          <w:p w14:paraId="7ACF7074" w14:textId="77777777" w:rsidR="00284822" w:rsidRDefault="003148F1">
            <w:pPr>
              <w:autoSpaceDN/>
              <w:spacing w:before="120" w:after="120"/>
              <w:textAlignment w:val="auto"/>
              <w:rPr>
                <w:rFonts w:ascii="Rockwell" w:eastAsia="Calibri" w:hAnsi="Rockwell"/>
              </w:rPr>
            </w:pPr>
            <w:hyperlink r:id="rId205" w:history="1">
              <w:r w:rsidR="00F77BF8">
                <w:rPr>
                  <w:rStyle w:val="Lienhypertexte"/>
                  <w:rFonts w:ascii="Rockwell" w:eastAsia="Calibri" w:hAnsi="Rockwell"/>
                </w:rPr>
                <w:t>www.ledossierbf.com</w:t>
              </w:r>
            </w:hyperlink>
          </w:p>
        </w:tc>
      </w:tr>
      <w:tr w:rsidR="00284822" w14:paraId="30D4A11C" w14:textId="77777777">
        <w:tc>
          <w:tcPr>
            <w:tcW w:w="851" w:type="dxa"/>
          </w:tcPr>
          <w:p w14:paraId="1BAB9B5E"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88</w:t>
            </w:r>
          </w:p>
        </w:tc>
        <w:tc>
          <w:tcPr>
            <w:tcW w:w="4678" w:type="dxa"/>
            <w:vAlign w:val="center"/>
          </w:tcPr>
          <w:p w14:paraId="217433D4"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Bizya</w:t>
            </w:r>
            <w:proofErr w:type="spellEnd"/>
            <w:r>
              <w:rPr>
                <w:rFonts w:ascii="Rockwell" w:eastAsia="Calibri" w:hAnsi="Rockwell"/>
              </w:rPr>
              <w:t xml:space="preserve"> </w:t>
            </w:r>
            <w:proofErr w:type="spellStart"/>
            <w:r>
              <w:rPr>
                <w:rFonts w:ascii="Rockwell" w:eastAsia="Calibri" w:hAnsi="Rockwell"/>
              </w:rPr>
              <w:t>Africa</w:t>
            </w:r>
            <w:proofErr w:type="spellEnd"/>
          </w:p>
        </w:tc>
        <w:tc>
          <w:tcPr>
            <w:tcW w:w="4394" w:type="dxa"/>
            <w:vAlign w:val="bottom"/>
          </w:tcPr>
          <w:p w14:paraId="01F50BDC" w14:textId="77777777" w:rsidR="00284822" w:rsidRDefault="003148F1">
            <w:pPr>
              <w:autoSpaceDN/>
              <w:spacing w:before="120" w:after="120"/>
              <w:textAlignment w:val="auto"/>
              <w:rPr>
                <w:rFonts w:ascii="Rockwell" w:eastAsia="Calibri" w:hAnsi="Rockwell"/>
              </w:rPr>
            </w:pPr>
            <w:hyperlink r:id="rId206" w:history="1">
              <w:r w:rsidR="00F77BF8">
                <w:rPr>
                  <w:rStyle w:val="Lienhypertexte"/>
                  <w:rFonts w:ascii="Rockwell" w:eastAsia="Calibri" w:hAnsi="Rockwell"/>
                </w:rPr>
                <w:t>www.biznesskibaya.com</w:t>
              </w:r>
            </w:hyperlink>
          </w:p>
        </w:tc>
      </w:tr>
      <w:tr w:rsidR="00284822" w14:paraId="26CB20A7" w14:textId="77777777">
        <w:tc>
          <w:tcPr>
            <w:tcW w:w="851" w:type="dxa"/>
          </w:tcPr>
          <w:p w14:paraId="68356CC3"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89</w:t>
            </w:r>
          </w:p>
        </w:tc>
        <w:tc>
          <w:tcPr>
            <w:tcW w:w="4678" w:type="dxa"/>
            <w:vAlign w:val="center"/>
          </w:tcPr>
          <w:p w14:paraId="649A7185" w14:textId="77777777" w:rsidR="00284822" w:rsidRDefault="00F77BF8">
            <w:pPr>
              <w:autoSpaceDN/>
              <w:spacing w:before="120" w:after="120"/>
              <w:textAlignment w:val="auto"/>
              <w:rPr>
                <w:rFonts w:ascii="Rockwell" w:eastAsiaTheme="minorHAnsi" w:hAnsi="Rockwell"/>
              </w:rPr>
            </w:pPr>
            <w:r>
              <w:rPr>
                <w:rFonts w:ascii="Rockwell" w:eastAsia="Calibri" w:hAnsi="Rockwell"/>
              </w:rPr>
              <w:t>Direct Infos Magazine</w:t>
            </w:r>
          </w:p>
        </w:tc>
        <w:tc>
          <w:tcPr>
            <w:tcW w:w="4394" w:type="dxa"/>
            <w:vAlign w:val="bottom"/>
          </w:tcPr>
          <w:p w14:paraId="1401DEC0" w14:textId="77777777" w:rsidR="00284822" w:rsidRDefault="003148F1">
            <w:pPr>
              <w:autoSpaceDN/>
              <w:spacing w:before="120" w:after="120"/>
              <w:textAlignment w:val="auto"/>
              <w:rPr>
                <w:rFonts w:ascii="Rockwell" w:eastAsia="Calibri" w:hAnsi="Rockwell"/>
              </w:rPr>
            </w:pPr>
            <w:hyperlink r:id="rId207" w:history="1">
              <w:r w:rsidR="00F77BF8">
                <w:rPr>
                  <w:rStyle w:val="Lienhypertexte"/>
                  <w:rFonts w:ascii="Rockwell" w:eastAsia="Calibri" w:hAnsi="Rockwell"/>
                </w:rPr>
                <w:t>www.direct-infos.com</w:t>
              </w:r>
            </w:hyperlink>
          </w:p>
        </w:tc>
      </w:tr>
      <w:tr w:rsidR="00284822" w14:paraId="77E91F0F" w14:textId="77777777">
        <w:tc>
          <w:tcPr>
            <w:tcW w:w="851" w:type="dxa"/>
          </w:tcPr>
          <w:p w14:paraId="59B06349"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90</w:t>
            </w:r>
          </w:p>
        </w:tc>
        <w:tc>
          <w:tcPr>
            <w:tcW w:w="4678" w:type="dxa"/>
            <w:vAlign w:val="center"/>
          </w:tcPr>
          <w:p w14:paraId="5EDDBF55" w14:textId="77777777" w:rsidR="00284822" w:rsidRDefault="00F77BF8">
            <w:pPr>
              <w:autoSpaceDN/>
              <w:spacing w:before="120" w:after="120"/>
              <w:textAlignment w:val="auto"/>
              <w:rPr>
                <w:rFonts w:ascii="Rockwell" w:eastAsiaTheme="minorHAnsi" w:hAnsi="Rockwell"/>
              </w:rPr>
            </w:pPr>
            <w:r>
              <w:rPr>
                <w:rFonts w:ascii="Rockwell" w:eastAsia="Calibri" w:hAnsi="Rockwell"/>
              </w:rPr>
              <w:t>Faso7</w:t>
            </w:r>
          </w:p>
        </w:tc>
        <w:tc>
          <w:tcPr>
            <w:tcW w:w="4394" w:type="dxa"/>
            <w:vAlign w:val="bottom"/>
          </w:tcPr>
          <w:p w14:paraId="7C021B95" w14:textId="77777777" w:rsidR="00284822" w:rsidRDefault="003148F1">
            <w:pPr>
              <w:autoSpaceDN/>
              <w:spacing w:before="120" w:after="120"/>
              <w:textAlignment w:val="auto"/>
              <w:rPr>
                <w:rFonts w:ascii="Rockwell" w:eastAsia="Calibri" w:hAnsi="Rockwell"/>
              </w:rPr>
            </w:pPr>
            <w:hyperlink r:id="rId208" w:history="1">
              <w:r w:rsidR="00F77BF8">
                <w:rPr>
                  <w:rStyle w:val="Lienhypertexte"/>
                  <w:rFonts w:ascii="Rockwell" w:eastAsia="Calibri" w:hAnsi="Rockwell"/>
                </w:rPr>
                <w:t>www.faso7.com</w:t>
              </w:r>
            </w:hyperlink>
          </w:p>
        </w:tc>
      </w:tr>
      <w:tr w:rsidR="00284822" w14:paraId="5B10705B" w14:textId="77777777">
        <w:tc>
          <w:tcPr>
            <w:tcW w:w="851" w:type="dxa"/>
          </w:tcPr>
          <w:p w14:paraId="45596D12"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91</w:t>
            </w:r>
          </w:p>
        </w:tc>
        <w:tc>
          <w:tcPr>
            <w:tcW w:w="4678" w:type="dxa"/>
            <w:vAlign w:val="center"/>
          </w:tcPr>
          <w:p w14:paraId="12BA37AA"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Africa</w:t>
            </w:r>
            <w:proofErr w:type="spellEnd"/>
            <w:r>
              <w:rPr>
                <w:rFonts w:ascii="Rockwell" w:eastAsia="Calibri" w:hAnsi="Rockwell"/>
              </w:rPr>
              <w:t xml:space="preserve"> Infos</w:t>
            </w:r>
          </w:p>
        </w:tc>
        <w:tc>
          <w:tcPr>
            <w:tcW w:w="4394" w:type="dxa"/>
            <w:vAlign w:val="bottom"/>
          </w:tcPr>
          <w:p w14:paraId="0CF62C5C" w14:textId="77777777" w:rsidR="00284822" w:rsidRDefault="003148F1">
            <w:pPr>
              <w:autoSpaceDN/>
              <w:spacing w:before="120" w:after="120"/>
              <w:textAlignment w:val="auto"/>
              <w:rPr>
                <w:rFonts w:ascii="Rockwell" w:eastAsia="Calibri" w:hAnsi="Rockwell"/>
              </w:rPr>
            </w:pPr>
            <w:hyperlink r:id="rId209" w:history="1">
              <w:r w:rsidR="00F77BF8">
                <w:rPr>
                  <w:rStyle w:val="Lienhypertexte"/>
                  <w:rFonts w:ascii="Rockwell" w:eastAsia="Calibri" w:hAnsi="Rockwell"/>
                </w:rPr>
                <w:t>www.africainfos.com</w:t>
              </w:r>
            </w:hyperlink>
          </w:p>
        </w:tc>
      </w:tr>
      <w:tr w:rsidR="00284822" w14:paraId="458BA468" w14:textId="77777777">
        <w:tc>
          <w:tcPr>
            <w:tcW w:w="851" w:type="dxa"/>
          </w:tcPr>
          <w:p w14:paraId="20B32FF9"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92</w:t>
            </w:r>
          </w:p>
        </w:tc>
        <w:tc>
          <w:tcPr>
            <w:tcW w:w="4678" w:type="dxa"/>
            <w:vAlign w:val="center"/>
          </w:tcPr>
          <w:p w14:paraId="15441FED" w14:textId="77777777" w:rsidR="00284822" w:rsidRDefault="00F77BF8">
            <w:pPr>
              <w:autoSpaceDN/>
              <w:spacing w:before="120" w:after="120"/>
              <w:textAlignment w:val="auto"/>
              <w:rPr>
                <w:rFonts w:ascii="Rockwell" w:eastAsiaTheme="minorHAnsi" w:hAnsi="Rockwell"/>
              </w:rPr>
            </w:pPr>
            <w:r>
              <w:rPr>
                <w:rFonts w:ascii="Rockwell" w:eastAsia="Calibri" w:hAnsi="Rockwell"/>
              </w:rPr>
              <w:t>Revuejuris.net</w:t>
            </w:r>
          </w:p>
        </w:tc>
        <w:tc>
          <w:tcPr>
            <w:tcW w:w="4394" w:type="dxa"/>
            <w:vAlign w:val="bottom"/>
          </w:tcPr>
          <w:p w14:paraId="718990F9" w14:textId="77777777" w:rsidR="00284822" w:rsidRDefault="003148F1">
            <w:pPr>
              <w:autoSpaceDN/>
              <w:spacing w:before="120" w:after="120"/>
              <w:textAlignment w:val="auto"/>
              <w:rPr>
                <w:rFonts w:ascii="Rockwell" w:eastAsia="Calibri" w:hAnsi="Rockwell"/>
              </w:rPr>
            </w:pPr>
            <w:hyperlink r:id="rId210" w:history="1">
              <w:r w:rsidR="00F77BF8">
                <w:rPr>
                  <w:rStyle w:val="Lienhypertexte"/>
                  <w:rFonts w:ascii="Rockwell" w:eastAsia="Calibri" w:hAnsi="Rockwell"/>
                </w:rPr>
                <w:t>www.revuejuris.net</w:t>
              </w:r>
            </w:hyperlink>
          </w:p>
        </w:tc>
      </w:tr>
      <w:tr w:rsidR="00284822" w14:paraId="254CD853" w14:textId="77777777">
        <w:tc>
          <w:tcPr>
            <w:tcW w:w="851" w:type="dxa"/>
          </w:tcPr>
          <w:p w14:paraId="192EFEAD"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93</w:t>
            </w:r>
          </w:p>
        </w:tc>
        <w:tc>
          <w:tcPr>
            <w:tcW w:w="4678" w:type="dxa"/>
            <w:vAlign w:val="center"/>
          </w:tcPr>
          <w:p w14:paraId="3AED04F8" w14:textId="77777777" w:rsidR="00284822" w:rsidRDefault="00F77BF8">
            <w:pPr>
              <w:autoSpaceDN/>
              <w:spacing w:before="120" w:after="120"/>
              <w:textAlignment w:val="auto"/>
              <w:rPr>
                <w:rFonts w:ascii="Rockwell" w:eastAsiaTheme="minorHAnsi" w:hAnsi="Rockwell"/>
              </w:rPr>
            </w:pPr>
            <w:r>
              <w:rPr>
                <w:rFonts w:ascii="Rockwell" w:eastAsia="Calibri" w:hAnsi="Rockwell"/>
              </w:rPr>
              <w:t>Accelere-Times.net</w:t>
            </w:r>
          </w:p>
        </w:tc>
        <w:tc>
          <w:tcPr>
            <w:tcW w:w="4394" w:type="dxa"/>
            <w:vAlign w:val="center"/>
          </w:tcPr>
          <w:p w14:paraId="31E47AEE" w14:textId="77777777" w:rsidR="00284822" w:rsidRDefault="00F77BF8">
            <w:pPr>
              <w:autoSpaceDN/>
              <w:spacing w:before="120" w:after="120"/>
              <w:textAlignment w:val="auto"/>
              <w:rPr>
                <w:rFonts w:ascii="Rockwell" w:eastAsiaTheme="minorHAnsi" w:hAnsi="Rockwell"/>
              </w:rPr>
            </w:pPr>
            <w:r>
              <w:rPr>
                <w:rFonts w:ascii="Rockwell" w:eastAsia="Calibri" w:hAnsi="Rockwell"/>
              </w:rPr>
              <w:t>www.acceleretimes.net</w:t>
            </w:r>
          </w:p>
        </w:tc>
      </w:tr>
      <w:tr w:rsidR="00284822" w14:paraId="595EF586" w14:textId="77777777">
        <w:tc>
          <w:tcPr>
            <w:tcW w:w="851" w:type="dxa"/>
          </w:tcPr>
          <w:p w14:paraId="1013B628"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94</w:t>
            </w:r>
          </w:p>
        </w:tc>
        <w:tc>
          <w:tcPr>
            <w:tcW w:w="4678" w:type="dxa"/>
            <w:vAlign w:val="center"/>
          </w:tcPr>
          <w:p w14:paraId="5F3FD361"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Fasodiaspora</w:t>
            </w:r>
            <w:proofErr w:type="spellEnd"/>
          </w:p>
        </w:tc>
        <w:tc>
          <w:tcPr>
            <w:tcW w:w="4394" w:type="dxa"/>
            <w:vAlign w:val="center"/>
          </w:tcPr>
          <w:p w14:paraId="2E9D0895" w14:textId="77777777" w:rsidR="00284822" w:rsidRDefault="00F77BF8">
            <w:pPr>
              <w:autoSpaceDN/>
              <w:spacing w:before="120" w:after="120"/>
              <w:textAlignment w:val="auto"/>
              <w:rPr>
                <w:rFonts w:ascii="Rockwell" w:eastAsiaTheme="minorHAnsi" w:hAnsi="Rockwell"/>
              </w:rPr>
            </w:pPr>
            <w:r>
              <w:rPr>
                <w:rFonts w:ascii="Rockwell" w:eastAsia="Calibri" w:hAnsi="Rockwell"/>
              </w:rPr>
              <w:t>www.fasodiaspora.com</w:t>
            </w:r>
          </w:p>
        </w:tc>
      </w:tr>
      <w:tr w:rsidR="00284822" w14:paraId="1DBFBF78" w14:textId="77777777">
        <w:tc>
          <w:tcPr>
            <w:tcW w:w="851" w:type="dxa"/>
          </w:tcPr>
          <w:p w14:paraId="2AFDF4C4"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lastRenderedPageBreak/>
              <w:t>95</w:t>
            </w:r>
          </w:p>
        </w:tc>
        <w:tc>
          <w:tcPr>
            <w:tcW w:w="4678" w:type="dxa"/>
            <w:vAlign w:val="center"/>
          </w:tcPr>
          <w:p w14:paraId="6BA3C9EF"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Femininactu</w:t>
            </w:r>
            <w:proofErr w:type="spellEnd"/>
          </w:p>
        </w:tc>
        <w:tc>
          <w:tcPr>
            <w:tcW w:w="4394" w:type="dxa"/>
            <w:vAlign w:val="bottom"/>
          </w:tcPr>
          <w:p w14:paraId="0586C1A6" w14:textId="77777777" w:rsidR="00284822" w:rsidRDefault="003148F1">
            <w:pPr>
              <w:autoSpaceDN/>
              <w:spacing w:before="120" w:after="120"/>
              <w:textAlignment w:val="auto"/>
              <w:rPr>
                <w:rFonts w:ascii="Rockwell" w:eastAsia="Calibri" w:hAnsi="Rockwell"/>
              </w:rPr>
            </w:pPr>
            <w:hyperlink r:id="rId211" w:history="1">
              <w:r w:rsidR="00F77BF8">
                <w:rPr>
                  <w:rStyle w:val="Lienhypertexte"/>
                  <w:rFonts w:ascii="Rockwell" w:eastAsia="Calibri" w:hAnsi="Rockwell"/>
                </w:rPr>
                <w:t>www.feminin</w:t>
              </w:r>
            </w:hyperlink>
            <w:r w:rsidR="00F77BF8">
              <w:rPr>
                <w:rFonts w:ascii="Rockwell" w:eastAsia="Calibri" w:hAnsi="Rockwell"/>
              </w:rPr>
              <w:t>actu.com</w:t>
            </w:r>
          </w:p>
        </w:tc>
      </w:tr>
      <w:tr w:rsidR="00284822" w14:paraId="5A18FE4D" w14:textId="77777777">
        <w:tc>
          <w:tcPr>
            <w:tcW w:w="851" w:type="dxa"/>
          </w:tcPr>
          <w:p w14:paraId="602120FB"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96</w:t>
            </w:r>
          </w:p>
        </w:tc>
        <w:tc>
          <w:tcPr>
            <w:tcW w:w="4678" w:type="dxa"/>
            <w:vAlign w:val="center"/>
          </w:tcPr>
          <w:p w14:paraId="71FB1479" w14:textId="77777777" w:rsidR="00284822" w:rsidRDefault="00F77BF8">
            <w:pPr>
              <w:autoSpaceDN/>
              <w:spacing w:before="120" w:after="120"/>
              <w:textAlignment w:val="auto"/>
              <w:rPr>
                <w:rFonts w:ascii="Rockwell" w:eastAsiaTheme="minorHAnsi" w:hAnsi="Rockwell"/>
              </w:rPr>
            </w:pPr>
            <w:r>
              <w:rPr>
                <w:rFonts w:ascii="Rockwell" w:eastAsia="Calibri" w:hAnsi="Rockwell"/>
              </w:rPr>
              <w:t xml:space="preserve"> </w:t>
            </w:r>
            <w:proofErr w:type="spellStart"/>
            <w:r>
              <w:rPr>
                <w:rFonts w:ascii="Rockwell" w:eastAsia="Calibri" w:hAnsi="Rockwell"/>
              </w:rPr>
              <w:t>Radarsburkina</w:t>
            </w:r>
            <w:proofErr w:type="spellEnd"/>
          </w:p>
        </w:tc>
        <w:tc>
          <w:tcPr>
            <w:tcW w:w="4394" w:type="dxa"/>
            <w:vAlign w:val="bottom"/>
          </w:tcPr>
          <w:p w14:paraId="484D5740" w14:textId="77777777" w:rsidR="00284822" w:rsidRDefault="003148F1">
            <w:pPr>
              <w:autoSpaceDN/>
              <w:spacing w:before="120" w:after="120"/>
              <w:textAlignment w:val="auto"/>
              <w:rPr>
                <w:rFonts w:ascii="Rockwell" w:eastAsia="Calibri" w:hAnsi="Rockwell"/>
              </w:rPr>
            </w:pPr>
            <w:hyperlink r:id="rId212" w:history="1">
              <w:r w:rsidR="00F77BF8">
                <w:rPr>
                  <w:rStyle w:val="Lienhypertexte"/>
                  <w:rFonts w:ascii="Rockwell" w:eastAsia="Calibri" w:hAnsi="Rockwell"/>
                </w:rPr>
                <w:t>www.radarsburkina.net</w:t>
              </w:r>
            </w:hyperlink>
          </w:p>
        </w:tc>
      </w:tr>
      <w:tr w:rsidR="00284822" w14:paraId="3569A295" w14:textId="77777777">
        <w:tc>
          <w:tcPr>
            <w:tcW w:w="851" w:type="dxa"/>
          </w:tcPr>
          <w:p w14:paraId="0BE0B7D4"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97</w:t>
            </w:r>
          </w:p>
        </w:tc>
        <w:tc>
          <w:tcPr>
            <w:tcW w:w="4678" w:type="dxa"/>
            <w:vAlign w:val="center"/>
          </w:tcPr>
          <w:p w14:paraId="46F8EA0D" w14:textId="77777777" w:rsidR="00284822" w:rsidRDefault="00F77BF8">
            <w:pPr>
              <w:autoSpaceDN/>
              <w:spacing w:before="120" w:after="120"/>
              <w:textAlignment w:val="auto"/>
              <w:rPr>
                <w:rFonts w:ascii="Rockwell" w:eastAsiaTheme="minorHAnsi" w:hAnsi="Rockwell"/>
              </w:rPr>
            </w:pPr>
            <w:r>
              <w:rPr>
                <w:rFonts w:ascii="Rockwell" w:eastAsia="Calibri" w:hAnsi="Rockwell"/>
              </w:rPr>
              <w:t>Ouaganews.net</w:t>
            </w:r>
          </w:p>
        </w:tc>
        <w:tc>
          <w:tcPr>
            <w:tcW w:w="4394" w:type="dxa"/>
            <w:vAlign w:val="bottom"/>
          </w:tcPr>
          <w:p w14:paraId="5637CABD" w14:textId="77777777" w:rsidR="00284822" w:rsidRDefault="003148F1">
            <w:pPr>
              <w:autoSpaceDN/>
              <w:spacing w:before="120" w:after="120"/>
              <w:textAlignment w:val="auto"/>
              <w:rPr>
                <w:rFonts w:ascii="Rockwell" w:eastAsia="Calibri" w:hAnsi="Rockwell"/>
              </w:rPr>
            </w:pPr>
            <w:hyperlink r:id="rId213" w:history="1">
              <w:r w:rsidR="00F77BF8">
                <w:rPr>
                  <w:rStyle w:val="Lienhypertexte"/>
                  <w:rFonts w:ascii="Rockwell" w:eastAsia="Calibri" w:hAnsi="Rockwell"/>
                </w:rPr>
                <w:t>www.ouaganews.net</w:t>
              </w:r>
            </w:hyperlink>
          </w:p>
        </w:tc>
      </w:tr>
      <w:tr w:rsidR="00284822" w14:paraId="34389C17" w14:textId="77777777">
        <w:tc>
          <w:tcPr>
            <w:tcW w:w="851" w:type="dxa"/>
          </w:tcPr>
          <w:p w14:paraId="308EF384"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98</w:t>
            </w:r>
          </w:p>
        </w:tc>
        <w:tc>
          <w:tcPr>
            <w:tcW w:w="4678" w:type="dxa"/>
            <w:vAlign w:val="center"/>
          </w:tcPr>
          <w:p w14:paraId="7720CA12"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Nahourinews</w:t>
            </w:r>
            <w:proofErr w:type="spellEnd"/>
          </w:p>
        </w:tc>
        <w:tc>
          <w:tcPr>
            <w:tcW w:w="4394" w:type="dxa"/>
            <w:vAlign w:val="bottom"/>
          </w:tcPr>
          <w:p w14:paraId="3FF4FA71" w14:textId="77777777" w:rsidR="00284822" w:rsidRDefault="003148F1">
            <w:pPr>
              <w:autoSpaceDN/>
              <w:spacing w:before="120" w:after="120"/>
              <w:textAlignment w:val="auto"/>
              <w:rPr>
                <w:rFonts w:ascii="Rockwell" w:eastAsia="Calibri" w:hAnsi="Rockwell"/>
              </w:rPr>
            </w:pPr>
            <w:hyperlink r:id="rId214" w:history="1">
              <w:r w:rsidR="00F77BF8">
                <w:rPr>
                  <w:rStyle w:val="Lienhypertexte"/>
                  <w:rFonts w:ascii="Rockwell" w:eastAsia="Calibri" w:hAnsi="Rockwell"/>
                </w:rPr>
                <w:t>www.nahourinews.bf</w:t>
              </w:r>
            </w:hyperlink>
          </w:p>
        </w:tc>
      </w:tr>
      <w:tr w:rsidR="00284822" w14:paraId="216CD49E" w14:textId="77777777">
        <w:tc>
          <w:tcPr>
            <w:tcW w:w="851" w:type="dxa"/>
          </w:tcPr>
          <w:p w14:paraId="7AC8EC6D"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99</w:t>
            </w:r>
          </w:p>
        </w:tc>
        <w:tc>
          <w:tcPr>
            <w:tcW w:w="4678" w:type="dxa"/>
            <w:vAlign w:val="center"/>
          </w:tcPr>
          <w:p w14:paraId="09231C25" w14:textId="77777777" w:rsidR="00284822" w:rsidRDefault="00F77BF8">
            <w:pPr>
              <w:autoSpaceDN/>
              <w:spacing w:before="120" w:after="120"/>
              <w:textAlignment w:val="auto"/>
              <w:rPr>
                <w:rFonts w:ascii="Rockwell" w:eastAsiaTheme="minorHAnsi" w:hAnsi="Rockwell"/>
              </w:rPr>
            </w:pPr>
            <w:r>
              <w:rPr>
                <w:rFonts w:ascii="Rockwell" w:eastAsia="Calibri" w:hAnsi="Rockwell"/>
              </w:rPr>
              <w:t xml:space="preserve">Vox </w:t>
            </w:r>
            <w:proofErr w:type="spellStart"/>
            <w:r>
              <w:rPr>
                <w:rFonts w:ascii="Rockwell" w:eastAsia="Calibri" w:hAnsi="Rockwell"/>
              </w:rPr>
              <w:t>Kultur</w:t>
            </w:r>
            <w:proofErr w:type="spellEnd"/>
          </w:p>
        </w:tc>
        <w:tc>
          <w:tcPr>
            <w:tcW w:w="4394" w:type="dxa"/>
            <w:vAlign w:val="bottom"/>
          </w:tcPr>
          <w:p w14:paraId="22FB6560" w14:textId="77777777" w:rsidR="00284822" w:rsidRDefault="003148F1">
            <w:pPr>
              <w:autoSpaceDN/>
              <w:spacing w:before="120" w:after="120"/>
              <w:textAlignment w:val="auto"/>
              <w:rPr>
                <w:rFonts w:ascii="Rockwell" w:eastAsia="Calibri" w:hAnsi="Rockwell"/>
              </w:rPr>
            </w:pPr>
            <w:hyperlink r:id="rId215" w:history="1">
              <w:r w:rsidR="00F77BF8">
                <w:rPr>
                  <w:rStyle w:val="Lienhypertexte"/>
                  <w:rFonts w:ascii="Rockwell" w:eastAsia="Calibri" w:hAnsi="Rockwell"/>
                </w:rPr>
                <w:t>www.voxkultur.com</w:t>
              </w:r>
            </w:hyperlink>
          </w:p>
        </w:tc>
      </w:tr>
      <w:tr w:rsidR="00284822" w14:paraId="4BCD2D7C" w14:textId="77777777">
        <w:tc>
          <w:tcPr>
            <w:tcW w:w="851" w:type="dxa"/>
          </w:tcPr>
          <w:p w14:paraId="67256279"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100</w:t>
            </w:r>
          </w:p>
        </w:tc>
        <w:tc>
          <w:tcPr>
            <w:tcW w:w="4678" w:type="dxa"/>
            <w:vAlign w:val="center"/>
          </w:tcPr>
          <w:p w14:paraId="203FBB30" w14:textId="77777777" w:rsidR="00284822" w:rsidRDefault="00F77BF8">
            <w:pPr>
              <w:autoSpaceDN/>
              <w:spacing w:before="120" w:after="120"/>
              <w:textAlignment w:val="auto"/>
              <w:rPr>
                <w:rFonts w:ascii="Rockwell" w:eastAsiaTheme="minorHAnsi" w:hAnsi="Rockwell"/>
              </w:rPr>
            </w:pPr>
            <w:r>
              <w:rPr>
                <w:rFonts w:ascii="Rockwell" w:eastAsia="Calibri" w:hAnsi="Rockwell"/>
              </w:rPr>
              <w:t>CS Médias</w:t>
            </w:r>
          </w:p>
        </w:tc>
        <w:tc>
          <w:tcPr>
            <w:tcW w:w="4394" w:type="dxa"/>
            <w:vAlign w:val="bottom"/>
          </w:tcPr>
          <w:p w14:paraId="47FCE43F" w14:textId="77777777" w:rsidR="00284822" w:rsidRDefault="00F77BF8">
            <w:pPr>
              <w:autoSpaceDN/>
              <w:spacing w:before="120" w:after="120"/>
              <w:textAlignment w:val="auto"/>
              <w:rPr>
                <w:rFonts w:ascii="Rockwell" w:eastAsia="Calibri" w:hAnsi="Rockwell"/>
              </w:rPr>
            </w:pPr>
            <w:r>
              <w:rPr>
                <w:rFonts w:ascii="Rockwell" w:eastAsia="Calibri" w:hAnsi="Rockwell"/>
              </w:rPr>
              <w:t>www.biznesskibaya.com</w:t>
            </w:r>
          </w:p>
        </w:tc>
      </w:tr>
      <w:tr w:rsidR="00284822" w14:paraId="482CF63E" w14:textId="77777777">
        <w:tc>
          <w:tcPr>
            <w:tcW w:w="851" w:type="dxa"/>
          </w:tcPr>
          <w:p w14:paraId="1956DDC5"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101</w:t>
            </w:r>
          </w:p>
        </w:tc>
        <w:tc>
          <w:tcPr>
            <w:tcW w:w="4678" w:type="dxa"/>
            <w:vAlign w:val="center"/>
          </w:tcPr>
          <w:p w14:paraId="34867B60"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Infofrontiere</w:t>
            </w:r>
            <w:proofErr w:type="spellEnd"/>
          </w:p>
        </w:tc>
        <w:tc>
          <w:tcPr>
            <w:tcW w:w="4394" w:type="dxa"/>
            <w:vAlign w:val="center"/>
          </w:tcPr>
          <w:p w14:paraId="2637DD2E" w14:textId="77777777" w:rsidR="00284822" w:rsidRDefault="00F77BF8">
            <w:pPr>
              <w:autoSpaceDN/>
              <w:spacing w:before="120" w:after="120"/>
              <w:textAlignment w:val="auto"/>
              <w:rPr>
                <w:rFonts w:ascii="Rockwell" w:eastAsiaTheme="minorHAnsi" w:hAnsi="Rockwell"/>
              </w:rPr>
            </w:pPr>
            <w:r>
              <w:rPr>
                <w:rFonts w:ascii="Rockwell" w:eastAsia="Calibri" w:hAnsi="Rockwell"/>
              </w:rPr>
              <w:t>www.infofrontière.com</w:t>
            </w:r>
          </w:p>
        </w:tc>
      </w:tr>
      <w:tr w:rsidR="00284822" w14:paraId="20249D51" w14:textId="77777777">
        <w:tc>
          <w:tcPr>
            <w:tcW w:w="851" w:type="dxa"/>
          </w:tcPr>
          <w:p w14:paraId="7FEF7BC4"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102</w:t>
            </w:r>
          </w:p>
        </w:tc>
        <w:tc>
          <w:tcPr>
            <w:tcW w:w="4678" w:type="dxa"/>
            <w:vAlign w:val="center"/>
          </w:tcPr>
          <w:p w14:paraId="216C06D7"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Filinfo</w:t>
            </w:r>
            <w:proofErr w:type="spellEnd"/>
          </w:p>
        </w:tc>
        <w:tc>
          <w:tcPr>
            <w:tcW w:w="4394" w:type="dxa"/>
            <w:vAlign w:val="bottom"/>
          </w:tcPr>
          <w:p w14:paraId="484F2AAA" w14:textId="77777777" w:rsidR="00284822" w:rsidRDefault="003148F1">
            <w:pPr>
              <w:autoSpaceDN/>
              <w:spacing w:before="120" w:after="120"/>
              <w:textAlignment w:val="auto"/>
              <w:rPr>
                <w:rFonts w:ascii="Rockwell" w:eastAsia="Calibri" w:hAnsi="Rockwell"/>
              </w:rPr>
            </w:pPr>
            <w:hyperlink r:id="rId216" w:history="1">
              <w:r w:rsidR="00F77BF8">
                <w:rPr>
                  <w:rStyle w:val="Lienhypertexte"/>
                  <w:rFonts w:ascii="Rockwell" w:eastAsia="Calibri" w:hAnsi="Rockwell"/>
                </w:rPr>
                <w:t>www.fiinfos.net</w:t>
              </w:r>
            </w:hyperlink>
            <w:r w:rsidR="00F77BF8">
              <w:rPr>
                <w:rFonts w:ascii="Rockwell" w:eastAsia="Calibri" w:hAnsi="Rockwell"/>
              </w:rPr>
              <w:t xml:space="preserve"> </w:t>
            </w:r>
          </w:p>
        </w:tc>
      </w:tr>
      <w:tr w:rsidR="00284822" w14:paraId="18B9A69E" w14:textId="77777777">
        <w:tc>
          <w:tcPr>
            <w:tcW w:w="851" w:type="dxa"/>
          </w:tcPr>
          <w:p w14:paraId="37B3F2EF"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103</w:t>
            </w:r>
          </w:p>
        </w:tc>
        <w:tc>
          <w:tcPr>
            <w:tcW w:w="4678" w:type="dxa"/>
            <w:vAlign w:val="center"/>
          </w:tcPr>
          <w:p w14:paraId="0D7B91BF" w14:textId="77777777" w:rsidR="00284822" w:rsidRDefault="00F77BF8">
            <w:pPr>
              <w:autoSpaceDN/>
              <w:spacing w:before="120" w:after="120"/>
              <w:textAlignment w:val="auto"/>
              <w:rPr>
                <w:rFonts w:ascii="Rockwell" w:eastAsiaTheme="minorHAnsi" w:hAnsi="Rockwell"/>
              </w:rPr>
            </w:pPr>
            <w:r>
              <w:rPr>
                <w:rFonts w:ascii="Rockwell" w:eastAsia="Calibri" w:hAnsi="Rockwell"/>
              </w:rPr>
              <w:t>Timbanews.net</w:t>
            </w:r>
          </w:p>
        </w:tc>
        <w:tc>
          <w:tcPr>
            <w:tcW w:w="4394" w:type="dxa"/>
            <w:vAlign w:val="center"/>
          </w:tcPr>
          <w:p w14:paraId="5892F479" w14:textId="77777777" w:rsidR="00284822" w:rsidRDefault="003148F1">
            <w:pPr>
              <w:autoSpaceDN/>
              <w:spacing w:before="120" w:after="120"/>
              <w:textAlignment w:val="auto"/>
              <w:rPr>
                <w:rFonts w:ascii="Rockwell" w:eastAsiaTheme="minorHAnsi" w:hAnsi="Rockwell"/>
              </w:rPr>
            </w:pPr>
            <w:hyperlink r:id="rId217" w:history="1">
              <w:r w:rsidR="00F77BF8">
                <w:rPr>
                  <w:rStyle w:val="Lienhypertexte"/>
                  <w:rFonts w:ascii="Rockwell" w:eastAsia="Calibri" w:hAnsi="Rockwell"/>
                </w:rPr>
                <w:t>www.timbanews.net</w:t>
              </w:r>
            </w:hyperlink>
            <w:r w:rsidR="00F77BF8">
              <w:rPr>
                <w:rFonts w:ascii="Rockwell" w:eastAsia="Calibri" w:hAnsi="Rockwell"/>
              </w:rPr>
              <w:t xml:space="preserve"> </w:t>
            </w:r>
          </w:p>
        </w:tc>
      </w:tr>
      <w:tr w:rsidR="00284822" w14:paraId="59D766D2" w14:textId="77777777">
        <w:tc>
          <w:tcPr>
            <w:tcW w:w="851" w:type="dxa"/>
          </w:tcPr>
          <w:p w14:paraId="2539BB04"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104</w:t>
            </w:r>
          </w:p>
        </w:tc>
        <w:tc>
          <w:tcPr>
            <w:tcW w:w="4678" w:type="dxa"/>
            <w:vAlign w:val="center"/>
          </w:tcPr>
          <w:p w14:paraId="32C84419" w14:textId="77777777" w:rsidR="00284822" w:rsidRDefault="00F77BF8">
            <w:pPr>
              <w:autoSpaceDN/>
              <w:spacing w:before="120" w:after="120"/>
              <w:textAlignment w:val="auto"/>
              <w:rPr>
                <w:rFonts w:ascii="Rockwell" w:eastAsiaTheme="minorHAnsi" w:hAnsi="Rockwell"/>
              </w:rPr>
            </w:pPr>
            <w:r>
              <w:rPr>
                <w:rFonts w:ascii="Rockwell" w:eastAsia="Calibri" w:hAnsi="Rockwell"/>
              </w:rPr>
              <w:t xml:space="preserve">Direct info </w:t>
            </w:r>
            <w:proofErr w:type="spellStart"/>
            <w:r>
              <w:rPr>
                <w:rFonts w:ascii="Rockwell" w:eastAsia="Calibri" w:hAnsi="Rockwell"/>
              </w:rPr>
              <w:t>burkina</w:t>
            </w:r>
            <w:proofErr w:type="spellEnd"/>
          </w:p>
        </w:tc>
        <w:tc>
          <w:tcPr>
            <w:tcW w:w="4394" w:type="dxa"/>
            <w:vAlign w:val="bottom"/>
          </w:tcPr>
          <w:p w14:paraId="47E93D09" w14:textId="77777777" w:rsidR="00284822" w:rsidRDefault="003148F1">
            <w:pPr>
              <w:autoSpaceDN/>
              <w:spacing w:before="120" w:after="120"/>
              <w:textAlignment w:val="auto"/>
              <w:rPr>
                <w:rFonts w:ascii="Rockwell" w:eastAsia="Calibri" w:hAnsi="Rockwell"/>
              </w:rPr>
            </w:pPr>
            <w:hyperlink r:id="rId218" w:history="1">
              <w:r w:rsidR="00F77BF8">
                <w:rPr>
                  <w:rStyle w:val="Lienhypertexte"/>
                  <w:rFonts w:ascii="Rockwell" w:eastAsia="Calibri" w:hAnsi="Rockwell"/>
                </w:rPr>
                <w:t>www.directinfoburkina.net</w:t>
              </w:r>
            </w:hyperlink>
          </w:p>
        </w:tc>
      </w:tr>
      <w:tr w:rsidR="00284822" w14:paraId="048E1354" w14:textId="77777777">
        <w:tc>
          <w:tcPr>
            <w:tcW w:w="851" w:type="dxa"/>
          </w:tcPr>
          <w:p w14:paraId="37907D5A"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105</w:t>
            </w:r>
          </w:p>
        </w:tc>
        <w:tc>
          <w:tcPr>
            <w:tcW w:w="4678" w:type="dxa"/>
            <w:vAlign w:val="center"/>
          </w:tcPr>
          <w:p w14:paraId="3D25B139" w14:textId="77777777" w:rsidR="00284822" w:rsidRDefault="00F77BF8">
            <w:pPr>
              <w:autoSpaceDN/>
              <w:spacing w:before="120" w:after="120"/>
              <w:textAlignment w:val="auto"/>
              <w:rPr>
                <w:rFonts w:ascii="Rockwell" w:eastAsiaTheme="minorHAnsi" w:hAnsi="Rockwell"/>
              </w:rPr>
            </w:pPr>
            <w:r>
              <w:rPr>
                <w:rFonts w:ascii="Rockwell" w:eastAsia="Calibri" w:hAnsi="Rockwell"/>
              </w:rPr>
              <w:t xml:space="preserve">Le courrier du Faso  </w:t>
            </w:r>
          </w:p>
        </w:tc>
        <w:tc>
          <w:tcPr>
            <w:tcW w:w="4394" w:type="dxa"/>
            <w:vAlign w:val="bottom"/>
          </w:tcPr>
          <w:p w14:paraId="6A0CB524" w14:textId="77777777" w:rsidR="00284822" w:rsidRDefault="00F77BF8">
            <w:pPr>
              <w:autoSpaceDN/>
              <w:spacing w:before="120" w:after="120"/>
              <w:textAlignment w:val="auto"/>
              <w:rPr>
                <w:rFonts w:ascii="Rockwell" w:eastAsiaTheme="minorHAnsi" w:hAnsi="Rockwell"/>
              </w:rPr>
            </w:pPr>
            <w:r>
              <w:rPr>
                <w:rFonts w:ascii="Rockwell" w:eastAsia="Calibri" w:hAnsi="Rockwell"/>
              </w:rPr>
              <w:t>wwwlecourrierdufaso.net</w:t>
            </w:r>
          </w:p>
        </w:tc>
      </w:tr>
      <w:tr w:rsidR="00284822" w14:paraId="29D3AF20" w14:textId="77777777">
        <w:tc>
          <w:tcPr>
            <w:tcW w:w="851" w:type="dxa"/>
          </w:tcPr>
          <w:p w14:paraId="59882A8C"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106</w:t>
            </w:r>
          </w:p>
        </w:tc>
        <w:tc>
          <w:tcPr>
            <w:tcW w:w="4678" w:type="dxa"/>
            <w:vAlign w:val="center"/>
          </w:tcPr>
          <w:p w14:paraId="57D51D11" w14:textId="77777777" w:rsidR="00284822" w:rsidRDefault="00F77BF8">
            <w:pPr>
              <w:autoSpaceDN/>
              <w:spacing w:before="120" w:after="120"/>
              <w:textAlignment w:val="auto"/>
              <w:rPr>
                <w:rFonts w:ascii="Rockwell" w:eastAsiaTheme="minorHAnsi" w:hAnsi="Rockwell"/>
              </w:rPr>
            </w:pPr>
            <w:r>
              <w:rPr>
                <w:rFonts w:ascii="Rockwell" w:eastAsia="Calibri" w:hAnsi="Rockwell"/>
              </w:rPr>
              <w:t>L’info H24</w:t>
            </w:r>
          </w:p>
        </w:tc>
        <w:tc>
          <w:tcPr>
            <w:tcW w:w="4394" w:type="dxa"/>
            <w:vAlign w:val="bottom"/>
          </w:tcPr>
          <w:p w14:paraId="25C8F7B5" w14:textId="77777777" w:rsidR="00284822" w:rsidRDefault="003148F1">
            <w:pPr>
              <w:autoSpaceDN/>
              <w:spacing w:before="120" w:after="120"/>
              <w:textAlignment w:val="auto"/>
              <w:rPr>
                <w:rFonts w:ascii="Rockwell" w:eastAsia="Calibri" w:hAnsi="Rockwell"/>
              </w:rPr>
            </w:pPr>
            <w:hyperlink r:id="rId219" w:history="1">
              <w:r w:rsidR="00F77BF8">
                <w:rPr>
                  <w:rStyle w:val="Lienhypertexte"/>
                  <w:rFonts w:ascii="Rockwell" w:eastAsia="Calibri" w:hAnsi="Rockwell"/>
                </w:rPr>
                <w:t>www.infoh24.info</w:t>
              </w:r>
            </w:hyperlink>
          </w:p>
        </w:tc>
      </w:tr>
      <w:tr w:rsidR="00284822" w14:paraId="2EF67CDB" w14:textId="77777777">
        <w:tc>
          <w:tcPr>
            <w:tcW w:w="851" w:type="dxa"/>
          </w:tcPr>
          <w:p w14:paraId="38F22655"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107</w:t>
            </w:r>
          </w:p>
        </w:tc>
        <w:tc>
          <w:tcPr>
            <w:tcW w:w="4678" w:type="dxa"/>
            <w:vAlign w:val="center"/>
          </w:tcPr>
          <w:p w14:paraId="3CB55E33" w14:textId="77777777" w:rsidR="00284822" w:rsidRDefault="00F77BF8">
            <w:pPr>
              <w:autoSpaceDN/>
              <w:spacing w:before="120" w:after="120"/>
              <w:textAlignment w:val="auto"/>
              <w:rPr>
                <w:rFonts w:ascii="Rockwell" w:eastAsiaTheme="minorHAnsi" w:hAnsi="Rockwell"/>
              </w:rPr>
            </w:pPr>
            <w:r>
              <w:rPr>
                <w:rFonts w:ascii="Rockwell" w:eastAsia="Calibri" w:hAnsi="Rockwell"/>
              </w:rPr>
              <w:t>Wouninfo.net</w:t>
            </w:r>
          </w:p>
        </w:tc>
        <w:tc>
          <w:tcPr>
            <w:tcW w:w="4394" w:type="dxa"/>
            <w:vAlign w:val="bottom"/>
          </w:tcPr>
          <w:p w14:paraId="14EBA3C5" w14:textId="77777777" w:rsidR="00284822" w:rsidRDefault="003148F1">
            <w:pPr>
              <w:autoSpaceDN/>
              <w:spacing w:before="120" w:after="120"/>
              <w:textAlignment w:val="auto"/>
              <w:rPr>
                <w:rFonts w:ascii="Rockwell" w:eastAsia="Calibri" w:hAnsi="Rockwell"/>
              </w:rPr>
            </w:pPr>
            <w:hyperlink r:id="rId220" w:history="1">
              <w:r w:rsidR="00F77BF8">
                <w:rPr>
                  <w:rStyle w:val="Lienhypertexte"/>
                  <w:rFonts w:ascii="Rockwell" w:eastAsia="Calibri" w:hAnsi="Rockwell"/>
                </w:rPr>
                <w:t>www.wouninfo.net</w:t>
              </w:r>
            </w:hyperlink>
          </w:p>
        </w:tc>
      </w:tr>
      <w:tr w:rsidR="00284822" w14:paraId="1AEA10C7" w14:textId="77777777">
        <w:tc>
          <w:tcPr>
            <w:tcW w:w="851" w:type="dxa"/>
          </w:tcPr>
          <w:p w14:paraId="4120B18E"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108</w:t>
            </w:r>
          </w:p>
        </w:tc>
        <w:tc>
          <w:tcPr>
            <w:tcW w:w="4678" w:type="dxa"/>
            <w:vAlign w:val="center"/>
          </w:tcPr>
          <w:p w14:paraId="1E485FD1"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Educmedias</w:t>
            </w:r>
            <w:proofErr w:type="spellEnd"/>
          </w:p>
        </w:tc>
        <w:tc>
          <w:tcPr>
            <w:tcW w:w="4394" w:type="dxa"/>
            <w:vAlign w:val="bottom"/>
          </w:tcPr>
          <w:p w14:paraId="5990967D" w14:textId="77777777" w:rsidR="00284822" w:rsidRDefault="003148F1">
            <w:pPr>
              <w:autoSpaceDN/>
              <w:spacing w:before="120" w:after="120"/>
              <w:textAlignment w:val="auto"/>
              <w:rPr>
                <w:rFonts w:ascii="Rockwell" w:eastAsia="Calibri" w:hAnsi="Rockwell"/>
              </w:rPr>
            </w:pPr>
            <w:hyperlink r:id="rId221" w:history="1">
              <w:r w:rsidR="00F77BF8">
                <w:rPr>
                  <w:rStyle w:val="Lienhypertexte"/>
                  <w:rFonts w:ascii="Rockwell" w:eastAsia="Calibri" w:hAnsi="Rockwell"/>
                </w:rPr>
                <w:t>www.educmedias.com</w:t>
              </w:r>
            </w:hyperlink>
            <w:r w:rsidR="00F77BF8">
              <w:rPr>
                <w:rFonts w:ascii="Rockwell" w:eastAsia="Calibri" w:hAnsi="Rockwell"/>
              </w:rPr>
              <w:t xml:space="preserve"> </w:t>
            </w:r>
          </w:p>
        </w:tc>
      </w:tr>
      <w:tr w:rsidR="00284822" w14:paraId="747102C5" w14:textId="77777777">
        <w:tc>
          <w:tcPr>
            <w:tcW w:w="851" w:type="dxa"/>
          </w:tcPr>
          <w:p w14:paraId="20927431"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109</w:t>
            </w:r>
          </w:p>
        </w:tc>
        <w:tc>
          <w:tcPr>
            <w:tcW w:w="4678" w:type="dxa"/>
            <w:vAlign w:val="center"/>
          </w:tcPr>
          <w:p w14:paraId="2D8043BC" w14:textId="77777777" w:rsidR="00284822" w:rsidRDefault="00F77BF8">
            <w:pPr>
              <w:autoSpaceDN/>
              <w:spacing w:before="120" w:after="120"/>
              <w:textAlignment w:val="auto"/>
              <w:rPr>
                <w:rFonts w:ascii="Rockwell" w:eastAsiaTheme="minorHAnsi" w:hAnsi="Rockwell"/>
              </w:rPr>
            </w:pPr>
            <w:r>
              <w:rPr>
                <w:rFonts w:ascii="Rockwell" w:eastAsia="Calibri" w:hAnsi="Rockwell"/>
              </w:rPr>
              <w:t xml:space="preserve">Team2faso. </w:t>
            </w:r>
            <w:proofErr w:type="gramStart"/>
            <w:r>
              <w:rPr>
                <w:rFonts w:ascii="Rockwell" w:eastAsia="Calibri" w:hAnsi="Rockwell"/>
              </w:rPr>
              <w:t>com</w:t>
            </w:r>
            <w:proofErr w:type="gramEnd"/>
          </w:p>
        </w:tc>
        <w:tc>
          <w:tcPr>
            <w:tcW w:w="4394" w:type="dxa"/>
            <w:vAlign w:val="bottom"/>
          </w:tcPr>
          <w:p w14:paraId="2CB34529" w14:textId="77777777" w:rsidR="00284822" w:rsidRDefault="003148F1">
            <w:pPr>
              <w:autoSpaceDN/>
              <w:spacing w:before="120" w:after="120"/>
              <w:textAlignment w:val="auto"/>
              <w:rPr>
                <w:rFonts w:ascii="Rockwell" w:eastAsia="Calibri" w:hAnsi="Rockwell"/>
              </w:rPr>
            </w:pPr>
            <w:hyperlink r:id="rId222" w:history="1">
              <w:r w:rsidR="00F77BF8">
                <w:rPr>
                  <w:rStyle w:val="Lienhypertexte"/>
                  <w:rFonts w:ascii="Rockwell" w:eastAsia="Calibri" w:hAnsi="Rockwell"/>
                </w:rPr>
                <w:t>www.team2faso.com</w:t>
              </w:r>
            </w:hyperlink>
          </w:p>
        </w:tc>
      </w:tr>
      <w:tr w:rsidR="00284822" w14:paraId="170BAA3D" w14:textId="77777777">
        <w:tc>
          <w:tcPr>
            <w:tcW w:w="851" w:type="dxa"/>
          </w:tcPr>
          <w:p w14:paraId="2E842758"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110</w:t>
            </w:r>
          </w:p>
        </w:tc>
        <w:tc>
          <w:tcPr>
            <w:tcW w:w="4678" w:type="dxa"/>
            <w:vAlign w:val="center"/>
          </w:tcPr>
          <w:p w14:paraId="1EE6247A"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Actualite.Bf</w:t>
            </w:r>
            <w:proofErr w:type="spellEnd"/>
          </w:p>
        </w:tc>
        <w:tc>
          <w:tcPr>
            <w:tcW w:w="4394" w:type="dxa"/>
            <w:vAlign w:val="bottom"/>
          </w:tcPr>
          <w:p w14:paraId="7E121710" w14:textId="77777777" w:rsidR="00284822" w:rsidRDefault="00F77BF8">
            <w:pPr>
              <w:autoSpaceDN/>
              <w:spacing w:before="120" w:after="120"/>
              <w:textAlignment w:val="auto"/>
              <w:rPr>
                <w:rFonts w:ascii="Rockwell" w:eastAsia="Calibri" w:hAnsi="Rockwell"/>
              </w:rPr>
            </w:pPr>
            <w:r>
              <w:rPr>
                <w:rFonts w:ascii="Rockwell" w:eastAsia="Calibri" w:hAnsi="Rockwell"/>
              </w:rPr>
              <w:t>WWW.ACTUALITE.BF</w:t>
            </w:r>
          </w:p>
        </w:tc>
      </w:tr>
      <w:tr w:rsidR="00284822" w14:paraId="52620EFE" w14:textId="77777777">
        <w:tc>
          <w:tcPr>
            <w:tcW w:w="851" w:type="dxa"/>
          </w:tcPr>
          <w:p w14:paraId="358EAF84"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111</w:t>
            </w:r>
          </w:p>
        </w:tc>
        <w:tc>
          <w:tcPr>
            <w:tcW w:w="4678" w:type="dxa"/>
            <w:vAlign w:val="center"/>
          </w:tcPr>
          <w:p w14:paraId="3DF02E20"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Bargo</w:t>
            </w:r>
            <w:proofErr w:type="spellEnd"/>
            <w:r>
              <w:rPr>
                <w:rFonts w:ascii="Rockwell" w:eastAsia="Calibri" w:hAnsi="Rockwell"/>
              </w:rPr>
              <w:t xml:space="preserve"> News</w:t>
            </w:r>
          </w:p>
        </w:tc>
        <w:tc>
          <w:tcPr>
            <w:tcW w:w="4394" w:type="dxa"/>
            <w:vAlign w:val="bottom"/>
          </w:tcPr>
          <w:p w14:paraId="42264CEE" w14:textId="77777777" w:rsidR="00284822" w:rsidRDefault="00F77BF8">
            <w:pPr>
              <w:autoSpaceDN/>
              <w:spacing w:before="120" w:after="120"/>
              <w:textAlignment w:val="auto"/>
              <w:rPr>
                <w:rFonts w:ascii="Rockwell" w:eastAsia="Calibri" w:hAnsi="Rockwell"/>
              </w:rPr>
            </w:pPr>
            <w:r>
              <w:rPr>
                <w:rFonts w:ascii="Rockwell" w:eastAsia="Calibri" w:hAnsi="Rockwell"/>
              </w:rPr>
              <w:t>www.bargonews.net</w:t>
            </w:r>
          </w:p>
        </w:tc>
      </w:tr>
      <w:tr w:rsidR="00284822" w14:paraId="4A6D5253" w14:textId="77777777">
        <w:tc>
          <w:tcPr>
            <w:tcW w:w="851" w:type="dxa"/>
          </w:tcPr>
          <w:p w14:paraId="16E5F986"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112</w:t>
            </w:r>
          </w:p>
        </w:tc>
        <w:tc>
          <w:tcPr>
            <w:tcW w:w="4678" w:type="dxa"/>
            <w:vAlign w:val="center"/>
          </w:tcPr>
          <w:p w14:paraId="0FA23597" w14:textId="77777777" w:rsidR="00284822" w:rsidRDefault="00F77BF8">
            <w:pPr>
              <w:autoSpaceDN/>
              <w:spacing w:before="120" w:after="120"/>
              <w:textAlignment w:val="auto"/>
              <w:rPr>
                <w:rFonts w:ascii="Rockwell" w:eastAsiaTheme="minorHAnsi" w:hAnsi="Rockwell"/>
              </w:rPr>
            </w:pPr>
            <w:r>
              <w:rPr>
                <w:rFonts w:ascii="Rockwell" w:eastAsia="Calibri" w:hAnsi="Rockwell"/>
              </w:rPr>
              <w:t xml:space="preserve">Live News </w:t>
            </w:r>
            <w:proofErr w:type="spellStart"/>
            <w:r>
              <w:rPr>
                <w:rFonts w:ascii="Rockwell" w:eastAsia="Calibri" w:hAnsi="Rockwell"/>
              </w:rPr>
              <w:t>Africa</w:t>
            </w:r>
            <w:proofErr w:type="spellEnd"/>
          </w:p>
        </w:tc>
        <w:tc>
          <w:tcPr>
            <w:tcW w:w="4394" w:type="dxa"/>
            <w:vAlign w:val="bottom"/>
          </w:tcPr>
          <w:p w14:paraId="5CEEA643" w14:textId="77777777" w:rsidR="00284822" w:rsidRDefault="00F77BF8">
            <w:pPr>
              <w:autoSpaceDN/>
              <w:spacing w:before="120" w:after="120"/>
              <w:textAlignment w:val="auto"/>
              <w:rPr>
                <w:rFonts w:ascii="Rockwell" w:eastAsia="Calibri" w:hAnsi="Rockwell"/>
              </w:rPr>
            </w:pPr>
            <w:r>
              <w:rPr>
                <w:rFonts w:ascii="Rockwell" w:eastAsia="Calibri" w:hAnsi="Rockwell"/>
              </w:rPr>
              <w:t>livenewsafrica.net</w:t>
            </w:r>
          </w:p>
        </w:tc>
      </w:tr>
      <w:tr w:rsidR="00284822" w14:paraId="1AF3B18E" w14:textId="77777777">
        <w:tc>
          <w:tcPr>
            <w:tcW w:w="851" w:type="dxa"/>
          </w:tcPr>
          <w:p w14:paraId="5EFC08E7"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113</w:t>
            </w:r>
          </w:p>
        </w:tc>
        <w:tc>
          <w:tcPr>
            <w:tcW w:w="4678" w:type="dxa"/>
            <w:vAlign w:val="center"/>
          </w:tcPr>
          <w:p w14:paraId="05EE5C17" w14:textId="77777777" w:rsidR="00284822" w:rsidRDefault="00F77BF8">
            <w:pPr>
              <w:autoSpaceDN/>
              <w:spacing w:before="120" w:after="120"/>
              <w:textAlignment w:val="auto"/>
              <w:rPr>
                <w:rFonts w:ascii="Rockwell" w:eastAsiaTheme="minorHAnsi" w:hAnsi="Rockwell"/>
              </w:rPr>
            </w:pPr>
            <w:r>
              <w:rPr>
                <w:rFonts w:ascii="Rockwell" w:eastAsia="Calibri" w:hAnsi="Rockwell"/>
              </w:rPr>
              <w:t>Net Afrique</w:t>
            </w:r>
          </w:p>
        </w:tc>
        <w:tc>
          <w:tcPr>
            <w:tcW w:w="4394" w:type="dxa"/>
            <w:vAlign w:val="bottom"/>
          </w:tcPr>
          <w:p w14:paraId="244F8D7D" w14:textId="77777777" w:rsidR="00284822" w:rsidRDefault="003148F1">
            <w:pPr>
              <w:autoSpaceDN/>
              <w:spacing w:before="120" w:after="120"/>
              <w:textAlignment w:val="auto"/>
              <w:rPr>
                <w:rFonts w:ascii="Rockwell" w:eastAsia="Calibri" w:hAnsi="Rockwell"/>
              </w:rPr>
            </w:pPr>
            <w:hyperlink r:id="rId223" w:history="1">
              <w:r w:rsidR="00F77BF8">
                <w:rPr>
                  <w:rStyle w:val="Lienhypertexte"/>
                  <w:rFonts w:ascii="Rockwell" w:eastAsia="Calibri" w:hAnsi="Rockwell"/>
                </w:rPr>
                <w:t>www.netafrique.net</w:t>
              </w:r>
            </w:hyperlink>
          </w:p>
        </w:tc>
      </w:tr>
      <w:tr w:rsidR="00284822" w14:paraId="36B93AA0" w14:textId="77777777">
        <w:tc>
          <w:tcPr>
            <w:tcW w:w="851" w:type="dxa"/>
          </w:tcPr>
          <w:p w14:paraId="11EF5075"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lastRenderedPageBreak/>
              <w:t>114</w:t>
            </w:r>
          </w:p>
        </w:tc>
        <w:tc>
          <w:tcPr>
            <w:tcW w:w="4678" w:type="dxa"/>
            <w:vAlign w:val="center"/>
          </w:tcPr>
          <w:p w14:paraId="24EE5100" w14:textId="77777777" w:rsidR="00284822" w:rsidRDefault="00F77BF8">
            <w:pPr>
              <w:autoSpaceDN/>
              <w:spacing w:before="120" w:after="120"/>
              <w:textAlignment w:val="auto"/>
              <w:rPr>
                <w:rFonts w:ascii="Rockwell" w:eastAsiaTheme="minorHAnsi" w:hAnsi="Rockwell"/>
              </w:rPr>
            </w:pPr>
            <w:r>
              <w:rPr>
                <w:rFonts w:ascii="Rockwell" w:eastAsia="Calibri" w:hAnsi="Rockwell"/>
              </w:rPr>
              <w:t>Faso Mania</w:t>
            </w:r>
          </w:p>
        </w:tc>
        <w:tc>
          <w:tcPr>
            <w:tcW w:w="4394" w:type="dxa"/>
            <w:vAlign w:val="bottom"/>
          </w:tcPr>
          <w:p w14:paraId="65A64530" w14:textId="77777777" w:rsidR="00284822" w:rsidRDefault="003148F1">
            <w:pPr>
              <w:autoSpaceDN/>
              <w:spacing w:before="120" w:after="120"/>
              <w:textAlignment w:val="auto"/>
              <w:rPr>
                <w:rFonts w:ascii="Rockwell" w:eastAsia="Calibri" w:hAnsi="Rockwell"/>
              </w:rPr>
            </w:pPr>
            <w:hyperlink r:id="rId224" w:history="1">
              <w:r w:rsidR="00F77BF8">
                <w:rPr>
                  <w:rStyle w:val="Lienhypertexte"/>
                  <w:rFonts w:ascii="Rockwell" w:eastAsia="Calibri" w:hAnsi="Rockwell"/>
                </w:rPr>
                <w:t>www.fasomania.com</w:t>
              </w:r>
            </w:hyperlink>
          </w:p>
        </w:tc>
      </w:tr>
      <w:tr w:rsidR="00284822" w14:paraId="18AF6DDA" w14:textId="77777777">
        <w:tc>
          <w:tcPr>
            <w:tcW w:w="851" w:type="dxa"/>
          </w:tcPr>
          <w:p w14:paraId="7B0ACD16"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115</w:t>
            </w:r>
          </w:p>
        </w:tc>
        <w:tc>
          <w:tcPr>
            <w:tcW w:w="4678" w:type="dxa"/>
            <w:vAlign w:val="center"/>
          </w:tcPr>
          <w:p w14:paraId="686AB156"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ActuBurkina</w:t>
            </w:r>
            <w:proofErr w:type="spellEnd"/>
          </w:p>
        </w:tc>
        <w:tc>
          <w:tcPr>
            <w:tcW w:w="4394" w:type="dxa"/>
            <w:vAlign w:val="bottom"/>
          </w:tcPr>
          <w:p w14:paraId="60222341" w14:textId="77777777" w:rsidR="00284822" w:rsidRDefault="003148F1">
            <w:pPr>
              <w:autoSpaceDN/>
              <w:spacing w:before="120" w:after="120"/>
              <w:textAlignment w:val="auto"/>
              <w:rPr>
                <w:rFonts w:ascii="Rockwell" w:eastAsia="Calibri" w:hAnsi="Rockwell"/>
              </w:rPr>
            </w:pPr>
            <w:hyperlink r:id="rId225" w:history="1">
              <w:r w:rsidR="00F77BF8">
                <w:rPr>
                  <w:rStyle w:val="Lienhypertexte"/>
                  <w:rFonts w:ascii="Rockwell" w:eastAsia="Calibri" w:hAnsi="Rockwell"/>
                </w:rPr>
                <w:t>www.actuburkina.net</w:t>
              </w:r>
            </w:hyperlink>
          </w:p>
        </w:tc>
      </w:tr>
      <w:tr w:rsidR="00284822" w14:paraId="11C48717" w14:textId="77777777">
        <w:tc>
          <w:tcPr>
            <w:tcW w:w="851" w:type="dxa"/>
          </w:tcPr>
          <w:p w14:paraId="1D15F3A1"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116</w:t>
            </w:r>
          </w:p>
        </w:tc>
        <w:tc>
          <w:tcPr>
            <w:tcW w:w="4678" w:type="dxa"/>
            <w:vAlign w:val="center"/>
          </w:tcPr>
          <w:p w14:paraId="6E301A23" w14:textId="77777777" w:rsidR="00284822" w:rsidRDefault="00F77BF8">
            <w:pPr>
              <w:autoSpaceDN/>
              <w:spacing w:before="120" w:after="120"/>
              <w:textAlignment w:val="auto"/>
              <w:rPr>
                <w:rFonts w:ascii="Rockwell" w:eastAsiaTheme="minorHAnsi" w:hAnsi="Rockwell"/>
              </w:rPr>
            </w:pPr>
            <w:r>
              <w:rPr>
                <w:rFonts w:ascii="Rockwell" w:eastAsia="Calibri" w:hAnsi="Rockwell"/>
              </w:rPr>
              <w:t>Actuel Media Burkina Faso</w:t>
            </w:r>
          </w:p>
        </w:tc>
        <w:tc>
          <w:tcPr>
            <w:tcW w:w="4394" w:type="dxa"/>
            <w:vAlign w:val="bottom"/>
          </w:tcPr>
          <w:p w14:paraId="4667A8D3" w14:textId="77777777" w:rsidR="00284822" w:rsidRDefault="003148F1">
            <w:pPr>
              <w:autoSpaceDN/>
              <w:spacing w:before="120" w:after="120"/>
              <w:textAlignment w:val="auto"/>
              <w:rPr>
                <w:rFonts w:ascii="Rockwell" w:eastAsia="Calibri" w:hAnsi="Rockwell"/>
              </w:rPr>
            </w:pPr>
            <w:hyperlink r:id="rId226" w:history="1">
              <w:r w:rsidR="00F77BF8">
                <w:rPr>
                  <w:rStyle w:val="Lienhypertexte"/>
                  <w:rFonts w:ascii="Rockwell" w:eastAsia="Calibri" w:hAnsi="Rockwell"/>
                </w:rPr>
                <w:t>www.actuelmediabf.com</w:t>
              </w:r>
            </w:hyperlink>
          </w:p>
        </w:tc>
      </w:tr>
      <w:tr w:rsidR="00284822" w14:paraId="177DF00A" w14:textId="77777777">
        <w:tc>
          <w:tcPr>
            <w:tcW w:w="851" w:type="dxa"/>
          </w:tcPr>
          <w:p w14:paraId="3B7F2811"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117</w:t>
            </w:r>
          </w:p>
        </w:tc>
        <w:tc>
          <w:tcPr>
            <w:tcW w:w="4678" w:type="dxa"/>
            <w:vAlign w:val="center"/>
          </w:tcPr>
          <w:p w14:paraId="1830DC2F" w14:textId="77777777" w:rsidR="00284822" w:rsidRDefault="00F77BF8">
            <w:pPr>
              <w:autoSpaceDN/>
              <w:spacing w:before="120" w:after="120"/>
              <w:textAlignment w:val="auto"/>
              <w:rPr>
                <w:rFonts w:ascii="Rockwell" w:eastAsiaTheme="minorHAnsi" w:hAnsi="Rockwell"/>
              </w:rPr>
            </w:pPr>
            <w:r>
              <w:rPr>
                <w:rFonts w:ascii="Rockwell" w:eastAsia="Calibri" w:hAnsi="Rockwell"/>
              </w:rPr>
              <w:t>Faso Breaking News</w:t>
            </w:r>
          </w:p>
        </w:tc>
        <w:tc>
          <w:tcPr>
            <w:tcW w:w="4394" w:type="dxa"/>
            <w:vAlign w:val="bottom"/>
          </w:tcPr>
          <w:p w14:paraId="257BBFE8" w14:textId="77777777" w:rsidR="00284822" w:rsidRDefault="003148F1">
            <w:pPr>
              <w:autoSpaceDN/>
              <w:spacing w:before="120" w:after="120"/>
              <w:textAlignment w:val="auto"/>
              <w:rPr>
                <w:rFonts w:ascii="Rockwell" w:eastAsia="Calibri" w:hAnsi="Rockwell"/>
              </w:rPr>
            </w:pPr>
            <w:hyperlink r:id="rId227" w:history="1">
              <w:r w:rsidR="00F77BF8">
                <w:rPr>
                  <w:rStyle w:val="Lienhypertexte"/>
                  <w:rFonts w:ascii="Rockwell" w:eastAsia="Calibri" w:hAnsi="Rockwell"/>
                </w:rPr>
                <w:t>www.Fasobreakingnews.com</w:t>
              </w:r>
            </w:hyperlink>
          </w:p>
        </w:tc>
      </w:tr>
      <w:tr w:rsidR="00284822" w14:paraId="34C6E1E0" w14:textId="77777777">
        <w:tc>
          <w:tcPr>
            <w:tcW w:w="851" w:type="dxa"/>
          </w:tcPr>
          <w:p w14:paraId="556E716B"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118</w:t>
            </w:r>
          </w:p>
        </w:tc>
        <w:tc>
          <w:tcPr>
            <w:tcW w:w="4678" w:type="dxa"/>
            <w:vAlign w:val="center"/>
          </w:tcPr>
          <w:p w14:paraId="09020225"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Lessentiels</w:t>
            </w:r>
            <w:proofErr w:type="spellEnd"/>
          </w:p>
        </w:tc>
        <w:tc>
          <w:tcPr>
            <w:tcW w:w="4394" w:type="dxa"/>
            <w:vAlign w:val="bottom"/>
          </w:tcPr>
          <w:p w14:paraId="2D190AFA" w14:textId="77777777" w:rsidR="00284822" w:rsidRDefault="003148F1">
            <w:pPr>
              <w:autoSpaceDN/>
              <w:spacing w:before="120" w:after="120"/>
              <w:textAlignment w:val="auto"/>
              <w:rPr>
                <w:rFonts w:ascii="Rockwell" w:eastAsia="Calibri" w:hAnsi="Rockwell"/>
              </w:rPr>
            </w:pPr>
            <w:hyperlink r:id="rId228" w:history="1">
              <w:r w:rsidR="00F77BF8">
                <w:rPr>
                  <w:rStyle w:val="Lienhypertexte"/>
                  <w:rFonts w:ascii="Rockwell" w:eastAsia="Calibri" w:hAnsi="Rockwell"/>
                </w:rPr>
                <w:t>www.lessentiels.net</w:t>
              </w:r>
            </w:hyperlink>
          </w:p>
        </w:tc>
      </w:tr>
      <w:tr w:rsidR="00284822" w14:paraId="7745F704" w14:textId="77777777">
        <w:tc>
          <w:tcPr>
            <w:tcW w:w="851" w:type="dxa"/>
          </w:tcPr>
          <w:p w14:paraId="4CD42C09"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119</w:t>
            </w:r>
          </w:p>
        </w:tc>
        <w:tc>
          <w:tcPr>
            <w:tcW w:w="4678" w:type="dxa"/>
            <w:vAlign w:val="center"/>
          </w:tcPr>
          <w:p w14:paraId="02AA3110"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Noorinfos</w:t>
            </w:r>
            <w:proofErr w:type="spellEnd"/>
          </w:p>
        </w:tc>
        <w:tc>
          <w:tcPr>
            <w:tcW w:w="4394" w:type="dxa"/>
            <w:vAlign w:val="bottom"/>
          </w:tcPr>
          <w:p w14:paraId="5628D37B" w14:textId="77777777" w:rsidR="00284822" w:rsidRDefault="003148F1">
            <w:pPr>
              <w:autoSpaceDN/>
              <w:spacing w:before="120" w:after="120"/>
              <w:textAlignment w:val="auto"/>
              <w:rPr>
                <w:rFonts w:ascii="Rockwell" w:eastAsia="Calibri" w:hAnsi="Rockwell"/>
              </w:rPr>
            </w:pPr>
            <w:hyperlink r:id="rId229" w:history="1">
              <w:r w:rsidR="00F77BF8">
                <w:rPr>
                  <w:rStyle w:val="Lienhypertexte"/>
                  <w:rFonts w:ascii="Rockwell" w:eastAsia="Calibri" w:hAnsi="Rockwell"/>
                </w:rPr>
                <w:t>www.noorinfos.com</w:t>
              </w:r>
            </w:hyperlink>
          </w:p>
        </w:tc>
      </w:tr>
      <w:tr w:rsidR="00284822" w14:paraId="612A7E22" w14:textId="77777777">
        <w:tc>
          <w:tcPr>
            <w:tcW w:w="851" w:type="dxa"/>
          </w:tcPr>
          <w:p w14:paraId="5222436C"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120</w:t>
            </w:r>
          </w:p>
        </w:tc>
        <w:tc>
          <w:tcPr>
            <w:tcW w:w="4678" w:type="dxa"/>
            <w:vAlign w:val="center"/>
          </w:tcPr>
          <w:p w14:paraId="07816087"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Danfani</w:t>
            </w:r>
            <w:proofErr w:type="spellEnd"/>
            <w:r>
              <w:rPr>
                <w:rFonts w:ascii="Rockwell" w:eastAsia="Calibri" w:hAnsi="Rockwell"/>
              </w:rPr>
              <w:t xml:space="preserve"> </w:t>
            </w:r>
            <w:proofErr w:type="spellStart"/>
            <w:r>
              <w:rPr>
                <w:rFonts w:ascii="Rockwell" w:eastAsia="Calibri" w:hAnsi="Rockwell"/>
              </w:rPr>
              <w:t>Seduction</w:t>
            </w:r>
            <w:proofErr w:type="spellEnd"/>
          </w:p>
        </w:tc>
        <w:tc>
          <w:tcPr>
            <w:tcW w:w="4394" w:type="dxa"/>
            <w:vAlign w:val="bottom"/>
          </w:tcPr>
          <w:p w14:paraId="0960C9CD" w14:textId="77777777" w:rsidR="00284822" w:rsidRDefault="003148F1">
            <w:pPr>
              <w:autoSpaceDN/>
              <w:spacing w:before="120" w:after="120"/>
              <w:textAlignment w:val="auto"/>
              <w:rPr>
                <w:rFonts w:ascii="Rockwell" w:eastAsia="Calibri" w:hAnsi="Rockwell"/>
              </w:rPr>
            </w:pPr>
            <w:hyperlink r:id="rId230" w:history="1">
              <w:r w:rsidR="00F77BF8">
                <w:rPr>
                  <w:rStyle w:val="Lienhypertexte"/>
                  <w:rFonts w:ascii="Rockwell" w:eastAsia="Calibri" w:hAnsi="Rockwell"/>
                </w:rPr>
                <w:t>www.danfaniseduction.net</w:t>
              </w:r>
            </w:hyperlink>
          </w:p>
        </w:tc>
      </w:tr>
      <w:tr w:rsidR="00284822" w14:paraId="75E05B06" w14:textId="77777777">
        <w:tc>
          <w:tcPr>
            <w:tcW w:w="851" w:type="dxa"/>
          </w:tcPr>
          <w:p w14:paraId="3635D530"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121</w:t>
            </w:r>
          </w:p>
        </w:tc>
        <w:tc>
          <w:tcPr>
            <w:tcW w:w="4678" w:type="dxa"/>
            <w:vAlign w:val="center"/>
          </w:tcPr>
          <w:p w14:paraId="4A406F6C" w14:textId="77777777" w:rsidR="00284822" w:rsidRDefault="00F77BF8">
            <w:pPr>
              <w:autoSpaceDN/>
              <w:spacing w:before="120" w:after="120"/>
              <w:textAlignment w:val="auto"/>
              <w:rPr>
                <w:rFonts w:ascii="Rockwell" w:eastAsiaTheme="minorHAnsi" w:hAnsi="Rockwell"/>
              </w:rPr>
            </w:pPr>
            <w:r>
              <w:rPr>
                <w:rFonts w:ascii="Rockwell" w:eastAsia="Calibri" w:hAnsi="Rockwell"/>
              </w:rPr>
              <w:t xml:space="preserve">Burkina </w:t>
            </w:r>
            <w:proofErr w:type="spellStart"/>
            <w:r>
              <w:rPr>
                <w:rFonts w:ascii="Rockwell" w:eastAsia="Calibri" w:hAnsi="Rockwell"/>
              </w:rPr>
              <w:t>history</w:t>
            </w:r>
            <w:proofErr w:type="spellEnd"/>
          </w:p>
        </w:tc>
        <w:tc>
          <w:tcPr>
            <w:tcW w:w="4394" w:type="dxa"/>
            <w:vAlign w:val="bottom"/>
          </w:tcPr>
          <w:p w14:paraId="24FF6C09" w14:textId="77777777" w:rsidR="00284822" w:rsidRDefault="003148F1">
            <w:pPr>
              <w:autoSpaceDN/>
              <w:spacing w:before="120" w:after="120"/>
              <w:textAlignment w:val="auto"/>
              <w:rPr>
                <w:rFonts w:ascii="Rockwell" w:eastAsia="Calibri" w:hAnsi="Rockwell"/>
              </w:rPr>
            </w:pPr>
            <w:hyperlink r:id="rId231" w:history="1">
              <w:r w:rsidR="00F77BF8">
                <w:rPr>
                  <w:rStyle w:val="Lienhypertexte"/>
                  <w:rFonts w:ascii="Rockwell" w:eastAsia="Calibri" w:hAnsi="Rockwell"/>
                </w:rPr>
                <w:t>www.burkinahistory.com</w:t>
              </w:r>
            </w:hyperlink>
          </w:p>
        </w:tc>
      </w:tr>
      <w:tr w:rsidR="00284822" w14:paraId="26EEA573" w14:textId="77777777">
        <w:tc>
          <w:tcPr>
            <w:tcW w:w="851" w:type="dxa"/>
          </w:tcPr>
          <w:p w14:paraId="3B10F981"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122</w:t>
            </w:r>
          </w:p>
        </w:tc>
        <w:tc>
          <w:tcPr>
            <w:tcW w:w="4678" w:type="dxa"/>
            <w:vAlign w:val="center"/>
          </w:tcPr>
          <w:p w14:paraId="15409B50" w14:textId="77777777" w:rsidR="00284822" w:rsidRDefault="00F77BF8">
            <w:pPr>
              <w:autoSpaceDN/>
              <w:spacing w:before="120" w:after="120"/>
              <w:textAlignment w:val="auto"/>
              <w:rPr>
                <w:rFonts w:ascii="Rockwell" w:eastAsiaTheme="minorHAnsi" w:hAnsi="Rockwell"/>
              </w:rPr>
            </w:pPr>
            <w:r>
              <w:rPr>
                <w:rFonts w:ascii="Rockwell" w:eastAsia="Calibri" w:hAnsi="Rockwell"/>
              </w:rPr>
              <w:t>Œil du Faso</w:t>
            </w:r>
          </w:p>
        </w:tc>
        <w:tc>
          <w:tcPr>
            <w:tcW w:w="4394" w:type="dxa"/>
            <w:vAlign w:val="bottom"/>
          </w:tcPr>
          <w:p w14:paraId="6A93108B" w14:textId="77777777" w:rsidR="00284822" w:rsidRDefault="003148F1">
            <w:pPr>
              <w:autoSpaceDN/>
              <w:spacing w:before="120" w:after="120"/>
              <w:textAlignment w:val="auto"/>
              <w:rPr>
                <w:rFonts w:ascii="Rockwell" w:eastAsia="Calibri" w:hAnsi="Rockwell"/>
              </w:rPr>
            </w:pPr>
            <w:hyperlink r:id="rId232" w:history="1">
              <w:r w:rsidR="00F77BF8">
                <w:rPr>
                  <w:rStyle w:val="Lienhypertexte"/>
                  <w:rFonts w:ascii="Rockwell" w:eastAsia="Calibri" w:hAnsi="Rockwell"/>
                </w:rPr>
                <w:t>www.oeildufaso.com</w:t>
              </w:r>
            </w:hyperlink>
          </w:p>
        </w:tc>
      </w:tr>
      <w:tr w:rsidR="00284822" w14:paraId="67953386" w14:textId="77777777">
        <w:tc>
          <w:tcPr>
            <w:tcW w:w="851" w:type="dxa"/>
          </w:tcPr>
          <w:p w14:paraId="2C4DF768"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123</w:t>
            </w:r>
          </w:p>
        </w:tc>
        <w:tc>
          <w:tcPr>
            <w:tcW w:w="4678" w:type="dxa"/>
            <w:vAlign w:val="center"/>
          </w:tcPr>
          <w:p w14:paraId="46192753" w14:textId="77777777" w:rsidR="00284822" w:rsidRDefault="00F77BF8">
            <w:pPr>
              <w:autoSpaceDN/>
              <w:spacing w:before="120" w:after="120"/>
              <w:textAlignment w:val="auto"/>
              <w:rPr>
                <w:rFonts w:ascii="Rockwell" w:eastAsiaTheme="minorHAnsi" w:hAnsi="Rockwell"/>
              </w:rPr>
            </w:pPr>
            <w:r>
              <w:rPr>
                <w:rFonts w:ascii="Rockwell" w:eastAsia="Calibri" w:hAnsi="Rockwell"/>
              </w:rPr>
              <w:t>Bulletin Santé</w:t>
            </w:r>
          </w:p>
        </w:tc>
        <w:tc>
          <w:tcPr>
            <w:tcW w:w="4394" w:type="dxa"/>
            <w:vAlign w:val="bottom"/>
          </w:tcPr>
          <w:p w14:paraId="4E066D20" w14:textId="77777777" w:rsidR="00284822" w:rsidRDefault="003148F1">
            <w:pPr>
              <w:autoSpaceDN/>
              <w:spacing w:before="120" w:after="120"/>
              <w:textAlignment w:val="auto"/>
              <w:rPr>
                <w:rFonts w:ascii="Rockwell" w:eastAsia="Calibri" w:hAnsi="Rockwell"/>
              </w:rPr>
            </w:pPr>
            <w:hyperlink r:id="rId233" w:history="1">
              <w:r w:rsidR="00F77BF8">
                <w:rPr>
                  <w:rStyle w:val="Lienhypertexte"/>
                  <w:rFonts w:ascii="Rockwell" w:eastAsia="Calibri" w:hAnsi="Rockwell"/>
                </w:rPr>
                <w:t>www.bulletinsante.net</w:t>
              </w:r>
            </w:hyperlink>
          </w:p>
        </w:tc>
      </w:tr>
      <w:tr w:rsidR="00284822" w14:paraId="27F35AFB" w14:textId="77777777">
        <w:tc>
          <w:tcPr>
            <w:tcW w:w="851" w:type="dxa"/>
          </w:tcPr>
          <w:p w14:paraId="61E67FC8"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124</w:t>
            </w:r>
          </w:p>
        </w:tc>
        <w:tc>
          <w:tcPr>
            <w:tcW w:w="4678" w:type="dxa"/>
            <w:vAlign w:val="center"/>
          </w:tcPr>
          <w:p w14:paraId="62C10F45"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Nel</w:t>
            </w:r>
            <w:proofErr w:type="spellEnd"/>
            <w:r>
              <w:rPr>
                <w:rFonts w:ascii="Rockwell" w:eastAsia="Calibri" w:hAnsi="Rockwell"/>
              </w:rPr>
              <w:t>-Actu</w:t>
            </w:r>
          </w:p>
        </w:tc>
        <w:tc>
          <w:tcPr>
            <w:tcW w:w="4394" w:type="dxa"/>
            <w:vAlign w:val="bottom"/>
          </w:tcPr>
          <w:p w14:paraId="2373AE53" w14:textId="77777777" w:rsidR="00284822" w:rsidRDefault="00F77BF8">
            <w:pPr>
              <w:autoSpaceDN/>
              <w:spacing w:before="120" w:after="120"/>
              <w:textAlignment w:val="auto"/>
              <w:rPr>
                <w:rFonts w:ascii="Rockwell" w:eastAsiaTheme="minorHAnsi" w:hAnsi="Rockwell"/>
              </w:rPr>
            </w:pPr>
            <w:r>
              <w:rPr>
                <w:rFonts w:ascii="Rockwell" w:eastAsia="Calibri" w:hAnsi="Rockwell"/>
              </w:rPr>
              <w:t>www.nelactu.com</w:t>
            </w:r>
          </w:p>
        </w:tc>
      </w:tr>
      <w:tr w:rsidR="00284822" w14:paraId="3AFF66C8" w14:textId="77777777">
        <w:tc>
          <w:tcPr>
            <w:tcW w:w="851" w:type="dxa"/>
          </w:tcPr>
          <w:p w14:paraId="3DF604D5"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125</w:t>
            </w:r>
          </w:p>
        </w:tc>
        <w:tc>
          <w:tcPr>
            <w:tcW w:w="4678" w:type="dxa"/>
            <w:vAlign w:val="center"/>
          </w:tcPr>
          <w:p w14:paraId="22243B51" w14:textId="77777777" w:rsidR="00284822" w:rsidRDefault="00F77BF8">
            <w:pPr>
              <w:autoSpaceDN/>
              <w:spacing w:before="120" w:after="120"/>
              <w:textAlignment w:val="auto"/>
              <w:rPr>
                <w:rFonts w:ascii="Rockwell" w:eastAsiaTheme="minorHAnsi" w:hAnsi="Rockwell"/>
              </w:rPr>
            </w:pPr>
            <w:r>
              <w:rPr>
                <w:rFonts w:ascii="Rockwell" w:eastAsia="Calibri" w:hAnsi="Rockwell"/>
              </w:rPr>
              <w:t>Vortex-Infos</w:t>
            </w:r>
          </w:p>
        </w:tc>
        <w:tc>
          <w:tcPr>
            <w:tcW w:w="4394" w:type="dxa"/>
            <w:vAlign w:val="bottom"/>
          </w:tcPr>
          <w:p w14:paraId="63046765" w14:textId="77777777" w:rsidR="00284822" w:rsidRDefault="00F77BF8">
            <w:pPr>
              <w:autoSpaceDN/>
              <w:spacing w:before="120" w:after="120"/>
              <w:textAlignment w:val="auto"/>
              <w:rPr>
                <w:rFonts w:ascii="Rockwell" w:eastAsiaTheme="minorHAnsi" w:hAnsi="Rockwell"/>
              </w:rPr>
            </w:pPr>
            <w:r>
              <w:rPr>
                <w:rFonts w:ascii="Rockwell" w:eastAsia="Calibri" w:hAnsi="Rockwell"/>
              </w:rPr>
              <w:t>www.vortexinfos.com</w:t>
            </w:r>
          </w:p>
        </w:tc>
      </w:tr>
      <w:tr w:rsidR="00284822" w14:paraId="403A02E9" w14:textId="77777777">
        <w:tc>
          <w:tcPr>
            <w:tcW w:w="851" w:type="dxa"/>
          </w:tcPr>
          <w:p w14:paraId="7316DF5E"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126</w:t>
            </w:r>
          </w:p>
        </w:tc>
        <w:tc>
          <w:tcPr>
            <w:tcW w:w="4678" w:type="dxa"/>
            <w:vAlign w:val="center"/>
          </w:tcPr>
          <w:p w14:paraId="4F841BBF"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Globinfo</w:t>
            </w:r>
            <w:proofErr w:type="spellEnd"/>
          </w:p>
        </w:tc>
        <w:tc>
          <w:tcPr>
            <w:tcW w:w="4394" w:type="dxa"/>
            <w:vAlign w:val="bottom"/>
          </w:tcPr>
          <w:p w14:paraId="1A295F4E" w14:textId="77777777" w:rsidR="00284822" w:rsidRDefault="003148F1">
            <w:pPr>
              <w:autoSpaceDN/>
              <w:spacing w:before="120" w:after="120"/>
              <w:textAlignment w:val="auto"/>
              <w:rPr>
                <w:rFonts w:ascii="Rockwell" w:eastAsia="Calibri" w:hAnsi="Rockwell"/>
              </w:rPr>
            </w:pPr>
            <w:hyperlink r:id="rId234" w:history="1">
              <w:r w:rsidR="00F77BF8">
                <w:rPr>
                  <w:rStyle w:val="Lienhypertexte"/>
                  <w:rFonts w:ascii="Rockwell" w:eastAsia="Calibri" w:hAnsi="Rockwell"/>
                </w:rPr>
                <w:t>www.globinfo.com</w:t>
              </w:r>
            </w:hyperlink>
          </w:p>
        </w:tc>
      </w:tr>
      <w:tr w:rsidR="00284822" w14:paraId="5312E9E2" w14:textId="77777777">
        <w:tc>
          <w:tcPr>
            <w:tcW w:w="851" w:type="dxa"/>
          </w:tcPr>
          <w:p w14:paraId="0C8E7ABE"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127</w:t>
            </w:r>
          </w:p>
        </w:tc>
        <w:tc>
          <w:tcPr>
            <w:tcW w:w="4678" w:type="dxa"/>
            <w:vAlign w:val="center"/>
          </w:tcPr>
          <w:p w14:paraId="5107732F" w14:textId="77777777" w:rsidR="00284822" w:rsidRDefault="00F77BF8">
            <w:pPr>
              <w:autoSpaceDN/>
              <w:spacing w:before="120" w:after="120"/>
              <w:textAlignment w:val="auto"/>
              <w:rPr>
                <w:rFonts w:ascii="Rockwell" w:eastAsiaTheme="minorHAnsi" w:hAnsi="Rockwell"/>
              </w:rPr>
            </w:pPr>
            <w:r>
              <w:rPr>
                <w:rFonts w:ascii="Rockwell" w:eastAsia="Calibri" w:hAnsi="Rockwell"/>
              </w:rPr>
              <w:t>100 Kara Agri Info</w:t>
            </w:r>
          </w:p>
        </w:tc>
        <w:tc>
          <w:tcPr>
            <w:tcW w:w="4394" w:type="dxa"/>
            <w:vAlign w:val="bottom"/>
          </w:tcPr>
          <w:p w14:paraId="25DAB9B4" w14:textId="77777777" w:rsidR="00284822" w:rsidRDefault="003148F1">
            <w:pPr>
              <w:autoSpaceDN/>
              <w:spacing w:before="120" w:after="120"/>
              <w:textAlignment w:val="auto"/>
              <w:rPr>
                <w:rFonts w:ascii="Rockwell" w:eastAsiaTheme="minorHAnsi" w:hAnsi="Rockwell"/>
              </w:rPr>
            </w:pPr>
            <w:hyperlink r:id="rId235" w:history="1">
              <w:r w:rsidR="00F77BF8">
                <w:rPr>
                  <w:rStyle w:val="Lienhypertexte"/>
                  <w:rFonts w:ascii="Rockwell" w:eastAsia="Calibri" w:hAnsi="Rockwell"/>
                </w:rPr>
                <w:t>www.100kara-agri-infos.com</w:t>
              </w:r>
            </w:hyperlink>
            <w:r w:rsidR="00F77BF8">
              <w:rPr>
                <w:rFonts w:ascii="Rockwell" w:eastAsia="Calibri" w:hAnsi="Rockwell"/>
              </w:rPr>
              <w:t xml:space="preserve"> </w:t>
            </w:r>
          </w:p>
        </w:tc>
      </w:tr>
      <w:tr w:rsidR="00284822" w14:paraId="4B990B7F" w14:textId="77777777">
        <w:tc>
          <w:tcPr>
            <w:tcW w:w="851" w:type="dxa"/>
          </w:tcPr>
          <w:p w14:paraId="17A3657C"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128</w:t>
            </w:r>
          </w:p>
        </w:tc>
        <w:tc>
          <w:tcPr>
            <w:tcW w:w="4678" w:type="dxa"/>
            <w:vAlign w:val="center"/>
          </w:tcPr>
          <w:p w14:paraId="72790C7A" w14:textId="77777777" w:rsidR="00284822" w:rsidRDefault="00F77BF8">
            <w:pPr>
              <w:autoSpaceDN/>
              <w:spacing w:before="120" w:after="120"/>
              <w:textAlignment w:val="auto"/>
              <w:rPr>
                <w:rFonts w:ascii="Rockwell" w:eastAsiaTheme="minorHAnsi" w:hAnsi="Rockwell"/>
              </w:rPr>
            </w:pPr>
            <w:r>
              <w:rPr>
                <w:rFonts w:ascii="Rockwell" w:eastAsia="Calibri" w:hAnsi="Rockwell"/>
              </w:rPr>
              <w:t>Interpubactu.Net</w:t>
            </w:r>
          </w:p>
        </w:tc>
        <w:tc>
          <w:tcPr>
            <w:tcW w:w="4394" w:type="dxa"/>
            <w:vAlign w:val="bottom"/>
          </w:tcPr>
          <w:p w14:paraId="28E09AA2" w14:textId="77777777" w:rsidR="00284822" w:rsidRDefault="003148F1">
            <w:pPr>
              <w:autoSpaceDN/>
              <w:spacing w:before="120" w:after="120"/>
              <w:textAlignment w:val="auto"/>
              <w:rPr>
                <w:rFonts w:ascii="Rockwell" w:eastAsia="Calibri" w:hAnsi="Rockwell"/>
              </w:rPr>
            </w:pPr>
            <w:hyperlink r:id="rId236" w:history="1">
              <w:r w:rsidR="00F77BF8">
                <w:rPr>
                  <w:rStyle w:val="Lienhypertexte"/>
                  <w:rFonts w:ascii="Rockwell" w:eastAsia="Calibri" w:hAnsi="Rockwell"/>
                </w:rPr>
                <w:t>www.interpubactu.net</w:t>
              </w:r>
            </w:hyperlink>
            <w:r w:rsidR="00F77BF8">
              <w:rPr>
                <w:rFonts w:ascii="Rockwell" w:eastAsia="Calibri" w:hAnsi="Rockwell"/>
              </w:rPr>
              <w:t xml:space="preserve"> </w:t>
            </w:r>
          </w:p>
        </w:tc>
      </w:tr>
      <w:tr w:rsidR="00284822" w14:paraId="392104C7" w14:textId="77777777">
        <w:tc>
          <w:tcPr>
            <w:tcW w:w="851" w:type="dxa"/>
          </w:tcPr>
          <w:p w14:paraId="495AEE63"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129</w:t>
            </w:r>
          </w:p>
        </w:tc>
        <w:tc>
          <w:tcPr>
            <w:tcW w:w="4678" w:type="dxa"/>
            <w:vAlign w:val="center"/>
          </w:tcPr>
          <w:p w14:paraId="40783158"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Mpap</w:t>
            </w:r>
            <w:proofErr w:type="spellEnd"/>
            <w:r>
              <w:rPr>
                <w:rFonts w:ascii="Rockwell" w:eastAsia="Calibri" w:hAnsi="Rockwell"/>
              </w:rPr>
              <w:t xml:space="preserve"> News.Net</w:t>
            </w:r>
          </w:p>
        </w:tc>
        <w:tc>
          <w:tcPr>
            <w:tcW w:w="4394" w:type="dxa"/>
            <w:vAlign w:val="bottom"/>
          </w:tcPr>
          <w:p w14:paraId="5E09CD97" w14:textId="77777777" w:rsidR="00284822" w:rsidRDefault="003148F1">
            <w:pPr>
              <w:autoSpaceDN/>
              <w:spacing w:before="120" w:after="120"/>
              <w:textAlignment w:val="auto"/>
              <w:rPr>
                <w:rFonts w:ascii="Rockwell" w:eastAsia="Calibri" w:hAnsi="Rockwell"/>
              </w:rPr>
            </w:pPr>
            <w:hyperlink r:id="rId237" w:history="1">
              <w:r w:rsidR="00F77BF8">
                <w:rPr>
                  <w:rStyle w:val="Lienhypertexte"/>
                  <w:rFonts w:ascii="Rockwell" w:eastAsia="Calibri" w:hAnsi="Rockwell"/>
                </w:rPr>
                <w:t>www.mpap-bf.com</w:t>
              </w:r>
            </w:hyperlink>
          </w:p>
        </w:tc>
      </w:tr>
      <w:tr w:rsidR="00284822" w14:paraId="6CC7B126" w14:textId="77777777">
        <w:tc>
          <w:tcPr>
            <w:tcW w:w="851" w:type="dxa"/>
          </w:tcPr>
          <w:p w14:paraId="42C127DA"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130</w:t>
            </w:r>
          </w:p>
        </w:tc>
        <w:tc>
          <w:tcPr>
            <w:tcW w:w="4678" w:type="dxa"/>
            <w:vAlign w:val="center"/>
          </w:tcPr>
          <w:p w14:paraId="07229CB5" w14:textId="77777777" w:rsidR="00284822" w:rsidRDefault="00F77BF8">
            <w:pPr>
              <w:autoSpaceDN/>
              <w:spacing w:before="120" w:after="120"/>
              <w:textAlignment w:val="auto"/>
              <w:rPr>
                <w:rFonts w:ascii="Rockwell" w:eastAsiaTheme="minorHAnsi" w:hAnsi="Rockwell"/>
              </w:rPr>
            </w:pPr>
            <w:r>
              <w:rPr>
                <w:rFonts w:ascii="Rockwell" w:eastAsia="Calibri" w:hAnsi="Rockwell"/>
              </w:rPr>
              <w:t>BurkinaWeb.net</w:t>
            </w:r>
          </w:p>
        </w:tc>
        <w:tc>
          <w:tcPr>
            <w:tcW w:w="4394" w:type="dxa"/>
            <w:vAlign w:val="bottom"/>
          </w:tcPr>
          <w:p w14:paraId="55E27C4E" w14:textId="77777777" w:rsidR="00284822" w:rsidRDefault="00F77BF8">
            <w:pPr>
              <w:autoSpaceDN/>
              <w:spacing w:before="120" w:after="120"/>
              <w:textAlignment w:val="auto"/>
              <w:rPr>
                <w:rFonts w:ascii="Rockwell" w:eastAsiaTheme="minorHAnsi" w:hAnsi="Rockwell"/>
              </w:rPr>
            </w:pPr>
            <w:r>
              <w:rPr>
                <w:rFonts w:ascii="Rockwell" w:eastAsia="Calibri" w:hAnsi="Rockwell"/>
              </w:rPr>
              <w:t>www.burkinaweb.net</w:t>
            </w:r>
          </w:p>
        </w:tc>
      </w:tr>
      <w:tr w:rsidR="00284822" w14:paraId="7F8DB50D" w14:textId="77777777">
        <w:tc>
          <w:tcPr>
            <w:tcW w:w="851" w:type="dxa"/>
          </w:tcPr>
          <w:p w14:paraId="43E3DF76"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131</w:t>
            </w:r>
          </w:p>
        </w:tc>
        <w:tc>
          <w:tcPr>
            <w:tcW w:w="4678" w:type="dxa"/>
            <w:vAlign w:val="center"/>
          </w:tcPr>
          <w:p w14:paraId="180097FF" w14:textId="77777777" w:rsidR="00284822" w:rsidRDefault="00F77BF8">
            <w:pPr>
              <w:autoSpaceDN/>
              <w:spacing w:before="120" w:after="120"/>
              <w:textAlignment w:val="auto"/>
              <w:rPr>
                <w:rFonts w:ascii="Rockwell" w:eastAsiaTheme="minorHAnsi" w:hAnsi="Rockwell"/>
              </w:rPr>
            </w:pPr>
            <w:r>
              <w:rPr>
                <w:rFonts w:ascii="Rockwell" w:eastAsia="Calibri" w:hAnsi="Rockwell"/>
              </w:rPr>
              <w:t>Info Nature</w:t>
            </w:r>
          </w:p>
        </w:tc>
        <w:tc>
          <w:tcPr>
            <w:tcW w:w="4394" w:type="dxa"/>
            <w:vAlign w:val="bottom"/>
          </w:tcPr>
          <w:p w14:paraId="69D3DB37" w14:textId="77777777" w:rsidR="00284822" w:rsidRDefault="003148F1">
            <w:pPr>
              <w:autoSpaceDN/>
              <w:spacing w:before="120" w:after="120"/>
              <w:textAlignment w:val="auto"/>
              <w:rPr>
                <w:rFonts w:ascii="Rockwell" w:eastAsia="Calibri" w:hAnsi="Rockwell"/>
              </w:rPr>
            </w:pPr>
            <w:hyperlink r:id="rId238" w:history="1">
              <w:r w:rsidR="00F77BF8">
                <w:rPr>
                  <w:rStyle w:val="Lienhypertexte"/>
                  <w:rFonts w:ascii="Rockwell" w:eastAsia="Calibri" w:hAnsi="Rockwell"/>
                </w:rPr>
                <w:t>www.infonature.net</w:t>
              </w:r>
            </w:hyperlink>
            <w:r w:rsidR="00F77BF8">
              <w:rPr>
                <w:rFonts w:ascii="Rockwell" w:eastAsia="Calibri" w:hAnsi="Rockwell"/>
              </w:rPr>
              <w:t xml:space="preserve"> </w:t>
            </w:r>
          </w:p>
        </w:tc>
      </w:tr>
      <w:tr w:rsidR="00284822" w14:paraId="1FBAB633" w14:textId="77777777">
        <w:tc>
          <w:tcPr>
            <w:tcW w:w="851" w:type="dxa"/>
          </w:tcPr>
          <w:p w14:paraId="7A67BF63"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132</w:t>
            </w:r>
          </w:p>
        </w:tc>
        <w:tc>
          <w:tcPr>
            <w:tcW w:w="4678" w:type="dxa"/>
            <w:vAlign w:val="center"/>
          </w:tcPr>
          <w:p w14:paraId="792628FB" w14:textId="77777777" w:rsidR="00284822" w:rsidRDefault="00F77BF8">
            <w:pPr>
              <w:autoSpaceDN/>
              <w:spacing w:before="120" w:after="120"/>
              <w:textAlignment w:val="auto"/>
              <w:rPr>
                <w:rFonts w:ascii="Rockwell" w:eastAsiaTheme="minorHAnsi" w:hAnsi="Rockwell"/>
              </w:rPr>
            </w:pPr>
            <w:r>
              <w:rPr>
                <w:rFonts w:ascii="Rockwell" w:eastAsia="Calibri" w:hAnsi="Rockwell"/>
              </w:rPr>
              <w:t>Groupe Média Plus Infos</w:t>
            </w:r>
          </w:p>
        </w:tc>
        <w:tc>
          <w:tcPr>
            <w:tcW w:w="4394" w:type="dxa"/>
            <w:vAlign w:val="bottom"/>
          </w:tcPr>
          <w:p w14:paraId="47FF144D" w14:textId="77777777" w:rsidR="00284822" w:rsidRDefault="003148F1">
            <w:pPr>
              <w:autoSpaceDN/>
              <w:spacing w:before="120" w:after="120"/>
              <w:textAlignment w:val="auto"/>
              <w:rPr>
                <w:rFonts w:ascii="Rockwell" w:eastAsia="Calibri" w:hAnsi="Rockwell"/>
              </w:rPr>
            </w:pPr>
            <w:hyperlink r:id="rId239" w:history="1">
              <w:r w:rsidR="00F77BF8">
                <w:rPr>
                  <w:rStyle w:val="Lienhypertexte"/>
                  <w:rFonts w:ascii="Rockwell" w:eastAsia="Calibri" w:hAnsi="Rockwell"/>
                </w:rPr>
                <w:t>www.mediaplusinfo.com</w:t>
              </w:r>
            </w:hyperlink>
          </w:p>
        </w:tc>
      </w:tr>
      <w:tr w:rsidR="00284822" w14:paraId="7BDD865B" w14:textId="77777777">
        <w:tc>
          <w:tcPr>
            <w:tcW w:w="851" w:type="dxa"/>
          </w:tcPr>
          <w:p w14:paraId="58EC8F67"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lastRenderedPageBreak/>
              <w:t>133</w:t>
            </w:r>
          </w:p>
        </w:tc>
        <w:tc>
          <w:tcPr>
            <w:tcW w:w="4678" w:type="dxa"/>
            <w:vAlign w:val="center"/>
          </w:tcPr>
          <w:p w14:paraId="06464A33" w14:textId="77777777" w:rsidR="00284822" w:rsidRDefault="00F77BF8">
            <w:pPr>
              <w:autoSpaceDN/>
              <w:spacing w:before="120" w:after="120"/>
              <w:textAlignment w:val="auto"/>
              <w:rPr>
                <w:rFonts w:ascii="Rockwell" w:eastAsiaTheme="minorHAnsi" w:hAnsi="Rockwell"/>
              </w:rPr>
            </w:pPr>
            <w:r>
              <w:rPr>
                <w:rFonts w:ascii="Rockwell" w:eastAsia="Calibri" w:hAnsi="Rockwell"/>
              </w:rPr>
              <w:t xml:space="preserve">Web </w:t>
            </w:r>
            <w:proofErr w:type="spellStart"/>
            <w:r>
              <w:rPr>
                <w:rFonts w:ascii="Rockwell" w:eastAsia="Calibri" w:hAnsi="Rockwell"/>
              </w:rPr>
              <w:t>Info.Bf</w:t>
            </w:r>
            <w:proofErr w:type="spellEnd"/>
          </w:p>
        </w:tc>
        <w:tc>
          <w:tcPr>
            <w:tcW w:w="4394" w:type="dxa"/>
            <w:vAlign w:val="bottom"/>
          </w:tcPr>
          <w:p w14:paraId="51992998" w14:textId="77777777" w:rsidR="00284822" w:rsidRDefault="003148F1">
            <w:pPr>
              <w:autoSpaceDN/>
              <w:spacing w:before="120" w:after="120"/>
              <w:textAlignment w:val="auto"/>
              <w:rPr>
                <w:rFonts w:ascii="Rockwell" w:eastAsia="Calibri" w:hAnsi="Rockwell"/>
              </w:rPr>
            </w:pPr>
            <w:hyperlink r:id="rId240" w:history="1">
              <w:r w:rsidR="00F77BF8">
                <w:rPr>
                  <w:rStyle w:val="Lienhypertexte"/>
                  <w:rFonts w:ascii="Rockwell" w:eastAsia="Calibri" w:hAnsi="Rockwell"/>
                </w:rPr>
                <w:t>www.webinfo.bf</w:t>
              </w:r>
            </w:hyperlink>
            <w:r w:rsidR="00F77BF8">
              <w:rPr>
                <w:rFonts w:ascii="Rockwell" w:eastAsia="Calibri" w:hAnsi="Rockwell"/>
              </w:rPr>
              <w:t xml:space="preserve"> </w:t>
            </w:r>
          </w:p>
        </w:tc>
      </w:tr>
      <w:tr w:rsidR="00284822" w14:paraId="0991DB13" w14:textId="77777777">
        <w:tc>
          <w:tcPr>
            <w:tcW w:w="851" w:type="dxa"/>
          </w:tcPr>
          <w:p w14:paraId="7C783E9A"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134</w:t>
            </w:r>
          </w:p>
        </w:tc>
        <w:tc>
          <w:tcPr>
            <w:tcW w:w="4678" w:type="dxa"/>
            <w:vAlign w:val="center"/>
          </w:tcPr>
          <w:p w14:paraId="2C06895D" w14:textId="77777777" w:rsidR="00284822" w:rsidRDefault="00F77BF8">
            <w:pPr>
              <w:autoSpaceDN/>
              <w:spacing w:before="120" w:after="120"/>
              <w:textAlignment w:val="auto"/>
              <w:rPr>
                <w:rFonts w:ascii="Rockwell" w:eastAsiaTheme="minorHAnsi" w:hAnsi="Rockwell"/>
              </w:rPr>
            </w:pPr>
            <w:r>
              <w:rPr>
                <w:rFonts w:ascii="Rockwell" w:eastAsia="Calibri" w:hAnsi="Rockwell"/>
              </w:rPr>
              <w:t>Miroir de l’Info</w:t>
            </w:r>
          </w:p>
        </w:tc>
        <w:tc>
          <w:tcPr>
            <w:tcW w:w="4394" w:type="dxa"/>
            <w:vAlign w:val="bottom"/>
          </w:tcPr>
          <w:p w14:paraId="11D09286" w14:textId="77777777" w:rsidR="00284822" w:rsidRDefault="00F77BF8">
            <w:pPr>
              <w:autoSpaceDN/>
              <w:spacing w:before="120" w:after="120"/>
              <w:textAlignment w:val="auto"/>
              <w:rPr>
                <w:rFonts w:ascii="Rockwell" w:eastAsia="Calibri" w:hAnsi="Rockwell"/>
              </w:rPr>
            </w:pPr>
            <w:r>
              <w:rPr>
                <w:rFonts w:ascii="Rockwell" w:eastAsia="Calibri" w:hAnsi="Rockwell"/>
              </w:rPr>
              <w:t>www.miroirdelinfo.net</w:t>
            </w:r>
          </w:p>
        </w:tc>
      </w:tr>
      <w:tr w:rsidR="00284822" w14:paraId="49B31644" w14:textId="77777777">
        <w:tc>
          <w:tcPr>
            <w:tcW w:w="851" w:type="dxa"/>
          </w:tcPr>
          <w:p w14:paraId="3B8E2AD0"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135</w:t>
            </w:r>
          </w:p>
        </w:tc>
        <w:tc>
          <w:tcPr>
            <w:tcW w:w="4678" w:type="dxa"/>
            <w:vAlign w:val="center"/>
          </w:tcPr>
          <w:p w14:paraId="580D4F45"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Viim</w:t>
            </w:r>
            <w:proofErr w:type="spellEnd"/>
            <w:r>
              <w:rPr>
                <w:rFonts w:ascii="Rockwell" w:eastAsia="Calibri" w:hAnsi="Rockwell"/>
              </w:rPr>
              <w:t xml:space="preserve"> Magazine</w:t>
            </w:r>
          </w:p>
        </w:tc>
        <w:tc>
          <w:tcPr>
            <w:tcW w:w="4394" w:type="dxa"/>
            <w:vAlign w:val="bottom"/>
          </w:tcPr>
          <w:p w14:paraId="11A6DE84" w14:textId="77777777" w:rsidR="00284822" w:rsidRDefault="003148F1">
            <w:pPr>
              <w:autoSpaceDN/>
              <w:spacing w:before="120" w:after="120"/>
              <w:textAlignment w:val="auto"/>
              <w:rPr>
                <w:rFonts w:ascii="Rockwell" w:eastAsia="Calibri" w:hAnsi="Rockwell"/>
              </w:rPr>
            </w:pPr>
            <w:hyperlink r:id="rId241" w:history="1">
              <w:r w:rsidR="00F77BF8">
                <w:rPr>
                  <w:rStyle w:val="Lienhypertexte"/>
                  <w:rFonts w:ascii="Rockwell" w:eastAsia="Calibri" w:hAnsi="Rockwell"/>
                </w:rPr>
                <w:t>www.viimmagazine.com</w:t>
              </w:r>
            </w:hyperlink>
            <w:r w:rsidR="00F77BF8">
              <w:rPr>
                <w:rFonts w:ascii="Rockwell" w:eastAsia="Calibri" w:hAnsi="Rockwell"/>
              </w:rPr>
              <w:t xml:space="preserve"> </w:t>
            </w:r>
          </w:p>
        </w:tc>
      </w:tr>
      <w:tr w:rsidR="00284822" w14:paraId="37288186" w14:textId="77777777">
        <w:tc>
          <w:tcPr>
            <w:tcW w:w="851" w:type="dxa"/>
          </w:tcPr>
          <w:p w14:paraId="7669FDE6"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136</w:t>
            </w:r>
          </w:p>
        </w:tc>
        <w:tc>
          <w:tcPr>
            <w:tcW w:w="4678" w:type="dxa"/>
            <w:vAlign w:val="center"/>
          </w:tcPr>
          <w:p w14:paraId="5B3E6088" w14:textId="77777777" w:rsidR="00284822" w:rsidRDefault="00F77BF8">
            <w:pPr>
              <w:autoSpaceDN/>
              <w:spacing w:before="120" w:after="120"/>
              <w:textAlignment w:val="auto"/>
              <w:rPr>
                <w:rFonts w:ascii="Rockwell" w:eastAsiaTheme="minorHAnsi" w:hAnsi="Rockwell"/>
              </w:rPr>
            </w:pPr>
            <w:r>
              <w:rPr>
                <w:rFonts w:ascii="Rockwell" w:eastAsia="Calibri" w:hAnsi="Rockwell"/>
              </w:rPr>
              <w:t>Focus Info BF</w:t>
            </w:r>
          </w:p>
        </w:tc>
        <w:tc>
          <w:tcPr>
            <w:tcW w:w="4394" w:type="dxa"/>
            <w:vAlign w:val="bottom"/>
          </w:tcPr>
          <w:p w14:paraId="030A248A" w14:textId="77777777" w:rsidR="00284822" w:rsidRDefault="003148F1">
            <w:pPr>
              <w:autoSpaceDN/>
              <w:spacing w:before="120" w:after="120"/>
              <w:textAlignment w:val="auto"/>
              <w:rPr>
                <w:rFonts w:ascii="Rockwell" w:eastAsia="Calibri" w:hAnsi="Rockwell"/>
              </w:rPr>
            </w:pPr>
            <w:hyperlink r:id="rId242" w:history="1">
              <w:r w:rsidR="00F77BF8">
                <w:rPr>
                  <w:rStyle w:val="Lienhypertexte"/>
                  <w:rFonts w:ascii="Rockwell" w:eastAsia="Calibri" w:hAnsi="Rockwell"/>
                </w:rPr>
                <w:t>www.focusInfo.bf</w:t>
              </w:r>
            </w:hyperlink>
            <w:r w:rsidR="00F77BF8">
              <w:rPr>
                <w:rFonts w:ascii="Rockwell" w:eastAsia="Calibri" w:hAnsi="Rockwell"/>
              </w:rPr>
              <w:t xml:space="preserve"> </w:t>
            </w:r>
          </w:p>
        </w:tc>
      </w:tr>
      <w:tr w:rsidR="00284822" w14:paraId="6D84D729" w14:textId="77777777">
        <w:tc>
          <w:tcPr>
            <w:tcW w:w="851" w:type="dxa"/>
          </w:tcPr>
          <w:p w14:paraId="27FDBEC9"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137</w:t>
            </w:r>
          </w:p>
        </w:tc>
        <w:tc>
          <w:tcPr>
            <w:tcW w:w="4678" w:type="dxa"/>
            <w:vAlign w:val="center"/>
          </w:tcPr>
          <w:p w14:paraId="4C8CEBFA" w14:textId="77777777" w:rsidR="00284822" w:rsidRDefault="00F77BF8">
            <w:pPr>
              <w:autoSpaceDN/>
              <w:spacing w:before="120" w:after="120"/>
              <w:textAlignment w:val="auto"/>
              <w:rPr>
                <w:rFonts w:ascii="Rockwell" w:eastAsiaTheme="minorHAnsi" w:hAnsi="Rockwell"/>
              </w:rPr>
            </w:pPr>
            <w:r>
              <w:rPr>
                <w:rFonts w:ascii="Rockwell" w:eastAsia="Calibri" w:hAnsi="Rockwell"/>
              </w:rPr>
              <w:t>Notre Actu</w:t>
            </w:r>
          </w:p>
        </w:tc>
        <w:tc>
          <w:tcPr>
            <w:tcW w:w="4394" w:type="dxa"/>
            <w:vAlign w:val="bottom"/>
          </w:tcPr>
          <w:p w14:paraId="5545B02F" w14:textId="77777777" w:rsidR="00284822" w:rsidRDefault="003148F1">
            <w:pPr>
              <w:autoSpaceDN/>
              <w:spacing w:before="120" w:after="120"/>
              <w:textAlignment w:val="auto"/>
              <w:rPr>
                <w:rFonts w:ascii="Rockwell" w:eastAsia="Calibri" w:hAnsi="Rockwell"/>
              </w:rPr>
            </w:pPr>
            <w:hyperlink r:id="rId243" w:history="1">
              <w:r w:rsidR="00F77BF8">
                <w:rPr>
                  <w:rStyle w:val="Lienhypertexte"/>
                  <w:rFonts w:ascii="Rockwell" w:eastAsia="Calibri" w:hAnsi="Rockwell"/>
                </w:rPr>
                <w:t>www.notreactu.net</w:t>
              </w:r>
            </w:hyperlink>
            <w:r w:rsidR="00F77BF8">
              <w:rPr>
                <w:rFonts w:ascii="Rockwell" w:eastAsia="Calibri" w:hAnsi="Rockwell"/>
              </w:rPr>
              <w:t xml:space="preserve"> </w:t>
            </w:r>
          </w:p>
        </w:tc>
      </w:tr>
      <w:tr w:rsidR="00284822" w14:paraId="448984CF" w14:textId="77777777">
        <w:tc>
          <w:tcPr>
            <w:tcW w:w="851" w:type="dxa"/>
          </w:tcPr>
          <w:p w14:paraId="1C3F22CD"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138</w:t>
            </w:r>
          </w:p>
        </w:tc>
        <w:tc>
          <w:tcPr>
            <w:tcW w:w="4678" w:type="dxa"/>
            <w:vAlign w:val="center"/>
          </w:tcPr>
          <w:p w14:paraId="3D26E352" w14:textId="77777777" w:rsidR="00284822" w:rsidRDefault="00F77BF8">
            <w:pPr>
              <w:autoSpaceDN/>
              <w:spacing w:before="120" w:after="120"/>
              <w:textAlignment w:val="auto"/>
              <w:rPr>
                <w:rFonts w:ascii="Rockwell" w:eastAsiaTheme="minorHAnsi" w:hAnsi="Rockwell"/>
              </w:rPr>
            </w:pPr>
            <w:r>
              <w:rPr>
                <w:rFonts w:ascii="Rockwell" w:eastAsia="Calibri" w:hAnsi="Rockwell"/>
              </w:rPr>
              <w:t>Burkina7.com</w:t>
            </w:r>
          </w:p>
        </w:tc>
        <w:tc>
          <w:tcPr>
            <w:tcW w:w="4394" w:type="dxa"/>
            <w:vAlign w:val="bottom"/>
          </w:tcPr>
          <w:p w14:paraId="17EB9A42" w14:textId="77777777" w:rsidR="00284822" w:rsidRDefault="003148F1">
            <w:pPr>
              <w:autoSpaceDN/>
              <w:spacing w:before="120" w:after="120"/>
              <w:textAlignment w:val="auto"/>
              <w:rPr>
                <w:rFonts w:ascii="Rockwell" w:eastAsia="Calibri" w:hAnsi="Rockwell"/>
              </w:rPr>
            </w:pPr>
            <w:hyperlink r:id="rId244" w:history="1">
              <w:r w:rsidR="00F77BF8">
                <w:rPr>
                  <w:rStyle w:val="Lienhypertexte"/>
                  <w:rFonts w:ascii="Rockwell" w:eastAsia="Calibri" w:hAnsi="Rockwell"/>
                </w:rPr>
                <w:t>www.Burkina7.com</w:t>
              </w:r>
            </w:hyperlink>
            <w:r w:rsidR="00F77BF8">
              <w:rPr>
                <w:rFonts w:ascii="Rockwell" w:eastAsia="Calibri" w:hAnsi="Rockwell"/>
              </w:rPr>
              <w:t xml:space="preserve"> </w:t>
            </w:r>
          </w:p>
        </w:tc>
      </w:tr>
      <w:tr w:rsidR="00284822" w14:paraId="18770987" w14:textId="77777777">
        <w:trPr>
          <w:trHeight w:val="425"/>
        </w:trPr>
        <w:tc>
          <w:tcPr>
            <w:tcW w:w="851" w:type="dxa"/>
          </w:tcPr>
          <w:p w14:paraId="6AB8C0D4"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139</w:t>
            </w:r>
          </w:p>
        </w:tc>
        <w:tc>
          <w:tcPr>
            <w:tcW w:w="4678" w:type="dxa"/>
            <w:vAlign w:val="center"/>
          </w:tcPr>
          <w:p w14:paraId="4CCA77BB" w14:textId="77777777" w:rsidR="00284822" w:rsidRDefault="00F77BF8">
            <w:pPr>
              <w:autoSpaceDN/>
              <w:spacing w:before="120" w:after="120"/>
              <w:textAlignment w:val="auto"/>
              <w:rPr>
                <w:rFonts w:ascii="Rockwell" w:eastAsiaTheme="minorHAnsi" w:hAnsi="Rockwell"/>
              </w:rPr>
            </w:pPr>
            <w:r>
              <w:rPr>
                <w:rFonts w:ascii="Rockwell" w:eastAsia="Calibri" w:hAnsi="Rockwell"/>
              </w:rPr>
              <w:t>Liberté info.net</w:t>
            </w:r>
          </w:p>
        </w:tc>
        <w:tc>
          <w:tcPr>
            <w:tcW w:w="4394" w:type="dxa"/>
            <w:vAlign w:val="bottom"/>
          </w:tcPr>
          <w:p w14:paraId="0E601E4C" w14:textId="77777777" w:rsidR="00284822" w:rsidRDefault="003148F1">
            <w:pPr>
              <w:autoSpaceDN/>
              <w:spacing w:before="120" w:after="120"/>
              <w:textAlignment w:val="auto"/>
              <w:rPr>
                <w:rFonts w:ascii="Rockwell" w:eastAsia="Calibri" w:hAnsi="Rockwell"/>
              </w:rPr>
            </w:pPr>
            <w:hyperlink r:id="rId245" w:history="1">
              <w:r w:rsidR="00F77BF8">
                <w:rPr>
                  <w:rStyle w:val="Lienhypertexte"/>
                  <w:rFonts w:ascii="Rockwell" w:eastAsia="Calibri" w:hAnsi="Rockwell"/>
                </w:rPr>
                <w:t>www.liberté.net</w:t>
              </w:r>
            </w:hyperlink>
            <w:r w:rsidR="00F77BF8">
              <w:rPr>
                <w:rFonts w:ascii="Rockwell" w:eastAsia="Calibri" w:hAnsi="Rockwell"/>
              </w:rPr>
              <w:t xml:space="preserve"> </w:t>
            </w:r>
          </w:p>
        </w:tc>
      </w:tr>
      <w:tr w:rsidR="00284822" w14:paraId="03586EEB" w14:textId="77777777">
        <w:tc>
          <w:tcPr>
            <w:tcW w:w="851" w:type="dxa"/>
          </w:tcPr>
          <w:p w14:paraId="29B53133"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140</w:t>
            </w:r>
          </w:p>
        </w:tc>
        <w:tc>
          <w:tcPr>
            <w:tcW w:w="4678" w:type="dxa"/>
            <w:vAlign w:val="center"/>
          </w:tcPr>
          <w:p w14:paraId="272D2B00" w14:textId="77777777" w:rsidR="00284822" w:rsidRDefault="00F77BF8">
            <w:pPr>
              <w:autoSpaceDN/>
              <w:spacing w:before="120" w:after="120"/>
              <w:textAlignment w:val="auto"/>
              <w:rPr>
                <w:rFonts w:ascii="Rockwell" w:eastAsiaTheme="minorHAnsi" w:hAnsi="Rockwell"/>
              </w:rPr>
            </w:pPr>
            <w:r>
              <w:rPr>
                <w:rFonts w:ascii="Rockwell" w:eastAsia="Calibri" w:hAnsi="Rockwell"/>
              </w:rPr>
              <w:t>100% SPORT</w:t>
            </w:r>
          </w:p>
        </w:tc>
        <w:tc>
          <w:tcPr>
            <w:tcW w:w="4394" w:type="dxa"/>
            <w:vAlign w:val="bottom"/>
          </w:tcPr>
          <w:p w14:paraId="0AD75EB1" w14:textId="77777777" w:rsidR="00284822" w:rsidRDefault="003148F1">
            <w:pPr>
              <w:autoSpaceDN/>
              <w:spacing w:before="120" w:after="120"/>
              <w:textAlignment w:val="auto"/>
              <w:rPr>
                <w:rFonts w:ascii="Rockwell" w:eastAsia="Calibri" w:hAnsi="Rockwell"/>
              </w:rPr>
            </w:pPr>
            <w:hyperlink w:history="1">
              <w:r w:rsidR="00F77BF8">
                <w:rPr>
                  <w:rStyle w:val="Lienhypertexte"/>
                  <w:rFonts w:ascii="Rockwell" w:eastAsia="Calibri" w:hAnsi="Rockwell"/>
                </w:rPr>
                <w:t>www.100%sport.online</w:t>
              </w:r>
            </w:hyperlink>
          </w:p>
        </w:tc>
      </w:tr>
      <w:tr w:rsidR="00284822" w14:paraId="29506192" w14:textId="77777777">
        <w:tc>
          <w:tcPr>
            <w:tcW w:w="851" w:type="dxa"/>
          </w:tcPr>
          <w:p w14:paraId="72A3CCD7"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141</w:t>
            </w:r>
          </w:p>
        </w:tc>
        <w:tc>
          <w:tcPr>
            <w:tcW w:w="4678" w:type="dxa"/>
            <w:vAlign w:val="center"/>
          </w:tcPr>
          <w:p w14:paraId="10F63909" w14:textId="77777777" w:rsidR="00284822" w:rsidRDefault="00F77BF8">
            <w:pPr>
              <w:autoSpaceDN/>
              <w:spacing w:before="120" w:after="120"/>
              <w:textAlignment w:val="auto"/>
              <w:rPr>
                <w:rFonts w:ascii="Rockwell" w:eastAsiaTheme="minorHAnsi" w:hAnsi="Rockwell"/>
              </w:rPr>
            </w:pPr>
            <w:r>
              <w:rPr>
                <w:rFonts w:ascii="Rockwell" w:eastAsia="Calibri" w:hAnsi="Rockwell"/>
              </w:rPr>
              <w:t>Nouvelles-infos</w:t>
            </w:r>
          </w:p>
        </w:tc>
        <w:tc>
          <w:tcPr>
            <w:tcW w:w="4394" w:type="dxa"/>
            <w:vAlign w:val="bottom"/>
          </w:tcPr>
          <w:p w14:paraId="50F6DB85" w14:textId="77777777" w:rsidR="00284822" w:rsidRDefault="003148F1">
            <w:pPr>
              <w:autoSpaceDN/>
              <w:spacing w:before="120" w:after="120"/>
              <w:textAlignment w:val="auto"/>
              <w:rPr>
                <w:rFonts w:ascii="Rockwell" w:eastAsia="Calibri" w:hAnsi="Rockwell"/>
              </w:rPr>
            </w:pPr>
            <w:hyperlink r:id="rId246" w:history="1">
              <w:r w:rsidR="00F77BF8">
                <w:rPr>
                  <w:rStyle w:val="Lienhypertexte"/>
                  <w:rFonts w:ascii="Rockwell" w:eastAsia="Calibri" w:hAnsi="Rockwell"/>
                </w:rPr>
                <w:t>www.nouvelles-infos.bf</w:t>
              </w:r>
            </w:hyperlink>
          </w:p>
        </w:tc>
      </w:tr>
      <w:tr w:rsidR="00284822" w14:paraId="00517EA6" w14:textId="77777777">
        <w:tc>
          <w:tcPr>
            <w:tcW w:w="851" w:type="dxa"/>
          </w:tcPr>
          <w:p w14:paraId="0BBBF93B"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142</w:t>
            </w:r>
          </w:p>
        </w:tc>
        <w:tc>
          <w:tcPr>
            <w:tcW w:w="4678" w:type="dxa"/>
            <w:vAlign w:val="center"/>
          </w:tcPr>
          <w:p w14:paraId="45550215"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Wouninfo</w:t>
            </w:r>
            <w:proofErr w:type="spellEnd"/>
          </w:p>
        </w:tc>
        <w:tc>
          <w:tcPr>
            <w:tcW w:w="4394" w:type="dxa"/>
            <w:vAlign w:val="bottom"/>
          </w:tcPr>
          <w:p w14:paraId="693DBB90" w14:textId="77777777" w:rsidR="00284822" w:rsidRDefault="003148F1">
            <w:pPr>
              <w:autoSpaceDN/>
              <w:spacing w:before="120" w:after="120"/>
              <w:textAlignment w:val="auto"/>
              <w:rPr>
                <w:rFonts w:ascii="Rockwell" w:eastAsia="Calibri" w:hAnsi="Rockwell"/>
              </w:rPr>
            </w:pPr>
            <w:hyperlink r:id="rId247" w:history="1">
              <w:r w:rsidR="00F77BF8">
                <w:rPr>
                  <w:rStyle w:val="Lienhypertexte"/>
                  <w:rFonts w:ascii="Rockwell" w:eastAsia="Calibri" w:hAnsi="Rockwell"/>
                </w:rPr>
                <w:t>www.Woun-info.net</w:t>
              </w:r>
            </w:hyperlink>
          </w:p>
        </w:tc>
      </w:tr>
      <w:tr w:rsidR="00284822" w14:paraId="149C01BA" w14:textId="77777777">
        <w:tc>
          <w:tcPr>
            <w:tcW w:w="851" w:type="dxa"/>
          </w:tcPr>
          <w:p w14:paraId="51745908"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143</w:t>
            </w:r>
          </w:p>
        </w:tc>
        <w:tc>
          <w:tcPr>
            <w:tcW w:w="4678" w:type="dxa"/>
            <w:vAlign w:val="center"/>
          </w:tcPr>
          <w:p w14:paraId="7788609F"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Daaroul</w:t>
            </w:r>
            <w:proofErr w:type="spellEnd"/>
            <w:r>
              <w:rPr>
                <w:rFonts w:ascii="Rockwell" w:eastAsia="Calibri" w:hAnsi="Rockwell"/>
              </w:rPr>
              <w:t xml:space="preserve"> Iman</w:t>
            </w:r>
          </w:p>
        </w:tc>
        <w:tc>
          <w:tcPr>
            <w:tcW w:w="4394" w:type="dxa"/>
            <w:vAlign w:val="bottom"/>
          </w:tcPr>
          <w:p w14:paraId="45EF9E62" w14:textId="77777777" w:rsidR="00284822" w:rsidRDefault="00F77BF8">
            <w:pPr>
              <w:autoSpaceDN/>
              <w:spacing w:before="120" w:after="120"/>
              <w:textAlignment w:val="auto"/>
              <w:rPr>
                <w:rFonts w:ascii="Rockwell" w:eastAsiaTheme="minorHAnsi" w:hAnsi="Rockwell"/>
              </w:rPr>
            </w:pPr>
            <w:r>
              <w:rPr>
                <w:rFonts w:ascii="Rockwell" w:eastAsia="Calibri" w:hAnsi="Rockwell"/>
              </w:rPr>
              <w:t>www.daarouliman.com</w:t>
            </w:r>
          </w:p>
        </w:tc>
      </w:tr>
      <w:tr w:rsidR="00284822" w14:paraId="40E686FD" w14:textId="77777777">
        <w:tc>
          <w:tcPr>
            <w:tcW w:w="851" w:type="dxa"/>
          </w:tcPr>
          <w:p w14:paraId="3FFAF42B"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144</w:t>
            </w:r>
          </w:p>
        </w:tc>
        <w:tc>
          <w:tcPr>
            <w:tcW w:w="4678" w:type="dxa"/>
            <w:vAlign w:val="center"/>
          </w:tcPr>
          <w:p w14:paraId="1975E6EC" w14:textId="77777777" w:rsidR="00284822" w:rsidRDefault="00F77BF8">
            <w:pPr>
              <w:autoSpaceDN/>
              <w:spacing w:before="120" w:after="120"/>
              <w:textAlignment w:val="auto"/>
              <w:rPr>
                <w:rFonts w:ascii="Rockwell" w:eastAsiaTheme="minorHAnsi" w:hAnsi="Rockwell"/>
              </w:rPr>
            </w:pPr>
            <w:r>
              <w:rPr>
                <w:rFonts w:ascii="Rockwell" w:eastAsia="Calibri" w:hAnsi="Rockwell"/>
              </w:rPr>
              <w:t>Eclair info</w:t>
            </w:r>
          </w:p>
        </w:tc>
        <w:tc>
          <w:tcPr>
            <w:tcW w:w="4394" w:type="dxa"/>
            <w:vAlign w:val="bottom"/>
          </w:tcPr>
          <w:p w14:paraId="5B28A248" w14:textId="77777777" w:rsidR="00284822" w:rsidRDefault="003148F1">
            <w:pPr>
              <w:autoSpaceDN/>
              <w:spacing w:before="120" w:after="120"/>
              <w:textAlignment w:val="auto"/>
              <w:rPr>
                <w:rFonts w:ascii="Rockwell" w:eastAsia="Calibri" w:hAnsi="Rockwell"/>
              </w:rPr>
            </w:pPr>
            <w:hyperlink r:id="rId248" w:history="1">
              <w:r w:rsidR="00F77BF8">
                <w:rPr>
                  <w:rStyle w:val="Lienhypertexte"/>
                  <w:rFonts w:ascii="Rockwell" w:eastAsia="Calibri" w:hAnsi="Rockwell"/>
                </w:rPr>
                <w:t>www.eclairinfo.net</w:t>
              </w:r>
            </w:hyperlink>
          </w:p>
        </w:tc>
      </w:tr>
      <w:tr w:rsidR="00284822" w14:paraId="1BF7B92A" w14:textId="77777777">
        <w:tc>
          <w:tcPr>
            <w:tcW w:w="851" w:type="dxa"/>
          </w:tcPr>
          <w:p w14:paraId="66D561CA"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145</w:t>
            </w:r>
          </w:p>
        </w:tc>
        <w:tc>
          <w:tcPr>
            <w:tcW w:w="4678" w:type="dxa"/>
            <w:vAlign w:val="center"/>
          </w:tcPr>
          <w:p w14:paraId="23155FF8"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Mediaplus</w:t>
            </w:r>
            <w:proofErr w:type="spellEnd"/>
          </w:p>
        </w:tc>
        <w:tc>
          <w:tcPr>
            <w:tcW w:w="4394" w:type="dxa"/>
            <w:vAlign w:val="bottom"/>
          </w:tcPr>
          <w:p w14:paraId="060F81EB" w14:textId="77777777" w:rsidR="00284822" w:rsidRDefault="003148F1">
            <w:pPr>
              <w:autoSpaceDN/>
              <w:spacing w:before="120" w:after="120"/>
              <w:textAlignment w:val="auto"/>
              <w:rPr>
                <w:rFonts w:ascii="Rockwell" w:eastAsia="Calibri" w:hAnsi="Rockwell"/>
              </w:rPr>
            </w:pPr>
            <w:hyperlink r:id="rId249" w:history="1">
              <w:r w:rsidR="00F77BF8">
                <w:rPr>
                  <w:rStyle w:val="Lienhypertexte"/>
                  <w:rFonts w:ascii="Rockwell" w:eastAsia="Calibri" w:hAnsi="Rockwell"/>
                </w:rPr>
                <w:t>www.mediaplusinfo.net</w:t>
              </w:r>
            </w:hyperlink>
            <w:r w:rsidR="00F77BF8">
              <w:rPr>
                <w:rFonts w:ascii="Rockwell" w:eastAsia="Calibri" w:hAnsi="Rockwell"/>
              </w:rPr>
              <w:t xml:space="preserve"> </w:t>
            </w:r>
          </w:p>
        </w:tc>
      </w:tr>
      <w:tr w:rsidR="00284822" w14:paraId="5381E189" w14:textId="77777777">
        <w:tc>
          <w:tcPr>
            <w:tcW w:w="851" w:type="dxa"/>
          </w:tcPr>
          <w:p w14:paraId="09873ADB"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146</w:t>
            </w:r>
          </w:p>
        </w:tc>
        <w:tc>
          <w:tcPr>
            <w:tcW w:w="4678" w:type="dxa"/>
            <w:vAlign w:val="center"/>
          </w:tcPr>
          <w:p w14:paraId="23E998AF" w14:textId="77777777" w:rsidR="00284822" w:rsidRDefault="00F77BF8">
            <w:pPr>
              <w:autoSpaceDN/>
              <w:spacing w:before="120" w:after="120"/>
              <w:textAlignment w:val="auto"/>
              <w:rPr>
                <w:rFonts w:ascii="Rockwell" w:eastAsiaTheme="minorHAnsi" w:hAnsi="Rockwell"/>
              </w:rPr>
            </w:pPr>
            <w:r>
              <w:rPr>
                <w:rFonts w:ascii="Rockwell" w:eastAsia="Calibri" w:hAnsi="Rockwell"/>
              </w:rPr>
              <w:t>Ouest Info</w:t>
            </w:r>
          </w:p>
        </w:tc>
        <w:tc>
          <w:tcPr>
            <w:tcW w:w="4394" w:type="dxa"/>
            <w:vAlign w:val="bottom"/>
          </w:tcPr>
          <w:p w14:paraId="53934318" w14:textId="77777777" w:rsidR="00284822" w:rsidRDefault="003148F1">
            <w:pPr>
              <w:autoSpaceDN/>
              <w:spacing w:before="120" w:after="120"/>
              <w:textAlignment w:val="auto"/>
              <w:rPr>
                <w:rFonts w:ascii="Rockwell" w:eastAsia="Calibri" w:hAnsi="Rockwell"/>
              </w:rPr>
            </w:pPr>
            <w:hyperlink r:id="rId250" w:history="1">
              <w:r w:rsidR="00F77BF8">
                <w:rPr>
                  <w:rStyle w:val="Lienhypertexte"/>
                  <w:rFonts w:ascii="Rockwell" w:eastAsia="Calibri" w:hAnsi="Rockwell"/>
                </w:rPr>
                <w:t>www.ouest-info.net</w:t>
              </w:r>
            </w:hyperlink>
            <w:r w:rsidR="00F77BF8">
              <w:rPr>
                <w:rFonts w:ascii="Rockwell" w:eastAsia="Calibri" w:hAnsi="Rockwell"/>
              </w:rPr>
              <w:t xml:space="preserve"> </w:t>
            </w:r>
          </w:p>
        </w:tc>
      </w:tr>
      <w:tr w:rsidR="00284822" w14:paraId="2FCF9B86" w14:textId="77777777">
        <w:tc>
          <w:tcPr>
            <w:tcW w:w="851" w:type="dxa"/>
          </w:tcPr>
          <w:p w14:paraId="38B61B3D"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147</w:t>
            </w:r>
          </w:p>
        </w:tc>
        <w:tc>
          <w:tcPr>
            <w:tcW w:w="4678" w:type="dxa"/>
            <w:vAlign w:val="center"/>
          </w:tcPr>
          <w:p w14:paraId="3D3FBE2A"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Parlcitoyen</w:t>
            </w:r>
            <w:proofErr w:type="spellEnd"/>
          </w:p>
        </w:tc>
        <w:tc>
          <w:tcPr>
            <w:tcW w:w="4394" w:type="dxa"/>
            <w:vAlign w:val="bottom"/>
          </w:tcPr>
          <w:p w14:paraId="516F2447" w14:textId="77777777" w:rsidR="00284822" w:rsidRDefault="003148F1">
            <w:pPr>
              <w:autoSpaceDN/>
              <w:spacing w:before="120" w:after="120"/>
              <w:textAlignment w:val="auto"/>
              <w:rPr>
                <w:rFonts w:ascii="Rockwell" w:eastAsia="Calibri" w:hAnsi="Rockwell"/>
              </w:rPr>
            </w:pPr>
            <w:hyperlink r:id="rId251" w:history="1">
              <w:r w:rsidR="00F77BF8">
                <w:rPr>
                  <w:rStyle w:val="Lienhypertexte"/>
                  <w:rFonts w:ascii="Rockwell" w:eastAsia="Calibri" w:hAnsi="Rockwell"/>
                </w:rPr>
                <w:t>www.parlcitoyen.com</w:t>
              </w:r>
            </w:hyperlink>
          </w:p>
        </w:tc>
      </w:tr>
      <w:tr w:rsidR="00284822" w14:paraId="4C916EAA" w14:textId="77777777">
        <w:tc>
          <w:tcPr>
            <w:tcW w:w="851" w:type="dxa"/>
          </w:tcPr>
          <w:p w14:paraId="4A8E3474"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148</w:t>
            </w:r>
          </w:p>
        </w:tc>
        <w:tc>
          <w:tcPr>
            <w:tcW w:w="4678" w:type="dxa"/>
            <w:vAlign w:val="center"/>
          </w:tcPr>
          <w:p w14:paraId="4C7F18A3"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Mousso</w:t>
            </w:r>
            <w:proofErr w:type="spellEnd"/>
            <w:r>
              <w:rPr>
                <w:rFonts w:ascii="Rockwell" w:eastAsia="Calibri" w:hAnsi="Rockwell"/>
              </w:rPr>
              <w:t xml:space="preserve"> News</w:t>
            </w:r>
          </w:p>
        </w:tc>
        <w:tc>
          <w:tcPr>
            <w:tcW w:w="4394" w:type="dxa"/>
            <w:vAlign w:val="bottom"/>
          </w:tcPr>
          <w:p w14:paraId="42E0FE88" w14:textId="77777777" w:rsidR="00284822" w:rsidRDefault="003148F1">
            <w:pPr>
              <w:autoSpaceDN/>
              <w:spacing w:before="120" w:after="120"/>
              <w:textAlignment w:val="auto"/>
              <w:rPr>
                <w:rFonts w:ascii="Rockwell" w:eastAsia="Calibri" w:hAnsi="Rockwell"/>
              </w:rPr>
            </w:pPr>
            <w:hyperlink r:id="rId252" w:history="1">
              <w:r w:rsidR="00F77BF8">
                <w:rPr>
                  <w:rStyle w:val="Lienhypertexte"/>
                  <w:rFonts w:ascii="Rockwell" w:eastAsia="Calibri" w:hAnsi="Rockwell"/>
                </w:rPr>
                <w:t>www.moussonews.com</w:t>
              </w:r>
            </w:hyperlink>
          </w:p>
        </w:tc>
      </w:tr>
      <w:tr w:rsidR="00284822" w14:paraId="71AE9F9F" w14:textId="77777777">
        <w:tc>
          <w:tcPr>
            <w:tcW w:w="851" w:type="dxa"/>
          </w:tcPr>
          <w:p w14:paraId="024F3FA3"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149</w:t>
            </w:r>
          </w:p>
        </w:tc>
        <w:tc>
          <w:tcPr>
            <w:tcW w:w="4678" w:type="dxa"/>
            <w:vAlign w:val="center"/>
          </w:tcPr>
          <w:p w14:paraId="3548F575"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Afrik</w:t>
            </w:r>
            <w:proofErr w:type="spellEnd"/>
            <w:r>
              <w:rPr>
                <w:rFonts w:ascii="Rockwell" w:eastAsia="Calibri" w:hAnsi="Rockwell"/>
              </w:rPr>
              <w:t xml:space="preserve"> Presse</w:t>
            </w:r>
          </w:p>
        </w:tc>
        <w:tc>
          <w:tcPr>
            <w:tcW w:w="4394" w:type="dxa"/>
            <w:vAlign w:val="bottom"/>
          </w:tcPr>
          <w:p w14:paraId="4AFD478C" w14:textId="77777777" w:rsidR="00284822" w:rsidRDefault="003148F1">
            <w:pPr>
              <w:autoSpaceDN/>
              <w:spacing w:before="120" w:after="120"/>
              <w:textAlignment w:val="auto"/>
              <w:rPr>
                <w:rFonts w:ascii="Rockwell" w:eastAsia="Calibri" w:hAnsi="Rockwell"/>
              </w:rPr>
            </w:pPr>
            <w:hyperlink r:id="rId253" w:history="1">
              <w:r w:rsidR="00F77BF8">
                <w:rPr>
                  <w:rStyle w:val="Lienhypertexte"/>
                  <w:rFonts w:ascii="Rockwell" w:eastAsia="Calibri" w:hAnsi="Rockwell"/>
                </w:rPr>
                <w:t>www.afrikpress.com</w:t>
              </w:r>
            </w:hyperlink>
          </w:p>
        </w:tc>
      </w:tr>
      <w:tr w:rsidR="00284822" w14:paraId="31AB475B" w14:textId="77777777">
        <w:trPr>
          <w:trHeight w:val="1133"/>
        </w:trPr>
        <w:tc>
          <w:tcPr>
            <w:tcW w:w="851" w:type="dxa"/>
          </w:tcPr>
          <w:p w14:paraId="532E87D4" w14:textId="77777777" w:rsidR="00284822" w:rsidRDefault="00F77BF8">
            <w:pPr>
              <w:autoSpaceDN/>
              <w:spacing w:before="120" w:after="120"/>
              <w:jc w:val="center"/>
              <w:textAlignment w:val="auto"/>
              <w:rPr>
                <w:rFonts w:ascii="Rockwell" w:eastAsiaTheme="minorHAnsi" w:hAnsi="Rockwell"/>
              </w:rPr>
            </w:pPr>
            <w:r>
              <w:rPr>
                <w:rFonts w:ascii="Rockwell" w:eastAsiaTheme="minorHAnsi" w:hAnsi="Rockwell"/>
              </w:rPr>
              <w:t>150</w:t>
            </w:r>
          </w:p>
        </w:tc>
        <w:tc>
          <w:tcPr>
            <w:tcW w:w="4678" w:type="dxa"/>
          </w:tcPr>
          <w:p w14:paraId="3B1DAD9A" w14:textId="77777777" w:rsidR="00284822" w:rsidRDefault="00F77BF8">
            <w:pPr>
              <w:autoSpaceDN/>
              <w:spacing w:before="120" w:after="120"/>
              <w:textAlignment w:val="auto"/>
              <w:rPr>
                <w:rFonts w:ascii="Rockwell" w:eastAsiaTheme="minorHAnsi" w:hAnsi="Rockwell"/>
              </w:rPr>
            </w:pPr>
            <w:r>
              <w:rPr>
                <w:rFonts w:ascii="Rockwell" w:eastAsia="Calibri" w:hAnsi="Rockwell"/>
              </w:rPr>
              <w:t>Digital Magazine Burkina Faso</w:t>
            </w:r>
          </w:p>
        </w:tc>
        <w:tc>
          <w:tcPr>
            <w:tcW w:w="4394" w:type="dxa"/>
          </w:tcPr>
          <w:p w14:paraId="7C99C1C3" w14:textId="77777777" w:rsidR="00284822" w:rsidRDefault="003148F1">
            <w:pPr>
              <w:autoSpaceDN/>
              <w:spacing w:before="120" w:after="120"/>
              <w:textAlignment w:val="auto"/>
              <w:rPr>
                <w:rFonts w:ascii="Rockwell" w:eastAsia="Calibri" w:hAnsi="Rockwell"/>
              </w:rPr>
            </w:pPr>
            <w:hyperlink r:id="rId254" w:history="1">
              <w:r w:rsidR="00F77BF8">
                <w:rPr>
                  <w:rStyle w:val="Lienhypertexte"/>
                  <w:rFonts w:ascii="Rockwell" w:eastAsia="Calibri" w:hAnsi="Rockwell"/>
                </w:rPr>
                <w:t>www.digitalmagazine.bf</w:t>
              </w:r>
            </w:hyperlink>
          </w:p>
        </w:tc>
      </w:tr>
      <w:tr w:rsidR="00284822" w14:paraId="0AFA4EE6" w14:textId="77777777">
        <w:trPr>
          <w:trHeight w:val="693"/>
        </w:trPr>
        <w:tc>
          <w:tcPr>
            <w:tcW w:w="851" w:type="dxa"/>
          </w:tcPr>
          <w:p w14:paraId="12DD4F18" w14:textId="77777777" w:rsidR="00284822" w:rsidRDefault="00F77BF8">
            <w:pPr>
              <w:autoSpaceDN/>
              <w:spacing w:line="240" w:lineRule="auto"/>
              <w:textAlignment w:val="auto"/>
              <w:rPr>
                <w:rFonts w:ascii="Rockwell" w:eastAsiaTheme="minorHAnsi" w:hAnsi="Rockwell"/>
              </w:rPr>
            </w:pPr>
            <w:r>
              <w:rPr>
                <w:rFonts w:ascii="Rockwell" w:eastAsiaTheme="minorHAnsi" w:hAnsi="Rockwell"/>
              </w:rPr>
              <w:lastRenderedPageBreak/>
              <w:t>151</w:t>
            </w:r>
          </w:p>
        </w:tc>
        <w:tc>
          <w:tcPr>
            <w:tcW w:w="4678" w:type="dxa"/>
          </w:tcPr>
          <w:p w14:paraId="4F3007D0" w14:textId="77777777" w:rsidR="00284822" w:rsidRDefault="00F77BF8">
            <w:pPr>
              <w:autoSpaceDN/>
              <w:spacing w:line="240" w:lineRule="auto"/>
              <w:textAlignment w:val="auto"/>
              <w:rPr>
                <w:rFonts w:ascii="Rockwell" w:eastAsiaTheme="minorHAnsi" w:hAnsi="Rockwell"/>
              </w:rPr>
            </w:pPr>
            <w:proofErr w:type="spellStart"/>
            <w:r>
              <w:rPr>
                <w:rFonts w:ascii="Rockwell" w:eastAsia="Calibri" w:hAnsi="Rockwell"/>
              </w:rPr>
              <w:t>Burkinasoir</w:t>
            </w:r>
            <w:proofErr w:type="spellEnd"/>
          </w:p>
        </w:tc>
        <w:tc>
          <w:tcPr>
            <w:tcW w:w="4394" w:type="dxa"/>
          </w:tcPr>
          <w:p w14:paraId="00A883F8" w14:textId="77777777" w:rsidR="00284822" w:rsidRDefault="003148F1">
            <w:pPr>
              <w:autoSpaceDN/>
              <w:spacing w:line="240" w:lineRule="auto"/>
              <w:textAlignment w:val="auto"/>
              <w:rPr>
                <w:rFonts w:ascii="Rockwell" w:eastAsia="Calibri" w:hAnsi="Rockwell"/>
              </w:rPr>
            </w:pPr>
            <w:hyperlink r:id="rId255" w:history="1">
              <w:r w:rsidR="00F77BF8">
                <w:rPr>
                  <w:rStyle w:val="Lienhypertexte"/>
                  <w:rFonts w:ascii="Rockwell" w:eastAsia="Calibri" w:hAnsi="Rockwell"/>
                </w:rPr>
                <w:t>www.burkinasoir.net</w:t>
              </w:r>
            </w:hyperlink>
          </w:p>
          <w:p w14:paraId="5BDB668E" w14:textId="77777777" w:rsidR="00284822" w:rsidRDefault="00284822">
            <w:pPr>
              <w:autoSpaceDN/>
              <w:spacing w:line="240" w:lineRule="auto"/>
              <w:jc w:val="center"/>
              <w:textAlignment w:val="auto"/>
              <w:rPr>
                <w:rFonts w:ascii="Rockwell" w:eastAsiaTheme="minorHAnsi" w:hAnsi="Rockwell"/>
              </w:rPr>
            </w:pPr>
          </w:p>
        </w:tc>
      </w:tr>
      <w:tr w:rsidR="00284822" w14:paraId="744727AF" w14:textId="77777777">
        <w:tc>
          <w:tcPr>
            <w:tcW w:w="851" w:type="dxa"/>
          </w:tcPr>
          <w:p w14:paraId="3FB18F6B"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152</w:t>
            </w:r>
          </w:p>
        </w:tc>
        <w:tc>
          <w:tcPr>
            <w:tcW w:w="4678" w:type="dxa"/>
            <w:vAlign w:val="center"/>
          </w:tcPr>
          <w:p w14:paraId="19D7C8C0" w14:textId="77777777" w:rsidR="00284822" w:rsidRDefault="00F77BF8">
            <w:pPr>
              <w:autoSpaceDN/>
              <w:spacing w:before="120" w:after="120"/>
              <w:textAlignment w:val="auto"/>
              <w:rPr>
                <w:rFonts w:ascii="Rockwell" w:eastAsiaTheme="minorHAnsi" w:hAnsi="Rockwell"/>
              </w:rPr>
            </w:pPr>
            <w:r>
              <w:rPr>
                <w:rFonts w:ascii="Rockwell" w:eastAsia="Calibri" w:hAnsi="Rockwell"/>
              </w:rPr>
              <w:t>Laafi-info.bf</w:t>
            </w:r>
          </w:p>
        </w:tc>
        <w:tc>
          <w:tcPr>
            <w:tcW w:w="4394" w:type="dxa"/>
            <w:vAlign w:val="bottom"/>
          </w:tcPr>
          <w:p w14:paraId="063D2F2B" w14:textId="77777777" w:rsidR="00284822" w:rsidRDefault="003148F1">
            <w:pPr>
              <w:autoSpaceDN/>
              <w:spacing w:before="120" w:after="120"/>
              <w:textAlignment w:val="auto"/>
              <w:rPr>
                <w:rFonts w:ascii="Rockwell" w:eastAsia="Calibri" w:hAnsi="Rockwell"/>
              </w:rPr>
            </w:pPr>
            <w:hyperlink r:id="rId256" w:history="1">
              <w:r w:rsidR="00F77BF8">
                <w:rPr>
                  <w:rStyle w:val="Lienhypertexte"/>
                  <w:rFonts w:ascii="Rockwell" w:eastAsia="Calibri" w:hAnsi="Rockwell"/>
                </w:rPr>
                <w:t>www.laafiinfos.bf</w:t>
              </w:r>
            </w:hyperlink>
          </w:p>
        </w:tc>
      </w:tr>
      <w:tr w:rsidR="00284822" w14:paraId="60595630" w14:textId="77777777">
        <w:trPr>
          <w:trHeight w:val="552"/>
        </w:trPr>
        <w:tc>
          <w:tcPr>
            <w:tcW w:w="851" w:type="dxa"/>
          </w:tcPr>
          <w:p w14:paraId="68CA6513"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153</w:t>
            </w:r>
          </w:p>
        </w:tc>
        <w:tc>
          <w:tcPr>
            <w:tcW w:w="4678" w:type="dxa"/>
            <w:vAlign w:val="center"/>
          </w:tcPr>
          <w:p w14:paraId="37947786" w14:textId="77777777" w:rsidR="00284822" w:rsidRDefault="00F77BF8">
            <w:pPr>
              <w:autoSpaceDN/>
              <w:spacing w:before="120" w:after="120"/>
              <w:textAlignment w:val="auto"/>
              <w:rPr>
                <w:rFonts w:ascii="Rockwell" w:eastAsiaTheme="minorHAnsi" w:hAnsi="Rockwell"/>
              </w:rPr>
            </w:pPr>
            <w:r>
              <w:rPr>
                <w:rFonts w:ascii="Rockwell" w:eastAsia="Calibri" w:hAnsi="Rockwell"/>
              </w:rPr>
              <w:t>Infos Rapide</w:t>
            </w:r>
          </w:p>
        </w:tc>
        <w:tc>
          <w:tcPr>
            <w:tcW w:w="4394" w:type="dxa"/>
            <w:vAlign w:val="bottom"/>
          </w:tcPr>
          <w:p w14:paraId="55BA1F8D" w14:textId="77777777" w:rsidR="00284822" w:rsidRDefault="003148F1">
            <w:pPr>
              <w:autoSpaceDN/>
              <w:spacing w:before="120" w:after="120"/>
              <w:textAlignment w:val="auto"/>
              <w:rPr>
                <w:rFonts w:ascii="Rockwell" w:eastAsia="Calibri" w:hAnsi="Rockwell"/>
              </w:rPr>
            </w:pPr>
            <w:hyperlink r:id="rId257" w:history="1">
              <w:r w:rsidR="00F77BF8">
                <w:rPr>
                  <w:rStyle w:val="Lienhypertexte"/>
                  <w:rFonts w:ascii="Rockwell" w:eastAsia="Calibri" w:hAnsi="Rockwell"/>
                </w:rPr>
                <w:t>www.inforapide.net</w:t>
              </w:r>
            </w:hyperlink>
          </w:p>
        </w:tc>
      </w:tr>
      <w:tr w:rsidR="00284822" w14:paraId="51774E94" w14:textId="77777777">
        <w:tc>
          <w:tcPr>
            <w:tcW w:w="851" w:type="dxa"/>
          </w:tcPr>
          <w:p w14:paraId="5E4C53D7"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154</w:t>
            </w:r>
          </w:p>
        </w:tc>
        <w:tc>
          <w:tcPr>
            <w:tcW w:w="4678" w:type="dxa"/>
            <w:vAlign w:val="center"/>
          </w:tcPr>
          <w:p w14:paraId="3139483B"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Mplus</w:t>
            </w:r>
            <w:proofErr w:type="spellEnd"/>
            <w:r>
              <w:rPr>
                <w:rFonts w:ascii="Rockwell" w:eastAsia="Calibri" w:hAnsi="Rockwell"/>
              </w:rPr>
              <w:t xml:space="preserve"> magazine</w:t>
            </w:r>
          </w:p>
        </w:tc>
        <w:tc>
          <w:tcPr>
            <w:tcW w:w="4394" w:type="dxa"/>
            <w:vAlign w:val="bottom"/>
          </w:tcPr>
          <w:p w14:paraId="7D94D333" w14:textId="77777777" w:rsidR="00284822" w:rsidRDefault="00F77BF8">
            <w:pPr>
              <w:autoSpaceDN/>
              <w:spacing w:before="120" w:after="120"/>
              <w:textAlignment w:val="auto"/>
              <w:rPr>
                <w:rFonts w:ascii="Rockwell" w:eastAsia="Calibri" w:hAnsi="Rockwell"/>
              </w:rPr>
            </w:pPr>
            <w:r>
              <w:rPr>
                <w:rFonts w:ascii="Rockwell" w:eastAsia="Calibri" w:hAnsi="Rockwell"/>
              </w:rPr>
              <w:t>www.mplusmagazine.com</w:t>
            </w:r>
          </w:p>
        </w:tc>
      </w:tr>
      <w:tr w:rsidR="00284822" w14:paraId="7E3DA796" w14:textId="77777777">
        <w:tc>
          <w:tcPr>
            <w:tcW w:w="851" w:type="dxa"/>
          </w:tcPr>
          <w:p w14:paraId="690E51C4"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155</w:t>
            </w:r>
          </w:p>
        </w:tc>
        <w:tc>
          <w:tcPr>
            <w:tcW w:w="4678" w:type="dxa"/>
            <w:vAlign w:val="center"/>
          </w:tcPr>
          <w:p w14:paraId="6563A969" w14:textId="77777777" w:rsidR="00284822" w:rsidRDefault="00F77BF8">
            <w:pPr>
              <w:autoSpaceDN/>
              <w:spacing w:before="120" w:after="120"/>
              <w:textAlignment w:val="auto"/>
              <w:rPr>
                <w:rFonts w:ascii="Rockwell" w:eastAsiaTheme="minorHAnsi" w:hAnsi="Rockwell"/>
              </w:rPr>
            </w:pPr>
            <w:r>
              <w:rPr>
                <w:rFonts w:ascii="Rockwell" w:eastAsia="Calibri" w:hAnsi="Rockwell"/>
              </w:rPr>
              <w:t>emergenceislam.net</w:t>
            </w:r>
          </w:p>
        </w:tc>
        <w:tc>
          <w:tcPr>
            <w:tcW w:w="4394" w:type="dxa"/>
            <w:vAlign w:val="bottom"/>
          </w:tcPr>
          <w:p w14:paraId="3B671FD9" w14:textId="77777777" w:rsidR="00284822" w:rsidRDefault="003148F1">
            <w:pPr>
              <w:autoSpaceDN/>
              <w:spacing w:before="120" w:after="120"/>
              <w:textAlignment w:val="auto"/>
              <w:rPr>
                <w:rFonts w:ascii="Rockwell" w:eastAsia="Calibri" w:hAnsi="Rockwell"/>
              </w:rPr>
            </w:pPr>
            <w:hyperlink r:id="rId258" w:history="1">
              <w:r w:rsidR="00F77BF8">
                <w:rPr>
                  <w:rStyle w:val="Lienhypertexte"/>
                  <w:rFonts w:ascii="Rockwell" w:eastAsia="Calibri" w:hAnsi="Rockwell"/>
                </w:rPr>
                <w:t>www.emergenceislam.net</w:t>
              </w:r>
            </w:hyperlink>
          </w:p>
        </w:tc>
      </w:tr>
      <w:tr w:rsidR="00284822" w14:paraId="221A602A" w14:textId="77777777">
        <w:tc>
          <w:tcPr>
            <w:tcW w:w="851" w:type="dxa"/>
          </w:tcPr>
          <w:p w14:paraId="1E532AF1"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156</w:t>
            </w:r>
          </w:p>
        </w:tc>
        <w:tc>
          <w:tcPr>
            <w:tcW w:w="4678" w:type="dxa"/>
            <w:vAlign w:val="center"/>
          </w:tcPr>
          <w:p w14:paraId="77A3265B" w14:textId="77777777" w:rsidR="00284822" w:rsidRDefault="00F77BF8">
            <w:pPr>
              <w:autoSpaceDN/>
              <w:spacing w:before="120" w:after="120"/>
              <w:textAlignment w:val="auto"/>
              <w:rPr>
                <w:rFonts w:ascii="Rockwell" w:eastAsiaTheme="minorHAnsi" w:hAnsi="Rockwell"/>
              </w:rPr>
            </w:pPr>
            <w:r>
              <w:rPr>
                <w:rFonts w:ascii="Rockwell" w:eastAsia="Calibri" w:hAnsi="Rockwell"/>
              </w:rPr>
              <w:t>noocultures.info</w:t>
            </w:r>
          </w:p>
        </w:tc>
        <w:tc>
          <w:tcPr>
            <w:tcW w:w="4394" w:type="dxa"/>
            <w:vAlign w:val="bottom"/>
          </w:tcPr>
          <w:p w14:paraId="490363D9" w14:textId="77777777" w:rsidR="00284822" w:rsidRDefault="003148F1">
            <w:pPr>
              <w:autoSpaceDN/>
              <w:spacing w:before="120" w:after="120"/>
              <w:textAlignment w:val="auto"/>
              <w:rPr>
                <w:rFonts w:ascii="Rockwell" w:eastAsia="Calibri" w:hAnsi="Rockwell"/>
              </w:rPr>
            </w:pPr>
            <w:hyperlink r:id="rId259" w:history="1">
              <w:r w:rsidR="00F77BF8">
                <w:rPr>
                  <w:rStyle w:val="Lienhypertexte"/>
                  <w:rFonts w:ascii="Rockwell" w:eastAsia="Calibri" w:hAnsi="Rockwell"/>
                </w:rPr>
                <w:t>www.noocultures.info</w:t>
              </w:r>
            </w:hyperlink>
          </w:p>
        </w:tc>
      </w:tr>
      <w:tr w:rsidR="00284822" w14:paraId="5BC23BC7" w14:textId="77777777">
        <w:tc>
          <w:tcPr>
            <w:tcW w:w="851" w:type="dxa"/>
          </w:tcPr>
          <w:p w14:paraId="68E7E70C"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157</w:t>
            </w:r>
          </w:p>
        </w:tc>
        <w:tc>
          <w:tcPr>
            <w:tcW w:w="4678" w:type="dxa"/>
            <w:vAlign w:val="center"/>
          </w:tcPr>
          <w:p w14:paraId="2397B59E" w14:textId="77777777" w:rsidR="00284822" w:rsidRDefault="00F77BF8">
            <w:pPr>
              <w:autoSpaceDN/>
              <w:spacing w:before="120" w:after="120"/>
              <w:textAlignment w:val="auto"/>
              <w:rPr>
                <w:rFonts w:ascii="Rockwell" w:eastAsiaTheme="minorHAnsi" w:hAnsi="Rockwell"/>
              </w:rPr>
            </w:pPr>
            <w:r>
              <w:rPr>
                <w:rFonts w:ascii="Rockwell" w:eastAsia="Calibri" w:hAnsi="Rockwell"/>
              </w:rPr>
              <w:t>Humanitaryinfo.net</w:t>
            </w:r>
          </w:p>
        </w:tc>
        <w:tc>
          <w:tcPr>
            <w:tcW w:w="4394" w:type="dxa"/>
            <w:vAlign w:val="bottom"/>
          </w:tcPr>
          <w:p w14:paraId="0E1F245A" w14:textId="77777777" w:rsidR="00284822" w:rsidRDefault="003148F1">
            <w:pPr>
              <w:autoSpaceDN/>
              <w:spacing w:before="120" w:after="120"/>
              <w:textAlignment w:val="auto"/>
              <w:rPr>
                <w:rFonts w:ascii="Rockwell" w:eastAsia="Calibri" w:hAnsi="Rockwell"/>
              </w:rPr>
            </w:pPr>
            <w:hyperlink r:id="rId260" w:history="1">
              <w:r w:rsidR="00F77BF8">
                <w:rPr>
                  <w:rStyle w:val="Lienhypertexte"/>
                  <w:rFonts w:ascii="Rockwell" w:eastAsia="Calibri" w:hAnsi="Rockwell"/>
                </w:rPr>
                <w:t>www.humanitaryinfo.net</w:t>
              </w:r>
            </w:hyperlink>
            <w:r w:rsidR="00F77BF8">
              <w:rPr>
                <w:rFonts w:ascii="Rockwell" w:eastAsia="Calibri" w:hAnsi="Rockwell"/>
              </w:rPr>
              <w:t xml:space="preserve"> </w:t>
            </w:r>
          </w:p>
        </w:tc>
      </w:tr>
      <w:tr w:rsidR="00284822" w14:paraId="087D714C" w14:textId="77777777">
        <w:trPr>
          <w:trHeight w:val="513"/>
        </w:trPr>
        <w:tc>
          <w:tcPr>
            <w:tcW w:w="851" w:type="dxa"/>
          </w:tcPr>
          <w:p w14:paraId="457C2C24"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158</w:t>
            </w:r>
          </w:p>
        </w:tc>
        <w:tc>
          <w:tcPr>
            <w:tcW w:w="4678" w:type="dxa"/>
            <w:vAlign w:val="center"/>
          </w:tcPr>
          <w:p w14:paraId="47B63BAB" w14:textId="77777777" w:rsidR="00284822" w:rsidRDefault="00F77BF8">
            <w:pPr>
              <w:autoSpaceDN/>
              <w:spacing w:before="120" w:after="120"/>
              <w:textAlignment w:val="auto"/>
              <w:rPr>
                <w:rFonts w:ascii="Rockwell" w:eastAsiaTheme="minorHAnsi" w:hAnsi="Rockwell"/>
              </w:rPr>
            </w:pPr>
            <w:r>
              <w:rPr>
                <w:rFonts w:ascii="Rockwell" w:eastAsia="Calibri" w:hAnsi="Rockwell"/>
              </w:rPr>
              <w:t>Sciences-Campus Info</w:t>
            </w:r>
          </w:p>
        </w:tc>
        <w:tc>
          <w:tcPr>
            <w:tcW w:w="4394" w:type="dxa"/>
            <w:vAlign w:val="bottom"/>
          </w:tcPr>
          <w:p w14:paraId="351BD9C0" w14:textId="77777777" w:rsidR="00284822" w:rsidRDefault="003148F1">
            <w:pPr>
              <w:autoSpaceDN/>
              <w:spacing w:before="120" w:after="120"/>
              <w:textAlignment w:val="auto"/>
              <w:rPr>
                <w:rFonts w:ascii="Rockwell" w:eastAsia="Calibri" w:hAnsi="Rockwell"/>
              </w:rPr>
            </w:pPr>
            <w:hyperlink r:id="rId261" w:history="1">
              <w:r w:rsidR="00F77BF8">
                <w:rPr>
                  <w:rStyle w:val="Lienhypertexte"/>
                  <w:rFonts w:ascii="Rockwell" w:eastAsia="Calibri" w:hAnsi="Rockwell"/>
                </w:rPr>
                <w:t>www.sciences-campus.info</w:t>
              </w:r>
            </w:hyperlink>
            <w:r w:rsidR="00F77BF8">
              <w:rPr>
                <w:rFonts w:ascii="Rockwell" w:eastAsia="Calibri" w:hAnsi="Rockwell"/>
              </w:rPr>
              <w:t xml:space="preserve"> </w:t>
            </w:r>
          </w:p>
        </w:tc>
      </w:tr>
      <w:tr w:rsidR="00284822" w14:paraId="6B643ABD" w14:textId="77777777">
        <w:tc>
          <w:tcPr>
            <w:tcW w:w="851" w:type="dxa"/>
          </w:tcPr>
          <w:p w14:paraId="4F701C38"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159</w:t>
            </w:r>
          </w:p>
        </w:tc>
        <w:tc>
          <w:tcPr>
            <w:tcW w:w="4678" w:type="dxa"/>
            <w:vAlign w:val="center"/>
          </w:tcPr>
          <w:p w14:paraId="1AF75F3F" w14:textId="77777777" w:rsidR="00284822" w:rsidRDefault="00F77BF8">
            <w:pPr>
              <w:autoSpaceDN/>
              <w:spacing w:before="120" w:after="120"/>
              <w:textAlignment w:val="auto"/>
              <w:rPr>
                <w:rFonts w:ascii="Rockwell" w:eastAsiaTheme="minorHAnsi" w:hAnsi="Rockwell"/>
              </w:rPr>
            </w:pPr>
            <w:r>
              <w:rPr>
                <w:rFonts w:ascii="Rockwell" w:eastAsia="Calibri" w:hAnsi="Rockwell"/>
              </w:rPr>
              <w:t xml:space="preserve">Tan </w:t>
            </w:r>
            <w:proofErr w:type="spellStart"/>
            <w:r>
              <w:rPr>
                <w:rFonts w:ascii="Rockwell" w:eastAsia="Calibri" w:hAnsi="Rockwell"/>
              </w:rPr>
              <w:t>Konnon</w:t>
            </w:r>
            <w:proofErr w:type="spellEnd"/>
          </w:p>
        </w:tc>
        <w:tc>
          <w:tcPr>
            <w:tcW w:w="4394" w:type="dxa"/>
            <w:vAlign w:val="bottom"/>
          </w:tcPr>
          <w:p w14:paraId="1F0DB1A1" w14:textId="77777777" w:rsidR="00284822" w:rsidRDefault="003148F1">
            <w:pPr>
              <w:autoSpaceDN/>
              <w:spacing w:before="120" w:after="120"/>
              <w:textAlignment w:val="auto"/>
              <w:rPr>
                <w:rFonts w:ascii="Rockwell" w:eastAsia="Calibri" w:hAnsi="Rockwell"/>
              </w:rPr>
            </w:pPr>
            <w:hyperlink r:id="rId262" w:history="1">
              <w:r w:rsidR="00F77BF8">
                <w:rPr>
                  <w:rStyle w:val="Lienhypertexte"/>
                  <w:rFonts w:ascii="Rockwell" w:eastAsia="Calibri" w:hAnsi="Rockwell"/>
                </w:rPr>
                <w:t>www.Tankonnon.info</w:t>
              </w:r>
            </w:hyperlink>
          </w:p>
        </w:tc>
      </w:tr>
      <w:tr w:rsidR="00284822" w14:paraId="1D67B3F0" w14:textId="77777777">
        <w:tc>
          <w:tcPr>
            <w:tcW w:w="851" w:type="dxa"/>
          </w:tcPr>
          <w:p w14:paraId="7F2E48E9"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160</w:t>
            </w:r>
          </w:p>
        </w:tc>
        <w:tc>
          <w:tcPr>
            <w:tcW w:w="4678" w:type="dxa"/>
            <w:vAlign w:val="center"/>
          </w:tcPr>
          <w:p w14:paraId="2DB01459" w14:textId="77777777" w:rsidR="00284822" w:rsidRDefault="00F77BF8">
            <w:pPr>
              <w:autoSpaceDN/>
              <w:spacing w:before="120" w:after="120"/>
              <w:textAlignment w:val="auto"/>
              <w:rPr>
                <w:rFonts w:ascii="Rockwell" w:eastAsiaTheme="minorHAnsi" w:hAnsi="Rockwell"/>
              </w:rPr>
            </w:pPr>
            <w:r>
              <w:rPr>
                <w:rFonts w:ascii="Rockwell" w:eastAsia="Calibri" w:hAnsi="Rockwell"/>
              </w:rPr>
              <w:t>Dikouafrica.com</w:t>
            </w:r>
          </w:p>
        </w:tc>
        <w:tc>
          <w:tcPr>
            <w:tcW w:w="4394" w:type="dxa"/>
            <w:vAlign w:val="bottom"/>
          </w:tcPr>
          <w:p w14:paraId="57095DFE" w14:textId="77777777" w:rsidR="00284822" w:rsidRDefault="003148F1">
            <w:pPr>
              <w:autoSpaceDN/>
              <w:spacing w:before="120" w:after="120"/>
              <w:textAlignment w:val="auto"/>
              <w:rPr>
                <w:rFonts w:ascii="Rockwell" w:eastAsia="Calibri" w:hAnsi="Rockwell"/>
              </w:rPr>
            </w:pPr>
            <w:hyperlink r:id="rId263" w:history="1">
              <w:r w:rsidR="00F77BF8">
                <w:rPr>
                  <w:rStyle w:val="Lienhypertexte"/>
                  <w:rFonts w:ascii="Rockwell" w:eastAsia="Calibri" w:hAnsi="Rockwell"/>
                </w:rPr>
                <w:t>www.dikouafrica.com</w:t>
              </w:r>
            </w:hyperlink>
          </w:p>
        </w:tc>
      </w:tr>
      <w:tr w:rsidR="00284822" w14:paraId="4E177582" w14:textId="77777777">
        <w:tc>
          <w:tcPr>
            <w:tcW w:w="851" w:type="dxa"/>
          </w:tcPr>
          <w:p w14:paraId="2E6ECFC9"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161</w:t>
            </w:r>
          </w:p>
        </w:tc>
        <w:tc>
          <w:tcPr>
            <w:tcW w:w="4678" w:type="dxa"/>
            <w:vAlign w:val="center"/>
          </w:tcPr>
          <w:p w14:paraId="6C262470" w14:textId="77777777" w:rsidR="00284822" w:rsidRDefault="00F77BF8">
            <w:pPr>
              <w:autoSpaceDN/>
              <w:spacing w:before="120" w:after="120"/>
              <w:textAlignment w:val="auto"/>
              <w:rPr>
                <w:rFonts w:ascii="Rockwell" w:eastAsiaTheme="minorHAnsi" w:hAnsi="Rockwell"/>
              </w:rPr>
            </w:pPr>
            <w:r>
              <w:rPr>
                <w:rFonts w:ascii="Rockwell" w:eastAsia="Calibri" w:hAnsi="Rockwell"/>
              </w:rPr>
              <w:t>Lobspaalga.com</w:t>
            </w:r>
          </w:p>
        </w:tc>
        <w:tc>
          <w:tcPr>
            <w:tcW w:w="4394" w:type="dxa"/>
            <w:vAlign w:val="bottom"/>
          </w:tcPr>
          <w:p w14:paraId="0E50D566" w14:textId="77777777" w:rsidR="00284822" w:rsidRDefault="003148F1">
            <w:pPr>
              <w:autoSpaceDN/>
              <w:spacing w:before="120" w:after="120"/>
              <w:textAlignment w:val="auto"/>
              <w:rPr>
                <w:rFonts w:ascii="Rockwell" w:eastAsia="Calibri" w:hAnsi="Rockwell"/>
              </w:rPr>
            </w:pPr>
            <w:hyperlink r:id="rId264" w:history="1">
              <w:r w:rsidR="00F77BF8">
                <w:rPr>
                  <w:rStyle w:val="Lienhypertexte"/>
                  <w:rFonts w:ascii="Rockwell" w:eastAsia="Calibri" w:hAnsi="Rockwell"/>
                </w:rPr>
                <w:t>www.lobspaalga.com</w:t>
              </w:r>
            </w:hyperlink>
            <w:r w:rsidR="00F77BF8">
              <w:rPr>
                <w:rFonts w:ascii="Rockwell" w:eastAsia="Calibri" w:hAnsi="Rockwell"/>
              </w:rPr>
              <w:t xml:space="preserve"> </w:t>
            </w:r>
          </w:p>
        </w:tc>
      </w:tr>
      <w:tr w:rsidR="00284822" w14:paraId="461978AE" w14:textId="77777777">
        <w:tc>
          <w:tcPr>
            <w:tcW w:w="851" w:type="dxa"/>
          </w:tcPr>
          <w:p w14:paraId="7503D2B1"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162</w:t>
            </w:r>
          </w:p>
        </w:tc>
        <w:tc>
          <w:tcPr>
            <w:tcW w:w="4678" w:type="dxa"/>
            <w:vAlign w:val="center"/>
          </w:tcPr>
          <w:p w14:paraId="2EB6C1AB" w14:textId="77777777" w:rsidR="00284822" w:rsidRDefault="00F77BF8">
            <w:pPr>
              <w:autoSpaceDN/>
              <w:spacing w:before="120" w:after="120"/>
              <w:textAlignment w:val="auto"/>
              <w:rPr>
                <w:rFonts w:ascii="Rockwell" w:eastAsiaTheme="minorHAnsi" w:hAnsi="Rockwell"/>
              </w:rPr>
            </w:pPr>
            <w:r>
              <w:rPr>
                <w:rFonts w:ascii="Rockwell" w:eastAsia="Calibri" w:hAnsi="Rockwell"/>
              </w:rPr>
              <w:t>Repère Magazine</w:t>
            </w:r>
          </w:p>
        </w:tc>
        <w:tc>
          <w:tcPr>
            <w:tcW w:w="4394" w:type="dxa"/>
            <w:vAlign w:val="bottom"/>
          </w:tcPr>
          <w:p w14:paraId="34309038" w14:textId="77777777" w:rsidR="00284822" w:rsidRDefault="003148F1">
            <w:pPr>
              <w:autoSpaceDN/>
              <w:spacing w:before="120" w:after="120"/>
              <w:textAlignment w:val="auto"/>
              <w:rPr>
                <w:rFonts w:ascii="Rockwell" w:eastAsia="Calibri" w:hAnsi="Rockwell"/>
              </w:rPr>
            </w:pPr>
            <w:hyperlink r:id="rId265" w:history="1">
              <w:r w:rsidR="00F77BF8">
                <w:rPr>
                  <w:rStyle w:val="Lienhypertexte"/>
                  <w:rFonts w:ascii="Rockwell" w:eastAsia="Calibri" w:hAnsi="Rockwell"/>
                </w:rPr>
                <w:t>www.repèremagazine.com</w:t>
              </w:r>
            </w:hyperlink>
            <w:r w:rsidR="00F77BF8">
              <w:rPr>
                <w:rFonts w:ascii="Rockwell" w:eastAsia="Calibri" w:hAnsi="Rockwell"/>
              </w:rPr>
              <w:t xml:space="preserve"> </w:t>
            </w:r>
          </w:p>
        </w:tc>
      </w:tr>
      <w:tr w:rsidR="00284822" w14:paraId="7A74D92A" w14:textId="77777777">
        <w:tc>
          <w:tcPr>
            <w:tcW w:w="851" w:type="dxa"/>
          </w:tcPr>
          <w:p w14:paraId="5A3777DC"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163</w:t>
            </w:r>
          </w:p>
        </w:tc>
        <w:tc>
          <w:tcPr>
            <w:tcW w:w="4678" w:type="dxa"/>
            <w:vAlign w:val="center"/>
          </w:tcPr>
          <w:p w14:paraId="1CFE2C29" w14:textId="77777777" w:rsidR="00284822" w:rsidRDefault="00F77BF8">
            <w:pPr>
              <w:autoSpaceDN/>
              <w:spacing w:before="120" w:after="120"/>
              <w:textAlignment w:val="auto"/>
              <w:rPr>
                <w:rFonts w:ascii="Rockwell" w:eastAsiaTheme="minorHAnsi" w:hAnsi="Rockwell"/>
              </w:rPr>
            </w:pPr>
            <w:r>
              <w:rPr>
                <w:rFonts w:ascii="Rockwell" w:eastAsia="Calibri" w:hAnsi="Rockwell"/>
              </w:rPr>
              <w:t>Afrikibaria.com</w:t>
            </w:r>
          </w:p>
        </w:tc>
        <w:tc>
          <w:tcPr>
            <w:tcW w:w="4394" w:type="dxa"/>
            <w:vAlign w:val="bottom"/>
          </w:tcPr>
          <w:p w14:paraId="5DF0D053" w14:textId="77777777" w:rsidR="00284822" w:rsidRDefault="003148F1">
            <w:pPr>
              <w:autoSpaceDN/>
              <w:spacing w:before="120" w:after="120"/>
              <w:textAlignment w:val="auto"/>
              <w:rPr>
                <w:rFonts w:ascii="Rockwell" w:eastAsia="Calibri" w:hAnsi="Rockwell"/>
              </w:rPr>
            </w:pPr>
            <w:hyperlink r:id="rId266" w:history="1">
              <w:r w:rsidR="00F77BF8">
                <w:rPr>
                  <w:rStyle w:val="Lienhypertexte"/>
                  <w:rFonts w:ascii="Rockwell" w:eastAsia="Calibri" w:hAnsi="Rockwell"/>
                </w:rPr>
                <w:t>www.afrikibaria.com</w:t>
              </w:r>
            </w:hyperlink>
            <w:r w:rsidR="00F77BF8">
              <w:rPr>
                <w:rFonts w:ascii="Rockwell" w:eastAsia="Calibri" w:hAnsi="Rockwell"/>
              </w:rPr>
              <w:t xml:space="preserve"> </w:t>
            </w:r>
          </w:p>
        </w:tc>
      </w:tr>
      <w:tr w:rsidR="00284822" w14:paraId="518F81C4" w14:textId="77777777">
        <w:tc>
          <w:tcPr>
            <w:tcW w:w="851" w:type="dxa"/>
          </w:tcPr>
          <w:p w14:paraId="6FBC185E"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164</w:t>
            </w:r>
          </w:p>
        </w:tc>
        <w:tc>
          <w:tcPr>
            <w:tcW w:w="4678" w:type="dxa"/>
            <w:vAlign w:val="center"/>
          </w:tcPr>
          <w:p w14:paraId="1DFFAE95"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Econouv</w:t>
            </w:r>
            <w:proofErr w:type="spellEnd"/>
            <w:r>
              <w:rPr>
                <w:rFonts w:ascii="Rockwell" w:eastAsia="Calibri" w:hAnsi="Rockwell"/>
              </w:rPr>
              <w:t>. Com</w:t>
            </w:r>
          </w:p>
        </w:tc>
        <w:tc>
          <w:tcPr>
            <w:tcW w:w="4394" w:type="dxa"/>
            <w:vAlign w:val="bottom"/>
          </w:tcPr>
          <w:p w14:paraId="74D95B46" w14:textId="77777777" w:rsidR="00284822" w:rsidRDefault="003148F1">
            <w:pPr>
              <w:autoSpaceDN/>
              <w:spacing w:before="120" w:after="120"/>
              <w:textAlignment w:val="auto"/>
              <w:rPr>
                <w:rFonts w:ascii="Rockwell" w:eastAsiaTheme="minorHAnsi" w:hAnsi="Rockwell"/>
              </w:rPr>
            </w:pPr>
            <w:hyperlink r:id="rId267" w:history="1">
              <w:r w:rsidR="00F77BF8">
                <w:rPr>
                  <w:rStyle w:val="Lienhypertexte"/>
                  <w:rFonts w:ascii="Rockwell" w:eastAsiaTheme="minorHAnsi" w:hAnsi="Rockwell"/>
                </w:rPr>
                <w:t>www.econouv.com</w:t>
              </w:r>
            </w:hyperlink>
          </w:p>
        </w:tc>
      </w:tr>
      <w:tr w:rsidR="00284822" w14:paraId="52D9F0EE" w14:textId="77777777">
        <w:tc>
          <w:tcPr>
            <w:tcW w:w="851" w:type="dxa"/>
          </w:tcPr>
          <w:p w14:paraId="0972276E"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165</w:t>
            </w:r>
          </w:p>
        </w:tc>
        <w:tc>
          <w:tcPr>
            <w:tcW w:w="4678" w:type="dxa"/>
            <w:vAlign w:val="center"/>
          </w:tcPr>
          <w:p w14:paraId="7B5F57A9" w14:textId="77777777" w:rsidR="00284822" w:rsidRDefault="00F77BF8">
            <w:pPr>
              <w:autoSpaceDN/>
              <w:spacing w:before="120" w:after="120"/>
              <w:textAlignment w:val="auto"/>
              <w:rPr>
                <w:rFonts w:ascii="Rockwell" w:eastAsiaTheme="minorHAnsi" w:hAnsi="Rockwell"/>
              </w:rPr>
            </w:pPr>
            <w:r>
              <w:rPr>
                <w:rFonts w:ascii="Rockwell" w:eastAsia="Calibri" w:hAnsi="Rockwell"/>
              </w:rPr>
              <w:t>Burkina News</w:t>
            </w:r>
          </w:p>
        </w:tc>
        <w:tc>
          <w:tcPr>
            <w:tcW w:w="4394" w:type="dxa"/>
            <w:vAlign w:val="bottom"/>
          </w:tcPr>
          <w:p w14:paraId="13B2F126" w14:textId="77777777" w:rsidR="00284822" w:rsidRDefault="003148F1">
            <w:pPr>
              <w:autoSpaceDN/>
              <w:spacing w:before="120" w:after="120"/>
              <w:textAlignment w:val="auto"/>
              <w:rPr>
                <w:rFonts w:ascii="Rockwell" w:eastAsiaTheme="minorHAnsi" w:hAnsi="Rockwell"/>
              </w:rPr>
            </w:pPr>
            <w:hyperlink r:id="rId268" w:history="1">
              <w:r w:rsidR="00F77BF8">
                <w:rPr>
                  <w:rStyle w:val="Lienhypertexte"/>
                  <w:rFonts w:ascii="Rockwell" w:eastAsiaTheme="minorHAnsi" w:hAnsi="Rockwell"/>
                </w:rPr>
                <w:t>www.burkinanews.info</w:t>
              </w:r>
            </w:hyperlink>
          </w:p>
        </w:tc>
      </w:tr>
      <w:tr w:rsidR="00284822" w14:paraId="2A6EEED7" w14:textId="77777777">
        <w:tc>
          <w:tcPr>
            <w:tcW w:w="851" w:type="dxa"/>
          </w:tcPr>
          <w:p w14:paraId="0DFCC829"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166</w:t>
            </w:r>
          </w:p>
        </w:tc>
        <w:tc>
          <w:tcPr>
            <w:tcW w:w="4678" w:type="dxa"/>
            <w:vAlign w:val="center"/>
          </w:tcPr>
          <w:p w14:paraId="35977D60"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Echomagazine</w:t>
            </w:r>
            <w:proofErr w:type="spellEnd"/>
          </w:p>
        </w:tc>
        <w:tc>
          <w:tcPr>
            <w:tcW w:w="4394" w:type="dxa"/>
            <w:vAlign w:val="bottom"/>
          </w:tcPr>
          <w:p w14:paraId="0FB1935C" w14:textId="77777777" w:rsidR="00284822" w:rsidRDefault="003148F1">
            <w:pPr>
              <w:autoSpaceDN/>
              <w:spacing w:before="120" w:after="120"/>
              <w:textAlignment w:val="auto"/>
              <w:rPr>
                <w:rFonts w:ascii="Rockwell" w:eastAsiaTheme="minorHAnsi" w:hAnsi="Rockwell"/>
              </w:rPr>
            </w:pPr>
            <w:hyperlink r:id="rId269" w:history="1">
              <w:r w:rsidR="00F77BF8">
                <w:rPr>
                  <w:rStyle w:val="Lienhypertexte"/>
                  <w:rFonts w:ascii="Rockwell" w:eastAsiaTheme="minorHAnsi" w:hAnsi="Rockwell"/>
                </w:rPr>
                <w:t>www.echomagazine.org</w:t>
              </w:r>
            </w:hyperlink>
          </w:p>
        </w:tc>
      </w:tr>
      <w:tr w:rsidR="00284822" w14:paraId="2A0B9B4B" w14:textId="77777777">
        <w:tc>
          <w:tcPr>
            <w:tcW w:w="851" w:type="dxa"/>
          </w:tcPr>
          <w:p w14:paraId="7CCD6D57"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167</w:t>
            </w:r>
          </w:p>
        </w:tc>
        <w:tc>
          <w:tcPr>
            <w:tcW w:w="4678" w:type="dxa"/>
            <w:vAlign w:val="center"/>
          </w:tcPr>
          <w:p w14:paraId="6FE8AE7E" w14:textId="77777777" w:rsidR="00284822" w:rsidRDefault="00F77BF8">
            <w:pPr>
              <w:autoSpaceDN/>
              <w:spacing w:before="120" w:after="120"/>
              <w:textAlignment w:val="auto"/>
              <w:rPr>
                <w:rFonts w:ascii="Rockwell" w:eastAsiaTheme="minorHAnsi" w:hAnsi="Rockwell"/>
              </w:rPr>
            </w:pPr>
            <w:r>
              <w:rPr>
                <w:rFonts w:ascii="Rockwell" w:eastAsia="Calibri" w:hAnsi="Rockwell"/>
              </w:rPr>
              <w:t>Burkinanews.Net</w:t>
            </w:r>
          </w:p>
        </w:tc>
        <w:tc>
          <w:tcPr>
            <w:tcW w:w="4394" w:type="dxa"/>
            <w:vAlign w:val="bottom"/>
          </w:tcPr>
          <w:p w14:paraId="4C7B1CC5"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www.burkinanews.net</w:t>
            </w:r>
          </w:p>
        </w:tc>
      </w:tr>
      <w:tr w:rsidR="00284822" w14:paraId="770A50D4" w14:textId="77777777">
        <w:tc>
          <w:tcPr>
            <w:tcW w:w="851" w:type="dxa"/>
          </w:tcPr>
          <w:p w14:paraId="1A514B0A"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168</w:t>
            </w:r>
          </w:p>
        </w:tc>
        <w:tc>
          <w:tcPr>
            <w:tcW w:w="4678" w:type="dxa"/>
            <w:vAlign w:val="center"/>
          </w:tcPr>
          <w:p w14:paraId="3BB87A5A" w14:textId="77777777" w:rsidR="00284822" w:rsidRDefault="00F77BF8">
            <w:pPr>
              <w:autoSpaceDN/>
              <w:spacing w:before="120" w:after="120"/>
              <w:textAlignment w:val="auto"/>
              <w:rPr>
                <w:rFonts w:ascii="Rockwell" w:eastAsiaTheme="minorHAnsi" w:hAnsi="Rockwell"/>
              </w:rPr>
            </w:pPr>
            <w:r>
              <w:rPr>
                <w:rFonts w:ascii="Rockwell" w:eastAsia="Calibri" w:hAnsi="Rockwell"/>
              </w:rPr>
              <w:t>Ecoburkina.info</w:t>
            </w:r>
          </w:p>
        </w:tc>
        <w:tc>
          <w:tcPr>
            <w:tcW w:w="4394" w:type="dxa"/>
            <w:vAlign w:val="bottom"/>
          </w:tcPr>
          <w:p w14:paraId="2F3A9F9F"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www.ecoburkinainfo.com</w:t>
            </w:r>
          </w:p>
        </w:tc>
      </w:tr>
      <w:tr w:rsidR="00284822" w14:paraId="359051C1" w14:textId="77777777">
        <w:tc>
          <w:tcPr>
            <w:tcW w:w="851" w:type="dxa"/>
          </w:tcPr>
          <w:p w14:paraId="61CBCC73"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169</w:t>
            </w:r>
          </w:p>
        </w:tc>
        <w:tc>
          <w:tcPr>
            <w:tcW w:w="4678" w:type="dxa"/>
            <w:vAlign w:val="center"/>
          </w:tcPr>
          <w:p w14:paraId="626F464B"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Poko</w:t>
            </w:r>
            <w:proofErr w:type="spellEnd"/>
          </w:p>
        </w:tc>
        <w:tc>
          <w:tcPr>
            <w:tcW w:w="4394" w:type="dxa"/>
            <w:vAlign w:val="bottom"/>
          </w:tcPr>
          <w:p w14:paraId="61E8A860" w14:textId="77777777" w:rsidR="00284822" w:rsidRDefault="003148F1">
            <w:pPr>
              <w:autoSpaceDN/>
              <w:spacing w:before="120" w:after="120"/>
              <w:textAlignment w:val="auto"/>
              <w:rPr>
                <w:rFonts w:ascii="Rockwell" w:eastAsiaTheme="minorHAnsi" w:hAnsi="Rockwell"/>
              </w:rPr>
            </w:pPr>
            <w:hyperlink r:id="rId270" w:history="1">
              <w:r w:rsidR="00F77BF8">
                <w:rPr>
                  <w:rStyle w:val="Lienhypertexte"/>
                  <w:rFonts w:ascii="Rockwell" w:eastAsiaTheme="minorHAnsi" w:hAnsi="Rockwell"/>
                </w:rPr>
                <w:t>www.poko.com</w:t>
              </w:r>
            </w:hyperlink>
          </w:p>
        </w:tc>
      </w:tr>
      <w:tr w:rsidR="00284822" w14:paraId="02774B2E" w14:textId="77777777">
        <w:tc>
          <w:tcPr>
            <w:tcW w:w="851" w:type="dxa"/>
          </w:tcPr>
          <w:p w14:paraId="7C9D1BA5"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lastRenderedPageBreak/>
              <w:t>170</w:t>
            </w:r>
          </w:p>
        </w:tc>
        <w:tc>
          <w:tcPr>
            <w:tcW w:w="4678" w:type="dxa"/>
            <w:vAlign w:val="center"/>
          </w:tcPr>
          <w:p w14:paraId="323A9489" w14:textId="77777777" w:rsidR="00284822" w:rsidRDefault="00F77BF8">
            <w:pPr>
              <w:autoSpaceDN/>
              <w:spacing w:before="120" w:after="120"/>
              <w:textAlignment w:val="auto"/>
              <w:rPr>
                <w:rFonts w:ascii="Rockwell" w:eastAsiaTheme="minorHAnsi" w:hAnsi="Rockwell"/>
              </w:rPr>
            </w:pPr>
            <w:r>
              <w:rPr>
                <w:rFonts w:ascii="Rockwell" w:eastAsia="Calibri" w:hAnsi="Rockwell"/>
              </w:rPr>
              <w:t>Immersion Entreprise</w:t>
            </w:r>
          </w:p>
        </w:tc>
        <w:tc>
          <w:tcPr>
            <w:tcW w:w="4394" w:type="dxa"/>
            <w:vAlign w:val="bottom"/>
          </w:tcPr>
          <w:p w14:paraId="0C610E89"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www.immersion-entreprise.com</w:t>
            </w:r>
          </w:p>
        </w:tc>
      </w:tr>
      <w:tr w:rsidR="00284822" w14:paraId="3F5C4F8A" w14:textId="77777777">
        <w:tc>
          <w:tcPr>
            <w:tcW w:w="851" w:type="dxa"/>
          </w:tcPr>
          <w:p w14:paraId="358BDA09"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171</w:t>
            </w:r>
          </w:p>
        </w:tc>
        <w:tc>
          <w:tcPr>
            <w:tcW w:w="4678" w:type="dxa"/>
            <w:vAlign w:val="center"/>
          </w:tcPr>
          <w:p w14:paraId="51385932" w14:textId="77777777" w:rsidR="00284822" w:rsidRDefault="00F77BF8">
            <w:pPr>
              <w:autoSpaceDN/>
              <w:spacing w:before="120" w:after="120"/>
              <w:textAlignment w:val="auto"/>
              <w:rPr>
                <w:rFonts w:ascii="Rockwell" w:eastAsiaTheme="minorHAnsi" w:hAnsi="Rockwell"/>
              </w:rPr>
            </w:pPr>
            <w:r>
              <w:rPr>
                <w:rFonts w:ascii="Rockwell" w:eastAsia="Calibri" w:hAnsi="Rockwell"/>
              </w:rPr>
              <w:t>Innovateurs inventeurs</w:t>
            </w:r>
          </w:p>
        </w:tc>
        <w:tc>
          <w:tcPr>
            <w:tcW w:w="4394" w:type="dxa"/>
            <w:vAlign w:val="bottom"/>
          </w:tcPr>
          <w:p w14:paraId="79C2C068" w14:textId="77777777" w:rsidR="00284822" w:rsidRDefault="003148F1">
            <w:pPr>
              <w:autoSpaceDN/>
              <w:spacing w:before="120" w:after="120"/>
              <w:textAlignment w:val="auto"/>
              <w:rPr>
                <w:rFonts w:ascii="Rockwell" w:eastAsiaTheme="minorHAnsi" w:hAnsi="Rockwell"/>
              </w:rPr>
            </w:pPr>
            <w:hyperlink r:id="rId271" w:history="1">
              <w:r w:rsidR="00F77BF8">
                <w:rPr>
                  <w:rStyle w:val="Lienhypertexte"/>
                  <w:rFonts w:ascii="Rockwell" w:eastAsiaTheme="minorHAnsi" w:hAnsi="Rockwell"/>
                </w:rPr>
                <w:t>www.innovateurs</w:t>
              </w:r>
            </w:hyperlink>
            <w:r w:rsidR="00F77BF8">
              <w:rPr>
                <w:rFonts w:ascii="Rockwell" w:eastAsiaTheme="minorHAnsi" w:hAnsi="Rockwell"/>
              </w:rPr>
              <w:t>-inventeurs.com</w:t>
            </w:r>
          </w:p>
        </w:tc>
      </w:tr>
      <w:tr w:rsidR="00284822" w14:paraId="2812DBE7" w14:textId="77777777">
        <w:tc>
          <w:tcPr>
            <w:tcW w:w="851" w:type="dxa"/>
          </w:tcPr>
          <w:p w14:paraId="5364416A"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172</w:t>
            </w:r>
          </w:p>
        </w:tc>
        <w:tc>
          <w:tcPr>
            <w:tcW w:w="4678" w:type="dxa"/>
            <w:vAlign w:val="center"/>
          </w:tcPr>
          <w:p w14:paraId="482E6902" w14:textId="77777777" w:rsidR="00284822" w:rsidRDefault="00F77BF8">
            <w:pPr>
              <w:autoSpaceDN/>
              <w:spacing w:before="120" w:after="120"/>
              <w:textAlignment w:val="auto"/>
              <w:rPr>
                <w:rFonts w:ascii="Rockwell" w:eastAsiaTheme="minorHAnsi" w:hAnsi="Rockwell"/>
              </w:rPr>
            </w:pPr>
            <w:r>
              <w:rPr>
                <w:rFonts w:ascii="Rockwell" w:eastAsia="Calibri" w:hAnsi="Rockwell"/>
              </w:rPr>
              <w:t>Amas Info</w:t>
            </w:r>
          </w:p>
        </w:tc>
        <w:tc>
          <w:tcPr>
            <w:tcW w:w="4394" w:type="dxa"/>
            <w:vAlign w:val="bottom"/>
          </w:tcPr>
          <w:p w14:paraId="377F41FA"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www.amasinfo.</w:t>
            </w:r>
          </w:p>
        </w:tc>
      </w:tr>
      <w:tr w:rsidR="00284822" w14:paraId="341FF238" w14:textId="77777777">
        <w:tc>
          <w:tcPr>
            <w:tcW w:w="851" w:type="dxa"/>
          </w:tcPr>
          <w:p w14:paraId="768AFCB7"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173</w:t>
            </w:r>
          </w:p>
        </w:tc>
        <w:tc>
          <w:tcPr>
            <w:tcW w:w="4678" w:type="dxa"/>
            <w:vAlign w:val="center"/>
          </w:tcPr>
          <w:p w14:paraId="4D0DE37A"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Culturosport</w:t>
            </w:r>
            <w:proofErr w:type="spellEnd"/>
            <w:r>
              <w:rPr>
                <w:rFonts w:ascii="Rockwell" w:eastAsia="Calibri" w:hAnsi="Rockwell"/>
              </w:rPr>
              <w:t xml:space="preserve"> infos</w:t>
            </w:r>
          </w:p>
        </w:tc>
        <w:tc>
          <w:tcPr>
            <w:tcW w:w="4394" w:type="dxa"/>
            <w:vAlign w:val="bottom"/>
          </w:tcPr>
          <w:p w14:paraId="28DCA7D9" w14:textId="77777777" w:rsidR="00284822" w:rsidRDefault="003148F1">
            <w:pPr>
              <w:autoSpaceDN/>
              <w:spacing w:before="120" w:after="120"/>
              <w:textAlignment w:val="auto"/>
              <w:rPr>
                <w:rFonts w:ascii="Rockwell" w:eastAsiaTheme="minorHAnsi" w:hAnsi="Rockwell"/>
              </w:rPr>
            </w:pPr>
            <w:hyperlink r:id="rId272" w:history="1">
              <w:r w:rsidR="00F77BF8">
                <w:rPr>
                  <w:rStyle w:val="Lienhypertexte"/>
                  <w:rFonts w:ascii="Rockwell" w:eastAsiaTheme="minorHAnsi" w:hAnsi="Rockwell"/>
                </w:rPr>
                <w:t>www.culturosportinfo.net</w:t>
              </w:r>
            </w:hyperlink>
          </w:p>
        </w:tc>
      </w:tr>
      <w:tr w:rsidR="00284822" w14:paraId="233915A0" w14:textId="77777777">
        <w:tc>
          <w:tcPr>
            <w:tcW w:w="851" w:type="dxa"/>
          </w:tcPr>
          <w:p w14:paraId="489C25A3"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174</w:t>
            </w:r>
          </w:p>
        </w:tc>
        <w:tc>
          <w:tcPr>
            <w:tcW w:w="4678" w:type="dxa"/>
            <w:vAlign w:val="center"/>
          </w:tcPr>
          <w:p w14:paraId="295CA925" w14:textId="77777777" w:rsidR="00284822" w:rsidRDefault="00F77BF8">
            <w:pPr>
              <w:autoSpaceDN/>
              <w:spacing w:before="120" w:after="120"/>
              <w:textAlignment w:val="auto"/>
              <w:rPr>
                <w:rFonts w:ascii="Rockwell" w:eastAsiaTheme="minorHAnsi" w:hAnsi="Rockwell"/>
              </w:rPr>
            </w:pPr>
            <w:r>
              <w:rPr>
                <w:rFonts w:ascii="Rockwell" w:eastAsia="Calibri" w:hAnsi="Rockwell"/>
              </w:rPr>
              <w:t>226infos.net</w:t>
            </w:r>
          </w:p>
        </w:tc>
        <w:tc>
          <w:tcPr>
            <w:tcW w:w="4394" w:type="dxa"/>
            <w:vAlign w:val="bottom"/>
          </w:tcPr>
          <w:p w14:paraId="62D1BC7E" w14:textId="77777777" w:rsidR="00284822" w:rsidRDefault="003148F1">
            <w:pPr>
              <w:autoSpaceDN/>
              <w:spacing w:before="120" w:after="120"/>
              <w:textAlignment w:val="auto"/>
              <w:rPr>
                <w:rFonts w:ascii="Rockwell" w:eastAsiaTheme="minorHAnsi" w:hAnsi="Rockwell"/>
              </w:rPr>
            </w:pPr>
            <w:hyperlink r:id="rId273" w:history="1">
              <w:r w:rsidR="00F77BF8">
                <w:rPr>
                  <w:rStyle w:val="Lienhypertexte"/>
                  <w:rFonts w:ascii="Rockwell" w:eastAsiaTheme="minorHAnsi" w:hAnsi="Rockwell"/>
                </w:rPr>
                <w:t>www.226infos.net</w:t>
              </w:r>
            </w:hyperlink>
          </w:p>
        </w:tc>
      </w:tr>
      <w:tr w:rsidR="00284822" w14:paraId="259102E1" w14:textId="77777777">
        <w:tc>
          <w:tcPr>
            <w:tcW w:w="851" w:type="dxa"/>
          </w:tcPr>
          <w:p w14:paraId="5FFF6B85"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175</w:t>
            </w:r>
          </w:p>
        </w:tc>
        <w:tc>
          <w:tcPr>
            <w:tcW w:w="4678" w:type="dxa"/>
            <w:vAlign w:val="center"/>
          </w:tcPr>
          <w:p w14:paraId="64CCC9B2" w14:textId="77777777" w:rsidR="00284822" w:rsidRDefault="00F77BF8">
            <w:pPr>
              <w:autoSpaceDN/>
              <w:spacing w:before="120" w:after="120"/>
              <w:textAlignment w:val="auto"/>
              <w:rPr>
                <w:rFonts w:ascii="Rockwell" w:eastAsiaTheme="minorHAnsi" w:hAnsi="Rockwell"/>
              </w:rPr>
            </w:pPr>
            <w:r>
              <w:rPr>
                <w:rFonts w:ascii="Rockwell" w:eastAsia="Calibri" w:hAnsi="Rockwell"/>
              </w:rPr>
              <w:t>Ouest Actu</w:t>
            </w:r>
          </w:p>
        </w:tc>
        <w:tc>
          <w:tcPr>
            <w:tcW w:w="4394" w:type="dxa"/>
            <w:vAlign w:val="bottom"/>
          </w:tcPr>
          <w:p w14:paraId="1F629F96" w14:textId="77777777" w:rsidR="00284822" w:rsidRDefault="003148F1">
            <w:pPr>
              <w:autoSpaceDN/>
              <w:spacing w:before="120" w:after="120"/>
              <w:textAlignment w:val="auto"/>
              <w:rPr>
                <w:rFonts w:ascii="Rockwell" w:eastAsiaTheme="minorHAnsi" w:hAnsi="Rockwell"/>
              </w:rPr>
            </w:pPr>
            <w:hyperlink r:id="rId274" w:history="1">
              <w:r w:rsidR="00F77BF8">
                <w:rPr>
                  <w:rStyle w:val="Lienhypertexte"/>
                  <w:rFonts w:ascii="Rockwell" w:eastAsiaTheme="minorHAnsi" w:hAnsi="Rockwell"/>
                </w:rPr>
                <w:t>www.ouestactu.net</w:t>
              </w:r>
            </w:hyperlink>
          </w:p>
        </w:tc>
      </w:tr>
      <w:tr w:rsidR="00284822" w14:paraId="27C5E26F" w14:textId="77777777">
        <w:tc>
          <w:tcPr>
            <w:tcW w:w="851" w:type="dxa"/>
          </w:tcPr>
          <w:p w14:paraId="47282CDB"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176</w:t>
            </w:r>
          </w:p>
        </w:tc>
        <w:tc>
          <w:tcPr>
            <w:tcW w:w="4678" w:type="dxa"/>
            <w:vAlign w:val="center"/>
          </w:tcPr>
          <w:p w14:paraId="6B4DB375" w14:textId="77777777" w:rsidR="00284822" w:rsidRDefault="00F77BF8">
            <w:pPr>
              <w:autoSpaceDN/>
              <w:spacing w:before="120" w:after="120"/>
              <w:textAlignment w:val="auto"/>
              <w:rPr>
                <w:rFonts w:ascii="Rockwell" w:eastAsia="Calibri" w:hAnsi="Rockwell"/>
              </w:rPr>
            </w:pPr>
            <w:r>
              <w:rPr>
                <w:rFonts w:ascii="Rockwell" w:eastAsia="Calibri" w:hAnsi="Rockwell"/>
              </w:rPr>
              <w:t>Devoirs citoyens.net</w:t>
            </w:r>
          </w:p>
        </w:tc>
        <w:tc>
          <w:tcPr>
            <w:tcW w:w="4394" w:type="dxa"/>
            <w:vAlign w:val="bottom"/>
          </w:tcPr>
          <w:p w14:paraId="1EEA90E8"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www.devoirscitoyens.net</w:t>
            </w:r>
          </w:p>
        </w:tc>
      </w:tr>
      <w:tr w:rsidR="00284822" w14:paraId="6D19D150" w14:textId="77777777">
        <w:tc>
          <w:tcPr>
            <w:tcW w:w="851" w:type="dxa"/>
          </w:tcPr>
          <w:p w14:paraId="6D8C811B"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177</w:t>
            </w:r>
          </w:p>
        </w:tc>
        <w:tc>
          <w:tcPr>
            <w:tcW w:w="4678" w:type="dxa"/>
            <w:vAlign w:val="center"/>
          </w:tcPr>
          <w:p w14:paraId="4241DF45" w14:textId="77777777" w:rsidR="00284822" w:rsidRDefault="00F77BF8">
            <w:pPr>
              <w:autoSpaceDN/>
              <w:spacing w:before="120" w:after="120"/>
              <w:textAlignment w:val="auto"/>
              <w:rPr>
                <w:rFonts w:ascii="Rockwell" w:eastAsia="Calibri" w:hAnsi="Rockwell"/>
              </w:rPr>
            </w:pPr>
            <w:proofErr w:type="spellStart"/>
            <w:r>
              <w:rPr>
                <w:rFonts w:ascii="Rockwell" w:eastAsia="Calibri" w:hAnsi="Rockwell"/>
              </w:rPr>
              <w:t>Yirimédia</w:t>
            </w:r>
            <w:proofErr w:type="spellEnd"/>
            <w:r>
              <w:rPr>
                <w:rFonts w:ascii="Rockwell" w:eastAsia="Calibri" w:hAnsi="Rockwell"/>
              </w:rPr>
              <w:t xml:space="preserve"> </w:t>
            </w:r>
          </w:p>
        </w:tc>
        <w:tc>
          <w:tcPr>
            <w:tcW w:w="4394" w:type="dxa"/>
            <w:vAlign w:val="bottom"/>
          </w:tcPr>
          <w:p w14:paraId="741F3AA5"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www.yirimedia.com</w:t>
            </w:r>
          </w:p>
        </w:tc>
      </w:tr>
      <w:tr w:rsidR="00284822" w14:paraId="5A475241" w14:textId="77777777">
        <w:tc>
          <w:tcPr>
            <w:tcW w:w="851" w:type="dxa"/>
          </w:tcPr>
          <w:p w14:paraId="127FD031"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178</w:t>
            </w:r>
          </w:p>
        </w:tc>
        <w:tc>
          <w:tcPr>
            <w:tcW w:w="4678" w:type="dxa"/>
            <w:vAlign w:val="center"/>
          </w:tcPr>
          <w:p w14:paraId="4C62B174" w14:textId="77777777" w:rsidR="00284822" w:rsidRDefault="00F77BF8">
            <w:pPr>
              <w:autoSpaceDN/>
              <w:spacing w:before="120" w:after="120"/>
              <w:textAlignment w:val="auto"/>
              <w:rPr>
                <w:rFonts w:ascii="Rockwell" w:eastAsia="Calibri" w:hAnsi="Rockwell"/>
              </w:rPr>
            </w:pPr>
            <w:r>
              <w:rPr>
                <w:rFonts w:ascii="Rockwell" w:eastAsia="Calibri" w:hAnsi="Rockwell"/>
              </w:rPr>
              <w:t>La Tribune des sports</w:t>
            </w:r>
          </w:p>
        </w:tc>
        <w:tc>
          <w:tcPr>
            <w:tcW w:w="4394" w:type="dxa"/>
            <w:vAlign w:val="bottom"/>
          </w:tcPr>
          <w:p w14:paraId="013E9E30"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Non fourni</w:t>
            </w:r>
          </w:p>
        </w:tc>
      </w:tr>
      <w:tr w:rsidR="00284822" w14:paraId="3794592C" w14:textId="77777777">
        <w:tc>
          <w:tcPr>
            <w:tcW w:w="851" w:type="dxa"/>
          </w:tcPr>
          <w:p w14:paraId="7D2B7801"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179</w:t>
            </w:r>
          </w:p>
        </w:tc>
        <w:tc>
          <w:tcPr>
            <w:tcW w:w="4678" w:type="dxa"/>
            <w:vAlign w:val="center"/>
          </w:tcPr>
          <w:p w14:paraId="07A7B55A" w14:textId="77777777" w:rsidR="00284822" w:rsidRDefault="00F77BF8">
            <w:pPr>
              <w:autoSpaceDN/>
              <w:spacing w:before="120" w:after="120"/>
              <w:textAlignment w:val="auto"/>
              <w:rPr>
                <w:rFonts w:ascii="Rockwell" w:eastAsia="Calibri" w:hAnsi="Rockwell"/>
              </w:rPr>
            </w:pPr>
            <w:proofErr w:type="spellStart"/>
            <w:r>
              <w:rPr>
                <w:rFonts w:ascii="Rockwell" w:eastAsia="Calibri" w:hAnsi="Rockwell"/>
              </w:rPr>
              <w:t>Agrorésilience</w:t>
            </w:r>
            <w:proofErr w:type="spellEnd"/>
            <w:r>
              <w:rPr>
                <w:rFonts w:ascii="Rockwell" w:eastAsia="Calibri" w:hAnsi="Rockwell"/>
              </w:rPr>
              <w:t xml:space="preserve"> </w:t>
            </w:r>
          </w:p>
        </w:tc>
        <w:tc>
          <w:tcPr>
            <w:tcW w:w="4394" w:type="dxa"/>
            <w:vAlign w:val="bottom"/>
          </w:tcPr>
          <w:p w14:paraId="47E50241" w14:textId="77777777" w:rsidR="00284822" w:rsidRDefault="003148F1">
            <w:pPr>
              <w:autoSpaceDN/>
              <w:spacing w:before="120" w:after="120"/>
              <w:textAlignment w:val="auto"/>
              <w:rPr>
                <w:rFonts w:ascii="Rockwell" w:eastAsiaTheme="minorHAnsi" w:hAnsi="Rockwell"/>
              </w:rPr>
            </w:pPr>
            <w:hyperlink r:id="rId275" w:history="1">
              <w:r w:rsidR="00F77BF8">
                <w:rPr>
                  <w:rStyle w:val="Lienhypertexte"/>
                  <w:rFonts w:ascii="Rockwell" w:eastAsiaTheme="minorHAnsi" w:hAnsi="Rockwell"/>
                </w:rPr>
                <w:t>www.agrorésilience.com</w:t>
              </w:r>
            </w:hyperlink>
            <w:r w:rsidR="00F77BF8">
              <w:rPr>
                <w:rFonts w:ascii="Rockwell" w:eastAsiaTheme="minorHAnsi" w:hAnsi="Rockwell"/>
              </w:rPr>
              <w:t xml:space="preserve"> </w:t>
            </w:r>
          </w:p>
        </w:tc>
      </w:tr>
      <w:tr w:rsidR="00284822" w14:paraId="20672169" w14:textId="77777777">
        <w:tc>
          <w:tcPr>
            <w:tcW w:w="851" w:type="dxa"/>
          </w:tcPr>
          <w:p w14:paraId="512DB37E"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180</w:t>
            </w:r>
          </w:p>
        </w:tc>
        <w:tc>
          <w:tcPr>
            <w:tcW w:w="4678" w:type="dxa"/>
            <w:vAlign w:val="center"/>
          </w:tcPr>
          <w:p w14:paraId="614BBFB0" w14:textId="77777777" w:rsidR="00284822" w:rsidRDefault="00F77BF8">
            <w:pPr>
              <w:autoSpaceDN/>
              <w:spacing w:before="120" w:after="120"/>
              <w:textAlignment w:val="auto"/>
              <w:rPr>
                <w:rFonts w:ascii="Rockwell" w:eastAsia="Calibri" w:hAnsi="Rockwell"/>
              </w:rPr>
            </w:pPr>
            <w:r>
              <w:rPr>
                <w:rFonts w:ascii="Rockwell" w:eastAsia="Calibri" w:hAnsi="Rockwell"/>
              </w:rPr>
              <w:t>Mines Actu Burkina</w:t>
            </w:r>
          </w:p>
        </w:tc>
        <w:tc>
          <w:tcPr>
            <w:tcW w:w="4394" w:type="dxa"/>
            <w:vAlign w:val="bottom"/>
          </w:tcPr>
          <w:p w14:paraId="3205B7C0"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www.mines-actu.net</w:t>
            </w:r>
          </w:p>
        </w:tc>
      </w:tr>
      <w:tr w:rsidR="00284822" w14:paraId="31C0538E" w14:textId="77777777">
        <w:tc>
          <w:tcPr>
            <w:tcW w:w="851" w:type="dxa"/>
          </w:tcPr>
          <w:p w14:paraId="2F7978C3"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181</w:t>
            </w:r>
          </w:p>
        </w:tc>
        <w:tc>
          <w:tcPr>
            <w:tcW w:w="4678" w:type="dxa"/>
            <w:vAlign w:val="center"/>
          </w:tcPr>
          <w:p w14:paraId="621A8C7B" w14:textId="77777777" w:rsidR="00284822" w:rsidRDefault="00F77BF8">
            <w:pPr>
              <w:autoSpaceDN/>
              <w:spacing w:before="120" w:after="120"/>
              <w:textAlignment w:val="auto"/>
              <w:rPr>
                <w:rFonts w:ascii="Rockwell" w:eastAsia="Calibri" w:hAnsi="Rockwell"/>
              </w:rPr>
            </w:pPr>
            <w:r>
              <w:rPr>
                <w:rFonts w:ascii="Rockwell" w:eastAsia="Calibri" w:hAnsi="Rockwell"/>
              </w:rPr>
              <w:t>Lastinfo.bf</w:t>
            </w:r>
          </w:p>
        </w:tc>
        <w:tc>
          <w:tcPr>
            <w:tcW w:w="4394" w:type="dxa"/>
            <w:vAlign w:val="bottom"/>
          </w:tcPr>
          <w:p w14:paraId="2F8C3B01" w14:textId="77777777" w:rsidR="00284822" w:rsidRDefault="003148F1">
            <w:pPr>
              <w:autoSpaceDN/>
              <w:spacing w:before="120" w:after="120"/>
              <w:textAlignment w:val="auto"/>
              <w:rPr>
                <w:rFonts w:ascii="Rockwell" w:eastAsiaTheme="minorHAnsi" w:hAnsi="Rockwell"/>
              </w:rPr>
            </w:pPr>
            <w:hyperlink r:id="rId276" w:history="1">
              <w:r w:rsidR="00F77BF8">
                <w:rPr>
                  <w:rStyle w:val="Lienhypertexte"/>
                  <w:rFonts w:ascii="Rockwell" w:eastAsiaTheme="minorHAnsi" w:hAnsi="Rockwell"/>
                </w:rPr>
                <w:t>www.lastinfo.bf</w:t>
              </w:r>
            </w:hyperlink>
          </w:p>
        </w:tc>
      </w:tr>
      <w:tr w:rsidR="00284822" w14:paraId="7DD694FD" w14:textId="77777777">
        <w:tc>
          <w:tcPr>
            <w:tcW w:w="851" w:type="dxa"/>
          </w:tcPr>
          <w:p w14:paraId="3A523F49"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182</w:t>
            </w:r>
          </w:p>
        </w:tc>
        <w:tc>
          <w:tcPr>
            <w:tcW w:w="4678" w:type="dxa"/>
            <w:vAlign w:val="center"/>
          </w:tcPr>
          <w:p w14:paraId="00529F0D" w14:textId="77777777" w:rsidR="00284822" w:rsidRDefault="00F77BF8">
            <w:pPr>
              <w:autoSpaceDN/>
              <w:spacing w:before="120" w:after="120"/>
              <w:textAlignment w:val="auto"/>
              <w:rPr>
                <w:rFonts w:ascii="Rockwell" w:eastAsia="Calibri" w:hAnsi="Rockwell"/>
              </w:rPr>
            </w:pPr>
            <w:r>
              <w:rPr>
                <w:rFonts w:ascii="Rockwell" w:eastAsia="Calibri" w:hAnsi="Rockwell"/>
              </w:rPr>
              <w:t>24heures.bf</w:t>
            </w:r>
          </w:p>
        </w:tc>
        <w:tc>
          <w:tcPr>
            <w:tcW w:w="4394" w:type="dxa"/>
            <w:vAlign w:val="bottom"/>
          </w:tcPr>
          <w:p w14:paraId="7CAC6CCB" w14:textId="77777777" w:rsidR="00284822" w:rsidRDefault="003148F1">
            <w:pPr>
              <w:autoSpaceDN/>
              <w:spacing w:before="120" w:after="120"/>
              <w:textAlignment w:val="auto"/>
              <w:rPr>
                <w:rFonts w:ascii="Rockwell" w:eastAsiaTheme="minorHAnsi" w:hAnsi="Rockwell"/>
              </w:rPr>
            </w:pPr>
            <w:hyperlink r:id="rId277" w:history="1">
              <w:r w:rsidR="00F77BF8">
                <w:rPr>
                  <w:rStyle w:val="Lienhypertexte"/>
                  <w:rFonts w:ascii="Rockwell" w:eastAsiaTheme="minorHAnsi" w:hAnsi="Rockwell"/>
                </w:rPr>
                <w:t>www.24heures.bf</w:t>
              </w:r>
            </w:hyperlink>
          </w:p>
        </w:tc>
      </w:tr>
      <w:tr w:rsidR="00284822" w14:paraId="5493E98D" w14:textId="77777777">
        <w:tc>
          <w:tcPr>
            <w:tcW w:w="851" w:type="dxa"/>
          </w:tcPr>
          <w:p w14:paraId="2C1EB60E"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183</w:t>
            </w:r>
          </w:p>
        </w:tc>
        <w:tc>
          <w:tcPr>
            <w:tcW w:w="4678" w:type="dxa"/>
            <w:vAlign w:val="center"/>
          </w:tcPr>
          <w:p w14:paraId="313B1293" w14:textId="77777777" w:rsidR="00284822" w:rsidRDefault="00F77BF8">
            <w:pPr>
              <w:autoSpaceDN/>
              <w:spacing w:before="120" w:after="120"/>
              <w:textAlignment w:val="auto"/>
              <w:rPr>
                <w:rFonts w:ascii="Rockwell" w:eastAsia="Calibri" w:hAnsi="Rockwell"/>
              </w:rPr>
            </w:pPr>
            <w:r>
              <w:rPr>
                <w:rFonts w:ascii="Rockwell" w:eastAsia="Calibri" w:hAnsi="Rockwell"/>
              </w:rPr>
              <w:t>Intelligence Média</w:t>
            </w:r>
          </w:p>
        </w:tc>
        <w:tc>
          <w:tcPr>
            <w:tcW w:w="4394" w:type="dxa"/>
            <w:vAlign w:val="bottom"/>
          </w:tcPr>
          <w:p w14:paraId="424462ED"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www.intelligencemedia.net</w:t>
            </w:r>
          </w:p>
        </w:tc>
      </w:tr>
      <w:tr w:rsidR="00284822" w14:paraId="3341C2CA" w14:textId="77777777">
        <w:tc>
          <w:tcPr>
            <w:tcW w:w="851" w:type="dxa"/>
          </w:tcPr>
          <w:p w14:paraId="49739CB1"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184</w:t>
            </w:r>
          </w:p>
        </w:tc>
        <w:tc>
          <w:tcPr>
            <w:tcW w:w="4678" w:type="dxa"/>
            <w:vAlign w:val="center"/>
          </w:tcPr>
          <w:p w14:paraId="734EFD4D" w14:textId="77777777" w:rsidR="00284822" w:rsidRDefault="00F77BF8">
            <w:pPr>
              <w:autoSpaceDN/>
              <w:spacing w:before="120" w:after="120"/>
              <w:textAlignment w:val="auto"/>
              <w:rPr>
                <w:rFonts w:ascii="Rockwell" w:eastAsia="Calibri" w:hAnsi="Rockwell"/>
              </w:rPr>
            </w:pPr>
            <w:r>
              <w:rPr>
                <w:rFonts w:ascii="Rockwell" w:eastAsia="Calibri" w:hAnsi="Rockwell"/>
              </w:rPr>
              <w:t>Kayainfo.net</w:t>
            </w:r>
          </w:p>
        </w:tc>
        <w:tc>
          <w:tcPr>
            <w:tcW w:w="4394" w:type="dxa"/>
            <w:vAlign w:val="bottom"/>
          </w:tcPr>
          <w:p w14:paraId="38586C5B"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www.kayainfo.net</w:t>
            </w:r>
          </w:p>
        </w:tc>
      </w:tr>
      <w:tr w:rsidR="00284822" w14:paraId="7512B90C" w14:textId="77777777">
        <w:tc>
          <w:tcPr>
            <w:tcW w:w="851" w:type="dxa"/>
          </w:tcPr>
          <w:p w14:paraId="7CDA9027"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185</w:t>
            </w:r>
          </w:p>
        </w:tc>
        <w:tc>
          <w:tcPr>
            <w:tcW w:w="4678" w:type="dxa"/>
            <w:vAlign w:val="center"/>
          </w:tcPr>
          <w:p w14:paraId="67D92106" w14:textId="77777777" w:rsidR="00284822" w:rsidRDefault="00F77BF8">
            <w:pPr>
              <w:autoSpaceDN/>
              <w:spacing w:before="120" w:after="120"/>
              <w:textAlignment w:val="auto"/>
              <w:rPr>
                <w:rFonts w:ascii="Rockwell" w:eastAsia="Calibri" w:hAnsi="Rockwell"/>
              </w:rPr>
            </w:pPr>
            <w:r>
              <w:rPr>
                <w:rFonts w:ascii="Rockwell" w:eastAsia="Calibri" w:hAnsi="Rockwell"/>
              </w:rPr>
              <w:t xml:space="preserve">Burkina </w:t>
            </w:r>
            <w:proofErr w:type="spellStart"/>
            <w:r>
              <w:rPr>
                <w:rFonts w:ascii="Rockwell" w:eastAsia="Calibri" w:hAnsi="Rockwell"/>
              </w:rPr>
              <w:t>Labaali</w:t>
            </w:r>
            <w:proofErr w:type="spellEnd"/>
            <w:r>
              <w:rPr>
                <w:rFonts w:ascii="Rockwell" w:eastAsia="Calibri" w:hAnsi="Rockwell"/>
              </w:rPr>
              <w:t>+</w:t>
            </w:r>
          </w:p>
        </w:tc>
        <w:tc>
          <w:tcPr>
            <w:tcW w:w="4394" w:type="dxa"/>
            <w:vAlign w:val="bottom"/>
          </w:tcPr>
          <w:p w14:paraId="0FD4E2F0"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www.burkinalabaali.com</w:t>
            </w:r>
          </w:p>
        </w:tc>
      </w:tr>
      <w:tr w:rsidR="00284822" w14:paraId="06EB4730" w14:textId="77777777">
        <w:tc>
          <w:tcPr>
            <w:tcW w:w="851" w:type="dxa"/>
          </w:tcPr>
          <w:p w14:paraId="6A51F379"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186</w:t>
            </w:r>
          </w:p>
        </w:tc>
        <w:tc>
          <w:tcPr>
            <w:tcW w:w="4678" w:type="dxa"/>
            <w:vAlign w:val="center"/>
          </w:tcPr>
          <w:p w14:paraId="64F65B5F" w14:textId="77777777" w:rsidR="00284822" w:rsidRDefault="00F77BF8">
            <w:pPr>
              <w:autoSpaceDN/>
              <w:spacing w:before="120" w:after="120"/>
              <w:textAlignment w:val="auto"/>
              <w:rPr>
                <w:rFonts w:ascii="Rockwell" w:eastAsia="Calibri" w:hAnsi="Rockwell"/>
              </w:rPr>
            </w:pPr>
            <w:r>
              <w:rPr>
                <w:rFonts w:ascii="Rockwell" w:eastAsia="Calibri" w:hAnsi="Rockwell"/>
              </w:rPr>
              <w:t>L’Afrique qui ose</w:t>
            </w:r>
          </w:p>
        </w:tc>
        <w:tc>
          <w:tcPr>
            <w:tcW w:w="4394" w:type="dxa"/>
            <w:vAlign w:val="bottom"/>
          </w:tcPr>
          <w:p w14:paraId="5A1C335C"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www.afriquequiose.net</w:t>
            </w:r>
          </w:p>
        </w:tc>
      </w:tr>
      <w:tr w:rsidR="00284822" w14:paraId="14B780FB" w14:textId="77777777">
        <w:tc>
          <w:tcPr>
            <w:tcW w:w="851" w:type="dxa"/>
          </w:tcPr>
          <w:p w14:paraId="0B16AC18"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187</w:t>
            </w:r>
          </w:p>
        </w:tc>
        <w:tc>
          <w:tcPr>
            <w:tcW w:w="4678" w:type="dxa"/>
            <w:vAlign w:val="center"/>
          </w:tcPr>
          <w:p w14:paraId="7FD4DC46" w14:textId="77777777" w:rsidR="00284822" w:rsidRDefault="00F77BF8">
            <w:pPr>
              <w:autoSpaceDN/>
              <w:spacing w:before="120" w:after="120"/>
              <w:textAlignment w:val="auto"/>
              <w:rPr>
                <w:rFonts w:ascii="Rockwell" w:eastAsia="Calibri" w:hAnsi="Rockwell"/>
              </w:rPr>
            </w:pPr>
            <w:r>
              <w:rPr>
                <w:rFonts w:ascii="Rockwell" w:eastAsia="Calibri" w:hAnsi="Rockwell"/>
              </w:rPr>
              <w:t xml:space="preserve">« 24heures/24heures », </w:t>
            </w:r>
            <w:proofErr w:type="spellStart"/>
            <w:r>
              <w:rPr>
                <w:rFonts w:ascii="Rockwell" w:eastAsia="Calibri" w:hAnsi="Rockwell"/>
              </w:rPr>
              <w:t>Positiv</w:t>
            </w:r>
            <w:proofErr w:type="spellEnd"/>
            <w:r>
              <w:rPr>
                <w:rFonts w:ascii="Rockwell" w:eastAsia="Calibri" w:hAnsi="Rockwell"/>
              </w:rPr>
              <w:t>’ »</w:t>
            </w:r>
          </w:p>
        </w:tc>
        <w:tc>
          <w:tcPr>
            <w:tcW w:w="4394" w:type="dxa"/>
            <w:vAlign w:val="bottom"/>
          </w:tcPr>
          <w:p w14:paraId="2413552E"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www.positivmedia.tv</w:t>
            </w:r>
          </w:p>
        </w:tc>
      </w:tr>
      <w:tr w:rsidR="00284822" w14:paraId="4B380D43" w14:textId="77777777">
        <w:tc>
          <w:tcPr>
            <w:tcW w:w="851" w:type="dxa"/>
          </w:tcPr>
          <w:p w14:paraId="5EDBEAA8"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188</w:t>
            </w:r>
          </w:p>
        </w:tc>
        <w:tc>
          <w:tcPr>
            <w:tcW w:w="4678" w:type="dxa"/>
            <w:vAlign w:val="center"/>
          </w:tcPr>
          <w:p w14:paraId="35C62831" w14:textId="77777777" w:rsidR="00284822" w:rsidRDefault="00F77BF8">
            <w:pPr>
              <w:autoSpaceDN/>
              <w:spacing w:before="120" w:after="120"/>
              <w:textAlignment w:val="auto"/>
              <w:rPr>
                <w:rFonts w:ascii="Rockwell" w:eastAsia="Calibri" w:hAnsi="Rockwell"/>
              </w:rPr>
            </w:pPr>
            <w:r>
              <w:rPr>
                <w:rFonts w:ascii="Rockwell" w:eastAsia="Calibri" w:hAnsi="Rockwell"/>
              </w:rPr>
              <w:t>Reelinfos.com</w:t>
            </w:r>
          </w:p>
        </w:tc>
        <w:tc>
          <w:tcPr>
            <w:tcW w:w="4394" w:type="dxa"/>
            <w:vAlign w:val="bottom"/>
          </w:tcPr>
          <w:p w14:paraId="0E00AEA1"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www.reelinfos.com</w:t>
            </w:r>
          </w:p>
        </w:tc>
      </w:tr>
      <w:tr w:rsidR="00284822" w14:paraId="1B1BD697" w14:textId="77777777">
        <w:tc>
          <w:tcPr>
            <w:tcW w:w="851" w:type="dxa"/>
          </w:tcPr>
          <w:p w14:paraId="406194B6"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lastRenderedPageBreak/>
              <w:t>189</w:t>
            </w:r>
          </w:p>
        </w:tc>
        <w:tc>
          <w:tcPr>
            <w:tcW w:w="4678" w:type="dxa"/>
            <w:vAlign w:val="center"/>
          </w:tcPr>
          <w:p w14:paraId="7A92EDFE" w14:textId="77777777" w:rsidR="00284822" w:rsidRDefault="00F77BF8">
            <w:pPr>
              <w:autoSpaceDN/>
              <w:spacing w:before="120" w:after="120"/>
              <w:textAlignment w:val="auto"/>
              <w:rPr>
                <w:rFonts w:ascii="Rockwell" w:eastAsia="Calibri" w:hAnsi="Rockwell"/>
              </w:rPr>
            </w:pPr>
            <w:r>
              <w:rPr>
                <w:rFonts w:ascii="Rockwell" w:eastAsia="Calibri" w:hAnsi="Rockwell"/>
              </w:rPr>
              <w:t>La Plume</w:t>
            </w:r>
          </w:p>
        </w:tc>
        <w:tc>
          <w:tcPr>
            <w:tcW w:w="4394" w:type="dxa"/>
            <w:vAlign w:val="bottom"/>
          </w:tcPr>
          <w:p w14:paraId="71C12E58"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Non fourni</w:t>
            </w:r>
          </w:p>
        </w:tc>
      </w:tr>
      <w:tr w:rsidR="00284822" w14:paraId="17D44013" w14:textId="77777777">
        <w:tc>
          <w:tcPr>
            <w:tcW w:w="851" w:type="dxa"/>
          </w:tcPr>
          <w:p w14:paraId="160412A2"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190</w:t>
            </w:r>
          </w:p>
        </w:tc>
        <w:tc>
          <w:tcPr>
            <w:tcW w:w="4678" w:type="dxa"/>
            <w:vAlign w:val="center"/>
          </w:tcPr>
          <w:p w14:paraId="354B9809" w14:textId="77777777" w:rsidR="00284822" w:rsidRDefault="00F77BF8">
            <w:pPr>
              <w:autoSpaceDN/>
              <w:spacing w:before="120" w:after="120"/>
              <w:textAlignment w:val="auto"/>
              <w:rPr>
                <w:rFonts w:ascii="Rockwell" w:eastAsia="Calibri" w:hAnsi="Rockwell"/>
              </w:rPr>
            </w:pPr>
            <w:r>
              <w:rPr>
                <w:rFonts w:ascii="Rockwell" w:eastAsia="Calibri" w:hAnsi="Rockwell"/>
              </w:rPr>
              <w:t>agri-infos-burkina.net</w:t>
            </w:r>
          </w:p>
        </w:tc>
        <w:tc>
          <w:tcPr>
            <w:tcW w:w="4394" w:type="dxa"/>
            <w:vAlign w:val="bottom"/>
          </w:tcPr>
          <w:p w14:paraId="30145A2D"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www.agri-infos-burkina.net</w:t>
            </w:r>
          </w:p>
        </w:tc>
      </w:tr>
      <w:tr w:rsidR="00284822" w14:paraId="5DAC9D12" w14:textId="77777777">
        <w:tc>
          <w:tcPr>
            <w:tcW w:w="851" w:type="dxa"/>
          </w:tcPr>
          <w:p w14:paraId="44AAD692"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191</w:t>
            </w:r>
          </w:p>
        </w:tc>
        <w:tc>
          <w:tcPr>
            <w:tcW w:w="4678" w:type="dxa"/>
            <w:vAlign w:val="center"/>
          </w:tcPr>
          <w:p w14:paraId="68F66552" w14:textId="77777777" w:rsidR="00284822" w:rsidRDefault="00F77BF8">
            <w:pPr>
              <w:autoSpaceDN/>
              <w:spacing w:before="120" w:after="120"/>
              <w:textAlignment w:val="auto"/>
              <w:rPr>
                <w:rFonts w:ascii="Rockwell" w:eastAsia="Calibri" w:hAnsi="Rockwell"/>
              </w:rPr>
            </w:pPr>
            <w:r>
              <w:rPr>
                <w:rFonts w:ascii="Rockwell" w:eastAsia="Calibri" w:hAnsi="Rockwell"/>
              </w:rPr>
              <w:t>Fairplay.bf</w:t>
            </w:r>
          </w:p>
        </w:tc>
        <w:tc>
          <w:tcPr>
            <w:tcW w:w="4394" w:type="dxa"/>
            <w:vAlign w:val="bottom"/>
          </w:tcPr>
          <w:p w14:paraId="4F99E32A" w14:textId="77777777" w:rsidR="00284822" w:rsidRDefault="003148F1">
            <w:pPr>
              <w:autoSpaceDN/>
              <w:spacing w:before="120" w:after="120"/>
              <w:textAlignment w:val="auto"/>
              <w:rPr>
                <w:rFonts w:ascii="Rockwell" w:eastAsiaTheme="minorHAnsi" w:hAnsi="Rockwell"/>
              </w:rPr>
            </w:pPr>
            <w:hyperlink r:id="rId278" w:history="1">
              <w:r w:rsidR="00F77BF8">
                <w:rPr>
                  <w:rStyle w:val="Lienhypertexte"/>
                  <w:rFonts w:ascii="Rockwell" w:eastAsiaTheme="minorHAnsi" w:hAnsi="Rockwell"/>
                </w:rPr>
                <w:t>www.fairplay.bf</w:t>
              </w:r>
            </w:hyperlink>
          </w:p>
        </w:tc>
      </w:tr>
      <w:tr w:rsidR="00284822" w14:paraId="4AD8BDE8" w14:textId="77777777">
        <w:tc>
          <w:tcPr>
            <w:tcW w:w="851" w:type="dxa"/>
          </w:tcPr>
          <w:p w14:paraId="42129B13"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192</w:t>
            </w:r>
          </w:p>
        </w:tc>
        <w:tc>
          <w:tcPr>
            <w:tcW w:w="4678" w:type="dxa"/>
            <w:vAlign w:val="center"/>
          </w:tcPr>
          <w:p w14:paraId="5ED3F214" w14:textId="77777777" w:rsidR="00284822" w:rsidRDefault="00F77BF8">
            <w:pPr>
              <w:autoSpaceDN/>
              <w:spacing w:before="120" w:after="120"/>
              <w:textAlignment w:val="auto"/>
              <w:rPr>
                <w:rFonts w:ascii="Rockwell" w:eastAsia="Calibri" w:hAnsi="Rockwell"/>
              </w:rPr>
            </w:pPr>
            <w:r>
              <w:rPr>
                <w:rFonts w:ascii="Rockwell" w:eastAsia="Calibri" w:hAnsi="Rockwell"/>
              </w:rPr>
              <w:t>Santé Pour Tous</w:t>
            </w:r>
          </w:p>
        </w:tc>
        <w:tc>
          <w:tcPr>
            <w:tcW w:w="4394" w:type="dxa"/>
            <w:vAlign w:val="bottom"/>
          </w:tcPr>
          <w:p w14:paraId="03FAE2BA"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Non fourni</w:t>
            </w:r>
          </w:p>
        </w:tc>
      </w:tr>
    </w:tbl>
    <w:p w14:paraId="2E274D98" w14:textId="77777777" w:rsidR="00284822" w:rsidRDefault="00284822">
      <w:pPr>
        <w:suppressAutoHyphens w:val="0"/>
        <w:autoSpaceDN/>
        <w:spacing w:before="120" w:after="120"/>
        <w:textAlignment w:val="auto"/>
        <w:rPr>
          <w:rFonts w:ascii="Rockwell" w:eastAsiaTheme="minorHAnsi" w:hAnsi="Rockwell" w:cstheme="minorBidi"/>
          <w:szCs w:val="26"/>
          <w:lang w:eastAsia="en-US"/>
        </w:rPr>
        <w:sectPr w:rsidR="00284822">
          <w:pgSz w:w="11906" w:h="16838"/>
          <w:pgMar w:top="1418" w:right="1418" w:bottom="1418" w:left="1418" w:header="708" w:footer="708" w:gutter="0"/>
          <w:cols w:space="708"/>
          <w:docGrid w:linePitch="360"/>
        </w:sectPr>
      </w:pPr>
    </w:p>
    <w:p w14:paraId="558D58B2" w14:textId="77777777" w:rsidR="00284822" w:rsidRDefault="00F77BF8">
      <w:pPr>
        <w:spacing w:before="120" w:after="120"/>
        <w:rPr>
          <w:rFonts w:ascii="Rockwell" w:eastAsiaTheme="minorHAnsi" w:hAnsi="Rockwell"/>
          <w:b/>
          <w:sz w:val="24"/>
        </w:rPr>
      </w:pPr>
      <w:r>
        <w:rPr>
          <w:rFonts w:ascii="Rockwell" w:eastAsiaTheme="minorHAnsi" w:hAnsi="Rockwell"/>
          <w:b/>
          <w:sz w:val="24"/>
        </w:rPr>
        <w:lastRenderedPageBreak/>
        <w:t>WEB MEDIA</w:t>
      </w:r>
    </w:p>
    <w:tbl>
      <w:tblPr>
        <w:tblStyle w:val="Grilledutableau2"/>
        <w:tblW w:w="10632" w:type="dxa"/>
        <w:jc w:val="center"/>
        <w:tblLook w:val="04A0" w:firstRow="1" w:lastRow="0" w:firstColumn="1" w:lastColumn="0" w:noHBand="0" w:noVBand="1"/>
      </w:tblPr>
      <w:tblGrid>
        <w:gridCol w:w="709"/>
        <w:gridCol w:w="4901"/>
        <w:gridCol w:w="5022"/>
      </w:tblGrid>
      <w:tr w:rsidR="00284822" w14:paraId="5325BDD3" w14:textId="77777777">
        <w:trPr>
          <w:trHeight w:val="563"/>
          <w:jc w:val="center"/>
        </w:trPr>
        <w:tc>
          <w:tcPr>
            <w:tcW w:w="709" w:type="dxa"/>
          </w:tcPr>
          <w:p w14:paraId="03BC7344"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w:t>
            </w:r>
          </w:p>
        </w:tc>
        <w:tc>
          <w:tcPr>
            <w:tcW w:w="4901" w:type="dxa"/>
          </w:tcPr>
          <w:p w14:paraId="6F9E9AD8" w14:textId="77777777" w:rsidR="00284822" w:rsidRDefault="00F77BF8">
            <w:pPr>
              <w:autoSpaceDN/>
              <w:spacing w:before="120" w:after="120"/>
              <w:textAlignment w:val="auto"/>
              <w:rPr>
                <w:rFonts w:ascii="Rockwell" w:eastAsiaTheme="minorHAnsi" w:hAnsi="Rockwell"/>
              </w:rPr>
            </w:pPr>
            <w:r>
              <w:rPr>
                <w:rFonts w:ascii="Rockwell" w:eastAsia="Calibri" w:hAnsi="Rockwell"/>
              </w:rPr>
              <w:t>Radio21.com</w:t>
            </w:r>
          </w:p>
        </w:tc>
        <w:tc>
          <w:tcPr>
            <w:tcW w:w="5022" w:type="dxa"/>
          </w:tcPr>
          <w:p w14:paraId="32A73194" w14:textId="77777777" w:rsidR="00284822" w:rsidRDefault="003148F1">
            <w:pPr>
              <w:autoSpaceDN/>
              <w:spacing w:before="120" w:after="120"/>
              <w:textAlignment w:val="auto"/>
              <w:rPr>
                <w:rFonts w:ascii="Rockwell" w:eastAsia="Calibri" w:hAnsi="Rockwell"/>
              </w:rPr>
            </w:pPr>
            <w:hyperlink r:id="rId279" w:history="1">
              <w:r w:rsidR="00F77BF8">
                <w:rPr>
                  <w:rStyle w:val="Lienhypertexte"/>
                  <w:rFonts w:ascii="Rockwell" w:eastAsia="Calibri" w:hAnsi="Rockwell"/>
                </w:rPr>
                <w:t>www.radio21.com</w:t>
              </w:r>
            </w:hyperlink>
          </w:p>
        </w:tc>
      </w:tr>
      <w:tr w:rsidR="00284822" w14:paraId="44A17E11" w14:textId="77777777">
        <w:trPr>
          <w:trHeight w:val="557"/>
          <w:jc w:val="center"/>
        </w:trPr>
        <w:tc>
          <w:tcPr>
            <w:tcW w:w="709" w:type="dxa"/>
          </w:tcPr>
          <w:p w14:paraId="69F0374B"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2</w:t>
            </w:r>
          </w:p>
        </w:tc>
        <w:tc>
          <w:tcPr>
            <w:tcW w:w="4901" w:type="dxa"/>
          </w:tcPr>
          <w:p w14:paraId="3F862AD0" w14:textId="77777777" w:rsidR="00284822" w:rsidRDefault="00F77BF8">
            <w:pPr>
              <w:autoSpaceDN/>
              <w:spacing w:before="120" w:after="120"/>
              <w:textAlignment w:val="auto"/>
              <w:rPr>
                <w:rFonts w:ascii="Rockwell" w:eastAsiaTheme="minorHAnsi" w:hAnsi="Rockwell"/>
              </w:rPr>
            </w:pPr>
            <w:proofErr w:type="spellStart"/>
            <w:r>
              <w:rPr>
                <w:rFonts w:ascii="Rockwell" w:eastAsia="Calibri" w:hAnsi="Rockwell"/>
              </w:rPr>
              <w:t>Phafinara</w:t>
            </w:r>
            <w:proofErr w:type="spellEnd"/>
            <w:r>
              <w:rPr>
                <w:rFonts w:ascii="Rockwell" w:eastAsia="Calibri" w:hAnsi="Rockwell"/>
              </w:rPr>
              <w:t xml:space="preserve"> Tv</w:t>
            </w:r>
          </w:p>
        </w:tc>
        <w:tc>
          <w:tcPr>
            <w:tcW w:w="5022" w:type="dxa"/>
          </w:tcPr>
          <w:p w14:paraId="19253CFD" w14:textId="77777777" w:rsidR="00284822" w:rsidRDefault="00F77BF8">
            <w:pPr>
              <w:autoSpaceDN/>
              <w:spacing w:before="120" w:after="120"/>
              <w:textAlignment w:val="auto"/>
              <w:rPr>
                <w:rFonts w:ascii="Rockwell" w:eastAsia="Calibri" w:hAnsi="Rockwell"/>
              </w:rPr>
            </w:pPr>
            <w:r>
              <w:rPr>
                <w:rFonts w:ascii="Rockwell" w:eastAsia="Calibri" w:hAnsi="Rockwell"/>
              </w:rPr>
              <w:t>Pharafinatv.net</w:t>
            </w:r>
          </w:p>
        </w:tc>
      </w:tr>
      <w:tr w:rsidR="00284822" w14:paraId="64CA765E" w14:textId="77777777">
        <w:trPr>
          <w:trHeight w:val="564"/>
          <w:jc w:val="center"/>
        </w:trPr>
        <w:tc>
          <w:tcPr>
            <w:tcW w:w="709" w:type="dxa"/>
          </w:tcPr>
          <w:p w14:paraId="026E28F2"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3</w:t>
            </w:r>
          </w:p>
        </w:tc>
        <w:tc>
          <w:tcPr>
            <w:tcW w:w="4901" w:type="dxa"/>
          </w:tcPr>
          <w:p w14:paraId="57258C6D" w14:textId="77777777" w:rsidR="00284822" w:rsidRDefault="00F77BF8">
            <w:pPr>
              <w:autoSpaceDN/>
              <w:spacing w:before="120" w:after="120"/>
              <w:textAlignment w:val="auto"/>
              <w:rPr>
                <w:rFonts w:ascii="Rockwell" w:eastAsia="Calibri" w:hAnsi="Rockwell"/>
                <w:lang w:val="en-US"/>
              </w:rPr>
            </w:pPr>
            <w:r>
              <w:rPr>
                <w:rFonts w:ascii="Rockwell" w:eastAsia="Calibri" w:hAnsi="Rockwell"/>
                <w:lang w:val="en-US"/>
              </w:rPr>
              <w:t xml:space="preserve">Faso </w:t>
            </w:r>
            <w:proofErr w:type="spellStart"/>
            <w:r>
              <w:rPr>
                <w:rFonts w:ascii="Rockwell" w:eastAsia="Calibri" w:hAnsi="Rockwell"/>
                <w:lang w:val="en-US"/>
              </w:rPr>
              <w:t>Climat</w:t>
            </w:r>
            <w:proofErr w:type="spellEnd"/>
            <w:r>
              <w:rPr>
                <w:rFonts w:ascii="Rockwell" w:eastAsia="Calibri" w:hAnsi="Rockwell"/>
                <w:lang w:val="en-US"/>
              </w:rPr>
              <w:t xml:space="preserve"> TV (FC.TV)</w:t>
            </w:r>
          </w:p>
        </w:tc>
        <w:tc>
          <w:tcPr>
            <w:tcW w:w="5022" w:type="dxa"/>
          </w:tcPr>
          <w:p w14:paraId="56891A80" w14:textId="77777777" w:rsidR="00284822" w:rsidRDefault="00F77BF8">
            <w:pPr>
              <w:autoSpaceDN/>
              <w:spacing w:before="120" w:after="120"/>
              <w:textAlignment w:val="auto"/>
              <w:rPr>
                <w:rFonts w:ascii="Rockwell" w:eastAsia="Calibri" w:hAnsi="Rockwell"/>
              </w:rPr>
            </w:pPr>
            <w:r>
              <w:rPr>
                <w:rFonts w:ascii="Rockwell" w:eastAsiaTheme="minorHAnsi" w:hAnsi="Rockwell"/>
              </w:rPr>
              <w:t>Non fourni</w:t>
            </w:r>
          </w:p>
        </w:tc>
      </w:tr>
      <w:tr w:rsidR="00284822" w14:paraId="1FEE9A2C" w14:textId="77777777">
        <w:trPr>
          <w:trHeight w:val="558"/>
          <w:jc w:val="center"/>
        </w:trPr>
        <w:tc>
          <w:tcPr>
            <w:tcW w:w="709" w:type="dxa"/>
          </w:tcPr>
          <w:p w14:paraId="462BD422"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4</w:t>
            </w:r>
          </w:p>
        </w:tc>
        <w:tc>
          <w:tcPr>
            <w:tcW w:w="4901" w:type="dxa"/>
          </w:tcPr>
          <w:p w14:paraId="1A75E9FB" w14:textId="77777777" w:rsidR="00284822" w:rsidRDefault="00F77BF8">
            <w:pPr>
              <w:autoSpaceDN/>
              <w:spacing w:before="120" w:after="120"/>
              <w:textAlignment w:val="auto"/>
              <w:rPr>
                <w:rFonts w:ascii="Rockwell" w:eastAsia="Calibri" w:hAnsi="Rockwell"/>
              </w:rPr>
            </w:pPr>
            <w:r>
              <w:rPr>
                <w:rFonts w:ascii="Rockwell" w:eastAsia="Calibri" w:hAnsi="Rockwell"/>
              </w:rPr>
              <w:t xml:space="preserve">Radio </w:t>
            </w:r>
            <w:proofErr w:type="gramStart"/>
            <w:r>
              <w:rPr>
                <w:rFonts w:ascii="Rockwell" w:eastAsia="Calibri" w:hAnsi="Rockwell"/>
              </w:rPr>
              <w:t>BZ(</w:t>
            </w:r>
            <w:proofErr w:type="spellStart"/>
            <w:proofErr w:type="gramEnd"/>
            <w:r>
              <w:rPr>
                <w:rFonts w:ascii="Rockwell" w:eastAsia="Calibri" w:hAnsi="Rockwell"/>
              </w:rPr>
              <w:t>bizi</w:t>
            </w:r>
            <w:proofErr w:type="spellEnd"/>
            <w:r>
              <w:rPr>
                <w:rFonts w:ascii="Rockwell" w:eastAsia="Calibri" w:hAnsi="Rockwell"/>
              </w:rPr>
              <w:t>)</w:t>
            </w:r>
          </w:p>
        </w:tc>
        <w:tc>
          <w:tcPr>
            <w:tcW w:w="5022" w:type="dxa"/>
          </w:tcPr>
          <w:p w14:paraId="389DFC8E" w14:textId="77777777" w:rsidR="00284822" w:rsidRDefault="003148F1">
            <w:pPr>
              <w:autoSpaceDN/>
              <w:spacing w:before="120" w:after="120"/>
              <w:textAlignment w:val="auto"/>
              <w:rPr>
                <w:rFonts w:ascii="Rockwell" w:eastAsia="Calibri" w:hAnsi="Rockwell"/>
              </w:rPr>
            </w:pPr>
            <w:hyperlink r:id="rId280" w:history="1">
              <w:r w:rsidR="00F77BF8">
                <w:rPr>
                  <w:rStyle w:val="Lienhypertexte"/>
                  <w:rFonts w:ascii="Rockwell" w:eastAsia="Calibri" w:hAnsi="Rockwell"/>
                </w:rPr>
                <w:t>www.groupebz.com</w:t>
              </w:r>
            </w:hyperlink>
          </w:p>
        </w:tc>
      </w:tr>
      <w:tr w:rsidR="00284822" w14:paraId="2E9E89EE" w14:textId="77777777">
        <w:trPr>
          <w:trHeight w:val="553"/>
          <w:jc w:val="center"/>
        </w:trPr>
        <w:tc>
          <w:tcPr>
            <w:tcW w:w="709" w:type="dxa"/>
          </w:tcPr>
          <w:p w14:paraId="1F9D4182"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5</w:t>
            </w:r>
          </w:p>
        </w:tc>
        <w:tc>
          <w:tcPr>
            <w:tcW w:w="4901" w:type="dxa"/>
          </w:tcPr>
          <w:p w14:paraId="6EE6E28E" w14:textId="77777777" w:rsidR="00284822" w:rsidRDefault="00F77BF8">
            <w:pPr>
              <w:autoSpaceDN/>
              <w:spacing w:before="120" w:after="120"/>
              <w:textAlignment w:val="auto"/>
              <w:rPr>
                <w:rFonts w:ascii="Rockwell" w:eastAsia="Calibri" w:hAnsi="Rockwell"/>
              </w:rPr>
            </w:pPr>
            <w:r>
              <w:rPr>
                <w:rFonts w:ascii="Rockwell" w:eastAsia="Calibri" w:hAnsi="Rockwell"/>
              </w:rPr>
              <w:t xml:space="preserve">Radio mère </w:t>
            </w:r>
            <w:proofErr w:type="gramStart"/>
            <w:r>
              <w:rPr>
                <w:rFonts w:ascii="Rockwell" w:eastAsia="Calibri" w:hAnsi="Rockwell"/>
              </w:rPr>
              <w:t>RCB( web</w:t>
            </w:r>
            <w:proofErr w:type="gramEnd"/>
            <w:r>
              <w:rPr>
                <w:rFonts w:ascii="Rockwell" w:eastAsia="Calibri" w:hAnsi="Rockwell"/>
              </w:rPr>
              <w:t xml:space="preserve"> radio)</w:t>
            </w:r>
          </w:p>
        </w:tc>
        <w:tc>
          <w:tcPr>
            <w:tcW w:w="5022" w:type="dxa"/>
          </w:tcPr>
          <w:p w14:paraId="2A8E429F" w14:textId="77777777" w:rsidR="00284822" w:rsidRDefault="003148F1">
            <w:pPr>
              <w:autoSpaceDN/>
              <w:spacing w:before="120" w:after="120"/>
              <w:textAlignment w:val="auto"/>
              <w:rPr>
                <w:rFonts w:ascii="Rockwell" w:eastAsia="Calibri" w:hAnsi="Rockwell"/>
              </w:rPr>
            </w:pPr>
            <w:hyperlink r:id="rId281" w:history="1">
              <w:r w:rsidR="00F77BF8">
                <w:rPr>
                  <w:rStyle w:val="Lienhypertexte"/>
                  <w:rFonts w:ascii="Rockwell" w:eastAsia="Calibri" w:hAnsi="Rockwell"/>
                </w:rPr>
                <w:t>www.rcburkina.org</w:t>
              </w:r>
            </w:hyperlink>
          </w:p>
        </w:tc>
      </w:tr>
      <w:tr w:rsidR="00284822" w14:paraId="74BCF34D" w14:textId="77777777">
        <w:trPr>
          <w:trHeight w:val="547"/>
          <w:jc w:val="center"/>
        </w:trPr>
        <w:tc>
          <w:tcPr>
            <w:tcW w:w="709" w:type="dxa"/>
          </w:tcPr>
          <w:p w14:paraId="131E43D5"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6</w:t>
            </w:r>
          </w:p>
        </w:tc>
        <w:tc>
          <w:tcPr>
            <w:tcW w:w="4901" w:type="dxa"/>
          </w:tcPr>
          <w:p w14:paraId="0B1D0A17" w14:textId="77777777" w:rsidR="00284822" w:rsidRDefault="00F77BF8">
            <w:pPr>
              <w:autoSpaceDN/>
              <w:spacing w:before="120" w:after="120"/>
              <w:textAlignment w:val="auto"/>
              <w:rPr>
                <w:rFonts w:ascii="Rockwell" w:eastAsia="Calibri" w:hAnsi="Rockwell"/>
              </w:rPr>
            </w:pPr>
            <w:r>
              <w:rPr>
                <w:rFonts w:ascii="Rockwell" w:eastAsia="Calibri" w:hAnsi="Rockwell"/>
              </w:rPr>
              <w:t>Ouaga Showtime Tv</w:t>
            </w:r>
          </w:p>
        </w:tc>
        <w:tc>
          <w:tcPr>
            <w:tcW w:w="5022" w:type="dxa"/>
          </w:tcPr>
          <w:p w14:paraId="7418C14F" w14:textId="77777777" w:rsidR="00284822" w:rsidRDefault="003148F1">
            <w:pPr>
              <w:autoSpaceDN/>
              <w:spacing w:before="120" w:after="120"/>
              <w:textAlignment w:val="auto"/>
              <w:rPr>
                <w:rFonts w:ascii="Rockwell" w:eastAsia="Calibri" w:hAnsi="Rockwell"/>
              </w:rPr>
            </w:pPr>
            <w:hyperlink r:id="rId282" w:history="1">
              <w:r w:rsidR="00F77BF8">
                <w:rPr>
                  <w:rStyle w:val="Lienhypertexte"/>
                  <w:rFonts w:ascii="Rockwell" w:eastAsia="Calibri" w:hAnsi="Rockwell"/>
                </w:rPr>
                <w:t>www.ouagashowtime.com</w:t>
              </w:r>
            </w:hyperlink>
          </w:p>
        </w:tc>
      </w:tr>
      <w:tr w:rsidR="00284822" w14:paraId="49A55E6E" w14:textId="77777777">
        <w:trPr>
          <w:trHeight w:val="568"/>
          <w:jc w:val="center"/>
        </w:trPr>
        <w:tc>
          <w:tcPr>
            <w:tcW w:w="709" w:type="dxa"/>
          </w:tcPr>
          <w:p w14:paraId="0FCEB7B4"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7</w:t>
            </w:r>
          </w:p>
        </w:tc>
        <w:tc>
          <w:tcPr>
            <w:tcW w:w="4901" w:type="dxa"/>
          </w:tcPr>
          <w:p w14:paraId="086A2912" w14:textId="77777777" w:rsidR="00284822" w:rsidRDefault="00F77BF8">
            <w:pPr>
              <w:autoSpaceDN/>
              <w:spacing w:before="120" w:after="120"/>
              <w:textAlignment w:val="auto"/>
              <w:rPr>
                <w:rFonts w:ascii="Rockwell" w:eastAsia="Calibri" w:hAnsi="Rockwell"/>
              </w:rPr>
            </w:pPr>
            <w:proofErr w:type="spellStart"/>
            <w:r>
              <w:rPr>
                <w:rFonts w:ascii="Rockwell" w:eastAsia="Calibri" w:hAnsi="Rockwell"/>
              </w:rPr>
              <w:t>Zissaya</w:t>
            </w:r>
            <w:proofErr w:type="spellEnd"/>
            <w:r>
              <w:rPr>
                <w:rFonts w:ascii="Rockwell" w:eastAsia="Calibri" w:hAnsi="Rockwell"/>
              </w:rPr>
              <w:t xml:space="preserve"> tv.</w:t>
            </w:r>
          </w:p>
        </w:tc>
        <w:tc>
          <w:tcPr>
            <w:tcW w:w="5022" w:type="dxa"/>
          </w:tcPr>
          <w:p w14:paraId="6BB63F40" w14:textId="77777777" w:rsidR="00284822" w:rsidRDefault="003148F1">
            <w:pPr>
              <w:autoSpaceDN/>
              <w:spacing w:before="120" w:after="120"/>
              <w:textAlignment w:val="auto"/>
              <w:rPr>
                <w:rFonts w:ascii="Rockwell" w:eastAsia="Calibri" w:hAnsi="Rockwell"/>
              </w:rPr>
            </w:pPr>
            <w:hyperlink r:id="rId283" w:history="1">
              <w:r w:rsidR="00F77BF8">
                <w:rPr>
                  <w:rStyle w:val="Lienhypertexte"/>
                  <w:rFonts w:ascii="Rockwell" w:eastAsia="Calibri" w:hAnsi="Rockwell"/>
                </w:rPr>
                <w:t>www.zissaya</w:t>
              </w:r>
            </w:hyperlink>
            <w:r w:rsidR="00F77BF8">
              <w:rPr>
                <w:rFonts w:ascii="Rockwell" w:eastAsia="Calibri" w:hAnsi="Rockwell"/>
              </w:rPr>
              <w:t xml:space="preserve"> tv. Com</w:t>
            </w:r>
          </w:p>
        </w:tc>
      </w:tr>
      <w:tr w:rsidR="00284822" w14:paraId="11839F9A" w14:textId="77777777">
        <w:trPr>
          <w:jc w:val="center"/>
        </w:trPr>
        <w:tc>
          <w:tcPr>
            <w:tcW w:w="709" w:type="dxa"/>
          </w:tcPr>
          <w:p w14:paraId="68247641"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8</w:t>
            </w:r>
          </w:p>
        </w:tc>
        <w:tc>
          <w:tcPr>
            <w:tcW w:w="4901" w:type="dxa"/>
          </w:tcPr>
          <w:p w14:paraId="59D982B7" w14:textId="77777777" w:rsidR="00284822" w:rsidRDefault="00F77BF8">
            <w:pPr>
              <w:autoSpaceDN/>
              <w:spacing w:before="120" w:after="120"/>
              <w:textAlignment w:val="auto"/>
              <w:rPr>
                <w:rFonts w:ascii="Rockwell" w:eastAsia="Calibri" w:hAnsi="Rockwell"/>
              </w:rPr>
            </w:pPr>
            <w:r>
              <w:rPr>
                <w:rFonts w:ascii="Rockwell" w:eastAsia="Calibri" w:hAnsi="Rockwell"/>
              </w:rPr>
              <w:t>Team-tv</w:t>
            </w:r>
          </w:p>
        </w:tc>
        <w:tc>
          <w:tcPr>
            <w:tcW w:w="5022" w:type="dxa"/>
          </w:tcPr>
          <w:p w14:paraId="08787DED" w14:textId="77777777" w:rsidR="00284822" w:rsidRDefault="003148F1">
            <w:pPr>
              <w:autoSpaceDN/>
              <w:spacing w:before="120" w:after="120"/>
              <w:textAlignment w:val="auto"/>
              <w:rPr>
                <w:rFonts w:ascii="Rockwell" w:eastAsia="Calibri" w:hAnsi="Rockwell"/>
              </w:rPr>
            </w:pPr>
            <w:hyperlink r:id="rId284" w:history="1">
              <w:r w:rsidR="00F77BF8">
                <w:rPr>
                  <w:rStyle w:val="Lienhypertexte"/>
                  <w:rFonts w:ascii="Rockwell" w:eastAsia="Calibri" w:hAnsi="Rockwell"/>
                </w:rPr>
                <w:t>www.team-tv</w:t>
              </w:r>
            </w:hyperlink>
          </w:p>
        </w:tc>
      </w:tr>
      <w:tr w:rsidR="00284822" w14:paraId="301AA761" w14:textId="77777777">
        <w:trPr>
          <w:jc w:val="center"/>
        </w:trPr>
        <w:tc>
          <w:tcPr>
            <w:tcW w:w="709" w:type="dxa"/>
          </w:tcPr>
          <w:p w14:paraId="018E9AC2"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9</w:t>
            </w:r>
          </w:p>
        </w:tc>
        <w:tc>
          <w:tcPr>
            <w:tcW w:w="4901" w:type="dxa"/>
          </w:tcPr>
          <w:p w14:paraId="56D3C6B6" w14:textId="77777777" w:rsidR="00284822" w:rsidRDefault="00F77BF8">
            <w:pPr>
              <w:autoSpaceDN/>
              <w:spacing w:before="120" w:after="120"/>
              <w:textAlignment w:val="auto"/>
              <w:rPr>
                <w:rFonts w:ascii="Rockwell" w:eastAsia="Calibri" w:hAnsi="Rockwell"/>
              </w:rPr>
            </w:pPr>
            <w:r>
              <w:rPr>
                <w:rFonts w:ascii="Rockwell" w:eastAsia="Calibri" w:hAnsi="Rockwell"/>
              </w:rPr>
              <w:t>Kiff Radio</w:t>
            </w:r>
          </w:p>
        </w:tc>
        <w:tc>
          <w:tcPr>
            <w:tcW w:w="5022" w:type="dxa"/>
          </w:tcPr>
          <w:p w14:paraId="157B23D7" w14:textId="77777777" w:rsidR="00284822" w:rsidRDefault="003148F1">
            <w:pPr>
              <w:autoSpaceDN/>
              <w:spacing w:before="120" w:after="120"/>
              <w:textAlignment w:val="auto"/>
              <w:rPr>
                <w:rFonts w:ascii="Rockwell" w:eastAsia="Calibri" w:hAnsi="Rockwell"/>
              </w:rPr>
            </w:pPr>
            <w:hyperlink r:id="rId285" w:history="1">
              <w:r w:rsidR="00F77BF8">
                <w:rPr>
                  <w:rStyle w:val="Lienhypertexte"/>
                  <w:rFonts w:ascii="Rockwell" w:eastAsia="Calibri" w:hAnsi="Rockwell"/>
                </w:rPr>
                <w:t>www.kiffradio.online</w:t>
              </w:r>
            </w:hyperlink>
          </w:p>
        </w:tc>
      </w:tr>
      <w:tr w:rsidR="00284822" w14:paraId="5AD2D4F5" w14:textId="77777777">
        <w:trPr>
          <w:trHeight w:val="532"/>
          <w:jc w:val="center"/>
        </w:trPr>
        <w:tc>
          <w:tcPr>
            <w:tcW w:w="709" w:type="dxa"/>
          </w:tcPr>
          <w:p w14:paraId="0993F787"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10</w:t>
            </w:r>
          </w:p>
        </w:tc>
        <w:tc>
          <w:tcPr>
            <w:tcW w:w="4901" w:type="dxa"/>
          </w:tcPr>
          <w:p w14:paraId="0C8BADDE" w14:textId="77777777" w:rsidR="00284822" w:rsidRDefault="00F77BF8">
            <w:pPr>
              <w:autoSpaceDN/>
              <w:spacing w:before="120" w:after="120"/>
              <w:textAlignment w:val="auto"/>
              <w:rPr>
                <w:rFonts w:ascii="Rockwell" w:eastAsia="Calibri" w:hAnsi="Rockwell"/>
              </w:rPr>
            </w:pPr>
            <w:proofErr w:type="spellStart"/>
            <w:proofErr w:type="gramStart"/>
            <w:r>
              <w:rPr>
                <w:rFonts w:ascii="Rockwell" w:eastAsia="Calibri" w:hAnsi="Rockwell"/>
              </w:rPr>
              <w:t>larbatv</w:t>
            </w:r>
            <w:proofErr w:type="spellEnd"/>
            <w:proofErr w:type="gramEnd"/>
          </w:p>
        </w:tc>
        <w:tc>
          <w:tcPr>
            <w:tcW w:w="5022" w:type="dxa"/>
          </w:tcPr>
          <w:p w14:paraId="6599DD7C" w14:textId="77777777" w:rsidR="00284822" w:rsidRDefault="003148F1">
            <w:pPr>
              <w:autoSpaceDN/>
              <w:spacing w:before="120" w:after="120"/>
              <w:textAlignment w:val="auto"/>
              <w:rPr>
                <w:rFonts w:ascii="Rockwell" w:eastAsia="Calibri" w:hAnsi="Rockwell"/>
              </w:rPr>
            </w:pPr>
            <w:hyperlink r:id="rId286" w:history="1">
              <w:r w:rsidR="00F77BF8">
                <w:rPr>
                  <w:rStyle w:val="Lienhypertexte"/>
                  <w:rFonts w:ascii="Rockwell" w:eastAsia="Calibri" w:hAnsi="Rockwell"/>
                </w:rPr>
                <w:t>www.larbatv.com</w:t>
              </w:r>
            </w:hyperlink>
          </w:p>
        </w:tc>
      </w:tr>
      <w:tr w:rsidR="00284822" w14:paraId="4FFF2F31" w14:textId="77777777">
        <w:trPr>
          <w:trHeight w:val="555"/>
          <w:jc w:val="center"/>
        </w:trPr>
        <w:tc>
          <w:tcPr>
            <w:tcW w:w="709" w:type="dxa"/>
          </w:tcPr>
          <w:p w14:paraId="65409EF5"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11</w:t>
            </w:r>
          </w:p>
        </w:tc>
        <w:tc>
          <w:tcPr>
            <w:tcW w:w="4901" w:type="dxa"/>
          </w:tcPr>
          <w:p w14:paraId="7B1F02AE" w14:textId="77777777" w:rsidR="00284822" w:rsidRDefault="00F77BF8">
            <w:pPr>
              <w:autoSpaceDN/>
              <w:spacing w:before="120" w:after="120"/>
              <w:textAlignment w:val="auto"/>
              <w:rPr>
                <w:rFonts w:ascii="Rockwell" w:eastAsia="Calibri" w:hAnsi="Rockwell"/>
              </w:rPr>
            </w:pPr>
            <w:r>
              <w:rPr>
                <w:rFonts w:ascii="Rockwell" w:eastAsia="Calibri" w:hAnsi="Rockwell"/>
              </w:rPr>
              <w:t>Yatenga tv</w:t>
            </w:r>
          </w:p>
        </w:tc>
        <w:tc>
          <w:tcPr>
            <w:tcW w:w="5022" w:type="dxa"/>
          </w:tcPr>
          <w:p w14:paraId="6FB6B9B4" w14:textId="77777777" w:rsidR="00284822" w:rsidRDefault="00F77BF8">
            <w:pPr>
              <w:autoSpaceDN/>
              <w:spacing w:before="120" w:after="120"/>
              <w:textAlignment w:val="auto"/>
              <w:rPr>
                <w:rFonts w:ascii="Rockwell" w:eastAsia="Calibri" w:hAnsi="Rockwell"/>
              </w:rPr>
            </w:pPr>
            <w:r>
              <w:rPr>
                <w:rFonts w:ascii="Rockwell" w:eastAsia="Calibri" w:hAnsi="Rockwell"/>
              </w:rPr>
              <w:t>Non fourni</w:t>
            </w:r>
          </w:p>
        </w:tc>
      </w:tr>
      <w:tr w:rsidR="00284822" w14:paraId="32BB8BF3" w14:textId="77777777">
        <w:trPr>
          <w:trHeight w:val="562"/>
          <w:jc w:val="center"/>
        </w:trPr>
        <w:tc>
          <w:tcPr>
            <w:tcW w:w="709" w:type="dxa"/>
          </w:tcPr>
          <w:p w14:paraId="0BC24DEF"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12</w:t>
            </w:r>
          </w:p>
        </w:tc>
        <w:tc>
          <w:tcPr>
            <w:tcW w:w="4901" w:type="dxa"/>
          </w:tcPr>
          <w:p w14:paraId="38348937" w14:textId="77777777" w:rsidR="00284822" w:rsidRDefault="00F77BF8">
            <w:pPr>
              <w:autoSpaceDN/>
              <w:spacing w:before="120" w:after="120"/>
              <w:textAlignment w:val="auto"/>
              <w:rPr>
                <w:rFonts w:ascii="Rockwell" w:eastAsia="Calibri" w:hAnsi="Rockwell"/>
              </w:rPr>
            </w:pPr>
            <w:proofErr w:type="spellStart"/>
            <w:r>
              <w:rPr>
                <w:rFonts w:ascii="Rockwell" w:eastAsia="Calibri" w:hAnsi="Rockwell"/>
              </w:rPr>
              <w:t>Waguesstv</w:t>
            </w:r>
            <w:proofErr w:type="spellEnd"/>
          </w:p>
        </w:tc>
        <w:tc>
          <w:tcPr>
            <w:tcW w:w="5022" w:type="dxa"/>
          </w:tcPr>
          <w:p w14:paraId="5280D015" w14:textId="77777777" w:rsidR="00284822" w:rsidRDefault="003148F1">
            <w:pPr>
              <w:autoSpaceDN/>
              <w:spacing w:before="120" w:after="120"/>
              <w:textAlignment w:val="auto"/>
              <w:rPr>
                <w:rFonts w:ascii="Rockwell" w:eastAsia="Calibri" w:hAnsi="Rockwell"/>
              </w:rPr>
            </w:pPr>
            <w:hyperlink r:id="rId287" w:history="1">
              <w:r w:rsidR="00F77BF8">
                <w:rPr>
                  <w:rStyle w:val="Lienhypertexte"/>
                  <w:rFonts w:ascii="Rockwell" w:eastAsia="Calibri" w:hAnsi="Rockwell"/>
                </w:rPr>
                <w:t>www.burkina-ntic.net</w:t>
              </w:r>
            </w:hyperlink>
          </w:p>
        </w:tc>
      </w:tr>
      <w:tr w:rsidR="00284822" w14:paraId="35A62D53" w14:textId="77777777">
        <w:trPr>
          <w:trHeight w:val="556"/>
          <w:jc w:val="center"/>
        </w:trPr>
        <w:tc>
          <w:tcPr>
            <w:tcW w:w="709" w:type="dxa"/>
          </w:tcPr>
          <w:p w14:paraId="5FF4A658"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13</w:t>
            </w:r>
          </w:p>
        </w:tc>
        <w:tc>
          <w:tcPr>
            <w:tcW w:w="4901" w:type="dxa"/>
          </w:tcPr>
          <w:p w14:paraId="479E593B" w14:textId="77777777" w:rsidR="00284822" w:rsidRDefault="00F77BF8">
            <w:pPr>
              <w:autoSpaceDN/>
              <w:spacing w:before="120" w:after="120"/>
              <w:textAlignment w:val="auto"/>
              <w:rPr>
                <w:rFonts w:ascii="Rockwell" w:eastAsia="Calibri" w:hAnsi="Rockwell"/>
              </w:rPr>
            </w:pPr>
            <w:proofErr w:type="spellStart"/>
            <w:proofErr w:type="gramStart"/>
            <w:r>
              <w:rPr>
                <w:rFonts w:ascii="Rockwell" w:eastAsia="Calibri" w:hAnsi="Rockwell"/>
              </w:rPr>
              <w:t>laagandé</w:t>
            </w:r>
            <w:proofErr w:type="spellEnd"/>
            <w:proofErr w:type="gramEnd"/>
            <w:r>
              <w:rPr>
                <w:rFonts w:ascii="Rockwell" w:eastAsia="Calibri" w:hAnsi="Rockwell"/>
              </w:rPr>
              <w:t xml:space="preserve"> TV</w:t>
            </w:r>
          </w:p>
        </w:tc>
        <w:tc>
          <w:tcPr>
            <w:tcW w:w="5022" w:type="dxa"/>
          </w:tcPr>
          <w:p w14:paraId="20D20F6B" w14:textId="77777777" w:rsidR="00284822" w:rsidRDefault="003148F1">
            <w:pPr>
              <w:autoSpaceDN/>
              <w:spacing w:before="120" w:after="120"/>
              <w:textAlignment w:val="auto"/>
              <w:rPr>
                <w:rFonts w:ascii="Rockwell" w:eastAsia="Calibri" w:hAnsi="Rockwell"/>
              </w:rPr>
            </w:pPr>
            <w:hyperlink r:id="rId288" w:history="1">
              <w:r w:rsidR="00F77BF8">
                <w:rPr>
                  <w:rStyle w:val="Lienhypertexte"/>
                  <w:rFonts w:ascii="Rockwell" w:eastAsia="Calibri" w:hAnsi="Rockwell"/>
                </w:rPr>
                <w:t>www.laagandeTv.com</w:t>
              </w:r>
            </w:hyperlink>
          </w:p>
        </w:tc>
      </w:tr>
      <w:tr w:rsidR="00284822" w14:paraId="06B70E66" w14:textId="77777777">
        <w:trPr>
          <w:jc w:val="center"/>
        </w:trPr>
        <w:tc>
          <w:tcPr>
            <w:tcW w:w="709" w:type="dxa"/>
          </w:tcPr>
          <w:p w14:paraId="43259E7F"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14</w:t>
            </w:r>
          </w:p>
        </w:tc>
        <w:tc>
          <w:tcPr>
            <w:tcW w:w="4901" w:type="dxa"/>
          </w:tcPr>
          <w:p w14:paraId="153E43B5" w14:textId="77777777" w:rsidR="00284822" w:rsidRDefault="00F77BF8">
            <w:pPr>
              <w:autoSpaceDN/>
              <w:spacing w:before="120" w:after="120"/>
              <w:textAlignment w:val="auto"/>
              <w:rPr>
                <w:rFonts w:ascii="Rockwell" w:eastAsia="Calibri" w:hAnsi="Rockwell"/>
              </w:rPr>
            </w:pPr>
            <w:proofErr w:type="spellStart"/>
            <w:r>
              <w:rPr>
                <w:rFonts w:ascii="Rockwell" w:eastAsia="Calibri" w:hAnsi="Rockwell"/>
              </w:rPr>
              <w:t>Boima</w:t>
            </w:r>
            <w:proofErr w:type="spellEnd"/>
          </w:p>
        </w:tc>
        <w:tc>
          <w:tcPr>
            <w:tcW w:w="5022" w:type="dxa"/>
          </w:tcPr>
          <w:p w14:paraId="10B83ADE" w14:textId="77777777" w:rsidR="00284822" w:rsidRDefault="003148F1">
            <w:pPr>
              <w:autoSpaceDN/>
              <w:spacing w:before="120" w:after="120"/>
              <w:textAlignment w:val="auto"/>
              <w:rPr>
                <w:rFonts w:ascii="Rockwell" w:eastAsia="Calibri" w:hAnsi="Rockwell"/>
              </w:rPr>
            </w:pPr>
            <w:hyperlink r:id="rId289" w:history="1">
              <w:r w:rsidR="00F77BF8">
                <w:rPr>
                  <w:rStyle w:val="Lienhypertexte"/>
                  <w:rFonts w:ascii="Rockwell" w:eastAsia="Calibri" w:hAnsi="Rockwell"/>
                </w:rPr>
                <w:t>www.boima.com</w:t>
              </w:r>
            </w:hyperlink>
          </w:p>
        </w:tc>
      </w:tr>
      <w:tr w:rsidR="00284822" w14:paraId="0EA666EF" w14:textId="77777777">
        <w:trPr>
          <w:trHeight w:val="557"/>
          <w:jc w:val="center"/>
        </w:trPr>
        <w:tc>
          <w:tcPr>
            <w:tcW w:w="709" w:type="dxa"/>
          </w:tcPr>
          <w:p w14:paraId="37B017ED"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15</w:t>
            </w:r>
          </w:p>
        </w:tc>
        <w:tc>
          <w:tcPr>
            <w:tcW w:w="4901" w:type="dxa"/>
            <w:shd w:val="clear" w:color="auto" w:fill="auto"/>
          </w:tcPr>
          <w:p w14:paraId="7992B3C3" w14:textId="77777777" w:rsidR="00284822" w:rsidRDefault="00F77BF8">
            <w:pPr>
              <w:autoSpaceDN/>
              <w:spacing w:before="120" w:after="120"/>
              <w:textAlignment w:val="auto"/>
              <w:rPr>
                <w:rFonts w:ascii="Rockwell" w:eastAsia="Calibri" w:hAnsi="Rockwell"/>
              </w:rPr>
            </w:pPr>
            <w:proofErr w:type="spellStart"/>
            <w:proofErr w:type="gramStart"/>
            <w:r>
              <w:rPr>
                <w:rFonts w:ascii="Rockwell" w:eastAsia="Calibri" w:hAnsi="Rockwell"/>
              </w:rPr>
              <w:t>culturdev</w:t>
            </w:r>
            <w:proofErr w:type="spellEnd"/>
            <w:proofErr w:type="gramEnd"/>
            <w:r>
              <w:rPr>
                <w:rFonts w:ascii="Rockwell" w:eastAsia="Calibri" w:hAnsi="Rockwell"/>
              </w:rPr>
              <w:t xml:space="preserve"> tv</w:t>
            </w:r>
          </w:p>
        </w:tc>
        <w:tc>
          <w:tcPr>
            <w:tcW w:w="5022" w:type="dxa"/>
            <w:shd w:val="clear" w:color="auto" w:fill="auto"/>
          </w:tcPr>
          <w:p w14:paraId="0C0749C9"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Non fourni</w:t>
            </w:r>
          </w:p>
        </w:tc>
      </w:tr>
      <w:tr w:rsidR="00284822" w14:paraId="70232464" w14:textId="77777777">
        <w:trPr>
          <w:trHeight w:val="537"/>
          <w:jc w:val="center"/>
        </w:trPr>
        <w:tc>
          <w:tcPr>
            <w:tcW w:w="709" w:type="dxa"/>
          </w:tcPr>
          <w:p w14:paraId="20C79A2B"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16</w:t>
            </w:r>
          </w:p>
        </w:tc>
        <w:tc>
          <w:tcPr>
            <w:tcW w:w="4901" w:type="dxa"/>
          </w:tcPr>
          <w:p w14:paraId="24723811" w14:textId="77777777" w:rsidR="00284822" w:rsidRDefault="00F77BF8">
            <w:pPr>
              <w:autoSpaceDN/>
              <w:spacing w:before="120" w:after="120"/>
              <w:textAlignment w:val="auto"/>
              <w:rPr>
                <w:rFonts w:ascii="Rockwell" w:eastAsia="Calibri" w:hAnsi="Rockwell"/>
              </w:rPr>
            </w:pPr>
            <w:r>
              <w:rPr>
                <w:rFonts w:ascii="Rockwell" w:eastAsia="Calibri" w:hAnsi="Rockwell"/>
              </w:rPr>
              <w:t>Fasotv.net</w:t>
            </w:r>
          </w:p>
        </w:tc>
        <w:tc>
          <w:tcPr>
            <w:tcW w:w="5022" w:type="dxa"/>
          </w:tcPr>
          <w:p w14:paraId="4CDDB2DA" w14:textId="77777777" w:rsidR="00284822" w:rsidRDefault="003148F1">
            <w:pPr>
              <w:autoSpaceDN/>
              <w:spacing w:before="120" w:after="120"/>
              <w:textAlignment w:val="auto"/>
              <w:rPr>
                <w:rFonts w:ascii="Rockwell" w:eastAsia="Calibri" w:hAnsi="Rockwell"/>
              </w:rPr>
            </w:pPr>
            <w:hyperlink r:id="rId290" w:history="1">
              <w:r w:rsidR="00F77BF8">
                <w:rPr>
                  <w:rStyle w:val="Lienhypertexte"/>
                  <w:rFonts w:ascii="Rockwell" w:eastAsia="Calibri" w:hAnsi="Rockwell"/>
                </w:rPr>
                <w:t>www.fasotv.net</w:t>
              </w:r>
            </w:hyperlink>
          </w:p>
        </w:tc>
      </w:tr>
      <w:tr w:rsidR="00284822" w14:paraId="6562DDCC" w14:textId="77777777">
        <w:trPr>
          <w:trHeight w:val="573"/>
          <w:jc w:val="center"/>
        </w:trPr>
        <w:tc>
          <w:tcPr>
            <w:tcW w:w="709" w:type="dxa"/>
          </w:tcPr>
          <w:p w14:paraId="0F38104F"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17</w:t>
            </w:r>
          </w:p>
        </w:tc>
        <w:tc>
          <w:tcPr>
            <w:tcW w:w="4901" w:type="dxa"/>
          </w:tcPr>
          <w:p w14:paraId="74D66377" w14:textId="77777777" w:rsidR="00284822" w:rsidRDefault="00F77BF8">
            <w:pPr>
              <w:autoSpaceDN/>
              <w:spacing w:before="120" w:after="120"/>
              <w:textAlignment w:val="auto"/>
              <w:rPr>
                <w:rFonts w:ascii="Rockwell" w:eastAsia="Calibri" w:hAnsi="Rockwell"/>
              </w:rPr>
            </w:pPr>
            <w:r>
              <w:rPr>
                <w:rFonts w:ascii="Rockwell" w:eastAsia="Calibri" w:hAnsi="Rockwell"/>
              </w:rPr>
              <w:t>Agro-business TV</w:t>
            </w:r>
          </w:p>
        </w:tc>
        <w:tc>
          <w:tcPr>
            <w:tcW w:w="5022" w:type="dxa"/>
          </w:tcPr>
          <w:p w14:paraId="5FB2B1FB"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Non fourni</w:t>
            </w:r>
          </w:p>
        </w:tc>
      </w:tr>
      <w:tr w:rsidR="00284822" w14:paraId="1EB62888" w14:textId="77777777">
        <w:trPr>
          <w:trHeight w:val="553"/>
          <w:jc w:val="center"/>
        </w:trPr>
        <w:tc>
          <w:tcPr>
            <w:tcW w:w="709" w:type="dxa"/>
          </w:tcPr>
          <w:p w14:paraId="1CE3BF5E" w14:textId="77777777" w:rsidR="00284822" w:rsidRDefault="00F77BF8">
            <w:pPr>
              <w:autoSpaceDN/>
              <w:spacing w:before="120" w:after="120"/>
              <w:textAlignment w:val="auto"/>
              <w:rPr>
                <w:rFonts w:ascii="Rockwell" w:eastAsiaTheme="minorHAnsi" w:hAnsi="Rockwell"/>
              </w:rPr>
            </w:pPr>
            <w:r>
              <w:rPr>
                <w:rFonts w:ascii="Rockwell" w:eastAsiaTheme="minorHAnsi" w:hAnsi="Rockwell"/>
              </w:rPr>
              <w:t>18</w:t>
            </w:r>
          </w:p>
        </w:tc>
        <w:tc>
          <w:tcPr>
            <w:tcW w:w="4901" w:type="dxa"/>
          </w:tcPr>
          <w:p w14:paraId="68312DF9" w14:textId="77777777" w:rsidR="00284822" w:rsidRDefault="00F77BF8">
            <w:pPr>
              <w:autoSpaceDN/>
              <w:spacing w:before="120" w:after="120"/>
              <w:textAlignment w:val="auto"/>
              <w:rPr>
                <w:rFonts w:ascii="Rockwell" w:eastAsia="Calibri" w:hAnsi="Rockwell"/>
              </w:rPr>
            </w:pPr>
            <w:r>
              <w:rPr>
                <w:rFonts w:ascii="Rockwell" w:eastAsia="Calibri" w:hAnsi="Rockwell"/>
              </w:rPr>
              <w:t xml:space="preserve">Radio </w:t>
            </w:r>
            <w:proofErr w:type="spellStart"/>
            <w:proofErr w:type="gramStart"/>
            <w:r>
              <w:rPr>
                <w:rFonts w:ascii="Rockwell" w:eastAsia="Calibri" w:hAnsi="Rockwell"/>
              </w:rPr>
              <w:t>miirya</w:t>
            </w:r>
            <w:proofErr w:type="spellEnd"/>
            <w:r>
              <w:rPr>
                <w:rFonts w:ascii="Rockwell" w:eastAsia="Calibri" w:hAnsi="Rockwell"/>
              </w:rPr>
              <w:t>(</w:t>
            </w:r>
            <w:proofErr w:type="gramEnd"/>
            <w:r>
              <w:rPr>
                <w:rFonts w:ascii="Rockwell" w:eastAsia="Calibri" w:hAnsi="Rockwell"/>
              </w:rPr>
              <w:t>radio en ligne)</w:t>
            </w:r>
          </w:p>
        </w:tc>
        <w:tc>
          <w:tcPr>
            <w:tcW w:w="5022" w:type="dxa"/>
          </w:tcPr>
          <w:p w14:paraId="41BD8578" w14:textId="77777777" w:rsidR="00284822" w:rsidRDefault="00F77BF8">
            <w:pPr>
              <w:autoSpaceDN/>
              <w:spacing w:before="120" w:after="120"/>
              <w:textAlignment w:val="auto"/>
              <w:rPr>
                <w:rFonts w:ascii="Rockwell" w:eastAsia="Calibri" w:hAnsi="Rockwell"/>
              </w:rPr>
            </w:pPr>
            <w:r>
              <w:rPr>
                <w:rFonts w:ascii="Rockwell" w:eastAsia="Calibri" w:hAnsi="Rockwell"/>
              </w:rPr>
              <w:t>Non fourni</w:t>
            </w:r>
          </w:p>
        </w:tc>
      </w:tr>
      <w:tr w:rsidR="00284822" w14:paraId="2377E6A7" w14:textId="77777777">
        <w:trPr>
          <w:trHeight w:val="547"/>
          <w:jc w:val="center"/>
        </w:trPr>
        <w:tc>
          <w:tcPr>
            <w:tcW w:w="709" w:type="dxa"/>
          </w:tcPr>
          <w:p w14:paraId="4D3DBE60" w14:textId="77777777" w:rsidR="00284822" w:rsidRDefault="00F77BF8">
            <w:pPr>
              <w:autoSpaceDN/>
              <w:spacing w:before="120" w:after="120"/>
              <w:jc w:val="center"/>
              <w:textAlignment w:val="auto"/>
              <w:rPr>
                <w:rFonts w:ascii="Rockwell" w:eastAsiaTheme="minorHAnsi" w:hAnsi="Rockwell"/>
              </w:rPr>
            </w:pPr>
            <w:r>
              <w:rPr>
                <w:rFonts w:ascii="Rockwell" w:eastAsiaTheme="minorHAnsi" w:hAnsi="Rockwell"/>
              </w:rPr>
              <w:lastRenderedPageBreak/>
              <w:t>19</w:t>
            </w:r>
          </w:p>
        </w:tc>
        <w:tc>
          <w:tcPr>
            <w:tcW w:w="4901" w:type="dxa"/>
          </w:tcPr>
          <w:p w14:paraId="54BD41F7" w14:textId="77777777" w:rsidR="00284822" w:rsidRDefault="00F77BF8">
            <w:pPr>
              <w:autoSpaceDN/>
              <w:spacing w:before="120" w:after="120"/>
              <w:jc w:val="left"/>
              <w:textAlignment w:val="auto"/>
              <w:rPr>
                <w:rFonts w:ascii="Rockwell" w:eastAsia="Calibri" w:hAnsi="Rockwell"/>
              </w:rPr>
            </w:pPr>
            <w:proofErr w:type="spellStart"/>
            <w:r>
              <w:rPr>
                <w:rFonts w:ascii="Rockwell" w:eastAsia="Calibri" w:hAnsi="Rockwell"/>
              </w:rPr>
              <w:t>Saaba</w:t>
            </w:r>
            <w:proofErr w:type="spellEnd"/>
            <w:r>
              <w:rPr>
                <w:rFonts w:ascii="Rockwell" w:eastAsia="Calibri" w:hAnsi="Rockwell"/>
              </w:rPr>
              <w:t xml:space="preserve"> TV</w:t>
            </w:r>
          </w:p>
        </w:tc>
        <w:tc>
          <w:tcPr>
            <w:tcW w:w="5022" w:type="dxa"/>
          </w:tcPr>
          <w:p w14:paraId="7B987971" w14:textId="77777777" w:rsidR="00284822" w:rsidRDefault="003148F1">
            <w:pPr>
              <w:autoSpaceDN/>
              <w:spacing w:before="120" w:after="120"/>
              <w:jc w:val="left"/>
              <w:textAlignment w:val="auto"/>
              <w:rPr>
                <w:rFonts w:ascii="Rockwell" w:eastAsia="Calibri" w:hAnsi="Rockwell"/>
              </w:rPr>
            </w:pPr>
            <w:hyperlink r:id="rId291" w:history="1">
              <w:r w:rsidR="00F77BF8">
                <w:rPr>
                  <w:rStyle w:val="Lienhypertexte"/>
                  <w:rFonts w:ascii="Rockwell" w:eastAsia="Calibri" w:hAnsi="Rockwell"/>
                </w:rPr>
                <w:t>www.saabatv.bf</w:t>
              </w:r>
            </w:hyperlink>
          </w:p>
        </w:tc>
      </w:tr>
      <w:tr w:rsidR="00284822" w14:paraId="6A130AC6" w14:textId="77777777">
        <w:trPr>
          <w:trHeight w:val="569"/>
          <w:jc w:val="center"/>
        </w:trPr>
        <w:tc>
          <w:tcPr>
            <w:tcW w:w="709" w:type="dxa"/>
          </w:tcPr>
          <w:p w14:paraId="49D85F39" w14:textId="77777777" w:rsidR="00284822" w:rsidRDefault="00F77BF8">
            <w:pPr>
              <w:autoSpaceDN/>
              <w:spacing w:before="120" w:after="120"/>
              <w:jc w:val="center"/>
              <w:textAlignment w:val="auto"/>
              <w:rPr>
                <w:rFonts w:ascii="Rockwell" w:eastAsiaTheme="minorHAnsi" w:hAnsi="Rockwell"/>
              </w:rPr>
            </w:pPr>
            <w:r>
              <w:rPr>
                <w:rFonts w:ascii="Rockwell" w:eastAsiaTheme="minorHAnsi" w:hAnsi="Rockwell"/>
              </w:rPr>
              <w:t>20</w:t>
            </w:r>
          </w:p>
        </w:tc>
        <w:tc>
          <w:tcPr>
            <w:tcW w:w="4901" w:type="dxa"/>
          </w:tcPr>
          <w:p w14:paraId="0CC9DD49" w14:textId="77777777" w:rsidR="00284822" w:rsidRDefault="00F77BF8">
            <w:pPr>
              <w:autoSpaceDN/>
              <w:spacing w:before="120" w:after="120"/>
              <w:jc w:val="left"/>
              <w:textAlignment w:val="auto"/>
              <w:rPr>
                <w:rFonts w:ascii="Rockwell" w:eastAsia="Calibri" w:hAnsi="Rockwell"/>
              </w:rPr>
            </w:pPr>
            <w:r>
              <w:rPr>
                <w:rFonts w:ascii="Rockwell" w:eastAsia="Calibri" w:hAnsi="Rockwell"/>
              </w:rPr>
              <w:t>Faso Green TV</w:t>
            </w:r>
          </w:p>
        </w:tc>
        <w:tc>
          <w:tcPr>
            <w:tcW w:w="5022" w:type="dxa"/>
          </w:tcPr>
          <w:p w14:paraId="373AE940" w14:textId="77777777" w:rsidR="00284822" w:rsidRDefault="003148F1">
            <w:pPr>
              <w:autoSpaceDN/>
              <w:spacing w:before="120" w:after="120"/>
              <w:jc w:val="left"/>
              <w:textAlignment w:val="auto"/>
              <w:rPr>
                <w:rFonts w:ascii="Rockwell" w:eastAsiaTheme="minorHAnsi" w:hAnsi="Rockwell"/>
              </w:rPr>
            </w:pPr>
            <w:hyperlink r:id="rId292" w:history="1">
              <w:r w:rsidR="00F77BF8">
                <w:rPr>
                  <w:rStyle w:val="Lienhypertexte"/>
                  <w:rFonts w:ascii="Rockwell" w:eastAsiaTheme="minorHAnsi" w:hAnsi="Rockwell"/>
                </w:rPr>
                <w:t>www.youtube.com/channel/UCyEHOI</w:t>
              </w:r>
            </w:hyperlink>
          </w:p>
        </w:tc>
      </w:tr>
      <w:tr w:rsidR="00284822" w14:paraId="75534F7F" w14:textId="77777777">
        <w:trPr>
          <w:trHeight w:val="549"/>
          <w:jc w:val="center"/>
        </w:trPr>
        <w:tc>
          <w:tcPr>
            <w:tcW w:w="709" w:type="dxa"/>
          </w:tcPr>
          <w:p w14:paraId="7791358D" w14:textId="77777777" w:rsidR="00284822" w:rsidRDefault="00F77BF8">
            <w:pPr>
              <w:autoSpaceDN/>
              <w:spacing w:before="120" w:after="120"/>
              <w:jc w:val="center"/>
              <w:textAlignment w:val="auto"/>
              <w:rPr>
                <w:rFonts w:ascii="Rockwell" w:eastAsiaTheme="minorHAnsi" w:hAnsi="Rockwell"/>
              </w:rPr>
            </w:pPr>
            <w:r>
              <w:rPr>
                <w:rFonts w:ascii="Rockwell" w:eastAsiaTheme="minorHAnsi" w:hAnsi="Rockwell"/>
              </w:rPr>
              <w:t>21</w:t>
            </w:r>
          </w:p>
        </w:tc>
        <w:tc>
          <w:tcPr>
            <w:tcW w:w="4901" w:type="dxa"/>
          </w:tcPr>
          <w:p w14:paraId="18C06A72" w14:textId="77777777" w:rsidR="00284822" w:rsidRDefault="00F77BF8">
            <w:pPr>
              <w:autoSpaceDN/>
              <w:spacing w:before="120" w:after="120"/>
              <w:jc w:val="left"/>
              <w:textAlignment w:val="auto"/>
              <w:rPr>
                <w:rFonts w:ascii="Rockwell" w:eastAsia="Calibri" w:hAnsi="Rockwell"/>
              </w:rPr>
            </w:pPr>
            <w:r>
              <w:rPr>
                <w:rFonts w:ascii="Rockwell" w:eastAsia="Calibri" w:hAnsi="Rockwell"/>
              </w:rPr>
              <w:t>Droit libre Tv</w:t>
            </w:r>
          </w:p>
        </w:tc>
        <w:tc>
          <w:tcPr>
            <w:tcW w:w="5022" w:type="dxa"/>
          </w:tcPr>
          <w:p w14:paraId="28C05395" w14:textId="77777777" w:rsidR="00284822" w:rsidRDefault="003148F1">
            <w:pPr>
              <w:autoSpaceDN/>
              <w:spacing w:before="120" w:after="120"/>
              <w:jc w:val="left"/>
              <w:textAlignment w:val="auto"/>
              <w:rPr>
                <w:rFonts w:ascii="Rockwell" w:eastAsiaTheme="minorHAnsi" w:hAnsi="Rockwell"/>
              </w:rPr>
            </w:pPr>
            <w:hyperlink r:id="rId293" w:history="1">
              <w:r w:rsidR="00F77BF8">
                <w:rPr>
                  <w:rStyle w:val="Lienhypertexte"/>
                  <w:rFonts w:ascii="Rockwell" w:eastAsia="Calibri" w:hAnsi="Rockwell"/>
                </w:rPr>
                <w:t>www.droitlibre.net</w:t>
              </w:r>
            </w:hyperlink>
          </w:p>
        </w:tc>
      </w:tr>
      <w:tr w:rsidR="00284822" w14:paraId="55F5751F" w14:textId="77777777">
        <w:trPr>
          <w:trHeight w:val="557"/>
          <w:jc w:val="center"/>
        </w:trPr>
        <w:tc>
          <w:tcPr>
            <w:tcW w:w="709" w:type="dxa"/>
          </w:tcPr>
          <w:p w14:paraId="181DA936" w14:textId="77777777" w:rsidR="00284822" w:rsidRDefault="00F77BF8">
            <w:pPr>
              <w:autoSpaceDN/>
              <w:spacing w:before="120" w:after="120"/>
              <w:jc w:val="center"/>
              <w:textAlignment w:val="auto"/>
              <w:rPr>
                <w:rFonts w:ascii="Rockwell" w:eastAsiaTheme="minorHAnsi" w:hAnsi="Rockwell"/>
              </w:rPr>
            </w:pPr>
            <w:r>
              <w:rPr>
                <w:rFonts w:ascii="Rockwell" w:eastAsiaTheme="minorHAnsi" w:hAnsi="Rockwell"/>
              </w:rPr>
              <w:t>22</w:t>
            </w:r>
          </w:p>
        </w:tc>
        <w:tc>
          <w:tcPr>
            <w:tcW w:w="4901" w:type="dxa"/>
          </w:tcPr>
          <w:p w14:paraId="44F129A6" w14:textId="77777777" w:rsidR="00284822" w:rsidRDefault="00F77BF8">
            <w:pPr>
              <w:autoSpaceDN/>
              <w:spacing w:before="120" w:after="120"/>
              <w:jc w:val="left"/>
              <w:textAlignment w:val="auto"/>
              <w:rPr>
                <w:rFonts w:ascii="Rockwell" w:eastAsia="Calibri" w:hAnsi="Rockwell"/>
              </w:rPr>
            </w:pPr>
            <w:r>
              <w:rPr>
                <w:rFonts w:ascii="Rockwell" w:eastAsia="Calibri" w:hAnsi="Rockwell"/>
              </w:rPr>
              <w:t>Focus TV</w:t>
            </w:r>
          </w:p>
        </w:tc>
        <w:tc>
          <w:tcPr>
            <w:tcW w:w="5022" w:type="dxa"/>
          </w:tcPr>
          <w:p w14:paraId="72D7A583" w14:textId="77777777" w:rsidR="00284822" w:rsidRDefault="003148F1">
            <w:pPr>
              <w:autoSpaceDN/>
              <w:spacing w:before="120" w:after="120"/>
              <w:jc w:val="left"/>
              <w:textAlignment w:val="auto"/>
              <w:rPr>
                <w:rFonts w:ascii="Rockwell" w:eastAsia="Calibri" w:hAnsi="Rockwell"/>
              </w:rPr>
            </w:pPr>
            <w:hyperlink r:id="rId294" w:history="1">
              <w:r w:rsidR="00F77BF8">
                <w:rPr>
                  <w:rStyle w:val="Lienhypertexte"/>
                  <w:rFonts w:ascii="Rockwell" w:eastAsia="Calibri" w:hAnsi="Rockwell"/>
                </w:rPr>
                <w:t>www.focusgroup.africa</w:t>
              </w:r>
            </w:hyperlink>
          </w:p>
        </w:tc>
      </w:tr>
      <w:tr w:rsidR="00284822" w14:paraId="253FFD83" w14:textId="77777777">
        <w:trPr>
          <w:trHeight w:val="565"/>
          <w:jc w:val="center"/>
        </w:trPr>
        <w:tc>
          <w:tcPr>
            <w:tcW w:w="709" w:type="dxa"/>
          </w:tcPr>
          <w:p w14:paraId="449AFAB5" w14:textId="77777777" w:rsidR="00284822" w:rsidRDefault="00F77BF8">
            <w:pPr>
              <w:autoSpaceDN/>
              <w:spacing w:before="120" w:after="120"/>
              <w:jc w:val="center"/>
              <w:textAlignment w:val="auto"/>
              <w:rPr>
                <w:rFonts w:ascii="Rockwell" w:eastAsiaTheme="minorHAnsi" w:hAnsi="Rockwell"/>
              </w:rPr>
            </w:pPr>
            <w:r>
              <w:rPr>
                <w:rFonts w:ascii="Rockwell" w:eastAsiaTheme="minorHAnsi" w:hAnsi="Rockwell"/>
              </w:rPr>
              <w:t>23</w:t>
            </w:r>
          </w:p>
        </w:tc>
        <w:tc>
          <w:tcPr>
            <w:tcW w:w="4901" w:type="dxa"/>
          </w:tcPr>
          <w:p w14:paraId="0890C06F" w14:textId="77777777" w:rsidR="00284822" w:rsidRDefault="00F77BF8">
            <w:pPr>
              <w:autoSpaceDN/>
              <w:spacing w:before="120" w:after="120"/>
              <w:jc w:val="left"/>
              <w:textAlignment w:val="auto"/>
              <w:rPr>
                <w:rFonts w:ascii="Rockwell" w:eastAsia="Calibri" w:hAnsi="Rockwell"/>
              </w:rPr>
            </w:pPr>
            <w:r>
              <w:rPr>
                <w:rFonts w:ascii="Rockwell" w:eastAsia="Calibri" w:hAnsi="Rockwell"/>
              </w:rPr>
              <w:t>Télévision communautaire du Burkina</w:t>
            </w:r>
          </w:p>
        </w:tc>
        <w:tc>
          <w:tcPr>
            <w:tcW w:w="5022" w:type="dxa"/>
          </w:tcPr>
          <w:p w14:paraId="34330B29" w14:textId="77777777" w:rsidR="00284822" w:rsidRDefault="00F77BF8">
            <w:pPr>
              <w:autoSpaceDN/>
              <w:spacing w:before="120" w:after="120"/>
              <w:jc w:val="left"/>
              <w:textAlignment w:val="auto"/>
              <w:rPr>
                <w:rFonts w:ascii="Rockwell" w:eastAsia="Calibri" w:hAnsi="Rockwell"/>
              </w:rPr>
            </w:pPr>
            <w:r>
              <w:rPr>
                <w:rFonts w:ascii="Rockwell" w:eastAsia="Calibri" w:hAnsi="Rockwell"/>
              </w:rPr>
              <w:t>Non fourni</w:t>
            </w:r>
          </w:p>
        </w:tc>
      </w:tr>
      <w:tr w:rsidR="00284822" w14:paraId="6A469313" w14:textId="77777777">
        <w:trPr>
          <w:trHeight w:val="566"/>
          <w:jc w:val="center"/>
        </w:trPr>
        <w:tc>
          <w:tcPr>
            <w:tcW w:w="709" w:type="dxa"/>
          </w:tcPr>
          <w:p w14:paraId="22ED475C" w14:textId="77777777" w:rsidR="00284822" w:rsidRDefault="00F77BF8">
            <w:pPr>
              <w:autoSpaceDN/>
              <w:spacing w:before="120" w:after="120"/>
              <w:jc w:val="center"/>
              <w:textAlignment w:val="auto"/>
              <w:rPr>
                <w:rFonts w:ascii="Rockwell" w:eastAsiaTheme="minorHAnsi" w:hAnsi="Rockwell"/>
              </w:rPr>
            </w:pPr>
            <w:r>
              <w:rPr>
                <w:rFonts w:ascii="Rockwell" w:eastAsiaTheme="minorHAnsi" w:hAnsi="Rockwell"/>
              </w:rPr>
              <w:t>24</w:t>
            </w:r>
          </w:p>
        </w:tc>
        <w:tc>
          <w:tcPr>
            <w:tcW w:w="4901" w:type="dxa"/>
          </w:tcPr>
          <w:p w14:paraId="03D753D1" w14:textId="77777777" w:rsidR="00284822" w:rsidRDefault="00F77BF8">
            <w:pPr>
              <w:autoSpaceDN/>
              <w:spacing w:before="120" w:after="120"/>
              <w:jc w:val="left"/>
              <w:textAlignment w:val="auto"/>
              <w:rPr>
                <w:rFonts w:ascii="Rockwell" w:eastAsia="Calibri" w:hAnsi="Rockwell"/>
              </w:rPr>
            </w:pPr>
            <w:r>
              <w:rPr>
                <w:rFonts w:ascii="Rockwell" w:eastAsia="Calibri" w:hAnsi="Rockwell"/>
              </w:rPr>
              <w:t>Digitale TV-Bam</w:t>
            </w:r>
          </w:p>
        </w:tc>
        <w:tc>
          <w:tcPr>
            <w:tcW w:w="5022" w:type="dxa"/>
          </w:tcPr>
          <w:p w14:paraId="76B71FA9" w14:textId="77777777" w:rsidR="00284822" w:rsidRDefault="003148F1">
            <w:pPr>
              <w:autoSpaceDN/>
              <w:spacing w:before="120" w:after="120"/>
              <w:jc w:val="left"/>
              <w:textAlignment w:val="auto"/>
              <w:rPr>
                <w:rFonts w:ascii="Rockwell" w:eastAsia="Calibri" w:hAnsi="Rockwell"/>
              </w:rPr>
            </w:pPr>
            <w:hyperlink r:id="rId295" w:history="1">
              <w:r w:rsidR="00F77BF8">
                <w:rPr>
                  <w:rStyle w:val="Lienhypertexte"/>
                  <w:rFonts w:ascii="Rockwell" w:eastAsia="Calibri" w:hAnsi="Rockwell"/>
                </w:rPr>
                <w:t>www.digitaletvbam.net</w:t>
              </w:r>
            </w:hyperlink>
          </w:p>
        </w:tc>
      </w:tr>
      <w:tr w:rsidR="00284822" w14:paraId="0AA54658" w14:textId="77777777">
        <w:trPr>
          <w:trHeight w:val="545"/>
          <w:jc w:val="center"/>
        </w:trPr>
        <w:tc>
          <w:tcPr>
            <w:tcW w:w="709" w:type="dxa"/>
          </w:tcPr>
          <w:p w14:paraId="30852355" w14:textId="77777777" w:rsidR="00284822" w:rsidRDefault="00F77BF8">
            <w:pPr>
              <w:autoSpaceDN/>
              <w:spacing w:before="120" w:after="120"/>
              <w:jc w:val="center"/>
              <w:textAlignment w:val="auto"/>
              <w:rPr>
                <w:rFonts w:ascii="Rockwell" w:eastAsiaTheme="minorHAnsi" w:hAnsi="Rockwell"/>
              </w:rPr>
            </w:pPr>
            <w:r>
              <w:rPr>
                <w:rFonts w:ascii="Rockwell" w:eastAsiaTheme="minorHAnsi" w:hAnsi="Rockwell"/>
              </w:rPr>
              <w:t>25</w:t>
            </w:r>
          </w:p>
        </w:tc>
        <w:tc>
          <w:tcPr>
            <w:tcW w:w="4901" w:type="dxa"/>
          </w:tcPr>
          <w:p w14:paraId="7EA94F23" w14:textId="77777777" w:rsidR="00284822" w:rsidRDefault="00F77BF8">
            <w:pPr>
              <w:autoSpaceDN/>
              <w:spacing w:before="120" w:after="120"/>
              <w:jc w:val="left"/>
              <w:textAlignment w:val="auto"/>
              <w:rPr>
                <w:rFonts w:ascii="Rockwell" w:eastAsia="Calibri" w:hAnsi="Rockwell"/>
              </w:rPr>
            </w:pPr>
            <w:r>
              <w:rPr>
                <w:rFonts w:ascii="Rockwell" w:eastAsia="Calibri" w:hAnsi="Rockwell"/>
              </w:rPr>
              <w:t>Radio Cosmos Ouaga</w:t>
            </w:r>
          </w:p>
        </w:tc>
        <w:tc>
          <w:tcPr>
            <w:tcW w:w="5022" w:type="dxa"/>
          </w:tcPr>
          <w:p w14:paraId="404DFB0F" w14:textId="77777777" w:rsidR="00284822" w:rsidRDefault="003148F1">
            <w:pPr>
              <w:autoSpaceDN/>
              <w:spacing w:before="120" w:after="120"/>
              <w:jc w:val="left"/>
              <w:textAlignment w:val="auto"/>
              <w:rPr>
                <w:rFonts w:ascii="Rockwell" w:eastAsiaTheme="minorHAnsi" w:hAnsi="Rockwell"/>
              </w:rPr>
            </w:pPr>
            <w:hyperlink r:id="rId296" w:history="1">
              <w:r w:rsidR="00F77BF8">
                <w:rPr>
                  <w:rStyle w:val="Lienhypertexte"/>
                  <w:rFonts w:ascii="Rockwell" w:eastAsiaTheme="minorHAnsi" w:hAnsi="Rockwell"/>
                </w:rPr>
                <w:t>www.radiocosmosouagawordpress.com</w:t>
              </w:r>
            </w:hyperlink>
          </w:p>
        </w:tc>
      </w:tr>
      <w:tr w:rsidR="00284822" w14:paraId="434444FB" w14:textId="77777777">
        <w:trPr>
          <w:trHeight w:val="568"/>
          <w:jc w:val="center"/>
        </w:trPr>
        <w:tc>
          <w:tcPr>
            <w:tcW w:w="709" w:type="dxa"/>
          </w:tcPr>
          <w:p w14:paraId="018853EC" w14:textId="77777777" w:rsidR="00284822" w:rsidRDefault="00F77BF8">
            <w:pPr>
              <w:autoSpaceDN/>
              <w:spacing w:before="120" w:after="120"/>
              <w:jc w:val="center"/>
              <w:textAlignment w:val="auto"/>
              <w:rPr>
                <w:rFonts w:ascii="Rockwell" w:eastAsiaTheme="minorHAnsi" w:hAnsi="Rockwell"/>
              </w:rPr>
            </w:pPr>
            <w:r>
              <w:rPr>
                <w:rFonts w:ascii="Rockwell" w:eastAsiaTheme="minorHAnsi" w:hAnsi="Rockwell"/>
              </w:rPr>
              <w:t>26</w:t>
            </w:r>
          </w:p>
        </w:tc>
        <w:tc>
          <w:tcPr>
            <w:tcW w:w="4901" w:type="dxa"/>
          </w:tcPr>
          <w:p w14:paraId="66082FD1" w14:textId="77777777" w:rsidR="00284822" w:rsidRDefault="00F77BF8">
            <w:pPr>
              <w:autoSpaceDN/>
              <w:spacing w:before="120" w:after="120"/>
              <w:jc w:val="left"/>
              <w:textAlignment w:val="auto"/>
              <w:rPr>
                <w:rFonts w:ascii="Rockwell" w:eastAsia="Calibri" w:hAnsi="Rockwell"/>
              </w:rPr>
            </w:pPr>
            <w:r>
              <w:rPr>
                <w:rFonts w:ascii="Rockwell" w:eastAsia="Calibri" w:hAnsi="Rockwell"/>
              </w:rPr>
              <w:t xml:space="preserve">Burkina TV </w:t>
            </w:r>
            <w:proofErr w:type="spellStart"/>
            <w:r>
              <w:rPr>
                <w:rFonts w:ascii="Rockwell" w:eastAsia="Calibri" w:hAnsi="Rockwell"/>
              </w:rPr>
              <w:t>Connect</w:t>
            </w:r>
            <w:proofErr w:type="spellEnd"/>
          </w:p>
        </w:tc>
        <w:tc>
          <w:tcPr>
            <w:tcW w:w="5022" w:type="dxa"/>
          </w:tcPr>
          <w:p w14:paraId="631F4FC6" w14:textId="77777777" w:rsidR="00284822" w:rsidRDefault="003148F1">
            <w:pPr>
              <w:autoSpaceDN/>
              <w:spacing w:before="120" w:after="120"/>
              <w:jc w:val="left"/>
              <w:textAlignment w:val="auto"/>
              <w:rPr>
                <w:rFonts w:ascii="Rockwell" w:eastAsia="Calibri" w:hAnsi="Rockwell"/>
              </w:rPr>
            </w:pPr>
            <w:hyperlink r:id="rId297" w:history="1">
              <w:r w:rsidR="00F77BF8">
                <w:rPr>
                  <w:rStyle w:val="Lienhypertexte"/>
                  <w:rFonts w:ascii="Rockwell" w:eastAsia="Calibri" w:hAnsi="Rockwell"/>
                </w:rPr>
                <w:t>www.burkinatvconnect.com</w:t>
              </w:r>
            </w:hyperlink>
          </w:p>
        </w:tc>
      </w:tr>
      <w:tr w:rsidR="00284822" w14:paraId="29670BC1" w14:textId="77777777">
        <w:trPr>
          <w:trHeight w:val="560"/>
          <w:jc w:val="center"/>
        </w:trPr>
        <w:tc>
          <w:tcPr>
            <w:tcW w:w="709" w:type="dxa"/>
          </w:tcPr>
          <w:p w14:paraId="2D173A29" w14:textId="77777777" w:rsidR="00284822" w:rsidRDefault="00F77BF8">
            <w:pPr>
              <w:autoSpaceDN/>
              <w:spacing w:before="120" w:after="120"/>
              <w:jc w:val="center"/>
              <w:textAlignment w:val="auto"/>
              <w:rPr>
                <w:rFonts w:ascii="Rockwell" w:eastAsiaTheme="minorHAnsi" w:hAnsi="Rockwell"/>
              </w:rPr>
            </w:pPr>
            <w:r>
              <w:rPr>
                <w:rFonts w:ascii="Rockwell" w:eastAsiaTheme="minorHAnsi" w:hAnsi="Rockwell"/>
              </w:rPr>
              <w:t>27</w:t>
            </w:r>
          </w:p>
        </w:tc>
        <w:tc>
          <w:tcPr>
            <w:tcW w:w="4901" w:type="dxa"/>
          </w:tcPr>
          <w:p w14:paraId="6F1EFCBA" w14:textId="77777777" w:rsidR="00284822" w:rsidRDefault="00F77BF8">
            <w:pPr>
              <w:autoSpaceDN/>
              <w:spacing w:before="120" w:after="120"/>
              <w:jc w:val="left"/>
              <w:textAlignment w:val="auto"/>
              <w:rPr>
                <w:rFonts w:ascii="Rockwell" w:eastAsia="Calibri" w:hAnsi="Rockwell"/>
              </w:rPr>
            </w:pPr>
            <w:proofErr w:type="spellStart"/>
            <w:r>
              <w:rPr>
                <w:rFonts w:ascii="Rockwell" w:eastAsia="Calibri" w:hAnsi="Rockwell"/>
              </w:rPr>
              <w:t>Richess</w:t>
            </w:r>
            <w:proofErr w:type="spellEnd"/>
            <w:r>
              <w:rPr>
                <w:rFonts w:ascii="Rockwell" w:eastAsia="Calibri" w:hAnsi="Rockwell"/>
              </w:rPr>
              <w:t xml:space="preserve"> Media</w:t>
            </w:r>
          </w:p>
        </w:tc>
        <w:tc>
          <w:tcPr>
            <w:tcW w:w="5022" w:type="dxa"/>
          </w:tcPr>
          <w:p w14:paraId="12D25080" w14:textId="77777777" w:rsidR="00284822" w:rsidRDefault="003148F1">
            <w:pPr>
              <w:autoSpaceDN/>
              <w:spacing w:before="120" w:after="120"/>
              <w:jc w:val="left"/>
              <w:textAlignment w:val="auto"/>
              <w:rPr>
                <w:rFonts w:ascii="Rockwell" w:eastAsia="Calibri" w:hAnsi="Rockwell"/>
              </w:rPr>
            </w:pPr>
            <w:hyperlink r:id="rId298" w:history="1">
              <w:r w:rsidR="00F77BF8">
                <w:rPr>
                  <w:rStyle w:val="Lienhypertexte"/>
                  <w:rFonts w:ascii="Rockwell" w:eastAsia="Calibri" w:hAnsi="Rockwell"/>
                </w:rPr>
                <w:t>https://www.richessmedia.com</w:t>
              </w:r>
            </w:hyperlink>
          </w:p>
        </w:tc>
      </w:tr>
      <w:tr w:rsidR="00284822" w14:paraId="6D1FB8AD" w14:textId="77777777">
        <w:trPr>
          <w:trHeight w:val="555"/>
          <w:jc w:val="center"/>
        </w:trPr>
        <w:tc>
          <w:tcPr>
            <w:tcW w:w="709" w:type="dxa"/>
          </w:tcPr>
          <w:p w14:paraId="713AA900" w14:textId="77777777" w:rsidR="00284822" w:rsidRDefault="00F77BF8">
            <w:pPr>
              <w:autoSpaceDN/>
              <w:spacing w:before="120" w:after="120"/>
              <w:jc w:val="center"/>
              <w:textAlignment w:val="auto"/>
              <w:rPr>
                <w:rFonts w:ascii="Rockwell" w:eastAsiaTheme="minorHAnsi" w:hAnsi="Rockwell"/>
              </w:rPr>
            </w:pPr>
            <w:r>
              <w:rPr>
                <w:rFonts w:ascii="Rockwell" w:eastAsiaTheme="minorHAnsi" w:hAnsi="Rockwell"/>
              </w:rPr>
              <w:t>28</w:t>
            </w:r>
          </w:p>
        </w:tc>
        <w:tc>
          <w:tcPr>
            <w:tcW w:w="4901" w:type="dxa"/>
          </w:tcPr>
          <w:p w14:paraId="7272668C" w14:textId="77777777" w:rsidR="00284822" w:rsidRDefault="00F77BF8">
            <w:pPr>
              <w:autoSpaceDN/>
              <w:spacing w:before="120" w:after="120"/>
              <w:jc w:val="left"/>
              <w:textAlignment w:val="auto"/>
              <w:rPr>
                <w:rFonts w:ascii="Rockwell" w:eastAsia="Calibri" w:hAnsi="Rockwell"/>
              </w:rPr>
            </w:pPr>
            <w:proofErr w:type="spellStart"/>
            <w:r>
              <w:rPr>
                <w:rFonts w:ascii="Rockwell" w:eastAsia="Calibri" w:hAnsi="Rockwell"/>
              </w:rPr>
              <w:t>Sank</w:t>
            </w:r>
            <w:proofErr w:type="spellEnd"/>
            <w:r>
              <w:rPr>
                <w:rFonts w:ascii="Rockwell" w:eastAsia="Calibri" w:hAnsi="Rockwell"/>
              </w:rPr>
              <w:t xml:space="preserve"> TV</w:t>
            </w:r>
          </w:p>
        </w:tc>
        <w:tc>
          <w:tcPr>
            <w:tcW w:w="5022" w:type="dxa"/>
          </w:tcPr>
          <w:p w14:paraId="29D50B50" w14:textId="77777777" w:rsidR="00284822" w:rsidRDefault="00F77BF8">
            <w:pPr>
              <w:autoSpaceDN/>
              <w:spacing w:before="120" w:after="120"/>
              <w:jc w:val="left"/>
              <w:textAlignment w:val="auto"/>
              <w:rPr>
                <w:rFonts w:ascii="Rockwell" w:eastAsia="Calibri" w:hAnsi="Rockwell"/>
              </w:rPr>
            </w:pPr>
            <w:r>
              <w:rPr>
                <w:rFonts w:ascii="Rockwell" w:eastAsia="Calibri" w:hAnsi="Rockwell"/>
              </w:rPr>
              <w:t>Non fourni</w:t>
            </w:r>
          </w:p>
        </w:tc>
      </w:tr>
      <w:tr w:rsidR="00284822" w14:paraId="45BCA740" w14:textId="77777777">
        <w:trPr>
          <w:trHeight w:val="253"/>
          <w:jc w:val="center"/>
        </w:trPr>
        <w:tc>
          <w:tcPr>
            <w:tcW w:w="709" w:type="dxa"/>
          </w:tcPr>
          <w:p w14:paraId="74FCC306" w14:textId="77777777" w:rsidR="00284822" w:rsidRDefault="00F77BF8">
            <w:pPr>
              <w:autoSpaceDN/>
              <w:spacing w:before="120" w:after="120"/>
              <w:jc w:val="center"/>
              <w:textAlignment w:val="auto"/>
              <w:rPr>
                <w:rFonts w:ascii="Rockwell" w:eastAsiaTheme="minorHAnsi" w:hAnsi="Rockwell"/>
              </w:rPr>
            </w:pPr>
            <w:r>
              <w:rPr>
                <w:rFonts w:ascii="Rockwell" w:eastAsiaTheme="minorHAnsi" w:hAnsi="Rockwell"/>
              </w:rPr>
              <w:t>29</w:t>
            </w:r>
          </w:p>
        </w:tc>
        <w:tc>
          <w:tcPr>
            <w:tcW w:w="4901" w:type="dxa"/>
          </w:tcPr>
          <w:p w14:paraId="1FD2B8E3" w14:textId="77777777" w:rsidR="00284822" w:rsidRDefault="00F77BF8">
            <w:pPr>
              <w:autoSpaceDN/>
              <w:spacing w:before="120" w:after="120"/>
              <w:jc w:val="left"/>
              <w:textAlignment w:val="auto"/>
              <w:rPr>
                <w:rFonts w:ascii="Rockwell" w:eastAsia="Calibri" w:hAnsi="Rockwell"/>
              </w:rPr>
            </w:pPr>
            <w:proofErr w:type="spellStart"/>
            <w:r>
              <w:rPr>
                <w:rFonts w:ascii="Rockwell" w:eastAsia="Calibri" w:hAnsi="Rockwell"/>
              </w:rPr>
              <w:t>Zobre</w:t>
            </w:r>
            <w:proofErr w:type="spellEnd"/>
            <w:r>
              <w:rPr>
                <w:rFonts w:ascii="Rockwell" w:eastAsia="Calibri" w:hAnsi="Rockwell"/>
              </w:rPr>
              <w:t xml:space="preserve"> TV Quotidien</w:t>
            </w:r>
          </w:p>
        </w:tc>
        <w:tc>
          <w:tcPr>
            <w:tcW w:w="5022" w:type="dxa"/>
          </w:tcPr>
          <w:p w14:paraId="720BB21B" w14:textId="77777777" w:rsidR="00284822" w:rsidRDefault="00F77BF8">
            <w:pPr>
              <w:autoSpaceDN/>
              <w:spacing w:before="120" w:after="120"/>
              <w:jc w:val="left"/>
              <w:textAlignment w:val="auto"/>
              <w:rPr>
                <w:rFonts w:ascii="Rockwell" w:eastAsia="Calibri" w:hAnsi="Rockwell"/>
              </w:rPr>
            </w:pPr>
            <w:r>
              <w:rPr>
                <w:rFonts w:ascii="Rockwell" w:eastAsia="Calibri" w:hAnsi="Rockwell"/>
              </w:rPr>
              <w:t>Déclaration d’existence en date du 30/12/2022</w:t>
            </w:r>
          </w:p>
        </w:tc>
      </w:tr>
      <w:tr w:rsidR="00284822" w14:paraId="7358C099" w14:textId="77777777">
        <w:trPr>
          <w:trHeight w:val="70"/>
          <w:jc w:val="center"/>
        </w:trPr>
        <w:tc>
          <w:tcPr>
            <w:tcW w:w="709" w:type="dxa"/>
          </w:tcPr>
          <w:p w14:paraId="71691C63" w14:textId="77777777" w:rsidR="00284822" w:rsidRDefault="00F77BF8">
            <w:pPr>
              <w:autoSpaceDN/>
              <w:spacing w:before="120" w:after="120"/>
              <w:jc w:val="center"/>
              <w:textAlignment w:val="auto"/>
              <w:rPr>
                <w:rFonts w:ascii="Rockwell" w:eastAsiaTheme="minorHAnsi" w:hAnsi="Rockwell"/>
              </w:rPr>
            </w:pPr>
            <w:r>
              <w:rPr>
                <w:rFonts w:ascii="Rockwell" w:eastAsiaTheme="minorHAnsi" w:hAnsi="Rockwell"/>
              </w:rPr>
              <w:t>30</w:t>
            </w:r>
          </w:p>
        </w:tc>
        <w:tc>
          <w:tcPr>
            <w:tcW w:w="4901" w:type="dxa"/>
          </w:tcPr>
          <w:p w14:paraId="6872EF82" w14:textId="77777777" w:rsidR="00284822" w:rsidRDefault="00F77BF8">
            <w:pPr>
              <w:autoSpaceDN/>
              <w:spacing w:before="120" w:after="120"/>
              <w:jc w:val="left"/>
              <w:textAlignment w:val="auto"/>
              <w:rPr>
                <w:rFonts w:ascii="Rockwell" w:eastAsia="Calibri" w:hAnsi="Rockwell"/>
              </w:rPr>
            </w:pPr>
            <w:r>
              <w:rPr>
                <w:rFonts w:ascii="Rockwell" w:eastAsia="Calibri" w:hAnsi="Rockwell"/>
              </w:rPr>
              <w:t>Crac T-Web</w:t>
            </w:r>
          </w:p>
        </w:tc>
        <w:tc>
          <w:tcPr>
            <w:tcW w:w="5022" w:type="dxa"/>
          </w:tcPr>
          <w:p w14:paraId="1C5B3DA6" w14:textId="77777777" w:rsidR="00284822" w:rsidRDefault="00F77BF8">
            <w:pPr>
              <w:autoSpaceDN/>
              <w:spacing w:before="120" w:after="120"/>
              <w:jc w:val="left"/>
              <w:textAlignment w:val="auto"/>
              <w:rPr>
                <w:rFonts w:ascii="Rockwell" w:eastAsia="Calibri" w:hAnsi="Rockwell"/>
              </w:rPr>
            </w:pPr>
            <w:r>
              <w:rPr>
                <w:rFonts w:ascii="Rockwell" w:eastAsia="Calibri" w:hAnsi="Rockwell"/>
              </w:rPr>
              <w:t>Déclaration d’existence en date du 08/11/2022</w:t>
            </w:r>
          </w:p>
        </w:tc>
      </w:tr>
    </w:tbl>
    <w:p w14:paraId="2EE1AFBC" w14:textId="77777777" w:rsidR="00284822" w:rsidRDefault="00284822">
      <w:pPr>
        <w:spacing w:before="120" w:after="120"/>
        <w:jc w:val="center"/>
        <w:textAlignment w:val="auto"/>
        <w:rPr>
          <w:rFonts w:ascii="Rockwell" w:hAnsi="Rockwell"/>
          <w:szCs w:val="26"/>
        </w:rPr>
      </w:pPr>
    </w:p>
    <w:p w14:paraId="231F8668" w14:textId="77777777" w:rsidR="00284822" w:rsidRDefault="00284822">
      <w:pPr>
        <w:spacing w:before="120" w:after="120"/>
        <w:jc w:val="center"/>
        <w:textAlignment w:val="auto"/>
        <w:rPr>
          <w:rFonts w:ascii="Rockwell" w:hAnsi="Rockwell"/>
          <w:szCs w:val="26"/>
        </w:rPr>
      </w:pPr>
    </w:p>
    <w:p w14:paraId="708FB954" w14:textId="77777777" w:rsidR="00284822" w:rsidRDefault="00284822">
      <w:pPr>
        <w:spacing w:before="120" w:after="120"/>
        <w:textAlignment w:val="auto"/>
        <w:rPr>
          <w:rFonts w:ascii="Rockwell" w:hAnsi="Rockwell"/>
          <w:szCs w:val="26"/>
        </w:rPr>
        <w:sectPr w:rsidR="00284822">
          <w:headerReference w:type="default" r:id="rId299"/>
          <w:footerReference w:type="default" r:id="rId300"/>
          <w:pgSz w:w="11906" w:h="16838"/>
          <w:pgMar w:top="1418" w:right="1418" w:bottom="1418" w:left="1418" w:header="720" w:footer="720" w:gutter="0"/>
          <w:cols w:space="720"/>
        </w:sectPr>
      </w:pPr>
    </w:p>
    <w:p w14:paraId="7D0C37AF" w14:textId="77777777" w:rsidR="00284822" w:rsidRDefault="00284822">
      <w:pPr>
        <w:spacing w:before="120" w:after="120"/>
        <w:textAlignment w:val="auto"/>
        <w:rPr>
          <w:rFonts w:ascii="Rockwell" w:hAnsi="Rockwell"/>
          <w:szCs w:val="26"/>
        </w:rPr>
      </w:pPr>
    </w:p>
    <w:p w14:paraId="58C13E97" w14:textId="77777777" w:rsidR="00284822" w:rsidRDefault="00284822">
      <w:pPr>
        <w:spacing w:before="120" w:after="120"/>
        <w:textAlignment w:val="auto"/>
        <w:rPr>
          <w:rFonts w:ascii="Rockwell" w:hAnsi="Rockwell"/>
          <w:szCs w:val="26"/>
        </w:rPr>
      </w:pPr>
    </w:p>
    <w:p w14:paraId="088B172D" w14:textId="77777777" w:rsidR="00284822" w:rsidRDefault="00284822">
      <w:pPr>
        <w:spacing w:before="120" w:after="120"/>
        <w:textAlignment w:val="auto"/>
        <w:rPr>
          <w:rFonts w:ascii="Rockwell" w:hAnsi="Rockwell"/>
          <w:szCs w:val="26"/>
        </w:rPr>
      </w:pPr>
    </w:p>
    <w:p w14:paraId="5B04D789" w14:textId="77777777" w:rsidR="00284822" w:rsidRDefault="00284822">
      <w:pPr>
        <w:spacing w:before="120" w:after="120"/>
        <w:textAlignment w:val="auto"/>
        <w:rPr>
          <w:rFonts w:ascii="Rockwell" w:hAnsi="Rockwell"/>
          <w:szCs w:val="26"/>
        </w:rPr>
      </w:pPr>
    </w:p>
    <w:p w14:paraId="63CD99D4" w14:textId="77777777" w:rsidR="00284822" w:rsidRDefault="00284822">
      <w:pPr>
        <w:spacing w:before="120" w:after="120"/>
        <w:textAlignment w:val="auto"/>
        <w:rPr>
          <w:rFonts w:ascii="Rockwell" w:hAnsi="Rockwell"/>
          <w:szCs w:val="26"/>
        </w:rPr>
      </w:pPr>
    </w:p>
    <w:p w14:paraId="61934BE8" w14:textId="77777777" w:rsidR="00284822" w:rsidRDefault="00284822">
      <w:pPr>
        <w:spacing w:before="120" w:after="120"/>
        <w:textAlignment w:val="auto"/>
        <w:rPr>
          <w:rFonts w:ascii="Rockwell" w:hAnsi="Rockwell"/>
          <w:szCs w:val="26"/>
        </w:rPr>
      </w:pPr>
    </w:p>
    <w:p w14:paraId="6AD3E0B7" w14:textId="77777777" w:rsidR="00284822" w:rsidRDefault="00284822">
      <w:pPr>
        <w:spacing w:before="120" w:after="120"/>
        <w:textAlignment w:val="auto"/>
        <w:rPr>
          <w:rFonts w:ascii="Rockwell" w:hAnsi="Rockwell"/>
          <w:szCs w:val="26"/>
        </w:rPr>
      </w:pPr>
    </w:p>
    <w:p w14:paraId="5D60B9B9" w14:textId="77777777" w:rsidR="00284822" w:rsidRDefault="00F77BF8">
      <w:pPr>
        <w:spacing w:before="120" w:after="120"/>
        <w:textAlignment w:val="auto"/>
        <w:rPr>
          <w:rFonts w:ascii="Rockwell" w:hAnsi="Rockwell"/>
          <w:szCs w:val="26"/>
        </w:rPr>
      </w:pPr>
      <w:r>
        <w:rPr>
          <w:rFonts w:ascii="Rockwell" w:hAnsi="Rockwell"/>
          <w:noProof/>
        </w:rPr>
        <mc:AlternateContent>
          <mc:Choice Requires="wps">
            <w:drawing>
              <wp:anchor distT="0" distB="0" distL="114300" distR="114300" simplePos="0" relativeHeight="251680768" behindDoc="0" locked="0" layoutInCell="1" allowOverlap="1" wp14:anchorId="5EBF957F" wp14:editId="76D70EE3">
                <wp:simplePos x="0" y="0"/>
                <wp:positionH relativeFrom="column">
                  <wp:posOffset>-151765</wp:posOffset>
                </wp:positionH>
                <wp:positionV relativeFrom="paragraph">
                  <wp:posOffset>3175</wp:posOffset>
                </wp:positionV>
                <wp:extent cx="6159500" cy="1802130"/>
                <wp:effectExtent l="19050" t="19050" r="12700" b="26670"/>
                <wp:wrapNone/>
                <wp:docPr id="31" name="Rectangle 8"/>
                <wp:cNvGraphicFramePr/>
                <a:graphic xmlns:a="http://schemas.openxmlformats.org/drawingml/2006/main">
                  <a:graphicData uri="http://schemas.microsoft.com/office/word/2010/wordprocessingShape">
                    <wps:wsp>
                      <wps:cNvSpPr/>
                      <wps:spPr>
                        <a:xfrm>
                          <a:off x="0" y="0"/>
                          <a:ext cx="6159500" cy="1802130"/>
                        </a:xfrm>
                        <a:prstGeom prst="rect">
                          <a:avLst/>
                        </a:prstGeom>
                        <a:solidFill>
                          <a:sysClr val="window" lastClr="FFFFFF"/>
                        </a:solidFill>
                        <a:ln w="28575" cap="flat" cmpd="sng" algn="ctr">
                          <a:solidFill>
                            <a:srgbClr val="00B0F0"/>
                          </a:solidFill>
                          <a:prstDash val="lgDashDot"/>
                          <a:miter lim="800000"/>
                        </a:ln>
                        <a:effectLst/>
                      </wps:spPr>
                      <wps:txbx>
                        <w:txbxContent>
                          <w:p w14:paraId="44FE9FA9" w14:textId="77777777" w:rsidR="003148F1" w:rsidRDefault="003148F1">
                            <w:pPr>
                              <w:jc w:val="center"/>
                              <w:rPr>
                                <w:rFonts w:ascii="Rockwell" w:hAnsi="Rockwell"/>
                                <w:b/>
                                <w:sz w:val="32"/>
                                <w:szCs w:val="32"/>
                              </w:rPr>
                            </w:pPr>
                            <w:r>
                              <w:rPr>
                                <w:rFonts w:ascii="Rockwell" w:hAnsi="Rockwell"/>
                                <w:b/>
                                <w:sz w:val="32"/>
                                <w:szCs w:val="32"/>
                              </w:rPr>
                              <w:t xml:space="preserve">ANNEXE 4 : </w:t>
                            </w:r>
                            <w:r>
                              <w:rPr>
                                <w:rFonts w:ascii="Rockwell" w:eastAsiaTheme="majorEastAsia" w:hAnsi="Rockwell"/>
                                <w:b/>
                                <w:sz w:val="32"/>
                                <w:szCs w:val="32"/>
                              </w:rPr>
                              <w:t>ACTES DU COLLEGE DES CONSEILS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5EBF957F" id="_x0000_s1047" style="position:absolute;left:0;text-align:left;margin-left:-11.95pt;margin-top:.25pt;width:485pt;height:141.9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" fillcolor="window" strokecolor="#00b0f0" strokeweight="2.25pt">
                <v:stroke dashstyle="longDashDot"/>
                <v:textbox>
                  <w:txbxContent>
                    <w:p w14:paraId="44FE9FA9" w14:textId="77777777" w:rsidR="003148F1" w:rsidRDefault="003148F1">
                      <w:pPr>
                        <w:jc w:val="center"/>
                        <w:rPr>
                          <w:rFonts w:ascii="Rockwell" w:hAnsi="Rockwell"/>
                          <w:b/>
                          <w:sz w:val="32"/>
                          <w:szCs w:val="32"/>
                        </w:rPr>
                      </w:pPr>
                      <w:r>
                        <w:rPr>
                          <w:rFonts w:ascii="Rockwell" w:hAnsi="Rockwell"/>
                          <w:b/>
                          <w:sz w:val="32"/>
                          <w:szCs w:val="32"/>
                        </w:rPr>
                        <w:t xml:space="preserve">ANNEXE 4 : </w:t>
                      </w:r>
                      <w:r>
                        <w:rPr>
                          <w:rFonts w:ascii="Rockwell" w:eastAsiaTheme="majorEastAsia" w:hAnsi="Rockwell"/>
                          <w:b/>
                          <w:sz w:val="32"/>
                          <w:szCs w:val="32"/>
                        </w:rPr>
                        <w:t>ACTES DU COLLEGE DES CONSEILS</w:t>
                      </w:r>
                    </w:p>
                  </w:txbxContent>
                </v:textbox>
              </v:rect>
            </w:pict>
          </mc:Fallback>
        </mc:AlternateContent>
      </w:r>
    </w:p>
    <w:p w14:paraId="62C1E81D" w14:textId="77777777" w:rsidR="00284822" w:rsidRDefault="00284822">
      <w:pPr>
        <w:spacing w:before="120" w:after="120"/>
        <w:textAlignment w:val="auto"/>
        <w:rPr>
          <w:rFonts w:ascii="Rockwell" w:hAnsi="Rockwell"/>
          <w:szCs w:val="26"/>
        </w:rPr>
      </w:pPr>
    </w:p>
    <w:p w14:paraId="43F28EAE" w14:textId="77777777" w:rsidR="00284822" w:rsidRDefault="00284822">
      <w:pPr>
        <w:spacing w:before="120" w:after="120"/>
        <w:textAlignment w:val="auto"/>
        <w:rPr>
          <w:rFonts w:ascii="Rockwell" w:hAnsi="Rockwell"/>
          <w:szCs w:val="26"/>
        </w:rPr>
      </w:pPr>
    </w:p>
    <w:p w14:paraId="4B588380" w14:textId="77777777" w:rsidR="00284822" w:rsidRDefault="00284822">
      <w:pPr>
        <w:spacing w:before="120" w:after="120"/>
        <w:textAlignment w:val="auto"/>
        <w:rPr>
          <w:rFonts w:ascii="Rockwell" w:hAnsi="Rockwell"/>
          <w:szCs w:val="26"/>
        </w:rPr>
      </w:pPr>
    </w:p>
    <w:p w14:paraId="1DB99A9F" w14:textId="77777777" w:rsidR="00284822" w:rsidRDefault="00284822">
      <w:pPr>
        <w:spacing w:before="120" w:after="120"/>
        <w:textAlignment w:val="auto"/>
        <w:rPr>
          <w:rFonts w:ascii="Rockwell" w:hAnsi="Rockwell"/>
          <w:szCs w:val="26"/>
        </w:rPr>
      </w:pPr>
    </w:p>
    <w:p w14:paraId="746D866C" w14:textId="77777777" w:rsidR="00284822" w:rsidRDefault="00284822">
      <w:pPr>
        <w:spacing w:before="120" w:after="120"/>
        <w:textAlignment w:val="auto"/>
        <w:rPr>
          <w:rFonts w:ascii="Rockwell" w:hAnsi="Rockwell"/>
          <w:szCs w:val="26"/>
        </w:rPr>
      </w:pPr>
    </w:p>
    <w:p w14:paraId="28CAD413" w14:textId="77777777" w:rsidR="00284822" w:rsidRDefault="00284822">
      <w:pPr>
        <w:spacing w:before="120" w:after="120"/>
        <w:textAlignment w:val="auto"/>
        <w:rPr>
          <w:rFonts w:ascii="Rockwell" w:hAnsi="Rockwell"/>
          <w:szCs w:val="26"/>
        </w:rPr>
      </w:pPr>
    </w:p>
    <w:p w14:paraId="083693AE" w14:textId="77777777" w:rsidR="00284822" w:rsidRDefault="00284822">
      <w:pPr>
        <w:spacing w:before="120" w:after="120"/>
        <w:textAlignment w:val="auto"/>
        <w:rPr>
          <w:rFonts w:ascii="Rockwell" w:hAnsi="Rockwell"/>
          <w:szCs w:val="26"/>
        </w:rPr>
      </w:pPr>
    </w:p>
    <w:p w14:paraId="30CC2539" w14:textId="77777777" w:rsidR="00284822" w:rsidRDefault="00284822">
      <w:pPr>
        <w:spacing w:before="120" w:after="120"/>
        <w:textAlignment w:val="auto"/>
        <w:rPr>
          <w:rFonts w:ascii="Rockwell" w:hAnsi="Rockwell"/>
          <w:szCs w:val="26"/>
        </w:rPr>
      </w:pPr>
    </w:p>
    <w:p w14:paraId="3ABAE21F" w14:textId="77777777" w:rsidR="00284822" w:rsidRDefault="00284822">
      <w:pPr>
        <w:spacing w:before="120" w:after="120"/>
        <w:textAlignment w:val="auto"/>
        <w:rPr>
          <w:rFonts w:ascii="Rockwell" w:hAnsi="Rockwell"/>
          <w:szCs w:val="26"/>
        </w:rPr>
        <w:sectPr w:rsidR="00284822">
          <w:footerReference w:type="first" r:id="rId301"/>
          <w:pgSz w:w="11906" w:h="16838"/>
          <w:pgMar w:top="1418" w:right="1418" w:bottom="1418" w:left="1418" w:header="720" w:footer="720" w:gutter="0"/>
          <w:cols w:space="720"/>
          <w:titlePg/>
          <w:docGrid w:linePitch="354"/>
        </w:sectPr>
      </w:pPr>
    </w:p>
    <w:tbl>
      <w:tblPr>
        <w:tblpPr w:leftFromText="141" w:rightFromText="141" w:horzAnchor="margin" w:tblpXSpec="center" w:tblpY="-1410"/>
        <w:tblW w:w="15026" w:type="dxa"/>
        <w:tblBorders>
          <w:top w:val="single" w:sz="4" w:space="0" w:color="auto"/>
          <w:left w:val="single" w:sz="4" w:space="0" w:color="auto"/>
          <w:bottom w:val="single" w:sz="4" w:space="0" w:color="auto"/>
          <w:right w:val="single" w:sz="4" w:space="0" w:color="auto"/>
          <w:insideV w:val="single" w:sz="4" w:space="0" w:color="auto"/>
        </w:tblBorders>
        <w:tblCellMar>
          <w:top w:w="142" w:type="dxa"/>
          <w:bottom w:w="142" w:type="dxa"/>
        </w:tblCellMar>
        <w:tblLook w:val="04A0" w:firstRow="1" w:lastRow="0" w:firstColumn="1" w:lastColumn="0" w:noHBand="0" w:noVBand="1"/>
      </w:tblPr>
      <w:tblGrid>
        <w:gridCol w:w="851"/>
        <w:gridCol w:w="14175"/>
      </w:tblGrid>
      <w:tr w:rsidR="00284822" w14:paraId="3E685AB0" w14:textId="77777777" w:rsidTr="00EC515D">
        <w:trPr>
          <w:trHeight w:val="1266"/>
        </w:trPr>
        <w:tc>
          <w:tcPr>
            <w:tcW w:w="15026" w:type="dxa"/>
            <w:gridSpan w:val="2"/>
            <w:shd w:val="clear" w:color="auto" w:fill="5B9BD5"/>
            <w:vAlign w:val="center"/>
          </w:tcPr>
          <w:p w14:paraId="3D1A9E6B" w14:textId="77777777" w:rsidR="00284822" w:rsidRDefault="00F77BF8">
            <w:pPr>
              <w:suppressAutoHyphens w:val="0"/>
              <w:autoSpaceDN/>
              <w:spacing w:before="120" w:after="120"/>
              <w:ind w:firstLine="447"/>
              <w:jc w:val="center"/>
              <w:textAlignment w:val="auto"/>
              <w:rPr>
                <w:rFonts w:ascii="Rockwell" w:eastAsia="Calibri" w:hAnsi="Rockwell" w:cs="Arial"/>
                <w:b/>
                <w:sz w:val="40"/>
                <w:szCs w:val="40"/>
                <w:lang w:eastAsia="en-US"/>
              </w:rPr>
            </w:pPr>
            <w:r>
              <w:rPr>
                <w:rFonts w:ascii="Rockwell" w:eastAsia="Calibri" w:hAnsi="Rockwell" w:cs="Arial"/>
                <w:b/>
                <w:sz w:val="40"/>
                <w:szCs w:val="40"/>
                <w:lang w:eastAsia="en-US"/>
              </w:rPr>
              <w:lastRenderedPageBreak/>
              <w:t>D E C I S I O N S</w:t>
            </w:r>
          </w:p>
          <w:p w14:paraId="413C3920" w14:textId="77777777" w:rsidR="00284822" w:rsidRDefault="00284822">
            <w:pPr>
              <w:suppressAutoHyphens w:val="0"/>
              <w:autoSpaceDN/>
              <w:spacing w:before="120" w:after="120"/>
              <w:jc w:val="center"/>
              <w:textAlignment w:val="auto"/>
              <w:rPr>
                <w:rFonts w:ascii="Rockwell" w:eastAsia="Calibri" w:hAnsi="Rockwell" w:cs="Arial"/>
                <w:b/>
                <w:sz w:val="28"/>
                <w:szCs w:val="28"/>
                <w:lang w:eastAsia="en-US"/>
              </w:rPr>
            </w:pPr>
          </w:p>
        </w:tc>
      </w:tr>
      <w:tr w:rsidR="00284822" w14:paraId="42DDE888" w14:textId="77777777">
        <w:trPr>
          <w:trHeight w:val="784"/>
        </w:trPr>
        <w:tc>
          <w:tcPr>
            <w:tcW w:w="851" w:type="dxa"/>
            <w:shd w:val="clear" w:color="auto" w:fill="auto"/>
            <w:vAlign w:val="center"/>
          </w:tcPr>
          <w:p w14:paraId="446BF884" w14:textId="77777777" w:rsidR="00284822" w:rsidRDefault="00F77BF8">
            <w:pPr>
              <w:suppressAutoHyphens w:val="0"/>
              <w:autoSpaceDN/>
              <w:spacing w:before="120" w:after="120"/>
              <w:jc w:val="left"/>
              <w:textAlignment w:val="auto"/>
              <w:rPr>
                <w:rFonts w:ascii="Rockwell" w:eastAsia="Calibri" w:hAnsi="Rockwell" w:cs="Arial"/>
                <w:sz w:val="28"/>
                <w:szCs w:val="28"/>
                <w:lang w:eastAsia="en-US"/>
              </w:rPr>
            </w:pPr>
            <w:r>
              <w:rPr>
                <w:rFonts w:ascii="Rockwell" w:eastAsia="Calibri" w:hAnsi="Rockwell" w:cs="Arial"/>
                <w:sz w:val="28"/>
                <w:szCs w:val="28"/>
                <w:lang w:eastAsia="en-US"/>
              </w:rPr>
              <w:t>01</w:t>
            </w:r>
          </w:p>
        </w:tc>
        <w:tc>
          <w:tcPr>
            <w:tcW w:w="14175" w:type="dxa"/>
            <w:shd w:val="clear" w:color="auto" w:fill="auto"/>
            <w:vAlign w:val="center"/>
          </w:tcPr>
          <w:p w14:paraId="7D29ACFA" w14:textId="77777777" w:rsidR="00284822" w:rsidRDefault="00F77BF8">
            <w:pPr>
              <w:suppressAutoHyphens w:val="0"/>
              <w:autoSpaceDN/>
              <w:spacing w:before="120" w:after="120"/>
              <w:textAlignment w:val="auto"/>
              <w:rPr>
                <w:rFonts w:ascii="Rockwell" w:eastAsia="Calibri" w:hAnsi="Rockwell" w:cs="Arial"/>
                <w:sz w:val="28"/>
                <w:szCs w:val="28"/>
                <w:lang w:eastAsia="en-US"/>
              </w:rPr>
            </w:pPr>
            <w:r>
              <w:rPr>
                <w:rFonts w:ascii="Rockwell" w:eastAsia="Calibri" w:hAnsi="Rockwell" w:cs="Arial"/>
                <w:b/>
                <w:sz w:val="28"/>
                <w:szCs w:val="28"/>
                <w:lang w:eastAsia="en-US"/>
              </w:rPr>
              <w:t>Décision n°2022-001/ CSC</w:t>
            </w:r>
            <w:r>
              <w:rPr>
                <w:rFonts w:ascii="Rockwell" w:eastAsia="Calibri" w:hAnsi="Rockwell" w:cs="Arial"/>
                <w:sz w:val="28"/>
                <w:szCs w:val="28"/>
                <w:lang w:eastAsia="en-US"/>
              </w:rPr>
              <w:t xml:space="preserve"> du</w:t>
            </w:r>
            <w:r>
              <w:rPr>
                <w:rFonts w:ascii="Rockwell" w:eastAsia="Calibri" w:hAnsi="Rockwell" w:cs="Arial"/>
                <w:b/>
                <w:sz w:val="28"/>
                <w:szCs w:val="28"/>
                <w:lang w:eastAsia="en-US"/>
              </w:rPr>
              <w:t xml:space="preserve"> 17 février </w:t>
            </w:r>
            <w:proofErr w:type="gramStart"/>
            <w:r>
              <w:rPr>
                <w:rFonts w:ascii="Rockwell" w:eastAsia="Calibri" w:hAnsi="Rockwell" w:cs="Arial"/>
                <w:b/>
                <w:sz w:val="28"/>
                <w:szCs w:val="28"/>
                <w:lang w:eastAsia="en-US"/>
              </w:rPr>
              <w:t xml:space="preserve">2022 </w:t>
            </w:r>
            <w:r>
              <w:rPr>
                <w:rFonts w:ascii="Rockwell" w:eastAsia="Calibri" w:hAnsi="Rockwell" w:cs="Arial"/>
                <w:sz w:val="28"/>
                <w:szCs w:val="28"/>
                <w:lang w:eastAsia="en-US"/>
              </w:rPr>
              <w:t xml:space="preserve"> Portant</w:t>
            </w:r>
            <w:proofErr w:type="gramEnd"/>
            <w:r>
              <w:rPr>
                <w:rFonts w:ascii="Rockwell" w:eastAsia="Calibri" w:hAnsi="Rockwell" w:cs="Arial"/>
                <w:sz w:val="28"/>
                <w:szCs w:val="28"/>
                <w:lang w:eastAsia="en-US"/>
              </w:rPr>
              <w:t xml:space="preserve"> mise en demeure de la chaîne de télévision «</w:t>
            </w:r>
            <w:r>
              <w:rPr>
                <w:rFonts w:ascii="Rockwell" w:eastAsia="Calibri" w:hAnsi="Rockwell" w:cs="Arial"/>
                <w:b/>
                <w:sz w:val="28"/>
                <w:szCs w:val="28"/>
                <w:lang w:eastAsia="en-US"/>
              </w:rPr>
              <w:t> Canal3</w:t>
            </w:r>
            <w:r>
              <w:rPr>
                <w:rFonts w:ascii="Rockwell" w:eastAsia="Calibri" w:hAnsi="Rockwell" w:cs="Arial"/>
                <w:sz w:val="28"/>
                <w:szCs w:val="28"/>
                <w:lang w:eastAsia="en-US"/>
              </w:rPr>
              <w:t> » de respecter les dispositions légales relatives à la publicité sur la pharmacopée traditionnelle</w:t>
            </w:r>
          </w:p>
        </w:tc>
      </w:tr>
      <w:tr w:rsidR="00284822" w14:paraId="40DC3839" w14:textId="77777777">
        <w:trPr>
          <w:trHeight w:val="1014"/>
        </w:trPr>
        <w:tc>
          <w:tcPr>
            <w:tcW w:w="851" w:type="dxa"/>
            <w:shd w:val="clear" w:color="auto" w:fill="auto"/>
            <w:vAlign w:val="center"/>
          </w:tcPr>
          <w:p w14:paraId="562E9108" w14:textId="77777777" w:rsidR="00284822" w:rsidRDefault="00F77BF8">
            <w:pPr>
              <w:suppressAutoHyphens w:val="0"/>
              <w:autoSpaceDN/>
              <w:spacing w:before="120" w:after="120"/>
              <w:jc w:val="left"/>
              <w:textAlignment w:val="auto"/>
              <w:rPr>
                <w:rFonts w:ascii="Rockwell" w:eastAsia="Calibri" w:hAnsi="Rockwell" w:cs="Arial"/>
                <w:sz w:val="28"/>
                <w:szCs w:val="28"/>
                <w:lang w:eastAsia="en-US"/>
              </w:rPr>
            </w:pPr>
            <w:r>
              <w:rPr>
                <w:rFonts w:ascii="Rockwell" w:eastAsia="Calibri" w:hAnsi="Rockwell" w:cs="Arial"/>
                <w:sz w:val="28"/>
                <w:szCs w:val="28"/>
                <w:lang w:eastAsia="en-US"/>
              </w:rPr>
              <w:t>02</w:t>
            </w:r>
          </w:p>
        </w:tc>
        <w:tc>
          <w:tcPr>
            <w:tcW w:w="14175" w:type="dxa"/>
            <w:shd w:val="clear" w:color="auto" w:fill="auto"/>
            <w:vAlign w:val="center"/>
          </w:tcPr>
          <w:p w14:paraId="537EC1C3" w14:textId="77777777" w:rsidR="00284822" w:rsidRDefault="00F77BF8">
            <w:pPr>
              <w:suppressAutoHyphens w:val="0"/>
              <w:autoSpaceDN/>
              <w:spacing w:before="120" w:after="120"/>
              <w:textAlignment w:val="auto"/>
              <w:rPr>
                <w:rFonts w:ascii="Rockwell" w:eastAsia="Calibri" w:hAnsi="Rockwell" w:cs="Arial"/>
                <w:sz w:val="28"/>
                <w:szCs w:val="28"/>
                <w:lang w:eastAsia="en-US"/>
              </w:rPr>
            </w:pPr>
            <w:r>
              <w:rPr>
                <w:rFonts w:ascii="Rockwell" w:eastAsia="Calibri" w:hAnsi="Rockwell" w:cs="Arial"/>
                <w:b/>
                <w:sz w:val="28"/>
                <w:szCs w:val="28"/>
                <w:lang w:eastAsia="en-US"/>
              </w:rPr>
              <w:t xml:space="preserve">Décision n°2022-006/CSC </w:t>
            </w:r>
            <w:r>
              <w:rPr>
                <w:rFonts w:ascii="Rockwell" w:eastAsia="Calibri" w:hAnsi="Rockwell" w:cs="Arial"/>
                <w:sz w:val="28"/>
                <w:szCs w:val="28"/>
                <w:lang w:eastAsia="en-US"/>
              </w:rPr>
              <w:t>du</w:t>
            </w:r>
            <w:r>
              <w:rPr>
                <w:rFonts w:ascii="Rockwell" w:eastAsia="Calibri" w:hAnsi="Rockwell" w:cs="Arial"/>
                <w:b/>
                <w:sz w:val="28"/>
                <w:szCs w:val="28"/>
                <w:lang w:eastAsia="en-US"/>
              </w:rPr>
              <w:t xml:space="preserve"> 12 mai 2022 </w:t>
            </w:r>
            <w:r>
              <w:rPr>
                <w:rFonts w:ascii="Rockwell" w:eastAsia="Calibri" w:hAnsi="Rockwell" w:cs="Arial"/>
                <w:sz w:val="28"/>
                <w:szCs w:val="28"/>
                <w:lang w:eastAsia="en-US"/>
              </w:rPr>
              <w:t xml:space="preserve">Portant suspension de l’émission de santé intitulée « </w:t>
            </w:r>
            <w:proofErr w:type="spellStart"/>
            <w:r>
              <w:rPr>
                <w:rFonts w:ascii="Rockwell" w:eastAsia="Calibri" w:hAnsi="Rockwell" w:cs="Arial"/>
                <w:b/>
                <w:sz w:val="28"/>
                <w:szCs w:val="28"/>
                <w:lang w:eastAsia="en-US"/>
              </w:rPr>
              <w:t>Yeebd</w:t>
            </w:r>
            <w:proofErr w:type="spellEnd"/>
            <w:r>
              <w:rPr>
                <w:rFonts w:ascii="Rockwell" w:eastAsia="Calibri" w:hAnsi="Rockwell" w:cs="Arial"/>
                <w:b/>
                <w:sz w:val="28"/>
                <w:szCs w:val="28"/>
                <w:lang w:eastAsia="en-US"/>
              </w:rPr>
              <w:t xml:space="preserve"> </w:t>
            </w:r>
            <w:proofErr w:type="spellStart"/>
            <w:proofErr w:type="gramStart"/>
            <w:r>
              <w:rPr>
                <w:rFonts w:ascii="Rockwell" w:eastAsia="Calibri" w:hAnsi="Rockwell" w:cs="Arial"/>
                <w:b/>
                <w:sz w:val="28"/>
                <w:szCs w:val="28"/>
                <w:lang w:eastAsia="en-US"/>
              </w:rPr>
              <w:t>wamdé</w:t>
            </w:r>
            <w:proofErr w:type="spellEnd"/>
            <w:r>
              <w:rPr>
                <w:rFonts w:ascii="Rockwell" w:eastAsia="Calibri" w:hAnsi="Rockwell" w:cs="Arial"/>
                <w:sz w:val="28"/>
                <w:szCs w:val="28"/>
                <w:lang w:eastAsia="en-US"/>
              </w:rPr>
              <w:t>  »</w:t>
            </w:r>
            <w:proofErr w:type="gramEnd"/>
            <w:r>
              <w:rPr>
                <w:rFonts w:ascii="Rockwell" w:eastAsia="Calibri" w:hAnsi="Rockwell" w:cs="Arial"/>
                <w:sz w:val="28"/>
                <w:szCs w:val="28"/>
                <w:lang w:eastAsia="en-US"/>
              </w:rPr>
              <w:t xml:space="preserve"> et de toutes émissions similaires relatives à la pharmacopée traditionnelle  sur les antennes de la radio « </w:t>
            </w:r>
            <w:r>
              <w:rPr>
                <w:rFonts w:ascii="Rockwell" w:eastAsia="Calibri" w:hAnsi="Rockwell" w:cs="Arial"/>
                <w:b/>
                <w:sz w:val="28"/>
                <w:szCs w:val="28"/>
                <w:lang w:eastAsia="en-US"/>
              </w:rPr>
              <w:t>Optima FM</w:t>
            </w:r>
            <w:r>
              <w:rPr>
                <w:rFonts w:ascii="Rockwell" w:eastAsia="Calibri" w:hAnsi="Rockwell" w:cs="Arial"/>
                <w:sz w:val="28"/>
                <w:szCs w:val="28"/>
                <w:lang w:eastAsia="en-US"/>
              </w:rPr>
              <w:t> » pour une durée de trois (03) mois</w:t>
            </w:r>
          </w:p>
        </w:tc>
      </w:tr>
      <w:tr w:rsidR="00284822" w14:paraId="0C1FD11E" w14:textId="77777777">
        <w:trPr>
          <w:trHeight w:val="974"/>
        </w:trPr>
        <w:tc>
          <w:tcPr>
            <w:tcW w:w="851" w:type="dxa"/>
            <w:shd w:val="clear" w:color="auto" w:fill="auto"/>
            <w:vAlign w:val="center"/>
          </w:tcPr>
          <w:p w14:paraId="5B65A923" w14:textId="77777777" w:rsidR="00284822" w:rsidRDefault="00F77BF8">
            <w:pPr>
              <w:suppressAutoHyphens w:val="0"/>
              <w:autoSpaceDN/>
              <w:spacing w:before="120" w:after="120"/>
              <w:jc w:val="left"/>
              <w:textAlignment w:val="auto"/>
              <w:rPr>
                <w:rFonts w:ascii="Rockwell" w:eastAsia="Calibri" w:hAnsi="Rockwell" w:cs="Arial"/>
                <w:sz w:val="28"/>
                <w:szCs w:val="28"/>
                <w:lang w:eastAsia="en-US"/>
              </w:rPr>
            </w:pPr>
            <w:r>
              <w:rPr>
                <w:rFonts w:ascii="Rockwell" w:eastAsia="Calibri" w:hAnsi="Rockwell" w:cs="Arial"/>
                <w:sz w:val="28"/>
                <w:szCs w:val="28"/>
                <w:lang w:eastAsia="en-US"/>
              </w:rPr>
              <w:t>03</w:t>
            </w:r>
          </w:p>
        </w:tc>
        <w:tc>
          <w:tcPr>
            <w:tcW w:w="14175" w:type="dxa"/>
            <w:shd w:val="clear" w:color="auto" w:fill="auto"/>
            <w:vAlign w:val="center"/>
          </w:tcPr>
          <w:p w14:paraId="57B9EFDD" w14:textId="77777777" w:rsidR="00284822" w:rsidRDefault="00F77BF8">
            <w:pPr>
              <w:suppressAutoHyphens w:val="0"/>
              <w:autoSpaceDN/>
              <w:spacing w:before="120" w:after="120"/>
              <w:textAlignment w:val="auto"/>
              <w:rPr>
                <w:rFonts w:ascii="Rockwell" w:eastAsia="Calibri" w:hAnsi="Rockwell" w:cs="Arial"/>
                <w:sz w:val="28"/>
                <w:szCs w:val="28"/>
                <w:lang w:eastAsia="en-US"/>
              </w:rPr>
            </w:pPr>
            <w:r>
              <w:rPr>
                <w:rFonts w:ascii="Rockwell" w:eastAsia="Calibri" w:hAnsi="Rockwell" w:cs="Arial"/>
                <w:b/>
                <w:sz w:val="28"/>
                <w:szCs w:val="28"/>
                <w:lang w:eastAsia="en-US"/>
              </w:rPr>
              <w:t xml:space="preserve">Décision n°2022-007/ CSC </w:t>
            </w:r>
            <w:r>
              <w:rPr>
                <w:rFonts w:ascii="Rockwell" w:eastAsia="Calibri" w:hAnsi="Rockwell" w:cs="Arial"/>
                <w:sz w:val="28"/>
                <w:szCs w:val="28"/>
                <w:lang w:eastAsia="en-US"/>
              </w:rPr>
              <w:t xml:space="preserve">du </w:t>
            </w:r>
            <w:r>
              <w:rPr>
                <w:rFonts w:ascii="Rockwell" w:eastAsia="Calibri" w:hAnsi="Rockwell" w:cs="Arial"/>
                <w:b/>
                <w:sz w:val="28"/>
                <w:szCs w:val="28"/>
                <w:lang w:eastAsia="en-US"/>
              </w:rPr>
              <w:t xml:space="preserve">12 mai 2022 </w:t>
            </w:r>
            <w:r>
              <w:rPr>
                <w:rFonts w:ascii="Rockwell" w:eastAsia="Calibri" w:hAnsi="Rockwell" w:cs="Arial"/>
                <w:sz w:val="28"/>
                <w:szCs w:val="28"/>
                <w:lang w:eastAsia="en-US"/>
              </w:rPr>
              <w:t>Portant mise en demeure de la radio « </w:t>
            </w:r>
            <w:r>
              <w:rPr>
                <w:rFonts w:ascii="Rockwell" w:eastAsia="Calibri" w:hAnsi="Rockwell" w:cs="Arial"/>
                <w:b/>
                <w:sz w:val="28"/>
                <w:szCs w:val="28"/>
                <w:lang w:eastAsia="en-US"/>
              </w:rPr>
              <w:t>FEMINA FM</w:t>
            </w:r>
            <w:r>
              <w:rPr>
                <w:rFonts w:ascii="Rockwell" w:eastAsia="Calibri" w:hAnsi="Rockwell" w:cs="Arial"/>
                <w:sz w:val="28"/>
                <w:szCs w:val="28"/>
                <w:lang w:eastAsia="en-US"/>
              </w:rPr>
              <w:t> » de respecter les différentes sensibilités politiques, culturelles et religieuses dans la conduite des émissions à caractère confessionnel.</w:t>
            </w:r>
          </w:p>
          <w:p w14:paraId="66169A06" w14:textId="77777777" w:rsidR="00284822" w:rsidRDefault="00284822">
            <w:pPr>
              <w:suppressAutoHyphens w:val="0"/>
              <w:autoSpaceDN/>
              <w:spacing w:before="120" w:after="120"/>
              <w:textAlignment w:val="auto"/>
              <w:rPr>
                <w:rFonts w:ascii="Rockwell" w:eastAsia="Calibri" w:hAnsi="Rockwell" w:cs="Arial"/>
                <w:b/>
                <w:sz w:val="28"/>
                <w:szCs w:val="28"/>
                <w:lang w:eastAsia="en-US"/>
              </w:rPr>
            </w:pPr>
          </w:p>
        </w:tc>
      </w:tr>
      <w:tr w:rsidR="00284822" w14:paraId="24B4A1D9" w14:textId="77777777">
        <w:trPr>
          <w:trHeight w:val="956"/>
        </w:trPr>
        <w:tc>
          <w:tcPr>
            <w:tcW w:w="851" w:type="dxa"/>
            <w:shd w:val="clear" w:color="auto" w:fill="5B9BD5"/>
            <w:vAlign w:val="center"/>
          </w:tcPr>
          <w:p w14:paraId="3BA625D2" w14:textId="77777777" w:rsidR="00284822" w:rsidRDefault="00284822">
            <w:pPr>
              <w:suppressAutoHyphens w:val="0"/>
              <w:autoSpaceDN/>
              <w:spacing w:before="120" w:after="120"/>
              <w:jc w:val="center"/>
              <w:textAlignment w:val="auto"/>
              <w:rPr>
                <w:rFonts w:ascii="Rockwell" w:eastAsia="Calibri" w:hAnsi="Rockwell" w:cs="Arial"/>
                <w:sz w:val="28"/>
                <w:szCs w:val="28"/>
                <w:lang w:eastAsia="en-US"/>
              </w:rPr>
            </w:pPr>
          </w:p>
        </w:tc>
        <w:tc>
          <w:tcPr>
            <w:tcW w:w="14175" w:type="dxa"/>
            <w:shd w:val="clear" w:color="auto" w:fill="5B9BD5"/>
            <w:vAlign w:val="center"/>
          </w:tcPr>
          <w:p w14:paraId="7005AC6C" w14:textId="77777777" w:rsidR="00284822" w:rsidRDefault="00F77BF8">
            <w:pPr>
              <w:suppressAutoHyphens w:val="0"/>
              <w:autoSpaceDN/>
              <w:spacing w:before="120" w:after="120"/>
              <w:jc w:val="center"/>
              <w:textAlignment w:val="auto"/>
              <w:rPr>
                <w:rFonts w:ascii="Rockwell" w:eastAsia="Calibri" w:hAnsi="Rockwell" w:cs="Arial"/>
                <w:b/>
                <w:sz w:val="40"/>
                <w:szCs w:val="40"/>
                <w:lang w:eastAsia="en-US"/>
              </w:rPr>
            </w:pPr>
            <w:r>
              <w:rPr>
                <w:rFonts w:ascii="Rockwell" w:eastAsia="Calibri" w:hAnsi="Rockwell" w:cs="Arial"/>
                <w:b/>
                <w:sz w:val="40"/>
                <w:szCs w:val="40"/>
                <w:lang w:eastAsia="en-US"/>
              </w:rPr>
              <w:t xml:space="preserve">A R </w:t>
            </w:r>
            <w:proofErr w:type="spellStart"/>
            <w:r>
              <w:rPr>
                <w:rFonts w:ascii="Rockwell" w:eastAsia="Calibri" w:hAnsi="Rockwell" w:cs="Arial"/>
                <w:b/>
                <w:sz w:val="40"/>
                <w:szCs w:val="40"/>
                <w:lang w:eastAsia="en-US"/>
              </w:rPr>
              <w:t>R</w:t>
            </w:r>
            <w:proofErr w:type="spellEnd"/>
            <w:r>
              <w:rPr>
                <w:rFonts w:ascii="Rockwell" w:eastAsia="Calibri" w:hAnsi="Rockwell" w:cs="Arial"/>
                <w:b/>
                <w:sz w:val="40"/>
                <w:szCs w:val="40"/>
                <w:lang w:eastAsia="en-US"/>
              </w:rPr>
              <w:t xml:space="preserve"> E T E S</w:t>
            </w:r>
          </w:p>
        </w:tc>
      </w:tr>
      <w:tr w:rsidR="00284822" w14:paraId="091264BA" w14:textId="77777777">
        <w:trPr>
          <w:trHeight w:val="422"/>
        </w:trPr>
        <w:tc>
          <w:tcPr>
            <w:tcW w:w="851" w:type="dxa"/>
            <w:shd w:val="clear" w:color="auto" w:fill="auto"/>
            <w:vAlign w:val="center"/>
          </w:tcPr>
          <w:p w14:paraId="40B1C9FD" w14:textId="77777777" w:rsidR="00284822" w:rsidRDefault="00F77BF8">
            <w:pPr>
              <w:suppressAutoHyphens w:val="0"/>
              <w:autoSpaceDN/>
              <w:spacing w:before="120" w:after="120"/>
              <w:textAlignment w:val="auto"/>
              <w:rPr>
                <w:rFonts w:ascii="Rockwell" w:eastAsia="Calibri" w:hAnsi="Rockwell" w:cs="Arial"/>
                <w:sz w:val="28"/>
                <w:szCs w:val="28"/>
                <w:lang w:eastAsia="en-US"/>
              </w:rPr>
            </w:pPr>
            <w:r>
              <w:rPr>
                <w:rFonts w:ascii="Rockwell" w:eastAsia="Calibri" w:hAnsi="Rockwell" w:cs="Arial"/>
                <w:sz w:val="28"/>
                <w:szCs w:val="28"/>
                <w:lang w:eastAsia="en-US"/>
              </w:rPr>
              <w:t>04</w:t>
            </w:r>
          </w:p>
        </w:tc>
        <w:tc>
          <w:tcPr>
            <w:tcW w:w="14175" w:type="dxa"/>
            <w:shd w:val="clear" w:color="auto" w:fill="auto"/>
            <w:vAlign w:val="center"/>
          </w:tcPr>
          <w:p w14:paraId="7F9EC5AC" w14:textId="77777777" w:rsidR="00284822" w:rsidRDefault="00F77BF8">
            <w:pPr>
              <w:suppressAutoHyphens w:val="0"/>
              <w:autoSpaceDN/>
              <w:spacing w:before="120" w:after="120"/>
              <w:textAlignment w:val="auto"/>
              <w:rPr>
                <w:rFonts w:ascii="Rockwell" w:eastAsia="Calibri" w:hAnsi="Rockwell" w:cs="Arial"/>
                <w:b/>
                <w:sz w:val="28"/>
                <w:szCs w:val="28"/>
                <w:highlight w:val="yellow"/>
                <w:lang w:eastAsia="en-US"/>
              </w:rPr>
            </w:pPr>
            <w:r>
              <w:rPr>
                <w:rFonts w:ascii="Rockwell" w:eastAsia="Calibri" w:hAnsi="Rockwell" w:cs="Arial"/>
                <w:b/>
                <w:sz w:val="28"/>
                <w:szCs w:val="28"/>
                <w:lang w:eastAsia="en-US"/>
              </w:rPr>
              <w:t xml:space="preserve">Arrêté n°2022-002/CSC/CAB </w:t>
            </w:r>
            <w:r>
              <w:rPr>
                <w:rFonts w:ascii="Rockwell" w:eastAsia="Calibri" w:hAnsi="Rockwell" w:cs="Arial"/>
                <w:sz w:val="28"/>
                <w:szCs w:val="28"/>
                <w:lang w:eastAsia="en-US"/>
              </w:rPr>
              <w:t xml:space="preserve">du </w:t>
            </w:r>
            <w:r>
              <w:rPr>
                <w:rFonts w:ascii="Rockwell" w:eastAsia="Calibri" w:hAnsi="Rockwell" w:cs="Arial"/>
                <w:b/>
                <w:sz w:val="28"/>
                <w:szCs w:val="28"/>
                <w:lang w:eastAsia="en-US"/>
              </w:rPr>
              <w:t xml:space="preserve">27 avril 2022 </w:t>
            </w:r>
            <w:r>
              <w:rPr>
                <w:rFonts w:ascii="Rockwell" w:eastAsia="Calibri" w:hAnsi="Rockwell" w:cs="Arial"/>
                <w:sz w:val="28"/>
                <w:szCs w:val="28"/>
                <w:lang w:eastAsia="en-US"/>
              </w:rPr>
              <w:t xml:space="preserve">Portant reconduction de l’autorisation d’exploitation de services de radiodiffusion télévisuelle à caractère confessionnel accordée au </w:t>
            </w:r>
            <w:r>
              <w:rPr>
                <w:rFonts w:ascii="Rockwell" w:eastAsia="Calibri" w:hAnsi="Rockwell" w:cs="Arial"/>
                <w:b/>
                <w:sz w:val="28"/>
                <w:szCs w:val="28"/>
                <w:lang w:eastAsia="en-US"/>
              </w:rPr>
              <w:t>Centre International d’Evangélisation/Mission Intérieure Africaine</w:t>
            </w:r>
            <w:r>
              <w:rPr>
                <w:rFonts w:ascii="Rockwell" w:eastAsia="Calibri" w:hAnsi="Rockwell" w:cs="Arial"/>
                <w:sz w:val="28"/>
                <w:szCs w:val="28"/>
                <w:lang w:eastAsia="en-US"/>
              </w:rPr>
              <w:t xml:space="preserve"> (</w:t>
            </w:r>
            <w:r>
              <w:rPr>
                <w:rFonts w:ascii="Rockwell" w:eastAsia="Calibri" w:hAnsi="Rockwell" w:cs="Arial"/>
                <w:b/>
                <w:sz w:val="28"/>
                <w:szCs w:val="28"/>
                <w:lang w:eastAsia="en-US"/>
              </w:rPr>
              <w:t>CIE/MIA</w:t>
            </w:r>
            <w:r>
              <w:rPr>
                <w:rFonts w:ascii="Rockwell" w:eastAsia="Calibri" w:hAnsi="Rockwell" w:cs="Arial"/>
                <w:sz w:val="28"/>
                <w:szCs w:val="28"/>
                <w:lang w:eastAsia="en-US"/>
              </w:rPr>
              <w:t xml:space="preserve">). </w:t>
            </w:r>
          </w:p>
        </w:tc>
      </w:tr>
      <w:tr w:rsidR="00284822" w14:paraId="0A3F5F37" w14:textId="77777777">
        <w:trPr>
          <w:trHeight w:val="422"/>
        </w:trPr>
        <w:tc>
          <w:tcPr>
            <w:tcW w:w="851" w:type="dxa"/>
            <w:shd w:val="clear" w:color="auto" w:fill="auto"/>
            <w:vAlign w:val="center"/>
          </w:tcPr>
          <w:p w14:paraId="21AEF62F" w14:textId="77777777" w:rsidR="00284822" w:rsidRDefault="00F77BF8">
            <w:pPr>
              <w:suppressAutoHyphens w:val="0"/>
              <w:autoSpaceDN/>
              <w:spacing w:before="120" w:after="120"/>
              <w:textAlignment w:val="auto"/>
              <w:rPr>
                <w:rFonts w:ascii="Rockwell" w:eastAsia="Calibri" w:hAnsi="Rockwell" w:cs="Arial"/>
                <w:sz w:val="28"/>
                <w:szCs w:val="28"/>
                <w:lang w:eastAsia="en-US"/>
              </w:rPr>
            </w:pPr>
            <w:r>
              <w:rPr>
                <w:rFonts w:ascii="Rockwell" w:eastAsia="Calibri" w:hAnsi="Rockwell" w:cs="Arial"/>
                <w:sz w:val="28"/>
                <w:szCs w:val="28"/>
                <w:lang w:eastAsia="en-US"/>
              </w:rPr>
              <w:t>05</w:t>
            </w:r>
          </w:p>
        </w:tc>
        <w:tc>
          <w:tcPr>
            <w:tcW w:w="14175" w:type="dxa"/>
            <w:shd w:val="clear" w:color="auto" w:fill="auto"/>
            <w:vAlign w:val="center"/>
          </w:tcPr>
          <w:p w14:paraId="50272EE8" w14:textId="77777777" w:rsidR="00284822" w:rsidRDefault="00F77BF8">
            <w:pPr>
              <w:suppressAutoHyphens w:val="0"/>
              <w:autoSpaceDN/>
              <w:spacing w:before="120" w:after="120"/>
              <w:textAlignment w:val="auto"/>
              <w:rPr>
                <w:rFonts w:ascii="Rockwell" w:eastAsia="Calibri" w:hAnsi="Rockwell" w:cs="Arial"/>
                <w:b/>
                <w:sz w:val="28"/>
                <w:szCs w:val="28"/>
                <w:highlight w:val="yellow"/>
                <w:lang w:eastAsia="en-US"/>
              </w:rPr>
            </w:pPr>
            <w:r>
              <w:rPr>
                <w:rFonts w:ascii="Rockwell" w:eastAsia="Calibri" w:hAnsi="Rockwell" w:cs="Arial"/>
                <w:b/>
                <w:sz w:val="28"/>
                <w:szCs w:val="28"/>
                <w:lang w:eastAsia="en-US"/>
              </w:rPr>
              <w:t xml:space="preserve">Arrêté n°2022-003/CSC/SG/DRH </w:t>
            </w:r>
            <w:r>
              <w:rPr>
                <w:rFonts w:ascii="Rockwell" w:eastAsia="Calibri" w:hAnsi="Rockwell" w:cs="Arial"/>
                <w:sz w:val="28"/>
                <w:szCs w:val="28"/>
                <w:lang w:eastAsia="en-US"/>
              </w:rPr>
              <w:t xml:space="preserve">du </w:t>
            </w:r>
            <w:r>
              <w:rPr>
                <w:rFonts w:ascii="Rockwell" w:eastAsia="Calibri" w:hAnsi="Rockwell" w:cs="Arial"/>
                <w:b/>
                <w:sz w:val="28"/>
                <w:szCs w:val="28"/>
                <w:lang w:eastAsia="en-US"/>
              </w:rPr>
              <w:t xml:space="preserve">03 mai </w:t>
            </w:r>
            <w:proofErr w:type="gramStart"/>
            <w:r>
              <w:rPr>
                <w:rFonts w:ascii="Rockwell" w:eastAsia="Calibri" w:hAnsi="Rockwell" w:cs="Arial"/>
                <w:b/>
                <w:sz w:val="28"/>
                <w:szCs w:val="28"/>
                <w:lang w:eastAsia="en-US"/>
              </w:rPr>
              <w:t xml:space="preserve">2022 </w:t>
            </w:r>
            <w:r>
              <w:rPr>
                <w:rFonts w:ascii="Rockwell" w:eastAsia="Calibri" w:hAnsi="Rockwell" w:cs="Arial"/>
                <w:sz w:val="28"/>
                <w:szCs w:val="28"/>
                <w:lang w:eastAsia="en-US"/>
              </w:rPr>
              <w:t xml:space="preserve"> portant</w:t>
            </w:r>
            <w:proofErr w:type="gramEnd"/>
            <w:r>
              <w:rPr>
                <w:rFonts w:ascii="Rockwell" w:eastAsia="Calibri" w:hAnsi="Rockwell" w:cs="Arial"/>
                <w:sz w:val="28"/>
                <w:szCs w:val="28"/>
                <w:lang w:eastAsia="en-US"/>
              </w:rPr>
              <w:t xml:space="preserve"> création, attributions, composition et fonctionnement d’un comité chargé de l’élaboration d’un plan de formation du Conseil supérieur de la communication</w:t>
            </w:r>
          </w:p>
        </w:tc>
      </w:tr>
      <w:tr w:rsidR="00284822" w14:paraId="34CD7637" w14:textId="77777777">
        <w:trPr>
          <w:trHeight w:val="984"/>
        </w:trPr>
        <w:tc>
          <w:tcPr>
            <w:tcW w:w="851" w:type="dxa"/>
            <w:shd w:val="clear" w:color="auto" w:fill="auto"/>
            <w:vAlign w:val="center"/>
          </w:tcPr>
          <w:p w14:paraId="3C3467CB" w14:textId="77777777" w:rsidR="00284822" w:rsidRDefault="00F77BF8">
            <w:pPr>
              <w:suppressAutoHyphens w:val="0"/>
              <w:autoSpaceDN/>
              <w:spacing w:before="120" w:after="120"/>
              <w:textAlignment w:val="auto"/>
              <w:rPr>
                <w:rFonts w:ascii="Rockwell" w:eastAsia="Calibri" w:hAnsi="Rockwell" w:cs="Arial"/>
                <w:sz w:val="28"/>
                <w:szCs w:val="28"/>
                <w:lang w:eastAsia="en-US"/>
              </w:rPr>
            </w:pPr>
            <w:r>
              <w:rPr>
                <w:rFonts w:ascii="Rockwell" w:eastAsia="Calibri" w:hAnsi="Rockwell" w:cs="Arial"/>
                <w:sz w:val="28"/>
                <w:szCs w:val="28"/>
                <w:lang w:eastAsia="en-US"/>
              </w:rPr>
              <w:t>05</w:t>
            </w:r>
          </w:p>
        </w:tc>
        <w:tc>
          <w:tcPr>
            <w:tcW w:w="14175" w:type="dxa"/>
            <w:shd w:val="clear" w:color="auto" w:fill="auto"/>
            <w:vAlign w:val="center"/>
          </w:tcPr>
          <w:p w14:paraId="417EB408" w14:textId="77777777" w:rsidR="00284822" w:rsidRDefault="00F77BF8">
            <w:pPr>
              <w:suppressAutoHyphens w:val="0"/>
              <w:autoSpaceDN/>
              <w:spacing w:before="120" w:after="120"/>
              <w:textAlignment w:val="auto"/>
              <w:rPr>
                <w:rFonts w:ascii="Rockwell" w:eastAsia="Calibri" w:hAnsi="Rockwell" w:cs="Arial"/>
                <w:b/>
                <w:sz w:val="28"/>
                <w:szCs w:val="28"/>
                <w:highlight w:val="yellow"/>
                <w:lang w:eastAsia="en-US"/>
              </w:rPr>
            </w:pPr>
            <w:r>
              <w:rPr>
                <w:rFonts w:ascii="Rockwell" w:eastAsia="Calibri" w:hAnsi="Rockwell" w:cs="Arial"/>
                <w:b/>
                <w:sz w:val="28"/>
                <w:szCs w:val="28"/>
                <w:lang w:eastAsia="en-US"/>
              </w:rPr>
              <w:t xml:space="preserve">Arrêté n°2022-004/CSC/SG </w:t>
            </w:r>
            <w:r>
              <w:rPr>
                <w:rFonts w:ascii="Rockwell" w:eastAsia="Calibri" w:hAnsi="Rockwell" w:cs="Arial"/>
                <w:sz w:val="28"/>
                <w:szCs w:val="28"/>
                <w:lang w:eastAsia="en-US"/>
              </w:rPr>
              <w:t xml:space="preserve">du </w:t>
            </w:r>
            <w:r>
              <w:rPr>
                <w:rFonts w:ascii="Rockwell" w:eastAsia="Calibri" w:hAnsi="Rockwell" w:cs="Arial"/>
                <w:b/>
                <w:sz w:val="28"/>
                <w:szCs w:val="28"/>
                <w:lang w:eastAsia="en-US"/>
              </w:rPr>
              <w:t xml:space="preserve">10 mai </w:t>
            </w:r>
            <w:proofErr w:type="gramStart"/>
            <w:r>
              <w:rPr>
                <w:rFonts w:ascii="Rockwell" w:eastAsia="Calibri" w:hAnsi="Rockwell" w:cs="Arial"/>
                <w:b/>
                <w:sz w:val="28"/>
                <w:szCs w:val="28"/>
                <w:lang w:eastAsia="en-US"/>
              </w:rPr>
              <w:t xml:space="preserve">2022 </w:t>
            </w:r>
            <w:r>
              <w:rPr>
                <w:rFonts w:ascii="Rockwell" w:eastAsia="Calibri" w:hAnsi="Rockwell" w:cs="Arial"/>
                <w:sz w:val="28"/>
                <w:szCs w:val="28"/>
                <w:lang w:eastAsia="en-US"/>
              </w:rPr>
              <w:t xml:space="preserve"> Portant</w:t>
            </w:r>
            <w:proofErr w:type="gramEnd"/>
            <w:r>
              <w:rPr>
                <w:rFonts w:ascii="Rockwell" w:eastAsia="Calibri" w:hAnsi="Rockwell" w:cs="Arial"/>
                <w:sz w:val="28"/>
                <w:szCs w:val="28"/>
                <w:lang w:eastAsia="en-US"/>
              </w:rPr>
              <w:t xml:space="preserve"> mise en place d’un comité de rédaction du rapport public 2021 du Conseil supérieur de la communication</w:t>
            </w:r>
          </w:p>
        </w:tc>
      </w:tr>
      <w:tr w:rsidR="00284822" w14:paraId="30758622" w14:textId="77777777">
        <w:trPr>
          <w:trHeight w:val="884"/>
        </w:trPr>
        <w:tc>
          <w:tcPr>
            <w:tcW w:w="851" w:type="dxa"/>
            <w:shd w:val="clear" w:color="auto" w:fill="auto"/>
            <w:vAlign w:val="center"/>
          </w:tcPr>
          <w:p w14:paraId="493CF79E" w14:textId="77777777" w:rsidR="00284822" w:rsidRDefault="00F77BF8">
            <w:pPr>
              <w:suppressAutoHyphens w:val="0"/>
              <w:autoSpaceDN/>
              <w:spacing w:before="120" w:after="120"/>
              <w:textAlignment w:val="auto"/>
              <w:rPr>
                <w:rFonts w:ascii="Rockwell" w:eastAsia="Calibri" w:hAnsi="Rockwell" w:cs="Arial"/>
                <w:sz w:val="28"/>
                <w:szCs w:val="28"/>
                <w:lang w:eastAsia="en-US"/>
              </w:rPr>
            </w:pPr>
            <w:r>
              <w:rPr>
                <w:rFonts w:ascii="Rockwell" w:eastAsia="Calibri" w:hAnsi="Rockwell" w:cs="Arial"/>
                <w:sz w:val="28"/>
                <w:szCs w:val="28"/>
                <w:lang w:eastAsia="en-US"/>
              </w:rPr>
              <w:t>06</w:t>
            </w:r>
          </w:p>
        </w:tc>
        <w:tc>
          <w:tcPr>
            <w:tcW w:w="14175" w:type="dxa"/>
            <w:shd w:val="clear" w:color="auto" w:fill="auto"/>
            <w:vAlign w:val="center"/>
          </w:tcPr>
          <w:p w14:paraId="42F447DB" w14:textId="77777777" w:rsidR="00284822" w:rsidRDefault="00F77BF8">
            <w:pPr>
              <w:suppressAutoHyphens w:val="0"/>
              <w:autoSpaceDN/>
              <w:spacing w:before="120" w:after="120"/>
              <w:textAlignment w:val="auto"/>
              <w:rPr>
                <w:rFonts w:ascii="Rockwell" w:eastAsia="Calibri" w:hAnsi="Rockwell" w:cs="Arial"/>
                <w:sz w:val="28"/>
                <w:szCs w:val="28"/>
                <w:lang w:eastAsia="en-US"/>
              </w:rPr>
            </w:pPr>
            <w:r>
              <w:rPr>
                <w:rFonts w:ascii="Rockwell" w:eastAsia="Calibri" w:hAnsi="Rockwell" w:cs="Arial"/>
                <w:b/>
                <w:sz w:val="28"/>
                <w:szCs w:val="28"/>
                <w:lang w:eastAsia="en-US"/>
              </w:rPr>
              <w:t xml:space="preserve">Arrêté n°2022-005/CSC/SG/DRH </w:t>
            </w:r>
            <w:r>
              <w:rPr>
                <w:rFonts w:ascii="Rockwell" w:eastAsia="Calibri" w:hAnsi="Rockwell" w:cs="Arial"/>
                <w:sz w:val="28"/>
                <w:szCs w:val="28"/>
                <w:lang w:eastAsia="en-US"/>
              </w:rPr>
              <w:t xml:space="preserve">du </w:t>
            </w:r>
            <w:r>
              <w:rPr>
                <w:rFonts w:ascii="Rockwell" w:eastAsia="Calibri" w:hAnsi="Rockwell" w:cs="Arial"/>
                <w:b/>
                <w:sz w:val="28"/>
                <w:szCs w:val="28"/>
                <w:lang w:eastAsia="en-US"/>
              </w:rPr>
              <w:t xml:space="preserve">14 décembre 2022 </w:t>
            </w:r>
            <w:r>
              <w:rPr>
                <w:rFonts w:ascii="Rockwell" w:eastAsia="Calibri" w:hAnsi="Rockwell" w:cs="Arial"/>
                <w:sz w:val="28"/>
                <w:szCs w:val="28"/>
                <w:lang w:eastAsia="en-US"/>
              </w:rPr>
              <w:t>Portant nomination d’un Secrétaire général par intérim au Conseil supérieur de la communication.</w:t>
            </w:r>
          </w:p>
        </w:tc>
      </w:tr>
      <w:tr w:rsidR="00284822" w14:paraId="1FA4062D" w14:textId="77777777">
        <w:trPr>
          <w:trHeight w:val="1216"/>
        </w:trPr>
        <w:tc>
          <w:tcPr>
            <w:tcW w:w="851" w:type="dxa"/>
            <w:shd w:val="clear" w:color="auto" w:fill="auto"/>
            <w:vAlign w:val="center"/>
          </w:tcPr>
          <w:p w14:paraId="27A79D92" w14:textId="77777777" w:rsidR="00284822" w:rsidRDefault="00F77BF8">
            <w:pPr>
              <w:suppressAutoHyphens w:val="0"/>
              <w:autoSpaceDN/>
              <w:spacing w:before="120" w:after="120"/>
              <w:textAlignment w:val="auto"/>
              <w:rPr>
                <w:rFonts w:ascii="Rockwell" w:eastAsia="Calibri" w:hAnsi="Rockwell" w:cs="Arial"/>
                <w:sz w:val="28"/>
                <w:szCs w:val="28"/>
                <w:lang w:eastAsia="en-US"/>
              </w:rPr>
            </w:pPr>
            <w:r>
              <w:rPr>
                <w:rFonts w:ascii="Rockwell" w:eastAsia="Calibri" w:hAnsi="Rockwell" w:cs="Arial"/>
                <w:sz w:val="28"/>
                <w:szCs w:val="28"/>
                <w:lang w:eastAsia="en-US"/>
              </w:rPr>
              <w:lastRenderedPageBreak/>
              <w:t>07</w:t>
            </w:r>
          </w:p>
        </w:tc>
        <w:tc>
          <w:tcPr>
            <w:tcW w:w="14175" w:type="dxa"/>
            <w:shd w:val="clear" w:color="auto" w:fill="auto"/>
            <w:vAlign w:val="center"/>
          </w:tcPr>
          <w:p w14:paraId="6454ADFF" w14:textId="77777777" w:rsidR="00284822" w:rsidRDefault="00F77BF8">
            <w:pPr>
              <w:suppressAutoHyphens w:val="0"/>
              <w:autoSpaceDN/>
              <w:spacing w:before="120" w:after="120"/>
              <w:textAlignment w:val="auto"/>
              <w:rPr>
                <w:rFonts w:ascii="Rockwell" w:eastAsia="Calibri" w:hAnsi="Rockwell" w:cs="Arial"/>
                <w:b/>
                <w:sz w:val="28"/>
                <w:szCs w:val="28"/>
                <w:lang w:eastAsia="en-US"/>
              </w:rPr>
            </w:pPr>
            <w:r>
              <w:rPr>
                <w:rFonts w:ascii="Rockwell" w:eastAsia="Calibri" w:hAnsi="Rockwell" w:cs="Arial"/>
                <w:b/>
                <w:sz w:val="28"/>
                <w:szCs w:val="28"/>
                <w:lang w:eastAsia="en-US"/>
              </w:rPr>
              <w:t xml:space="preserve">Arrêté n°2022-008/CSC/CAB </w:t>
            </w:r>
            <w:r>
              <w:rPr>
                <w:rFonts w:ascii="Rockwell" w:eastAsia="Calibri" w:hAnsi="Rockwell" w:cs="Arial"/>
                <w:sz w:val="28"/>
                <w:szCs w:val="28"/>
                <w:lang w:eastAsia="en-US"/>
              </w:rPr>
              <w:t xml:space="preserve">du </w:t>
            </w:r>
            <w:r>
              <w:rPr>
                <w:rFonts w:ascii="Rockwell" w:eastAsia="Calibri" w:hAnsi="Rockwell" w:cs="Arial"/>
                <w:b/>
                <w:sz w:val="28"/>
                <w:szCs w:val="28"/>
                <w:lang w:eastAsia="en-US"/>
              </w:rPr>
              <w:t xml:space="preserve">22 février 2022 </w:t>
            </w:r>
            <w:r>
              <w:rPr>
                <w:rFonts w:ascii="Rockwell" w:eastAsia="Calibri" w:hAnsi="Rockwell" w:cs="Arial"/>
                <w:sz w:val="28"/>
                <w:szCs w:val="28"/>
                <w:lang w:eastAsia="en-US"/>
              </w:rPr>
              <w:t>Portant reconduction d’autorisation d’exploitation de services de radiodiffusion télévisuelle à caractère confessionnel accordée à la Mission Biblique Internationale d’Intercession et d’Evangélisation (MBIIE)</w:t>
            </w:r>
          </w:p>
        </w:tc>
      </w:tr>
      <w:tr w:rsidR="00284822" w14:paraId="198218A5" w14:textId="77777777">
        <w:trPr>
          <w:trHeight w:val="876"/>
        </w:trPr>
        <w:tc>
          <w:tcPr>
            <w:tcW w:w="851" w:type="dxa"/>
            <w:shd w:val="clear" w:color="auto" w:fill="5B9BD5"/>
            <w:vAlign w:val="center"/>
          </w:tcPr>
          <w:p w14:paraId="728DAD75" w14:textId="77777777" w:rsidR="00284822" w:rsidRDefault="00284822">
            <w:pPr>
              <w:suppressAutoHyphens w:val="0"/>
              <w:autoSpaceDN/>
              <w:spacing w:before="120" w:after="120"/>
              <w:textAlignment w:val="auto"/>
              <w:rPr>
                <w:rFonts w:ascii="Rockwell" w:eastAsia="Calibri" w:hAnsi="Rockwell" w:cs="Arial"/>
                <w:sz w:val="28"/>
                <w:szCs w:val="28"/>
                <w:lang w:eastAsia="en-US"/>
              </w:rPr>
            </w:pPr>
          </w:p>
        </w:tc>
        <w:tc>
          <w:tcPr>
            <w:tcW w:w="14175" w:type="dxa"/>
            <w:shd w:val="clear" w:color="auto" w:fill="5B9BD5"/>
            <w:vAlign w:val="center"/>
          </w:tcPr>
          <w:p w14:paraId="40445BCA" w14:textId="77777777" w:rsidR="00284822" w:rsidRDefault="00F77BF8">
            <w:pPr>
              <w:suppressAutoHyphens w:val="0"/>
              <w:autoSpaceDN/>
              <w:spacing w:before="120" w:after="120"/>
              <w:jc w:val="center"/>
              <w:textAlignment w:val="auto"/>
              <w:rPr>
                <w:rFonts w:ascii="Rockwell" w:hAnsi="Rockwell" w:cs="Arial"/>
                <w:b/>
                <w:iCs/>
                <w:sz w:val="40"/>
                <w:szCs w:val="40"/>
                <w:lang w:val="en-US"/>
              </w:rPr>
            </w:pPr>
            <w:r>
              <w:rPr>
                <w:rFonts w:ascii="Rockwell" w:hAnsi="Rockwell" w:cs="Arial"/>
                <w:b/>
                <w:iCs/>
                <w:sz w:val="40"/>
                <w:szCs w:val="40"/>
                <w:lang w:val="en-US"/>
              </w:rPr>
              <w:t xml:space="preserve">R E C O M </w:t>
            </w:r>
            <w:proofErr w:type="spellStart"/>
            <w:r>
              <w:rPr>
                <w:rFonts w:ascii="Rockwell" w:hAnsi="Rockwell" w:cs="Arial"/>
                <w:b/>
                <w:iCs/>
                <w:sz w:val="40"/>
                <w:szCs w:val="40"/>
                <w:lang w:val="en-US"/>
              </w:rPr>
              <w:t>M</w:t>
            </w:r>
            <w:proofErr w:type="spellEnd"/>
            <w:r>
              <w:rPr>
                <w:rFonts w:ascii="Rockwell" w:hAnsi="Rockwell" w:cs="Arial"/>
                <w:b/>
                <w:iCs/>
                <w:sz w:val="40"/>
                <w:szCs w:val="40"/>
                <w:lang w:val="en-US"/>
              </w:rPr>
              <w:t xml:space="preserve"> A N D A T I O N</w:t>
            </w:r>
          </w:p>
        </w:tc>
      </w:tr>
      <w:tr w:rsidR="00284822" w14:paraId="18F57052" w14:textId="77777777">
        <w:trPr>
          <w:trHeight w:val="365"/>
        </w:trPr>
        <w:tc>
          <w:tcPr>
            <w:tcW w:w="851" w:type="dxa"/>
            <w:shd w:val="clear" w:color="auto" w:fill="auto"/>
            <w:vAlign w:val="center"/>
          </w:tcPr>
          <w:p w14:paraId="2EF837A0" w14:textId="77777777" w:rsidR="00284822" w:rsidRDefault="00F77BF8">
            <w:pPr>
              <w:suppressAutoHyphens w:val="0"/>
              <w:autoSpaceDN/>
              <w:spacing w:before="120" w:after="120"/>
              <w:textAlignment w:val="auto"/>
              <w:rPr>
                <w:rFonts w:ascii="Rockwell" w:eastAsia="Calibri" w:hAnsi="Rockwell" w:cs="Arial"/>
                <w:sz w:val="28"/>
                <w:szCs w:val="28"/>
                <w:lang w:eastAsia="en-US"/>
              </w:rPr>
            </w:pPr>
            <w:r>
              <w:rPr>
                <w:rFonts w:ascii="Rockwell" w:eastAsia="Calibri" w:hAnsi="Rockwell" w:cs="Arial"/>
                <w:sz w:val="28"/>
                <w:szCs w:val="28"/>
                <w:lang w:eastAsia="en-US"/>
              </w:rPr>
              <w:t>01</w:t>
            </w:r>
          </w:p>
        </w:tc>
        <w:tc>
          <w:tcPr>
            <w:tcW w:w="14175" w:type="dxa"/>
            <w:shd w:val="clear" w:color="auto" w:fill="auto"/>
            <w:vAlign w:val="center"/>
          </w:tcPr>
          <w:p w14:paraId="037ACC1F" w14:textId="77777777" w:rsidR="00284822" w:rsidRDefault="00F77BF8">
            <w:pPr>
              <w:suppressAutoHyphens w:val="0"/>
              <w:autoSpaceDN/>
              <w:spacing w:before="120" w:after="120"/>
              <w:jc w:val="left"/>
              <w:textAlignment w:val="auto"/>
              <w:rPr>
                <w:rFonts w:ascii="Rockwell" w:hAnsi="Rockwell" w:cs="Arial"/>
                <w:iCs/>
                <w:sz w:val="28"/>
                <w:szCs w:val="28"/>
              </w:rPr>
            </w:pPr>
            <w:r>
              <w:rPr>
                <w:rFonts w:ascii="Rockwell" w:hAnsi="Rockwell" w:cs="Arial"/>
                <w:b/>
                <w:iCs/>
                <w:sz w:val="28"/>
                <w:szCs w:val="28"/>
              </w:rPr>
              <w:t xml:space="preserve">Recommandation du 19 avril 2022 </w:t>
            </w:r>
            <w:r>
              <w:rPr>
                <w:rFonts w:ascii="Rockwell" w:hAnsi="Rockwell" w:cs="Arial"/>
                <w:iCs/>
                <w:sz w:val="28"/>
                <w:szCs w:val="28"/>
              </w:rPr>
              <w:t>relative au média en ligne « </w:t>
            </w:r>
            <w:r>
              <w:rPr>
                <w:rFonts w:ascii="Rockwell" w:hAnsi="Rockwell" w:cs="Arial"/>
                <w:b/>
                <w:iCs/>
                <w:sz w:val="28"/>
                <w:szCs w:val="28"/>
              </w:rPr>
              <w:t>Faso-actu.net</w:t>
            </w:r>
            <w:r>
              <w:rPr>
                <w:rFonts w:ascii="Rockwell" w:hAnsi="Rockwell" w:cs="Arial"/>
                <w:iCs/>
                <w:sz w:val="28"/>
                <w:szCs w:val="28"/>
              </w:rPr>
              <w:t xml:space="preserve"> » reconnu du CSC suivant transmission de son récépissé n°3718/CAO-TGI/OUA/P. F du 19 septembre 2016, à la bienveillante attention du Fonds d’Appui à la Presse Privée (FAPP). </w:t>
            </w:r>
          </w:p>
        </w:tc>
      </w:tr>
    </w:tbl>
    <w:p w14:paraId="1AE2AFF7" w14:textId="77777777" w:rsidR="00284822" w:rsidRDefault="00284822">
      <w:pPr>
        <w:suppressAutoHyphens w:val="0"/>
        <w:autoSpaceDN/>
        <w:spacing w:before="120" w:after="120"/>
        <w:ind w:left="-284"/>
        <w:jc w:val="left"/>
        <w:textAlignment w:val="auto"/>
        <w:rPr>
          <w:rFonts w:ascii="Rockwell" w:eastAsia="Calibri" w:hAnsi="Rockwell"/>
          <w:sz w:val="28"/>
          <w:szCs w:val="28"/>
          <w:lang w:eastAsia="en-US"/>
        </w:rPr>
      </w:pPr>
    </w:p>
    <w:p w14:paraId="058556B9" w14:textId="77777777" w:rsidR="00284822" w:rsidRDefault="00284822">
      <w:pPr>
        <w:spacing w:before="120" w:after="120"/>
        <w:textAlignment w:val="auto"/>
        <w:rPr>
          <w:rFonts w:ascii="Rockwell" w:hAnsi="Rockwell"/>
          <w:sz w:val="28"/>
          <w:szCs w:val="28"/>
        </w:rPr>
      </w:pPr>
    </w:p>
    <w:p w14:paraId="675CAF54" w14:textId="77777777" w:rsidR="00284822" w:rsidRDefault="00284822">
      <w:pPr>
        <w:spacing w:before="120" w:after="120"/>
        <w:textAlignment w:val="auto"/>
        <w:rPr>
          <w:rFonts w:ascii="Rockwell" w:hAnsi="Rockwell"/>
          <w:sz w:val="28"/>
          <w:szCs w:val="28"/>
        </w:rPr>
      </w:pPr>
    </w:p>
    <w:p w14:paraId="69BF053A" w14:textId="77777777" w:rsidR="00284822" w:rsidRDefault="00284822">
      <w:pPr>
        <w:spacing w:before="120" w:after="120"/>
        <w:textAlignment w:val="auto"/>
        <w:rPr>
          <w:rFonts w:ascii="Rockwell" w:hAnsi="Rockwell"/>
          <w:szCs w:val="26"/>
        </w:rPr>
      </w:pPr>
    </w:p>
    <w:p w14:paraId="6038687F" w14:textId="77777777" w:rsidR="00284822" w:rsidRDefault="00284822">
      <w:pPr>
        <w:spacing w:before="120" w:after="120"/>
        <w:textAlignment w:val="auto"/>
        <w:rPr>
          <w:rFonts w:ascii="Rockwell" w:hAnsi="Rockwell"/>
          <w:szCs w:val="26"/>
        </w:rPr>
      </w:pPr>
    </w:p>
    <w:p w14:paraId="6F0DB596" w14:textId="77777777" w:rsidR="00284822" w:rsidRDefault="00284822">
      <w:pPr>
        <w:spacing w:before="120" w:after="120"/>
        <w:textAlignment w:val="auto"/>
        <w:rPr>
          <w:rFonts w:ascii="Rockwell" w:hAnsi="Rockwell"/>
          <w:szCs w:val="26"/>
        </w:rPr>
      </w:pPr>
    </w:p>
    <w:p w14:paraId="30E633CF" w14:textId="77777777" w:rsidR="00284822" w:rsidRDefault="00284822">
      <w:pPr>
        <w:spacing w:before="120" w:after="120"/>
        <w:textAlignment w:val="auto"/>
        <w:rPr>
          <w:rFonts w:ascii="Rockwell" w:hAnsi="Rockwell"/>
          <w:szCs w:val="26"/>
        </w:rPr>
        <w:sectPr w:rsidR="00284822">
          <w:pgSz w:w="16838" w:h="11906" w:orient="landscape"/>
          <w:pgMar w:top="1418" w:right="1418" w:bottom="1418" w:left="1418" w:header="720" w:footer="720" w:gutter="0"/>
          <w:cols w:space="720"/>
        </w:sectPr>
      </w:pPr>
    </w:p>
    <w:p w14:paraId="7BFC3971" w14:textId="77777777" w:rsidR="00284822" w:rsidRDefault="00F77BF8">
      <w:pPr>
        <w:spacing w:before="120" w:after="120"/>
        <w:textAlignment w:val="auto"/>
        <w:rPr>
          <w:rFonts w:ascii="Rockwell" w:hAnsi="Rockwell"/>
          <w:szCs w:val="26"/>
        </w:rPr>
      </w:pPr>
      <w:r>
        <w:rPr>
          <w:rFonts w:ascii="Rockwell" w:hAnsi="Rockwell"/>
          <w:noProof/>
        </w:rPr>
        <w:lastRenderedPageBreak/>
        <mc:AlternateContent>
          <mc:Choice Requires="wps">
            <w:drawing>
              <wp:anchor distT="0" distB="0" distL="114300" distR="114300" simplePos="0" relativeHeight="251669504" behindDoc="0" locked="0" layoutInCell="1" allowOverlap="1" wp14:anchorId="33630DEE" wp14:editId="298307AE">
                <wp:simplePos x="0" y="0"/>
                <wp:positionH relativeFrom="margin">
                  <wp:posOffset>-24130</wp:posOffset>
                </wp:positionH>
                <wp:positionV relativeFrom="paragraph">
                  <wp:posOffset>2728595</wp:posOffset>
                </wp:positionV>
                <wp:extent cx="6066790" cy="1704975"/>
                <wp:effectExtent l="19050" t="19050" r="10160" b="28575"/>
                <wp:wrapNone/>
                <wp:docPr id="35" name="Rectangle 8"/>
                <wp:cNvGraphicFramePr/>
                <a:graphic xmlns:a="http://schemas.openxmlformats.org/drawingml/2006/main">
                  <a:graphicData uri="http://schemas.microsoft.com/office/word/2010/wordprocessingShape">
                    <wps:wsp>
                      <wps:cNvSpPr/>
                      <wps:spPr>
                        <a:xfrm>
                          <a:off x="0" y="0"/>
                          <a:ext cx="6066790" cy="1704975"/>
                        </a:xfrm>
                        <a:prstGeom prst="rect">
                          <a:avLst/>
                        </a:prstGeom>
                        <a:solidFill>
                          <a:sysClr val="window" lastClr="FFFFFF"/>
                        </a:solidFill>
                        <a:ln w="28575" cap="flat" cmpd="sng" algn="ctr">
                          <a:solidFill>
                            <a:srgbClr val="00B0F0"/>
                          </a:solidFill>
                          <a:prstDash val="lgDashDot"/>
                          <a:miter lim="800000"/>
                        </a:ln>
                        <a:effectLst/>
                      </wps:spPr>
                      <wps:txbx>
                        <w:txbxContent>
                          <w:p w14:paraId="68917AC1" w14:textId="77777777" w:rsidR="003148F1" w:rsidRDefault="003148F1">
                            <w:pPr>
                              <w:jc w:val="center"/>
                              <w:rPr>
                                <w:rFonts w:ascii="Rockwell" w:hAnsi="Rockwell"/>
                                <w:b/>
                                <w:sz w:val="32"/>
                                <w:szCs w:val="32"/>
                              </w:rPr>
                            </w:pPr>
                            <w:r>
                              <w:rPr>
                                <w:rFonts w:ascii="Rockwell" w:hAnsi="Rockwell"/>
                                <w:b/>
                                <w:sz w:val="32"/>
                                <w:szCs w:val="32"/>
                              </w:rPr>
                              <w:t xml:space="preserve">ANNEXE 5. : STATISTIQUES DE DONNEES </w:t>
                            </w:r>
                          </w:p>
                          <w:p w14:paraId="301F3121" w14:textId="77777777" w:rsidR="003148F1" w:rsidRDefault="003148F1">
                            <w:pPr>
                              <w:jc w:val="center"/>
                              <w:rPr>
                                <w:rFonts w:ascii="Rockwell" w:hAnsi="Rockwell"/>
                                <w:b/>
                                <w:sz w:val="32"/>
                                <w:szCs w:val="32"/>
                              </w:rPr>
                            </w:pPr>
                            <w:r>
                              <w:rPr>
                                <w:rFonts w:ascii="Rockwell" w:hAnsi="Rockwell"/>
                                <w:b/>
                                <w:sz w:val="32"/>
                                <w:szCs w:val="32"/>
                              </w:rPr>
                              <w:t>DES QUOTIDIENS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V relativeFrom="margin">
                  <wp14:pctHeight>0</wp14:pctHeight>
                </wp14:sizeRelV>
              </wp:anchor>
            </w:drawing>
          </mc:Choice>
          <mc:Fallback>
            <w:pict>
              <v:rect w14:anchorId="33630DEE" id="_x0000_s1048" style="position:absolute;left:0;text-align:left;margin-left:-1.9pt;margin-top:214.85pt;width:477.7pt;height:134.25pt;z-index:2516695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" fillcolor="window" strokecolor="#00b0f0" strokeweight="2.25pt">
                <v:stroke dashstyle="longDashDot"/>
                <v:textbox>
                  <w:txbxContent>
                    <w:p w14:paraId="68917AC1" w14:textId="77777777" w:rsidR="003148F1" w:rsidRDefault="003148F1">
                      <w:pPr>
                        <w:jc w:val="center"/>
                        <w:rPr>
                          <w:rFonts w:ascii="Rockwell" w:hAnsi="Rockwell"/>
                          <w:b/>
                          <w:sz w:val="32"/>
                          <w:szCs w:val="32"/>
                        </w:rPr>
                      </w:pPr>
                      <w:r>
                        <w:rPr>
                          <w:rFonts w:ascii="Rockwell" w:hAnsi="Rockwell"/>
                          <w:b/>
                          <w:sz w:val="32"/>
                          <w:szCs w:val="32"/>
                        </w:rPr>
                        <w:t xml:space="preserve">ANNEXE 5. : STATISTIQUES DE DONNEES </w:t>
                      </w:r>
                    </w:p>
                    <w:p w14:paraId="301F3121" w14:textId="77777777" w:rsidR="003148F1" w:rsidRDefault="003148F1">
                      <w:pPr>
                        <w:jc w:val="center"/>
                        <w:rPr>
                          <w:rFonts w:ascii="Rockwell" w:hAnsi="Rockwell"/>
                          <w:b/>
                          <w:sz w:val="32"/>
                          <w:szCs w:val="32"/>
                        </w:rPr>
                      </w:pPr>
                      <w:r>
                        <w:rPr>
                          <w:rFonts w:ascii="Rockwell" w:hAnsi="Rockwell"/>
                          <w:b/>
                          <w:sz w:val="32"/>
                          <w:szCs w:val="32"/>
                        </w:rPr>
                        <w:t>DES QUOTIDIENS</w:t>
                      </w:r>
                    </w:p>
                  </w:txbxContent>
                </v:textbox>
                <w10:wrap anchorx="margin"/>
              </v:rect>
            </w:pict>
          </mc:Fallback>
        </mc:AlternateContent>
      </w:r>
    </w:p>
    <w:p w14:paraId="1E327C10" w14:textId="77777777" w:rsidR="00284822" w:rsidRDefault="00284822">
      <w:pPr>
        <w:spacing w:before="120" w:after="120"/>
        <w:textAlignment w:val="auto"/>
        <w:rPr>
          <w:rFonts w:ascii="Rockwell" w:hAnsi="Rockwell"/>
          <w:szCs w:val="26"/>
        </w:rPr>
        <w:sectPr w:rsidR="00284822">
          <w:pgSz w:w="11906" w:h="16838"/>
          <w:pgMar w:top="1418" w:right="1418" w:bottom="1418" w:left="1418" w:header="720" w:footer="720" w:gutter="0"/>
          <w:cols w:space="720"/>
        </w:sectPr>
      </w:pPr>
    </w:p>
    <w:tbl>
      <w:tblPr>
        <w:tblW w:w="160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10" w:type="dxa"/>
          <w:right w:w="10" w:type="dxa"/>
        </w:tblCellMar>
        <w:tblLook w:val="04A0" w:firstRow="1" w:lastRow="0" w:firstColumn="1" w:lastColumn="0" w:noHBand="0" w:noVBand="1"/>
      </w:tblPr>
      <w:tblGrid>
        <w:gridCol w:w="988"/>
        <w:gridCol w:w="1559"/>
        <w:gridCol w:w="850"/>
        <w:gridCol w:w="993"/>
        <w:gridCol w:w="657"/>
        <w:gridCol w:w="1044"/>
        <w:gridCol w:w="708"/>
        <w:gridCol w:w="993"/>
        <w:gridCol w:w="626"/>
        <w:gridCol w:w="1075"/>
        <w:gridCol w:w="567"/>
        <w:gridCol w:w="992"/>
        <w:gridCol w:w="709"/>
        <w:gridCol w:w="992"/>
        <w:gridCol w:w="850"/>
        <w:gridCol w:w="993"/>
        <w:gridCol w:w="567"/>
        <w:gridCol w:w="850"/>
      </w:tblGrid>
      <w:tr w:rsidR="00284822" w14:paraId="38CA4907" w14:textId="77777777" w:rsidTr="00EC515D">
        <w:trPr>
          <w:trHeight w:val="410"/>
          <w:jc w:val="center"/>
        </w:trPr>
        <w:tc>
          <w:tcPr>
            <w:tcW w:w="988" w:type="dxa"/>
            <w:vMerge w:val="restart"/>
            <w:shd w:val="clear" w:color="auto" w:fill="9CC2E5" w:themeFill="accent1" w:themeFillTint="99"/>
            <w:noWrap/>
            <w:tcMar>
              <w:top w:w="0" w:type="dxa"/>
              <w:left w:w="108" w:type="dxa"/>
              <w:bottom w:w="0" w:type="dxa"/>
              <w:right w:w="108" w:type="dxa"/>
            </w:tcMar>
          </w:tcPr>
          <w:p w14:paraId="61748373" w14:textId="77777777" w:rsidR="00284822" w:rsidRDefault="00F77BF8">
            <w:pPr>
              <w:jc w:val="center"/>
              <w:rPr>
                <w:rFonts w:ascii="Rockwell" w:hAnsi="Rockwell"/>
                <w:sz w:val="20"/>
                <w:szCs w:val="20"/>
              </w:rPr>
            </w:pPr>
            <w:r>
              <w:rPr>
                <w:rFonts w:ascii="Rockwell" w:hAnsi="Rockwell"/>
                <w:b/>
                <w:sz w:val="20"/>
                <w:szCs w:val="20"/>
              </w:rPr>
              <w:lastRenderedPageBreak/>
              <w:t>RANG</w:t>
            </w:r>
          </w:p>
        </w:tc>
        <w:tc>
          <w:tcPr>
            <w:tcW w:w="1559" w:type="dxa"/>
            <w:vMerge w:val="restart"/>
            <w:shd w:val="clear" w:color="auto" w:fill="9CC2E5" w:themeFill="accent1" w:themeFillTint="99"/>
            <w:tcMar>
              <w:top w:w="0" w:type="dxa"/>
              <w:left w:w="108" w:type="dxa"/>
              <w:bottom w:w="0" w:type="dxa"/>
              <w:right w:w="108" w:type="dxa"/>
            </w:tcMar>
          </w:tcPr>
          <w:p w14:paraId="4DE3CE42" w14:textId="77777777" w:rsidR="00284822" w:rsidRDefault="00F77BF8">
            <w:pPr>
              <w:jc w:val="left"/>
              <w:rPr>
                <w:rFonts w:ascii="Rockwell" w:hAnsi="Rockwell"/>
                <w:b/>
                <w:bCs/>
                <w:color w:val="000000"/>
                <w:sz w:val="20"/>
                <w:szCs w:val="20"/>
              </w:rPr>
            </w:pPr>
            <w:r>
              <w:rPr>
                <w:rFonts w:ascii="Rockwell" w:hAnsi="Rockwell"/>
                <w:b/>
                <w:bCs/>
                <w:color w:val="000000"/>
                <w:sz w:val="20"/>
                <w:szCs w:val="20"/>
              </w:rPr>
              <w:t>ACTEURS POLITIQUES</w:t>
            </w:r>
          </w:p>
        </w:tc>
        <w:tc>
          <w:tcPr>
            <w:tcW w:w="3544" w:type="dxa"/>
            <w:gridSpan w:val="4"/>
            <w:shd w:val="clear" w:color="auto" w:fill="9CC2E5" w:themeFill="accent1" w:themeFillTint="99"/>
            <w:tcMar>
              <w:top w:w="0" w:type="dxa"/>
              <w:left w:w="108" w:type="dxa"/>
              <w:bottom w:w="0" w:type="dxa"/>
              <w:right w:w="108" w:type="dxa"/>
            </w:tcMar>
          </w:tcPr>
          <w:p w14:paraId="376CA101" w14:textId="77777777" w:rsidR="00284822" w:rsidRDefault="003148F1">
            <w:pPr>
              <w:jc w:val="center"/>
              <w:rPr>
                <w:rFonts w:ascii="Rockwell" w:hAnsi="Rockwell"/>
                <w:sz w:val="20"/>
                <w:szCs w:val="20"/>
              </w:rPr>
            </w:pPr>
            <w:hyperlink r:id="rId302" w:history="1">
              <w:r w:rsidR="00F77BF8">
                <w:rPr>
                  <w:rFonts w:ascii="Rockwell" w:hAnsi="Rockwell"/>
                  <w:b/>
                  <w:sz w:val="20"/>
                  <w:szCs w:val="20"/>
                </w:rPr>
                <w:t xml:space="preserve">AUJOURD'HUI </w:t>
              </w:r>
              <w:bookmarkStart w:id="426" w:name="_Hlt141259900"/>
              <w:bookmarkStart w:id="427" w:name="_Hlt141259899"/>
              <w:bookmarkEnd w:id="426"/>
              <w:bookmarkEnd w:id="427"/>
              <w:r w:rsidR="00F77BF8">
                <w:rPr>
                  <w:rFonts w:ascii="Rockwell" w:hAnsi="Rockwell"/>
                  <w:b/>
                  <w:sz w:val="20"/>
                  <w:szCs w:val="20"/>
                </w:rPr>
                <w:t>AU FASO</w:t>
              </w:r>
            </w:hyperlink>
          </w:p>
        </w:tc>
        <w:tc>
          <w:tcPr>
            <w:tcW w:w="3402" w:type="dxa"/>
            <w:gridSpan w:val="4"/>
            <w:shd w:val="clear" w:color="auto" w:fill="9CC2E5" w:themeFill="accent1" w:themeFillTint="99"/>
            <w:tcMar>
              <w:top w:w="0" w:type="dxa"/>
              <w:left w:w="108" w:type="dxa"/>
              <w:bottom w:w="0" w:type="dxa"/>
              <w:right w:w="108" w:type="dxa"/>
            </w:tcMar>
          </w:tcPr>
          <w:p w14:paraId="5D6973D6" w14:textId="77777777" w:rsidR="00284822" w:rsidRDefault="00F77BF8">
            <w:pPr>
              <w:jc w:val="center"/>
              <w:rPr>
                <w:rFonts w:ascii="Rockwell" w:hAnsi="Rockwell"/>
                <w:b/>
                <w:sz w:val="20"/>
                <w:szCs w:val="20"/>
              </w:rPr>
            </w:pPr>
            <w:r>
              <w:rPr>
                <w:rFonts w:ascii="Rockwell" w:hAnsi="Rockwell"/>
                <w:b/>
                <w:sz w:val="20"/>
                <w:szCs w:val="20"/>
              </w:rPr>
              <w:t>L'EXPRESS DU FASO</w:t>
            </w:r>
          </w:p>
        </w:tc>
        <w:tc>
          <w:tcPr>
            <w:tcW w:w="3260" w:type="dxa"/>
            <w:gridSpan w:val="4"/>
            <w:shd w:val="clear" w:color="auto" w:fill="9CC2E5" w:themeFill="accent1" w:themeFillTint="99"/>
            <w:tcMar>
              <w:top w:w="0" w:type="dxa"/>
              <w:left w:w="108" w:type="dxa"/>
              <w:bottom w:w="0" w:type="dxa"/>
              <w:right w:w="108" w:type="dxa"/>
            </w:tcMar>
          </w:tcPr>
          <w:p w14:paraId="318DB5BB" w14:textId="77777777" w:rsidR="00284822" w:rsidRDefault="00F77BF8">
            <w:pPr>
              <w:jc w:val="center"/>
              <w:rPr>
                <w:rFonts w:ascii="Rockwell" w:hAnsi="Rockwell"/>
                <w:b/>
                <w:sz w:val="20"/>
                <w:szCs w:val="20"/>
              </w:rPr>
            </w:pPr>
            <w:r>
              <w:rPr>
                <w:rFonts w:ascii="Rockwell" w:hAnsi="Rockwell"/>
                <w:b/>
                <w:sz w:val="20"/>
                <w:szCs w:val="20"/>
              </w:rPr>
              <w:t>L'OBSERVATEUR</w:t>
            </w:r>
          </w:p>
          <w:p w14:paraId="24818A5F" w14:textId="77777777" w:rsidR="00284822" w:rsidRDefault="00F77BF8">
            <w:pPr>
              <w:jc w:val="center"/>
              <w:rPr>
                <w:rFonts w:ascii="Rockwell" w:hAnsi="Rockwell"/>
                <w:b/>
                <w:sz w:val="20"/>
                <w:szCs w:val="20"/>
              </w:rPr>
            </w:pPr>
            <w:r>
              <w:rPr>
                <w:rFonts w:ascii="Rockwell" w:hAnsi="Rockwell"/>
                <w:b/>
                <w:sz w:val="20"/>
                <w:szCs w:val="20"/>
              </w:rPr>
              <w:t>PAALGA</w:t>
            </w:r>
          </w:p>
        </w:tc>
        <w:tc>
          <w:tcPr>
            <w:tcW w:w="3260" w:type="dxa"/>
            <w:gridSpan w:val="4"/>
            <w:shd w:val="clear" w:color="auto" w:fill="9CC2E5" w:themeFill="accent1" w:themeFillTint="99"/>
            <w:tcMar>
              <w:top w:w="0" w:type="dxa"/>
              <w:left w:w="108" w:type="dxa"/>
              <w:bottom w:w="0" w:type="dxa"/>
              <w:right w:w="108" w:type="dxa"/>
            </w:tcMar>
          </w:tcPr>
          <w:p w14:paraId="18A62446" w14:textId="77777777" w:rsidR="00284822" w:rsidRDefault="00F77BF8">
            <w:pPr>
              <w:jc w:val="center"/>
              <w:rPr>
                <w:rFonts w:ascii="Rockwell" w:hAnsi="Rockwell"/>
                <w:b/>
                <w:sz w:val="20"/>
                <w:szCs w:val="20"/>
              </w:rPr>
            </w:pPr>
            <w:r>
              <w:rPr>
                <w:rFonts w:ascii="Rockwell" w:hAnsi="Rockwell"/>
                <w:b/>
                <w:sz w:val="20"/>
                <w:szCs w:val="20"/>
              </w:rPr>
              <w:t>SIDWAYA</w:t>
            </w:r>
          </w:p>
        </w:tc>
      </w:tr>
      <w:tr w:rsidR="00284822" w14:paraId="60937CB8" w14:textId="77777777">
        <w:trPr>
          <w:trHeight w:val="218"/>
          <w:jc w:val="center"/>
        </w:trPr>
        <w:tc>
          <w:tcPr>
            <w:tcW w:w="988" w:type="dxa"/>
            <w:vMerge/>
            <w:shd w:val="clear" w:color="auto" w:fill="9CC2E5" w:themeFill="accent1" w:themeFillTint="99"/>
            <w:noWrap/>
            <w:tcMar>
              <w:top w:w="0" w:type="dxa"/>
              <w:left w:w="108" w:type="dxa"/>
              <w:bottom w:w="0" w:type="dxa"/>
              <w:right w:w="108" w:type="dxa"/>
            </w:tcMar>
          </w:tcPr>
          <w:p w14:paraId="436062D7" w14:textId="77777777" w:rsidR="00284822" w:rsidRDefault="00284822">
            <w:pPr>
              <w:rPr>
                <w:rFonts w:ascii="Rockwell" w:hAnsi="Rockwell"/>
                <w:b/>
                <w:bCs/>
                <w:sz w:val="20"/>
                <w:szCs w:val="20"/>
              </w:rPr>
            </w:pPr>
          </w:p>
        </w:tc>
        <w:tc>
          <w:tcPr>
            <w:tcW w:w="1559" w:type="dxa"/>
            <w:vMerge/>
            <w:shd w:val="clear" w:color="auto" w:fill="9CC2E5" w:themeFill="accent1" w:themeFillTint="99"/>
            <w:tcMar>
              <w:top w:w="0" w:type="dxa"/>
              <w:left w:w="108" w:type="dxa"/>
              <w:bottom w:w="0" w:type="dxa"/>
              <w:right w:w="108" w:type="dxa"/>
            </w:tcMar>
          </w:tcPr>
          <w:p w14:paraId="63BCAF04" w14:textId="77777777" w:rsidR="00284822" w:rsidRDefault="00284822">
            <w:pPr>
              <w:jc w:val="left"/>
              <w:rPr>
                <w:rFonts w:ascii="Rockwell" w:hAnsi="Rockwell"/>
                <w:sz w:val="20"/>
                <w:szCs w:val="20"/>
              </w:rPr>
            </w:pPr>
          </w:p>
        </w:tc>
        <w:tc>
          <w:tcPr>
            <w:tcW w:w="850" w:type="dxa"/>
            <w:shd w:val="clear" w:color="auto" w:fill="9CC2E5" w:themeFill="accent1" w:themeFillTint="99"/>
            <w:tcMar>
              <w:top w:w="0" w:type="dxa"/>
              <w:left w:w="108" w:type="dxa"/>
              <w:bottom w:w="0" w:type="dxa"/>
              <w:right w:w="108" w:type="dxa"/>
            </w:tcMar>
            <w:vAlign w:val="center"/>
          </w:tcPr>
          <w:p w14:paraId="58930F48" w14:textId="77777777" w:rsidR="00284822" w:rsidRDefault="00F77BF8">
            <w:pPr>
              <w:rPr>
                <w:rFonts w:ascii="Rockwell" w:hAnsi="Rockwell"/>
                <w:b/>
                <w:color w:val="000000"/>
                <w:sz w:val="20"/>
                <w:szCs w:val="20"/>
              </w:rPr>
            </w:pPr>
            <w:r>
              <w:rPr>
                <w:rFonts w:ascii="Rockwell" w:hAnsi="Rockwell"/>
                <w:b/>
                <w:color w:val="000000"/>
                <w:sz w:val="20"/>
                <w:szCs w:val="20"/>
              </w:rPr>
              <w:t>NP</w:t>
            </w:r>
          </w:p>
        </w:tc>
        <w:tc>
          <w:tcPr>
            <w:tcW w:w="993" w:type="dxa"/>
            <w:shd w:val="clear" w:color="auto" w:fill="9CC2E5" w:themeFill="accent1" w:themeFillTint="99"/>
            <w:tcMar>
              <w:top w:w="0" w:type="dxa"/>
              <w:left w:w="108" w:type="dxa"/>
              <w:bottom w:w="0" w:type="dxa"/>
              <w:right w:w="108" w:type="dxa"/>
            </w:tcMar>
            <w:vAlign w:val="center"/>
          </w:tcPr>
          <w:p w14:paraId="1CBE2D67" w14:textId="77777777" w:rsidR="00284822" w:rsidRDefault="00F77BF8">
            <w:pPr>
              <w:rPr>
                <w:rFonts w:ascii="Rockwell" w:hAnsi="Rockwell"/>
                <w:b/>
                <w:color w:val="000000"/>
                <w:sz w:val="20"/>
                <w:szCs w:val="20"/>
              </w:rPr>
            </w:pPr>
            <w:r>
              <w:rPr>
                <w:rFonts w:ascii="Rockwell" w:hAnsi="Rockwell"/>
                <w:b/>
                <w:color w:val="000000"/>
                <w:sz w:val="20"/>
                <w:szCs w:val="20"/>
              </w:rPr>
              <w:t>% NP</w:t>
            </w:r>
          </w:p>
        </w:tc>
        <w:tc>
          <w:tcPr>
            <w:tcW w:w="657" w:type="dxa"/>
            <w:shd w:val="clear" w:color="auto" w:fill="9CC2E5" w:themeFill="accent1" w:themeFillTint="99"/>
            <w:tcMar>
              <w:top w:w="0" w:type="dxa"/>
              <w:left w:w="108" w:type="dxa"/>
              <w:bottom w:w="0" w:type="dxa"/>
              <w:right w:w="108" w:type="dxa"/>
            </w:tcMar>
            <w:vAlign w:val="center"/>
          </w:tcPr>
          <w:p w14:paraId="46E07FA4" w14:textId="77777777" w:rsidR="00284822" w:rsidRDefault="00F77BF8">
            <w:pPr>
              <w:rPr>
                <w:rFonts w:ascii="Rockwell" w:hAnsi="Rockwell"/>
                <w:b/>
                <w:color w:val="000000"/>
                <w:sz w:val="20"/>
                <w:szCs w:val="20"/>
              </w:rPr>
            </w:pPr>
            <w:r>
              <w:rPr>
                <w:rFonts w:ascii="Rockwell" w:hAnsi="Rockwell"/>
                <w:b/>
                <w:color w:val="000000"/>
                <w:sz w:val="20"/>
                <w:szCs w:val="20"/>
              </w:rPr>
              <w:t>NI</w:t>
            </w:r>
          </w:p>
        </w:tc>
        <w:tc>
          <w:tcPr>
            <w:tcW w:w="1044" w:type="dxa"/>
            <w:shd w:val="clear" w:color="auto" w:fill="9CC2E5" w:themeFill="accent1" w:themeFillTint="99"/>
            <w:tcMar>
              <w:top w:w="0" w:type="dxa"/>
              <w:left w:w="108" w:type="dxa"/>
              <w:bottom w:w="0" w:type="dxa"/>
              <w:right w:w="108" w:type="dxa"/>
            </w:tcMar>
            <w:vAlign w:val="center"/>
          </w:tcPr>
          <w:p w14:paraId="2D8D8B66" w14:textId="77777777" w:rsidR="00284822" w:rsidRDefault="00F77BF8">
            <w:pPr>
              <w:rPr>
                <w:rFonts w:ascii="Rockwell" w:hAnsi="Rockwell"/>
                <w:b/>
                <w:color w:val="000000"/>
                <w:sz w:val="20"/>
                <w:szCs w:val="20"/>
              </w:rPr>
            </w:pPr>
            <w:r>
              <w:rPr>
                <w:rFonts w:ascii="Rockwell" w:hAnsi="Rockwell"/>
                <w:b/>
                <w:color w:val="000000"/>
                <w:sz w:val="20"/>
                <w:szCs w:val="20"/>
              </w:rPr>
              <w:t>% NI</w:t>
            </w:r>
          </w:p>
        </w:tc>
        <w:tc>
          <w:tcPr>
            <w:tcW w:w="708" w:type="dxa"/>
            <w:shd w:val="clear" w:color="auto" w:fill="9CC2E5" w:themeFill="accent1" w:themeFillTint="99"/>
            <w:tcMar>
              <w:top w:w="0" w:type="dxa"/>
              <w:left w:w="108" w:type="dxa"/>
              <w:bottom w:w="0" w:type="dxa"/>
              <w:right w:w="108" w:type="dxa"/>
            </w:tcMar>
            <w:vAlign w:val="center"/>
          </w:tcPr>
          <w:p w14:paraId="2A299336" w14:textId="77777777" w:rsidR="00284822" w:rsidRDefault="00F77BF8">
            <w:pPr>
              <w:rPr>
                <w:rFonts w:ascii="Rockwell" w:hAnsi="Rockwell"/>
                <w:b/>
                <w:color w:val="000000"/>
                <w:sz w:val="20"/>
                <w:szCs w:val="20"/>
              </w:rPr>
            </w:pPr>
            <w:r>
              <w:rPr>
                <w:rFonts w:ascii="Rockwell" w:hAnsi="Rockwell"/>
                <w:b/>
                <w:color w:val="000000"/>
                <w:sz w:val="20"/>
                <w:szCs w:val="20"/>
              </w:rPr>
              <w:t>NP</w:t>
            </w:r>
          </w:p>
        </w:tc>
        <w:tc>
          <w:tcPr>
            <w:tcW w:w="993" w:type="dxa"/>
            <w:shd w:val="clear" w:color="auto" w:fill="9CC2E5" w:themeFill="accent1" w:themeFillTint="99"/>
            <w:tcMar>
              <w:top w:w="0" w:type="dxa"/>
              <w:left w:w="108" w:type="dxa"/>
              <w:bottom w:w="0" w:type="dxa"/>
              <w:right w:w="108" w:type="dxa"/>
            </w:tcMar>
            <w:vAlign w:val="center"/>
          </w:tcPr>
          <w:p w14:paraId="18013937" w14:textId="77777777" w:rsidR="00284822" w:rsidRDefault="00F77BF8">
            <w:pPr>
              <w:rPr>
                <w:rFonts w:ascii="Rockwell" w:hAnsi="Rockwell"/>
                <w:b/>
                <w:color w:val="000000"/>
                <w:sz w:val="20"/>
                <w:szCs w:val="20"/>
              </w:rPr>
            </w:pPr>
            <w:r>
              <w:rPr>
                <w:rFonts w:ascii="Rockwell" w:hAnsi="Rockwell"/>
                <w:b/>
                <w:color w:val="000000"/>
                <w:sz w:val="20"/>
                <w:szCs w:val="20"/>
              </w:rPr>
              <w:t>% NP</w:t>
            </w:r>
          </w:p>
        </w:tc>
        <w:tc>
          <w:tcPr>
            <w:tcW w:w="626" w:type="dxa"/>
            <w:shd w:val="clear" w:color="auto" w:fill="9CC2E5" w:themeFill="accent1" w:themeFillTint="99"/>
            <w:tcMar>
              <w:top w:w="0" w:type="dxa"/>
              <w:left w:w="108" w:type="dxa"/>
              <w:bottom w:w="0" w:type="dxa"/>
              <w:right w:w="108" w:type="dxa"/>
            </w:tcMar>
            <w:vAlign w:val="center"/>
          </w:tcPr>
          <w:p w14:paraId="01FCA81C" w14:textId="77777777" w:rsidR="00284822" w:rsidRDefault="00F77BF8">
            <w:pPr>
              <w:rPr>
                <w:rFonts w:ascii="Rockwell" w:hAnsi="Rockwell"/>
                <w:b/>
                <w:color w:val="000000"/>
                <w:sz w:val="20"/>
                <w:szCs w:val="20"/>
              </w:rPr>
            </w:pPr>
            <w:r>
              <w:rPr>
                <w:rFonts w:ascii="Rockwell" w:hAnsi="Rockwell"/>
                <w:b/>
                <w:color w:val="000000"/>
                <w:sz w:val="20"/>
                <w:szCs w:val="20"/>
              </w:rPr>
              <w:t>NI</w:t>
            </w:r>
          </w:p>
        </w:tc>
        <w:tc>
          <w:tcPr>
            <w:tcW w:w="1075" w:type="dxa"/>
            <w:shd w:val="clear" w:color="auto" w:fill="9CC2E5" w:themeFill="accent1" w:themeFillTint="99"/>
            <w:tcMar>
              <w:top w:w="0" w:type="dxa"/>
              <w:left w:w="108" w:type="dxa"/>
              <w:bottom w:w="0" w:type="dxa"/>
              <w:right w:w="108" w:type="dxa"/>
            </w:tcMar>
            <w:vAlign w:val="center"/>
          </w:tcPr>
          <w:p w14:paraId="54C9E554" w14:textId="77777777" w:rsidR="00284822" w:rsidRDefault="00F77BF8">
            <w:pPr>
              <w:rPr>
                <w:rFonts w:ascii="Rockwell" w:hAnsi="Rockwell"/>
                <w:b/>
                <w:color w:val="000000"/>
                <w:sz w:val="20"/>
                <w:szCs w:val="20"/>
              </w:rPr>
            </w:pPr>
            <w:r>
              <w:rPr>
                <w:rFonts w:ascii="Rockwell" w:hAnsi="Rockwell"/>
                <w:b/>
                <w:color w:val="000000"/>
                <w:sz w:val="20"/>
                <w:szCs w:val="20"/>
              </w:rPr>
              <w:t>% NI</w:t>
            </w:r>
          </w:p>
        </w:tc>
        <w:tc>
          <w:tcPr>
            <w:tcW w:w="567" w:type="dxa"/>
            <w:shd w:val="clear" w:color="auto" w:fill="9CC2E5" w:themeFill="accent1" w:themeFillTint="99"/>
            <w:tcMar>
              <w:top w:w="0" w:type="dxa"/>
              <w:left w:w="108" w:type="dxa"/>
              <w:bottom w:w="0" w:type="dxa"/>
              <w:right w:w="108" w:type="dxa"/>
            </w:tcMar>
            <w:vAlign w:val="center"/>
          </w:tcPr>
          <w:p w14:paraId="606FB955" w14:textId="77777777" w:rsidR="00284822" w:rsidRDefault="00F77BF8">
            <w:pPr>
              <w:rPr>
                <w:rFonts w:ascii="Rockwell" w:hAnsi="Rockwell"/>
                <w:b/>
                <w:color w:val="000000"/>
                <w:sz w:val="20"/>
                <w:szCs w:val="20"/>
              </w:rPr>
            </w:pPr>
            <w:r>
              <w:rPr>
                <w:rFonts w:ascii="Rockwell" w:hAnsi="Rockwell"/>
                <w:b/>
                <w:color w:val="000000"/>
                <w:sz w:val="20"/>
                <w:szCs w:val="20"/>
              </w:rPr>
              <w:t>NP</w:t>
            </w:r>
          </w:p>
        </w:tc>
        <w:tc>
          <w:tcPr>
            <w:tcW w:w="992" w:type="dxa"/>
            <w:shd w:val="clear" w:color="auto" w:fill="9CC2E5" w:themeFill="accent1" w:themeFillTint="99"/>
            <w:tcMar>
              <w:top w:w="0" w:type="dxa"/>
              <w:left w:w="108" w:type="dxa"/>
              <w:bottom w:w="0" w:type="dxa"/>
              <w:right w:w="108" w:type="dxa"/>
            </w:tcMar>
            <w:vAlign w:val="center"/>
          </w:tcPr>
          <w:p w14:paraId="3925DF5A" w14:textId="77777777" w:rsidR="00284822" w:rsidRDefault="00F77BF8">
            <w:pPr>
              <w:rPr>
                <w:rFonts w:ascii="Rockwell" w:hAnsi="Rockwell"/>
                <w:b/>
                <w:color w:val="000000"/>
                <w:sz w:val="20"/>
                <w:szCs w:val="20"/>
              </w:rPr>
            </w:pPr>
            <w:r>
              <w:rPr>
                <w:rFonts w:ascii="Rockwell" w:hAnsi="Rockwell"/>
                <w:b/>
                <w:color w:val="000000"/>
                <w:sz w:val="20"/>
                <w:szCs w:val="20"/>
              </w:rPr>
              <w:t>% NP</w:t>
            </w:r>
          </w:p>
        </w:tc>
        <w:tc>
          <w:tcPr>
            <w:tcW w:w="709" w:type="dxa"/>
            <w:shd w:val="clear" w:color="auto" w:fill="9CC2E5" w:themeFill="accent1" w:themeFillTint="99"/>
            <w:tcMar>
              <w:top w:w="0" w:type="dxa"/>
              <w:left w:w="108" w:type="dxa"/>
              <w:bottom w:w="0" w:type="dxa"/>
              <w:right w:w="108" w:type="dxa"/>
            </w:tcMar>
            <w:vAlign w:val="center"/>
          </w:tcPr>
          <w:p w14:paraId="7CF641A1" w14:textId="77777777" w:rsidR="00284822" w:rsidRDefault="00F77BF8">
            <w:pPr>
              <w:rPr>
                <w:rFonts w:ascii="Rockwell" w:hAnsi="Rockwell"/>
                <w:b/>
                <w:color w:val="000000"/>
                <w:sz w:val="20"/>
                <w:szCs w:val="20"/>
              </w:rPr>
            </w:pPr>
            <w:r>
              <w:rPr>
                <w:rFonts w:ascii="Rockwell" w:hAnsi="Rockwell"/>
                <w:b/>
                <w:color w:val="000000"/>
                <w:sz w:val="20"/>
                <w:szCs w:val="20"/>
              </w:rPr>
              <w:t>NI</w:t>
            </w:r>
          </w:p>
        </w:tc>
        <w:tc>
          <w:tcPr>
            <w:tcW w:w="992" w:type="dxa"/>
            <w:shd w:val="clear" w:color="auto" w:fill="9CC2E5" w:themeFill="accent1" w:themeFillTint="99"/>
            <w:tcMar>
              <w:top w:w="0" w:type="dxa"/>
              <w:left w:w="108" w:type="dxa"/>
              <w:bottom w:w="0" w:type="dxa"/>
              <w:right w:w="108" w:type="dxa"/>
            </w:tcMar>
            <w:vAlign w:val="center"/>
          </w:tcPr>
          <w:p w14:paraId="0E40B7B3" w14:textId="77777777" w:rsidR="00284822" w:rsidRDefault="00F77BF8">
            <w:pPr>
              <w:rPr>
                <w:rFonts w:ascii="Rockwell" w:hAnsi="Rockwell"/>
                <w:b/>
                <w:color w:val="000000"/>
                <w:sz w:val="20"/>
                <w:szCs w:val="20"/>
              </w:rPr>
            </w:pPr>
            <w:r>
              <w:rPr>
                <w:rFonts w:ascii="Rockwell" w:hAnsi="Rockwell"/>
                <w:b/>
                <w:color w:val="000000"/>
                <w:sz w:val="20"/>
                <w:szCs w:val="20"/>
              </w:rPr>
              <w:t>% NI</w:t>
            </w:r>
          </w:p>
        </w:tc>
        <w:tc>
          <w:tcPr>
            <w:tcW w:w="850" w:type="dxa"/>
            <w:shd w:val="clear" w:color="auto" w:fill="9CC2E5" w:themeFill="accent1" w:themeFillTint="99"/>
            <w:tcMar>
              <w:top w:w="0" w:type="dxa"/>
              <w:left w:w="108" w:type="dxa"/>
              <w:bottom w:w="0" w:type="dxa"/>
              <w:right w:w="108" w:type="dxa"/>
            </w:tcMar>
            <w:vAlign w:val="center"/>
          </w:tcPr>
          <w:p w14:paraId="63D40B64" w14:textId="77777777" w:rsidR="00284822" w:rsidRDefault="00F77BF8">
            <w:pPr>
              <w:rPr>
                <w:rFonts w:ascii="Rockwell" w:hAnsi="Rockwell"/>
                <w:b/>
                <w:color w:val="000000"/>
                <w:sz w:val="20"/>
                <w:szCs w:val="20"/>
              </w:rPr>
            </w:pPr>
            <w:r>
              <w:rPr>
                <w:rFonts w:ascii="Rockwell" w:hAnsi="Rockwell"/>
                <w:b/>
                <w:color w:val="000000"/>
                <w:sz w:val="20"/>
                <w:szCs w:val="20"/>
              </w:rPr>
              <w:t>NP</w:t>
            </w:r>
          </w:p>
        </w:tc>
        <w:tc>
          <w:tcPr>
            <w:tcW w:w="993" w:type="dxa"/>
            <w:shd w:val="clear" w:color="auto" w:fill="9CC2E5" w:themeFill="accent1" w:themeFillTint="99"/>
            <w:tcMar>
              <w:top w:w="0" w:type="dxa"/>
              <w:left w:w="108" w:type="dxa"/>
              <w:bottom w:w="0" w:type="dxa"/>
              <w:right w:w="108" w:type="dxa"/>
            </w:tcMar>
            <w:vAlign w:val="center"/>
          </w:tcPr>
          <w:p w14:paraId="58C5F277" w14:textId="77777777" w:rsidR="00284822" w:rsidRDefault="00F77BF8">
            <w:pPr>
              <w:rPr>
                <w:rFonts w:ascii="Rockwell" w:hAnsi="Rockwell"/>
                <w:b/>
                <w:color w:val="000000"/>
                <w:sz w:val="20"/>
                <w:szCs w:val="20"/>
              </w:rPr>
            </w:pPr>
            <w:r>
              <w:rPr>
                <w:rFonts w:ascii="Rockwell" w:hAnsi="Rockwell"/>
                <w:b/>
                <w:color w:val="000000"/>
                <w:sz w:val="20"/>
                <w:szCs w:val="20"/>
              </w:rPr>
              <w:t>% NP</w:t>
            </w:r>
          </w:p>
        </w:tc>
        <w:tc>
          <w:tcPr>
            <w:tcW w:w="567" w:type="dxa"/>
            <w:shd w:val="clear" w:color="auto" w:fill="9CC2E5" w:themeFill="accent1" w:themeFillTint="99"/>
            <w:tcMar>
              <w:top w:w="0" w:type="dxa"/>
              <w:left w:w="108" w:type="dxa"/>
              <w:bottom w:w="0" w:type="dxa"/>
              <w:right w:w="108" w:type="dxa"/>
            </w:tcMar>
            <w:vAlign w:val="center"/>
          </w:tcPr>
          <w:p w14:paraId="3CF391BA" w14:textId="77777777" w:rsidR="00284822" w:rsidRDefault="00F77BF8">
            <w:pPr>
              <w:rPr>
                <w:rFonts w:ascii="Rockwell" w:hAnsi="Rockwell"/>
                <w:b/>
                <w:color w:val="000000"/>
                <w:sz w:val="20"/>
                <w:szCs w:val="20"/>
              </w:rPr>
            </w:pPr>
            <w:r>
              <w:rPr>
                <w:rFonts w:ascii="Rockwell" w:hAnsi="Rockwell"/>
                <w:b/>
                <w:color w:val="000000"/>
                <w:sz w:val="20"/>
                <w:szCs w:val="20"/>
              </w:rPr>
              <w:t>NI</w:t>
            </w:r>
          </w:p>
        </w:tc>
        <w:tc>
          <w:tcPr>
            <w:tcW w:w="850" w:type="dxa"/>
            <w:shd w:val="clear" w:color="auto" w:fill="9CC2E5" w:themeFill="accent1" w:themeFillTint="99"/>
            <w:tcMar>
              <w:top w:w="0" w:type="dxa"/>
              <w:left w:w="108" w:type="dxa"/>
              <w:bottom w:w="0" w:type="dxa"/>
              <w:right w:w="108" w:type="dxa"/>
            </w:tcMar>
            <w:vAlign w:val="center"/>
          </w:tcPr>
          <w:p w14:paraId="672A65E2" w14:textId="77777777" w:rsidR="00284822" w:rsidRDefault="00F77BF8">
            <w:pPr>
              <w:rPr>
                <w:rFonts w:ascii="Rockwell" w:hAnsi="Rockwell"/>
                <w:b/>
                <w:color w:val="000000"/>
                <w:sz w:val="20"/>
                <w:szCs w:val="20"/>
              </w:rPr>
            </w:pPr>
            <w:r>
              <w:rPr>
                <w:rFonts w:ascii="Rockwell" w:hAnsi="Rockwell"/>
                <w:b/>
                <w:color w:val="000000"/>
                <w:sz w:val="20"/>
                <w:szCs w:val="20"/>
              </w:rPr>
              <w:t>% NI</w:t>
            </w:r>
          </w:p>
        </w:tc>
      </w:tr>
      <w:tr w:rsidR="00284822" w14:paraId="4219C33A" w14:textId="77777777">
        <w:trPr>
          <w:trHeight w:val="533"/>
          <w:jc w:val="center"/>
        </w:trPr>
        <w:tc>
          <w:tcPr>
            <w:tcW w:w="988" w:type="dxa"/>
            <w:shd w:val="clear" w:color="auto" w:fill="FFFFFF" w:themeFill="background1"/>
            <w:noWrap/>
            <w:tcMar>
              <w:top w:w="0" w:type="dxa"/>
              <w:left w:w="108" w:type="dxa"/>
              <w:bottom w:w="0" w:type="dxa"/>
              <w:right w:w="108" w:type="dxa"/>
            </w:tcMar>
          </w:tcPr>
          <w:p w14:paraId="15249515" w14:textId="77777777" w:rsidR="00284822" w:rsidRDefault="00F77BF8">
            <w:pPr>
              <w:jc w:val="left"/>
              <w:rPr>
                <w:rFonts w:ascii="Rockwell" w:hAnsi="Rockwell"/>
                <w:bCs/>
                <w:color w:val="000000"/>
                <w:sz w:val="20"/>
                <w:szCs w:val="20"/>
              </w:rPr>
            </w:pPr>
            <w:r>
              <w:rPr>
                <w:rFonts w:ascii="Rockwell" w:hAnsi="Rockwell"/>
                <w:bCs/>
                <w:color w:val="000000"/>
                <w:sz w:val="20"/>
                <w:szCs w:val="20"/>
              </w:rPr>
              <w:t>1</w:t>
            </w:r>
          </w:p>
        </w:tc>
        <w:tc>
          <w:tcPr>
            <w:tcW w:w="1559" w:type="dxa"/>
            <w:shd w:val="clear" w:color="auto" w:fill="FFFFFF" w:themeFill="background1"/>
            <w:tcMar>
              <w:top w:w="0" w:type="dxa"/>
              <w:left w:w="108" w:type="dxa"/>
              <w:bottom w:w="0" w:type="dxa"/>
              <w:right w:w="108" w:type="dxa"/>
            </w:tcMar>
          </w:tcPr>
          <w:p w14:paraId="3778123B" w14:textId="77777777" w:rsidR="00284822" w:rsidRDefault="00F77BF8">
            <w:pPr>
              <w:jc w:val="left"/>
              <w:rPr>
                <w:rFonts w:ascii="Rockwell" w:hAnsi="Rockwell"/>
                <w:b/>
                <w:color w:val="000000"/>
                <w:sz w:val="20"/>
                <w:szCs w:val="20"/>
              </w:rPr>
            </w:pPr>
            <w:r>
              <w:rPr>
                <w:rFonts w:ascii="Rockwell" w:hAnsi="Rockwell"/>
                <w:b/>
                <w:color w:val="000000"/>
                <w:sz w:val="20"/>
                <w:szCs w:val="20"/>
              </w:rPr>
              <w:t>ADF/RDA</w:t>
            </w:r>
          </w:p>
        </w:tc>
        <w:tc>
          <w:tcPr>
            <w:tcW w:w="850" w:type="dxa"/>
            <w:shd w:val="clear" w:color="auto" w:fill="FFFFFF" w:themeFill="background1"/>
            <w:tcMar>
              <w:top w:w="0" w:type="dxa"/>
              <w:left w:w="108" w:type="dxa"/>
              <w:bottom w:w="0" w:type="dxa"/>
              <w:right w:w="108" w:type="dxa"/>
            </w:tcMar>
            <w:vAlign w:val="center"/>
          </w:tcPr>
          <w:p w14:paraId="146045D7" w14:textId="77777777" w:rsidR="00284822" w:rsidRDefault="00F77BF8">
            <w:pPr>
              <w:rPr>
                <w:rFonts w:ascii="Rockwell" w:hAnsi="Rockwell"/>
                <w:color w:val="000000"/>
                <w:sz w:val="20"/>
                <w:szCs w:val="20"/>
              </w:rPr>
            </w:pPr>
            <w:r>
              <w:rPr>
                <w:rFonts w:ascii="Rockwell" w:hAnsi="Rockwell"/>
                <w:color w:val="000000"/>
                <w:sz w:val="20"/>
                <w:szCs w:val="20"/>
              </w:rPr>
              <w:t>2</w:t>
            </w:r>
          </w:p>
        </w:tc>
        <w:tc>
          <w:tcPr>
            <w:tcW w:w="993" w:type="dxa"/>
            <w:shd w:val="clear" w:color="auto" w:fill="FFFFFF" w:themeFill="background1"/>
            <w:tcMar>
              <w:top w:w="0" w:type="dxa"/>
              <w:left w:w="108" w:type="dxa"/>
              <w:bottom w:w="0" w:type="dxa"/>
              <w:right w:w="108" w:type="dxa"/>
            </w:tcMar>
            <w:vAlign w:val="center"/>
          </w:tcPr>
          <w:p w14:paraId="4C640BDE" w14:textId="77777777" w:rsidR="00284822" w:rsidRDefault="00F77BF8">
            <w:pPr>
              <w:rPr>
                <w:rFonts w:ascii="Rockwell" w:hAnsi="Rockwell"/>
                <w:color w:val="000000"/>
                <w:sz w:val="20"/>
                <w:szCs w:val="20"/>
              </w:rPr>
            </w:pPr>
            <w:r>
              <w:rPr>
                <w:rFonts w:ascii="Rockwell" w:hAnsi="Rockwell"/>
                <w:color w:val="000000"/>
                <w:sz w:val="20"/>
                <w:szCs w:val="20"/>
              </w:rPr>
              <w:t>3,54%</w:t>
            </w:r>
          </w:p>
        </w:tc>
        <w:tc>
          <w:tcPr>
            <w:tcW w:w="657" w:type="dxa"/>
            <w:shd w:val="clear" w:color="auto" w:fill="FFFFFF" w:themeFill="background1"/>
            <w:tcMar>
              <w:top w:w="0" w:type="dxa"/>
              <w:left w:w="108" w:type="dxa"/>
              <w:bottom w:w="0" w:type="dxa"/>
              <w:right w:w="108" w:type="dxa"/>
            </w:tcMar>
            <w:vAlign w:val="center"/>
          </w:tcPr>
          <w:p w14:paraId="3528176B" w14:textId="77777777" w:rsidR="00284822" w:rsidRDefault="00F77BF8">
            <w:pPr>
              <w:rPr>
                <w:rFonts w:ascii="Rockwell" w:hAnsi="Rockwell"/>
                <w:color w:val="000000"/>
                <w:sz w:val="20"/>
                <w:szCs w:val="20"/>
              </w:rPr>
            </w:pPr>
            <w:r>
              <w:rPr>
                <w:rFonts w:ascii="Rockwell" w:hAnsi="Rockwell"/>
                <w:color w:val="000000"/>
                <w:sz w:val="20"/>
                <w:szCs w:val="20"/>
              </w:rPr>
              <w:t>2</w:t>
            </w:r>
          </w:p>
        </w:tc>
        <w:tc>
          <w:tcPr>
            <w:tcW w:w="1044" w:type="dxa"/>
            <w:shd w:val="clear" w:color="auto" w:fill="FFFFFF" w:themeFill="background1"/>
            <w:tcMar>
              <w:top w:w="0" w:type="dxa"/>
              <w:left w:w="108" w:type="dxa"/>
              <w:bottom w:w="0" w:type="dxa"/>
              <w:right w:w="108" w:type="dxa"/>
            </w:tcMar>
            <w:vAlign w:val="center"/>
          </w:tcPr>
          <w:p w14:paraId="5E17408E" w14:textId="77777777" w:rsidR="00284822" w:rsidRDefault="00F77BF8">
            <w:pPr>
              <w:rPr>
                <w:rFonts w:ascii="Rockwell" w:hAnsi="Rockwell"/>
                <w:color w:val="000000"/>
                <w:sz w:val="20"/>
                <w:szCs w:val="20"/>
              </w:rPr>
            </w:pPr>
            <w:r>
              <w:rPr>
                <w:rFonts w:ascii="Rockwell" w:hAnsi="Rockwell"/>
                <w:color w:val="000000"/>
                <w:sz w:val="20"/>
                <w:szCs w:val="20"/>
              </w:rPr>
              <w:t>2,25%</w:t>
            </w:r>
          </w:p>
        </w:tc>
        <w:tc>
          <w:tcPr>
            <w:tcW w:w="708" w:type="dxa"/>
            <w:shd w:val="clear" w:color="auto" w:fill="FFFFFF" w:themeFill="background1"/>
            <w:tcMar>
              <w:top w:w="0" w:type="dxa"/>
              <w:left w:w="108" w:type="dxa"/>
              <w:bottom w:w="0" w:type="dxa"/>
              <w:right w:w="108" w:type="dxa"/>
            </w:tcMar>
            <w:vAlign w:val="center"/>
          </w:tcPr>
          <w:p w14:paraId="3D147BE0" w14:textId="77777777" w:rsidR="00284822" w:rsidRDefault="00F77BF8">
            <w:pPr>
              <w:rPr>
                <w:rFonts w:ascii="Rockwell" w:hAnsi="Rockwell"/>
                <w:color w:val="000000"/>
                <w:sz w:val="20"/>
                <w:szCs w:val="20"/>
              </w:rPr>
            </w:pPr>
            <w:r>
              <w:rPr>
                <w:rFonts w:ascii="Rockwell" w:hAnsi="Rockwell"/>
                <w:color w:val="000000"/>
                <w:sz w:val="20"/>
                <w:szCs w:val="20"/>
              </w:rPr>
              <w:t>1 1/6</w:t>
            </w:r>
          </w:p>
        </w:tc>
        <w:tc>
          <w:tcPr>
            <w:tcW w:w="993" w:type="dxa"/>
            <w:shd w:val="clear" w:color="auto" w:fill="FFFFFF" w:themeFill="background1"/>
            <w:tcMar>
              <w:top w:w="0" w:type="dxa"/>
              <w:left w:w="108" w:type="dxa"/>
              <w:bottom w:w="0" w:type="dxa"/>
              <w:right w:w="108" w:type="dxa"/>
            </w:tcMar>
            <w:vAlign w:val="center"/>
          </w:tcPr>
          <w:p w14:paraId="55E1169E" w14:textId="77777777" w:rsidR="00284822" w:rsidRDefault="00F77BF8">
            <w:pPr>
              <w:rPr>
                <w:rFonts w:ascii="Rockwell" w:hAnsi="Rockwell"/>
                <w:color w:val="000000"/>
                <w:sz w:val="20"/>
                <w:szCs w:val="20"/>
              </w:rPr>
            </w:pPr>
            <w:r>
              <w:rPr>
                <w:rFonts w:ascii="Rockwell" w:hAnsi="Rockwell"/>
                <w:color w:val="000000"/>
                <w:sz w:val="20"/>
                <w:szCs w:val="20"/>
              </w:rPr>
              <w:t>2,62%</w:t>
            </w:r>
          </w:p>
        </w:tc>
        <w:tc>
          <w:tcPr>
            <w:tcW w:w="626" w:type="dxa"/>
            <w:shd w:val="clear" w:color="auto" w:fill="FFFFFF" w:themeFill="background1"/>
            <w:tcMar>
              <w:top w:w="0" w:type="dxa"/>
              <w:left w:w="108" w:type="dxa"/>
              <w:bottom w:w="0" w:type="dxa"/>
              <w:right w:w="108" w:type="dxa"/>
            </w:tcMar>
            <w:vAlign w:val="center"/>
          </w:tcPr>
          <w:p w14:paraId="372D87DC" w14:textId="77777777" w:rsidR="00284822" w:rsidRDefault="00F77BF8">
            <w:pPr>
              <w:rPr>
                <w:rFonts w:ascii="Rockwell" w:hAnsi="Rockwell"/>
                <w:color w:val="000000"/>
                <w:sz w:val="20"/>
                <w:szCs w:val="20"/>
              </w:rPr>
            </w:pPr>
            <w:r>
              <w:rPr>
                <w:rFonts w:ascii="Rockwell" w:hAnsi="Rockwell"/>
                <w:color w:val="000000"/>
                <w:sz w:val="20"/>
                <w:szCs w:val="20"/>
              </w:rPr>
              <w:t>4</w:t>
            </w:r>
          </w:p>
        </w:tc>
        <w:tc>
          <w:tcPr>
            <w:tcW w:w="1075" w:type="dxa"/>
            <w:shd w:val="clear" w:color="auto" w:fill="FFFFFF" w:themeFill="background1"/>
            <w:tcMar>
              <w:top w:w="0" w:type="dxa"/>
              <w:left w:w="108" w:type="dxa"/>
              <w:bottom w:w="0" w:type="dxa"/>
              <w:right w:w="108" w:type="dxa"/>
            </w:tcMar>
            <w:vAlign w:val="center"/>
          </w:tcPr>
          <w:p w14:paraId="68C1E24E" w14:textId="77777777" w:rsidR="00284822" w:rsidRDefault="00F77BF8">
            <w:pPr>
              <w:rPr>
                <w:rFonts w:ascii="Rockwell" w:hAnsi="Rockwell"/>
                <w:color w:val="000000"/>
                <w:sz w:val="20"/>
                <w:szCs w:val="20"/>
              </w:rPr>
            </w:pPr>
            <w:r>
              <w:rPr>
                <w:rFonts w:ascii="Rockwell" w:hAnsi="Rockwell"/>
                <w:color w:val="000000"/>
                <w:sz w:val="20"/>
                <w:szCs w:val="20"/>
              </w:rPr>
              <w:t>4,71%</w:t>
            </w:r>
          </w:p>
        </w:tc>
        <w:tc>
          <w:tcPr>
            <w:tcW w:w="567" w:type="dxa"/>
            <w:shd w:val="clear" w:color="auto" w:fill="FFFFFF" w:themeFill="background1"/>
            <w:tcMar>
              <w:top w:w="0" w:type="dxa"/>
              <w:left w:w="108" w:type="dxa"/>
              <w:bottom w:w="0" w:type="dxa"/>
              <w:right w:w="108" w:type="dxa"/>
            </w:tcMar>
            <w:vAlign w:val="center"/>
          </w:tcPr>
          <w:p w14:paraId="7113ACF0" w14:textId="77777777" w:rsidR="00284822" w:rsidRDefault="00F77BF8">
            <w:pPr>
              <w:rPr>
                <w:rFonts w:ascii="Rockwell" w:hAnsi="Rockwell"/>
                <w:color w:val="000000"/>
                <w:sz w:val="20"/>
                <w:szCs w:val="20"/>
              </w:rPr>
            </w:pPr>
            <w:r>
              <w:rPr>
                <w:rFonts w:ascii="Rockwell" w:hAnsi="Rockwell"/>
                <w:color w:val="000000"/>
                <w:sz w:val="20"/>
                <w:szCs w:val="20"/>
              </w:rPr>
              <w:t>2/3</w:t>
            </w:r>
          </w:p>
        </w:tc>
        <w:tc>
          <w:tcPr>
            <w:tcW w:w="992" w:type="dxa"/>
            <w:shd w:val="clear" w:color="auto" w:fill="FFFFFF" w:themeFill="background1"/>
            <w:tcMar>
              <w:top w:w="0" w:type="dxa"/>
              <w:left w:w="108" w:type="dxa"/>
              <w:bottom w:w="0" w:type="dxa"/>
              <w:right w:w="108" w:type="dxa"/>
            </w:tcMar>
            <w:vAlign w:val="center"/>
          </w:tcPr>
          <w:p w14:paraId="1ADE74E4" w14:textId="77777777" w:rsidR="00284822" w:rsidRDefault="00F77BF8">
            <w:pPr>
              <w:rPr>
                <w:rFonts w:ascii="Rockwell" w:hAnsi="Rockwell"/>
                <w:color w:val="000000"/>
                <w:sz w:val="20"/>
                <w:szCs w:val="20"/>
              </w:rPr>
            </w:pPr>
            <w:r>
              <w:rPr>
                <w:rFonts w:ascii="Rockwell" w:hAnsi="Rockwell"/>
                <w:color w:val="000000"/>
                <w:sz w:val="20"/>
                <w:szCs w:val="20"/>
              </w:rPr>
              <w:t>1,02%</w:t>
            </w:r>
          </w:p>
        </w:tc>
        <w:tc>
          <w:tcPr>
            <w:tcW w:w="709" w:type="dxa"/>
            <w:shd w:val="clear" w:color="auto" w:fill="FFFFFF" w:themeFill="background1"/>
            <w:tcMar>
              <w:top w:w="0" w:type="dxa"/>
              <w:left w:w="108" w:type="dxa"/>
              <w:bottom w:w="0" w:type="dxa"/>
              <w:right w:w="108" w:type="dxa"/>
            </w:tcMar>
            <w:vAlign w:val="center"/>
          </w:tcPr>
          <w:p w14:paraId="6337127D" w14:textId="77777777" w:rsidR="00284822" w:rsidRDefault="00F77BF8">
            <w:pPr>
              <w:rPr>
                <w:rFonts w:ascii="Rockwell" w:hAnsi="Rockwell"/>
                <w:color w:val="000000"/>
                <w:sz w:val="20"/>
                <w:szCs w:val="20"/>
              </w:rPr>
            </w:pPr>
            <w:r>
              <w:rPr>
                <w:rFonts w:ascii="Rockwell" w:hAnsi="Rockwell"/>
                <w:color w:val="000000"/>
                <w:sz w:val="20"/>
                <w:szCs w:val="20"/>
              </w:rPr>
              <w:t>2</w:t>
            </w:r>
          </w:p>
        </w:tc>
        <w:tc>
          <w:tcPr>
            <w:tcW w:w="992" w:type="dxa"/>
            <w:shd w:val="clear" w:color="auto" w:fill="FFFFFF" w:themeFill="background1"/>
            <w:tcMar>
              <w:top w:w="0" w:type="dxa"/>
              <w:left w:w="108" w:type="dxa"/>
              <w:bottom w:w="0" w:type="dxa"/>
              <w:right w:w="108" w:type="dxa"/>
            </w:tcMar>
            <w:vAlign w:val="center"/>
          </w:tcPr>
          <w:p w14:paraId="52CD2013" w14:textId="77777777" w:rsidR="00284822" w:rsidRDefault="00F77BF8">
            <w:pPr>
              <w:rPr>
                <w:rFonts w:ascii="Rockwell" w:hAnsi="Rockwell"/>
                <w:color w:val="000000"/>
                <w:sz w:val="20"/>
                <w:szCs w:val="20"/>
              </w:rPr>
            </w:pPr>
            <w:r>
              <w:rPr>
                <w:rFonts w:ascii="Rockwell" w:hAnsi="Rockwell"/>
                <w:color w:val="000000"/>
                <w:sz w:val="20"/>
                <w:szCs w:val="20"/>
              </w:rPr>
              <w:t>1,72%</w:t>
            </w:r>
          </w:p>
        </w:tc>
        <w:tc>
          <w:tcPr>
            <w:tcW w:w="850" w:type="dxa"/>
            <w:shd w:val="clear" w:color="auto" w:fill="FFFFFF" w:themeFill="background1"/>
            <w:tcMar>
              <w:top w:w="0" w:type="dxa"/>
              <w:left w:w="108" w:type="dxa"/>
              <w:bottom w:w="0" w:type="dxa"/>
              <w:right w:w="108" w:type="dxa"/>
            </w:tcMar>
            <w:vAlign w:val="center"/>
          </w:tcPr>
          <w:p w14:paraId="22544A80" w14:textId="77777777" w:rsidR="00284822" w:rsidRDefault="00F77BF8">
            <w:pPr>
              <w:rPr>
                <w:rFonts w:ascii="Rockwell" w:hAnsi="Rockwell"/>
                <w:color w:val="000000"/>
                <w:sz w:val="20"/>
                <w:szCs w:val="20"/>
              </w:rPr>
            </w:pPr>
            <w:r>
              <w:rPr>
                <w:rFonts w:ascii="Rockwell" w:hAnsi="Rockwell"/>
                <w:color w:val="000000"/>
                <w:sz w:val="20"/>
                <w:szCs w:val="20"/>
              </w:rPr>
              <w:t>1 1/2</w:t>
            </w:r>
          </w:p>
        </w:tc>
        <w:tc>
          <w:tcPr>
            <w:tcW w:w="993" w:type="dxa"/>
            <w:shd w:val="clear" w:color="auto" w:fill="FFFFFF" w:themeFill="background1"/>
            <w:tcMar>
              <w:top w:w="0" w:type="dxa"/>
              <w:left w:w="108" w:type="dxa"/>
              <w:bottom w:w="0" w:type="dxa"/>
              <w:right w:w="108" w:type="dxa"/>
            </w:tcMar>
            <w:vAlign w:val="center"/>
          </w:tcPr>
          <w:p w14:paraId="16BAE2ED" w14:textId="77777777" w:rsidR="00284822" w:rsidRDefault="00F77BF8">
            <w:pPr>
              <w:rPr>
                <w:rFonts w:ascii="Rockwell" w:hAnsi="Rockwell"/>
                <w:color w:val="000000"/>
                <w:sz w:val="20"/>
                <w:szCs w:val="20"/>
              </w:rPr>
            </w:pPr>
            <w:r>
              <w:rPr>
                <w:rFonts w:ascii="Rockwell" w:hAnsi="Rockwell"/>
                <w:color w:val="000000"/>
                <w:sz w:val="20"/>
                <w:szCs w:val="20"/>
              </w:rPr>
              <w:t>4,74%</w:t>
            </w:r>
          </w:p>
        </w:tc>
        <w:tc>
          <w:tcPr>
            <w:tcW w:w="567" w:type="dxa"/>
            <w:shd w:val="clear" w:color="auto" w:fill="FFFFFF" w:themeFill="background1"/>
            <w:tcMar>
              <w:top w:w="0" w:type="dxa"/>
              <w:left w:w="108" w:type="dxa"/>
              <w:bottom w:w="0" w:type="dxa"/>
              <w:right w:w="108" w:type="dxa"/>
            </w:tcMar>
            <w:vAlign w:val="center"/>
          </w:tcPr>
          <w:p w14:paraId="1AA04A15" w14:textId="77777777" w:rsidR="00284822" w:rsidRDefault="00F77BF8">
            <w:pPr>
              <w:rPr>
                <w:rFonts w:ascii="Rockwell" w:hAnsi="Rockwell"/>
                <w:color w:val="000000"/>
                <w:sz w:val="20"/>
                <w:szCs w:val="20"/>
              </w:rPr>
            </w:pPr>
            <w:r>
              <w:rPr>
                <w:rFonts w:ascii="Rockwell" w:hAnsi="Rockwell"/>
                <w:color w:val="000000"/>
                <w:sz w:val="20"/>
                <w:szCs w:val="20"/>
              </w:rPr>
              <w:t>3</w:t>
            </w:r>
          </w:p>
        </w:tc>
        <w:tc>
          <w:tcPr>
            <w:tcW w:w="850" w:type="dxa"/>
            <w:shd w:val="clear" w:color="auto" w:fill="FFFFFF" w:themeFill="background1"/>
            <w:tcMar>
              <w:top w:w="0" w:type="dxa"/>
              <w:left w:w="108" w:type="dxa"/>
              <w:bottom w:w="0" w:type="dxa"/>
              <w:right w:w="108" w:type="dxa"/>
            </w:tcMar>
            <w:vAlign w:val="center"/>
          </w:tcPr>
          <w:p w14:paraId="1246D303" w14:textId="77777777" w:rsidR="00284822" w:rsidRDefault="00F77BF8">
            <w:pPr>
              <w:rPr>
                <w:rFonts w:ascii="Rockwell" w:hAnsi="Rockwell"/>
                <w:color w:val="000000"/>
                <w:sz w:val="20"/>
                <w:szCs w:val="20"/>
              </w:rPr>
            </w:pPr>
            <w:r>
              <w:rPr>
                <w:rFonts w:ascii="Rockwell" w:hAnsi="Rockwell"/>
                <w:color w:val="000000"/>
                <w:sz w:val="20"/>
                <w:szCs w:val="20"/>
              </w:rPr>
              <w:t>4,84%</w:t>
            </w:r>
          </w:p>
        </w:tc>
      </w:tr>
      <w:tr w:rsidR="00284822" w14:paraId="07F7C468" w14:textId="77777777">
        <w:trPr>
          <w:trHeight w:val="413"/>
          <w:jc w:val="center"/>
        </w:trPr>
        <w:tc>
          <w:tcPr>
            <w:tcW w:w="988" w:type="dxa"/>
            <w:shd w:val="clear" w:color="auto" w:fill="FFFFFF" w:themeFill="background1"/>
            <w:noWrap/>
            <w:tcMar>
              <w:top w:w="0" w:type="dxa"/>
              <w:left w:w="108" w:type="dxa"/>
              <w:bottom w:w="0" w:type="dxa"/>
              <w:right w:w="108" w:type="dxa"/>
            </w:tcMar>
          </w:tcPr>
          <w:p w14:paraId="71635731" w14:textId="77777777" w:rsidR="00284822" w:rsidRDefault="00F77BF8">
            <w:pPr>
              <w:jc w:val="left"/>
              <w:rPr>
                <w:rFonts w:ascii="Rockwell" w:hAnsi="Rockwell"/>
                <w:bCs/>
                <w:color w:val="000000"/>
                <w:sz w:val="20"/>
                <w:szCs w:val="20"/>
              </w:rPr>
            </w:pPr>
            <w:r>
              <w:rPr>
                <w:rFonts w:ascii="Rockwell" w:hAnsi="Rockwell"/>
                <w:bCs/>
                <w:color w:val="000000"/>
                <w:sz w:val="20"/>
                <w:szCs w:val="20"/>
              </w:rPr>
              <w:t>2</w:t>
            </w:r>
          </w:p>
        </w:tc>
        <w:tc>
          <w:tcPr>
            <w:tcW w:w="1559" w:type="dxa"/>
            <w:shd w:val="clear" w:color="auto" w:fill="FFFFFF" w:themeFill="background1"/>
            <w:tcMar>
              <w:top w:w="0" w:type="dxa"/>
              <w:left w:w="108" w:type="dxa"/>
              <w:bottom w:w="0" w:type="dxa"/>
              <w:right w:w="108" w:type="dxa"/>
            </w:tcMar>
          </w:tcPr>
          <w:p w14:paraId="0B14EBD0" w14:textId="77777777" w:rsidR="00284822" w:rsidRDefault="00F77BF8">
            <w:pPr>
              <w:jc w:val="left"/>
              <w:rPr>
                <w:rFonts w:ascii="Rockwell" w:hAnsi="Rockwell"/>
                <w:b/>
                <w:color w:val="000000"/>
                <w:sz w:val="20"/>
                <w:szCs w:val="20"/>
              </w:rPr>
            </w:pPr>
            <w:r>
              <w:rPr>
                <w:rFonts w:ascii="Rockwell" w:hAnsi="Rockwell"/>
                <w:b/>
                <w:color w:val="000000"/>
                <w:sz w:val="20"/>
                <w:szCs w:val="20"/>
              </w:rPr>
              <w:t>ADP</w:t>
            </w:r>
          </w:p>
        </w:tc>
        <w:tc>
          <w:tcPr>
            <w:tcW w:w="850" w:type="dxa"/>
            <w:shd w:val="clear" w:color="auto" w:fill="FFFFFF" w:themeFill="background1"/>
            <w:tcMar>
              <w:top w:w="0" w:type="dxa"/>
              <w:left w:w="108" w:type="dxa"/>
              <w:bottom w:w="0" w:type="dxa"/>
              <w:right w:w="108" w:type="dxa"/>
            </w:tcMar>
            <w:vAlign w:val="center"/>
          </w:tcPr>
          <w:p w14:paraId="3CA74B87" w14:textId="77777777" w:rsidR="00284822" w:rsidRDefault="00F77BF8">
            <w:pPr>
              <w:rPr>
                <w:rFonts w:ascii="Rockwell" w:hAnsi="Rockwell"/>
                <w:color w:val="000000"/>
                <w:sz w:val="20"/>
                <w:szCs w:val="20"/>
              </w:rPr>
            </w:pPr>
            <w:r>
              <w:rPr>
                <w:rFonts w:ascii="Rockwell" w:hAnsi="Rockwell"/>
                <w:color w:val="000000"/>
                <w:sz w:val="20"/>
                <w:szCs w:val="20"/>
              </w:rPr>
              <w:t>1</w:t>
            </w:r>
          </w:p>
        </w:tc>
        <w:tc>
          <w:tcPr>
            <w:tcW w:w="993" w:type="dxa"/>
            <w:shd w:val="clear" w:color="auto" w:fill="FFFFFF" w:themeFill="background1"/>
            <w:tcMar>
              <w:top w:w="0" w:type="dxa"/>
              <w:left w:w="108" w:type="dxa"/>
              <w:bottom w:w="0" w:type="dxa"/>
              <w:right w:w="108" w:type="dxa"/>
            </w:tcMar>
            <w:vAlign w:val="center"/>
          </w:tcPr>
          <w:p w14:paraId="79094006" w14:textId="77777777" w:rsidR="00284822" w:rsidRDefault="00F77BF8">
            <w:pPr>
              <w:rPr>
                <w:rFonts w:ascii="Rockwell" w:hAnsi="Rockwell"/>
                <w:color w:val="000000"/>
                <w:sz w:val="20"/>
                <w:szCs w:val="20"/>
              </w:rPr>
            </w:pPr>
            <w:r>
              <w:rPr>
                <w:rFonts w:ascii="Rockwell" w:hAnsi="Rockwell"/>
                <w:color w:val="000000"/>
                <w:sz w:val="20"/>
                <w:szCs w:val="20"/>
              </w:rPr>
              <w:t>1,77%</w:t>
            </w:r>
          </w:p>
        </w:tc>
        <w:tc>
          <w:tcPr>
            <w:tcW w:w="657" w:type="dxa"/>
            <w:shd w:val="clear" w:color="auto" w:fill="FFFFFF" w:themeFill="background1"/>
            <w:tcMar>
              <w:top w:w="0" w:type="dxa"/>
              <w:left w:w="108" w:type="dxa"/>
              <w:bottom w:w="0" w:type="dxa"/>
              <w:right w:w="108" w:type="dxa"/>
            </w:tcMar>
            <w:vAlign w:val="center"/>
          </w:tcPr>
          <w:p w14:paraId="72EA190B" w14:textId="77777777" w:rsidR="00284822" w:rsidRDefault="00F77BF8">
            <w:pPr>
              <w:rPr>
                <w:rFonts w:ascii="Rockwell" w:hAnsi="Rockwell"/>
                <w:color w:val="000000"/>
                <w:sz w:val="20"/>
                <w:szCs w:val="20"/>
              </w:rPr>
            </w:pPr>
            <w:r>
              <w:rPr>
                <w:rFonts w:ascii="Rockwell" w:hAnsi="Rockwell"/>
                <w:color w:val="000000"/>
                <w:sz w:val="20"/>
                <w:szCs w:val="20"/>
              </w:rPr>
              <w:t>2</w:t>
            </w:r>
          </w:p>
        </w:tc>
        <w:tc>
          <w:tcPr>
            <w:tcW w:w="1044" w:type="dxa"/>
            <w:shd w:val="clear" w:color="auto" w:fill="FFFFFF" w:themeFill="background1"/>
            <w:tcMar>
              <w:top w:w="0" w:type="dxa"/>
              <w:left w:w="108" w:type="dxa"/>
              <w:bottom w:w="0" w:type="dxa"/>
              <w:right w:w="108" w:type="dxa"/>
            </w:tcMar>
            <w:vAlign w:val="center"/>
          </w:tcPr>
          <w:p w14:paraId="19CFA65F" w14:textId="77777777" w:rsidR="00284822" w:rsidRDefault="00F77BF8">
            <w:pPr>
              <w:rPr>
                <w:rFonts w:ascii="Rockwell" w:hAnsi="Rockwell"/>
                <w:color w:val="000000"/>
                <w:sz w:val="20"/>
                <w:szCs w:val="20"/>
              </w:rPr>
            </w:pPr>
            <w:r>
              <w:rPr>
                <w:rFonts w:ascii="Rockwell" w:hAnsi="Rockwell"/>
                <w:color w:val="000000"/>
                <w:sz w:val="20"/>
                <w:szCs w:val="20"/>
              </w:rPr>
              <w:t>2,25%</w:t>
            </w:r>
          </w:p>
        </w:tc>
        <w:tc>
          <w:tcPr>
            <w:tcW w:w="708" w:type="dxa"/>
            <w:shd w:val="clear" w:color="auto" w:fill="FFFFFF" w:themeFill="background1"/>
            <w:tcMar>
              <w:top w:w="0" w:type="dxa"/>
              <w:left w:w="108" w:type="dxa"/>
              <w:bottom w:w="0" w:type="dxa"/>
              <w:right w:w="108" w:type="dxa"/>
            </w:tcMar>
            <w:vAlign w:val="center"/>
          </w:tcPr>
          <w:p w14:paraId="4E2E493A"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60BC112E"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26" w:type="dxa"/>
            <w:shd w:val="clear" w:color="auto" w:fill="FFFFFF" w:themeFill="background1"/>
            <w:tcMar>
              <w:top w:w="0" w:type="dxa"/>
              <w:left w:w="108" w:type="dxa"/>
              <w:bottom w:w="0" w:type="dxa"/>
              <w:right w:w="108" w:type="dxa"/>
            </w:tcMar>
            <w:vAlign w:val="center"/>
          </w:tcPr>
          <w:p w14:paraId="29EC0D1F"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75" w:type="dxa"/>
            <w:shd w:val="clear" w:color="auto" w:fill="FFFFFF" w:themeFill="background1"/>
            <w:tcMar>
              <w:top w:w="0" w:type="dxa"/>
              <w:left w:w="108" w:type="dxa"/>
              <w:bottom w:w="0" w:type="dxa"/>
              <w:right w:w="108" w:type="dxa"/>
            </w:tcMar>
            <w:vAlign w:val="center"/>
          </w:tcPr>
          <w:p w14:paraId="5FC017F4"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6763E699"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2" w:type="dxa"/>
            <w:shd w:val="clear" w:color="auto" w:fill="FFFFFF" w:themeFill="background1"/>
            <w:tcMar>
              <w:top w:w="0" w:type="dxa"/>
              <w:left w:w="108" w:type="dxa"/>
              <w:bottom w:w="0" w:type="dxa"/>
              <w:right w:w="108" w:type="dxa"/>
            </w:tcMar>
            <w:vAlign w:val="center"/>
          </w:tcPr>
          <w:p w14:paraId="7E925831"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9" w:type="dxa"/>
            <w:shd w:val="clear" w:color="auto" w:fill="FFFFFF" w:themeFill="background1"/>
            <w:tcMar>
              <w:top w:w="0" w:type="dxa"/>
              <w:left w:w="108" w:type="dxa"/>
              <w:bottom w:w="0" w:type="dxa"/>
              <w:right w:w="108" w:type="dxa"/>
            </w:tcMar>
            <w:vAlign w:val="center"/>
          </w:tcPr>
          <w:p w14:paraId="4F4E3D1F"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2" w:type="dxa"/>
            <w:shd w:val="clear" w:color="auto" w:fill="FFFFFF" w:themeFill="background1"/>
            <w:tcMar>
              <w:top w:w="0" w:type="dxa"/>
              <w:left w:w="108" w:type="dxa"/>
              <w:bottom w:w="0" w:type="dxa"/>
              <w:right w:w="108" w:type="dxa"/>
            </w:tcMar>
            <w:vAlign w:val="center"/>
          </w:tcPr>
          <w:p w14:paraId="078BA8B4"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850" w:type="dxa"/>
            <w:shd w:val="clear" w:color="auto" w:fill="FFFFFF" w:themeFill="background1"/>
            <w:tcMar>
              <w:top w:w="0" w:type="dxa"/>
              <w:left w:w="108" w:type="dxa"/>
              <w:bottom w:w="0" w:type="dxa"/>
              <w:right w:w="108" w:type="dxa"/>
            </w:tcMar>
            <w:vAlign w:val="center"/>
          </w:tcPr>
          <w:p w14:paraId="13D3BE16"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3D300A6A"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770C55BA"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850" w:type="dxa"/>
            <w:shd w:val="clear" w:color="auto" w:fill="FFFFFF" w:themeFill="background1"/>
            <w:tcMar>
              <w:top w:w="0" w:type="dxa"/>
              <w:left w:w="108" w:type="dxa"/>
              <w:bottom w:w="0" w:type="dxa"/>
              <w:right w:w="108" w:type="dxa"/>
            </w:tcMar>
            <w:vAlign w:val="center"/>
          </w:tcPr>
          <w:p w14:paraId="2F41BCE1" w14:textId="77777777" w:rsidR="00284822" w:rsidRDefault="00F77BF8">
            <w:pPr>
              <w:rPr>
                <w:rFonts w:ascii="Rockwell" w:hAnsi="Rockwell"/>
                <w:color w:val="000000"/>
                <w:sz w:val="20"/>
                <w:szCs w:val="20"/>
              </w:rPr>
            </w:pPr>
            <w:r>
              <w:rPr>
                <w:rFonts w:ascii="Rockwell" w:hAnsi="Rockwell"/>
                <w:color w:val="000000"/>
                <w:sz w:val="20"/>
                <w:szCs w:val="20"/>
              </w:rPr>
              <w:t>0,00%</w:t>
            </w:r>
          </w:p>
        </w:tc>
      </w:tr>
      <w:tr w:rsidR="00284822" w14:paraId="2C1A0AA6" w14:textId="77777777">
        <w:trPr>
          <w:trHeight w:val="419"/>
          <w:jc w:val="center"/>
        </w:trPr>
        <w:tc>
          <w:tcPr>
            <w:tcW w:w="988" w:type="dxa"/>
            <w:shd w:val="clear" w:color="auto" w:fill="FFFFFF" w:themeFill="background1"/>
            <w:noWrap/>
            <w:tcMar>
              <w:top w:w="0" w:type="dxa"/>
              <w:left w:w="108" w:type="dxa"/>
              <w:bottom w:w="0" w:type="dxa"/>
              <w:right w:w="108" w:type="dxa"/>
            </w:tcMar>
          </w:tcPr>
          <w:p w14:paraId="473673E4" w14:textId="77777777" w:rsidR="00284822" w:rsidRDefault="00F77BF8">
            <w:pPr>
              <w:jc w:val="left"/>
              <w:rPr>
                <w:rFonts w:ascii="Rockwell" w:hAnsi="Rockwell"/>
                <w:bCs/>
                <w:color w:val="000000"/>
                <w:sz w:val="20"/>
                <w:szCs w:val="20"/>
              </w:rPr>
            </w:pPr>
            <w:r>
              <w:rPr>
                <w:rFonts w:ascii="Rockwell" w:hAnsi="Rockwell"/>
                <w:bCs/>
                <w:color w:val="000000"/>
                <w:sz w:val="20"/>
                <w:szCs w:val="20"/>
              </w:rPr>
              <w:t>3</w:t>
            </w:r>
          </w:p>
        </w:tc>
        <w:tc>
          <w:tcPr>
            <w:tcW w:w="1559" w:type="dxa"/>
            <w:shd w:val="clear" w:color="auto" w:fill="FFFFFF" w:themeFill="background1"/>
            <w:tcMar>
              <w:top w:w="0" w:type="dxa"/>
              <w:left w:w="108" w:type="dxa"/>
              <w:bottom w:w="0" w:type="dxa"/>
              <w:right w:w="108" w:type="dxa"/>
            </w:tcMar>
          </w:tcPr>
          <w:p w14:paraId="0F08CED1" w14:textId="77777777" w:rsidR="00284822" w:rsidRDefault="00F77BF8">
            <w:pPr>
              <w:jc w:val="left"/>
              <w:rPr>
                <w:rFonts w:ascii="Rockwell" w:hAnsi="Rockwell"/>
                <w:b/>
                <w:color w:val="000000"/>
                <w:sz w:val="20"/>
                <w:szCs w:val="20"/>
              </w:rPr>
            </w:pPr>
            <w:r>
              <w:rPr>
                <w:rFonts w:ascii="Rockwell" w:hAnsi="Rockwell"/>
                <w:b/>
                <w:color w:val="000000"/>
                <w:sz w:val="20"/>
                <w:szCs w:val="20"/>
              </w:rPr>
              <w:t>ANC</w:t>
            </w:r>
          </w:p>
        </w:tc>
        <w:tc>
          <w:tcPr>
            <w:tcW w:w="850" w:type="dxa"/>
            <w:shd w:val="clear" w:color="auto" w:fill="FFFFFF" w:themeFill="background1"/>
            <w:tcMar>
              <w:top w:w="0" w:type="dxa"/>
              <w:left w:w="108" w:type="dxa"/>
              <w:bottom w:w="0" w:type="dxa"/>
              <w:right w:w="108" w:type="dxa"/>
            </w:tcMar>
            <w:vAlign w:val="center"/>
          </w:tcPr>
          <w:p w14:paraId="5FF2EB5C"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053C148C"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57" w:type="dxa"/>
            <w:shd w:val="clear" w:color="auto" w:fill="FFFFFF" w:themeFill="background1"/>
            <w:tcMar>
              <w:top w:w="0" w:type="dxa"/>
              <w:left w:w="108" w:type="dxa"/>
              <w:bottom w:w="0" w:type="dxa"/>
              <w:right w:w="108" w:type="dxa"/>
            </w:tcMar>
            <w:vAlign w:val="center"/>
          </w:tcPr>
          <w:p w14:paraId="6CECF674"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44" w:type="dxa"/>
            <w:shd w:val="clear" w:color="auto" w:fill="FFFFFF" w:themeFill="background1"/>
            <w:tcMar>
              <w:top w:w="0" w:type="dxa"/>
              <w:left w:w="108" w:type="dxa"/>
              <w:bottom w:w="0" w:type="dxa"/>
              <w:right w:w="108" w:type="dxa"/>
            </w:tcMar>
            <w:vAlign w:val="center"/>
          </w:tcPr>
          <w:p w14:paraId="59B7B7CD"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8" w:type="dxa"/>
            <w:shd w:val="clear" w:color="auto" w:fill="FFFFFF" w:themeFill="background1"/>
            <w:tcMar>
              <w:top w:w="0" w:type="dxa"/>
              <w:left w:w="108" w:type="dxa"/>
              <w:bottom w:w="0" w:type="dxa"/>
              <w:right w:w="108" w:type="dxa"/>
            </w:tcMar>
            <w:vAlign w:val="center"/>
          </w:tcPr>
          <w:p w14:paraId="78131075"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0E6B424E"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26" w:type="dxa"/>
            <w:shd w:val="clear" w:color="auto" w:fill="FFFFFF" w:themeFill="background1"/>
            <w:tcMar>
              <w:top w:w="0" w:type="dxa"/>
              <w:left w:w="108" w:type="dxa"/>
              <w:bottom w:w="0" w:type="dxa"/>
              <w:right w:w="108" w:type="dxa"/>
            </w:tcMar>
            <w:vAlign w:val="center"/>
          </w:tcPr>
          <w:p w14:paraId="43DB7018"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75" w:type="dxa"/>
            <w:shd w:val="clear" w:color="auto" w:fill="FFFFFF" w:themeFill="background1"/>
            <w:tcMar>
              <w:top w:w="0" w:type="dxa"/>
              <w:left w:w="108" w:type="dxa"/>
              <w:bottom w:w="0" w:type="dxa"/>
              <w:right w:w="108" w:type="dxa"/>
            </w:tcMar>
            <w:vAlign w:val="center"/>
          </w:tcPr>
          <w:p w14:paraId="546826AE"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3AA0B282"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2" w:type="dxa"/>
            <w:shd w:val="clear" w:color="auto" w:fill="FFFFFF" w:themeFill="background1"/>
            <w:tcMar>
              <w:top w:w="0" w:type="dxa"/>
              <w:left w:w="108" w:type="dxa"/>
              <w:bottom w:w="0" w:type="dxa"/>
              <w:right w:w="108" w:type="dxa"/>
            </w:tcMar>
            <w:vAlign w:val="center"/>
          </w:tcPr>
          <w:p w14:paraId="41ED0223"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9" w:type="dxa"/>
            <w:shd w:val="clear" w:color="auto" w:fill="FFFFFF" w:themeFill="background1"/>
            <w:tcMar>
              <w:top w:w="0" w:type="dxa"/>
              <w:left w:w="108" w:type="dxa"/>
              <w:bottom w:w="0" w:type="dxa"/>
              <w:right w:w="108" w:type="dxa"/>
            </w:tcMar>
            <w:vAlign w:val="center"/>
          </w:tcPr>
          <w:p w14:paraId="3C77DB8C"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2" w:type="dxa"/>
            <w:shd w:val="clear" w:color="auto" w:fill="FFFFFF" w:themeFill="background1"/>
            <w:tcMar>
              <w:top w:w="0" w:type="dxa"/>
              <w:left w:w="108" w:type="dxa"/>
              <w:bottom w:w="0" w:type="dxa"/>
              <w:right w:w="108" w:type="dxa"/>
            </w:tcMar>
            <w:vAlign w:val="center"/>
          </w:tcPr>
          <w:p w14:paraId="5D2E53BD"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850" w:type="dxa"/>
            <w:shd w:val="clear" w:color="auto" w:fill="FFFFFF" w:themeFill="background1"/>
            <w:tcMar>
              <w:top w:w="0" w:type="dxa"/>
              <w:left w:w="108" w:type="dxa"/>
              <w:bottom w:w="0" w:type="dxa"/>
              <w:right w:w="108" w:type="dxa"/>
            </w:tcMar>
            <w:vAlign w:val="center"/>
          </w:tcPr>
          <w:p w14:paraId="554F573F"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5FD2E0B4"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38034AE8"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850" w:type="dxa"/>
            <w:shd w:val="clear" w:color="auto" w:fill="FFFFFF" w:themeFill="background1"/>
            <w:tcMar>
              <w:top w:w="0" w:type="dxa"/>
              <w:left w:w="108" w:type="dxa"/>
              <w:bottom w:w="0" w:type="dxa"/>
              <w:right w:w="108" w:type="dxa"/>
            </w:tcMar>
            <w:vAlign w:val="center"/>
          </w:tcPr>
          <w:p w14:paraId="715D873C" w14:textId="77777777" w:rsidR="00284822" w:rsidRDefault="00F77BF8">
            <w:pPr>
              <w:rPr>
                <w:rFonts w:ascii="Rockwell" w:hAnsi="Rockwell"/>
                <w:color w:val="000000"/>
                <w:sz w:val="20"/>
                <w:szCs w:val="20"/>
              </w:rPr>
            </w:pPr>
            <w:r>
              <w:rPr>
                <w:rFonts w:ascii="Rockwell" w:hAnsi="Rockwell"/>
                <w:color w:val="000000"/>
                <w:sz w:val="20"/>
                <w:szCs w:val="20"/>
              </w:rPr>
              <w:t>0,00%</w:t>
            </w:r>
          </w:p>
        </w:tc>
      </w:tr>
      <w:tr w:rsidR="00284822" w14:paraId="59068C66" w14:textId="77777777">
        <w:trPr>
          <w:trHeight w:val="425"/>
          <w:jc w:val="center"/>
        </w:trPr>
        <w:tc>
          <w:tcPr>
            <w:tcW w:w="988" w:type="dxa"/>
            <w:shd w:val="clear" w:color="auto" w:fill="FFFFFF" w:themeFill="background1"/>
            <w:noWrap/>
            <w:tcMar>
              <w:top w:w="0" w:type="dxa"/>
              <w:left w:w="108" w:type="dxa"/>
              <w:bottom w:w="0" w:type="dxa"/>
              <w:right w:w="108" w:type="dxa"/>
            </w:tcMar>
          </w:tcPr>
          <w:p w14:paraId="7E1753E6" w14:textId="77777777" w:rsidR="00284822" w:rsidRDefault="00F77BF8">
            <w:pPr>
              <w:jc w:val="left"/>
              <w:rPr>
                <w:rFonts w:ascii="Rockwell" w:hAnsi="Rockwell"/>
                <w:bCs/>
                <w:color w:val="000000"/>
                <w:sz w:val="20"/>
                <w:szCs w:val="20"/>
              </w:rPr>
            </w:pPr>
            <w:r>
              <w:rPr>
                <w:rFonts w:ascii="Rockwell" w:hAnsi="Rockwell"/>
                <w:bCs/>
                <w:color w:val="000000"/>
                <w:sz w:val="20"/>
                <w:szCs w:val="20"/>
              </w:rPr>
              <w:t>4</w:t>
            </w:r>
          </w:p>
        </w:tc>
        <w:tc>
          <w:tcPr>
            <w:tcW w:w="1559" w:type="dxa"/>
            <w:shd w:val="clear" w:color="auto" w:fill="FFFFFF" w:themeFill="background1"/>
            <w:tcMar>
              <w:top w:w="0" w:type="dxa"/>
              <w:left w:w="108" w:type="dxa"/>
              <w:bottom w:w="0" w:type="dxa"/>
              <w:right w:w="108" w:type="dxa"/>
            </w:tcMar>
          </w:tcPr>
          <w:p w14:paraId="5FFA9756" w14:textId="77777777" w:rsidR="00284822" w:rsidRDefault="00F77BF8">
            <w:pPr>
              <w:jc w:val="left"/>
              <w:rPr>
                <w:rFonts w:ascii="Rockwell" w:hAnsi="Rockwell"/>
                <w:b/>
                <w:color w:val="000000"/>
                <w:sz w:val="20"/>
                <w:szCs w:val="20"/>
              </w:rPr>
            </w:pPr>
            <w:r>
              <w:rPr>
                <w:rFonts w:ascii="Rockwell" w:hAnsi="Rockwell"/>
                <w:b/>
                <w:color w:val="000000"/>
                <w:sz w:val="20"/>
                <w:szCs w:val="20"/>
              </w:rPr>
              <w:t>APP/B</w:t>
            </w:r>
          </w:p>
        </w:tc>
        <w:tc>
          <w:tcPr>
            <w:tcW w:w="850" w:type="dxa"/>
            <w:shd w:val="clear" w:color="auto" w:fill="FFFFFF" w:themeFill="background1"/>
            <w:tcMar>
              <w:top w:w="0" w:type="dxa"/>
              <w:left w:w="108" w:type="dxa"/>
              <w:bottom w:w="0" w:type="dxa"/>
              <w:right w:w="108" w:type="dxa"/>
            </w:tcMar>
            <w:vAlign w:val="center"/>
          </w:tcPr>
          <w:p w14:paraId="2B8CB6F4" w14:textId="77777777" w:rsidR="00284822" w:rsidRDefault="00F77BF8">
            <w:pPr>
              <w:rPr>
                <w:rFonts w:ascii="Rockwell" w:hAnsi="Rockwell"/>
                <w:color w:val="000000"/>
                <w:sz w:val="20"/>
                <w:szCs w:val="20"/>
              </w:rPr>
            </w:pPr>
            <w:r>
              <w:rPr>
                <w:rFonts w:ascii="Rockwell" w:hAnsi="Rockwell"/>
                <w:color w:val="000000"/>
                <w:sz w:val="20"/>
                <w:szCs w:val="20"/>
              </w:rPr>
              <w:t>1 ½</w:t>
            </w:r>
          </w:p>
        </w:tc>
        <w:tc>
          <w:tcPr>
            <w:tcW w:w="993" w:type="dxa"/>
            <w:shd w:val="clear" w:color="auto" w:fill="FFFFFF" w:themeFill="background1"/>
            <w:tcMar>
              <w:top w:w="0" w:type="dxa"/>
              <w:left w:w="108" w:type="dxa"/>
              <w:bottom w:w="0" w:type="dxa"/>
              <w:right w:w="108" w:type="dxa"/>
            </w:tcMar>
            <w:vAlign w:val="center"/>
          </w:tcPr>
          <w:p w14:paraId="50537A05" w14:textId="77777777" w:rsidR="00284822" w:rsidRDefault="00F77BF8">
            <w:pPr>
              <w:rPr>
                <w:rFonts w:ascii="Rockwell" w:hAnsi="Rockwell"/>
                <w:color w:val="000000"/>
                <w:sz w:val="20"/>
                <w:szCs w:val="20"/>
              </w:rPr>
            </w:pPr>
            <w:r>
              <w:rPr>
                <w:rFonts w:ascii="Rockwell" w:hAnsi="Rockwell"/>
                <w:color w:val="000000"/>
                <w:sz w:val="20"/>
                <w:szCs w:val="20"/>
              </w:rPr>
              <w:t>2,66%</w:t>
            </w:r>
          </w:p>
        </w:tc>
        <w:tc>
          <w:tcPr>
            <w:tcW w:w="657" w:type="dxa"/>
            <w:shd w:val="clear" w:color="auto" w:fill="FFFFFF" w:themeFill="background1"/>
            <w:tcMar>
              <w:top w:w="0" w:type="dxa"/>
              <w:left w:w="108" w:type="dxa"/>
              <w:bottom w:w="0" w:type="dxa"/>
              <w:right w:w="108" w:type="dxa"/>
            </w:tcMar>
            <w:vAlign w:val="center"/>
          </w:tcPr>
          <w:p w14:paraId="2D7CE151"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44" w:type="dxa"/>
            <w:shd w:val="clear" w:color="auto" w:fill="FFFFFF" w:themeFill="background1"/>
            <w:tcMar>
              <w:top w:w="0" w:type="dxa"/>
              <w:left w:w="108" w:type="dxa"/>
              <w:bottom w:w="0" w:type="dxa"/>
              <w:right w:w="108" w:type="dxa"/>
            </w:tcMar>
            <w:vAlign w:val="center"/>
          </w:tcPr>
          <w:p w14:paraId="2ADCAF8D"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8" w:type="dxa"/>
            <w:shd w:val="clear" w:color="auto" w:fill="FFFFFF" w:themeFill="background1"/>
            <w:tcMar>
              <w:top w:w="0" w:type="dxa"/>
              <w:left w:w="108" w:type="dxa"/>
              <w:bottom w:w="0" w:type="dxa"/>
              <w:right w:w="108" w:type="dxa"/>
            </w:tcMar>
            <w:vAlign w:val="center"/>
          </w:tcPr>
          <w:p w14:paraId="6F4786DE"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260DD9E7"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26" w:type="dxa"/>
            <w:shd w:val="clear" w:color="auto" w:fill="FFFFFF" w:themeFill="background1"/>
            <w:tcMar>
              <w:top w:w="0" w:type="dxa"/>
              <w:left w:w="108" w:type="dxa"/>
              <w:bottom w:w="0" w:type="dxa"/>
              <w:right w:w="108" w:type="dxa"/>
            </w:tcMar>
            <w:vAlign w:val="center"/>
          </w:tcPr>
          <w:p w14:paraId="7C6D3214"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75" w:type="dxa"/>
            <w:shd w:val="clear" w:color="auto" w:fill="FFFFFF" w:themeFill="background1"/>
            <w:tcMar>
              <w:top w:w="0" w:type="dxa"/>
              <w:left w:w="108" w:type="dxa"/>
              <w:bottom w:w="0" w:type="dxa"/>
              <w:right w:w="108" w:type="dxa"/>
            </w:tcMar>
            <w:vAlign w:val="center"/>
          </w:tcPr>
          <w:p w14:paraId="04272E31"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6E23CA44"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2" w:type="dxa"/>
            <w:shd w:val="clear" w:color="auto" w:fill="FFFFFF" w:themeFill="background1"/>
            <w:tcMar>
              <w:top w:w="0" w:type="dxa"/>
              <w:left w:w="108" w:type="dxa"/>
              <w:bottom w:w="0" w:type="dxa"/>
              <w:right w:w="108" w:type="dxa"/>
            </w:tcMar>
            <w:vAlign w:val="center"/>
          </w:tcPr>
          <w:p w14:paraId="6E1382F1"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9" w:type="dxa"/>
            <w:shd w:val="clear" w:color="auto" w:fill="FFFFFF" w:themeFill="background1"/>
            <w:tcMar>
              <w:top w:w="0" w:type="dxa"/>
              <w:left w:w="108" w:type="dxa"/>
              <w:bottom w:w="0" w:type="dxa"/>
              <w:right w:w="108" w:type="dxa"/>
            </w:tcMar>
            <w:vAlign w:val="center"/>
          </w:tcPr>
          <w:p w14:paraId="7D935BA5"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2" w:type="dxa"/>
            <w:shd w:val="clear" w:color="auto" w:fill="FFFFFF" w:themeFill="background1"/>
            <w:tcMar>
              <w:top w:w="0" w:type="dxa"/>
              <w:left w:w="108" w:type="dxa"/>
              <w:bottom w:w="0" w:type="dxa"/>
              <w:right w:w="108" w:type="dxa"/>
            </w:tcMar>
            <w:vAlign w:val="center"/>
          </w:tcPr>
          <w:p w14:paraId="192FD223"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850" w:type="dxa"/>
            <w:shd w:val="clear" w:color="auto" w:fill="FFFFFF" w:themeFill="background1"/>
            <w:tcMar>
              <w:top w:w="0" w:type="dxa"/>
              <w:left w:w="108" w:type="dxa"/>
              <w:bottom w:w="0" w:type="dxa"/>
              <w:right w:w="108" w:type="dxa"/>
            </w:tcMar>
            <w:vAlign w:val="center"/>
          </w:tcPr>
          <w:p w14:paraId="5A9D52AB"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60794EAC"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28CC138C"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850" w:type="dxa"/>
            <w:shd w:val="clear" w:color="auto" w:fill="FFFFFF" w:themeFill="background1"/>
            <w:tcMar>
              <w:top w:w="0" w:type="dxa"/>
              <w:left w:w="108" w:type="dxa"/>
              <w:bottom w:w="0" w:type="dxa"/>
              <w:right w:w="108" w:type="dxa"/>
            </w:tcMar>
            <w:vAlign w:val="center"/>
          </w:tcPr>
          <w:p w14:paraId="3816AD63" w14:textId="77777777" w:rsidR="00284822" w:rsidRDefault="00F77BF8">
            <w:pPr>
              <w:rPr>
                <w:rFonts w:ascii="Rockwell" w:hAnsi="Rockwell"/>
                <w:color w:val="000000"/>
                <w:sz w:val="20"/>
                <w:szCs w:val="20"/>
              </w:rPr>
            </w:pPr>
            <w:r>
              <w:rPr>
                <w:rFonts w:ascii="Rockwell" w:hAnsi="Rockwell"/>
                <w:color w:val="000000"/>
                <w:sz w:val="20"/>
                <w:szCs w:val="20"/>
              </w:rPr>
              <w:t>0,00%</w:t>
            </w:r>
          </w:p>
        </w:tc>
      </w:tr>
      <w:tr w:rsidR="00284822" w14:paraId="1750B815" w14:textId="77777777">
        <w:trPr>
          <w:trHeight w:val="403"/>
          <w:jc w:val="center"/>
        </w:trPr>
        <w:tc>
          <w:tcPr>
            <w:tcW w:w="988" w:type="dxa"/>
            <w:shd w:val="clear" w:color="auto" w:fill="FFFFFF" w:themeFill="background1"/>
            <w:noWrap/>
            <w:tcMar>
              <w:top w:w="0" w:type="dxa"/>
              <w:left w:w="108" w:type="dxa"/>
              <w:bottom w:w="0" w:type="dxa"/>
              <w:right w:w="108" w:type="dxa"/>
            </w:tcMar>
          </w:tcPr>
          <w:p w14:paraId="6B45124C" w14:textId="77777777" w:rsidR="00284822" w:rsidRDefault="00F77BF8">
            <w:pPr>
              <w:jc w:val="left"/>
              <w:rPr>
                <w:rFonts w:ascii="Rockwell" w:hAnsi="Rockwell"/>
                <w:bCs/>
                <w:color w:val="000000"/>
                <w:sz w:val="20"/>
                <w:szCs w:val="20"/>
              </w:rPr>
            </w:pPr>
            <w:r>
              <w:rPr>
                <w:rFonts w:ascii="Rockwell" w:hAnsi="Rockwell"/>
                <w:bCs/>
                <w:color w:val="000000"/>
                <w:sz w:val="20"/>
                <w:szCs w:val="20"/>
              </w:rPr>
              <w:t>5</w:t>
            </w:r>
          </w:p>
        </w:tc>
        <w:tc>
          <w:tcPr>
            <w:tcW w:w="1559" w:type="dxa"/>
            <w:shd w:val="clear" w:color="auto" w:fill="FFFFFF" w:themeFill="background1"/>
            <w:tcMar>
              <w:top w:w="0" w:type="dxa"/>
              <w:left w:w="108" w:type="dxa"/>
              <w:bottom w:w="0" w:type="dxa"/>
              <w:right w:w="108" w:type="dxa"/>
            </w:tcMar>
          </w:tcPr>
          <w:p w14:paraId="53DBE75E" w14:textId="77777777" w:rsidR="00284822" w:rsidRDefault="00F77BF8">
            <w:pPr>
              <w:jc w:val="left"/>
              <w:rPr>
                <w:rFonts w:ascii="Rockwell" w:hAnsi="Rockwell"/>
                <w:b/>
                <w:color w:val="000000"/>
                <w:sz w:val="20"/>
                <w:szCs w:val="20"/>
              </w:rPr>
            </w:pPr>
            <w:r>
              <w:rPr>
                <w:rFonts w:ascii="Rockwell" w:hAnsi="Rockwell"/>
                <w:b/>
                <w:color w:val="000000"/>
                <w:sz w:val="20"/>
                <w:szCs w:val="20"/>
              </w:rPr>
              <w:t>ARDI</w:t>
            </w:r>
          </w:p>
        </w:tc>
        <w:tc>
          <w:tcPr>
            <w:tcW w:w="850" w:type="dxa"/>
            <w:shd w:val="clear" w:color="auto" w:fill="FFFFFF" w:themeFill="background1"/>
            <w:tcMar>
              <w:top w:w="0" w:type="dxa"/>
              <w:left w:w="108" w:type="dxa"/>
              <w:bottom w:w="0" w:type="dxa"/>
              <w:right w:w="108" w:type="dxa"/>
            </w:tcMar>
            <w:vAlign w:val="center"/>
          </w:tcPr>
          <w:p w14:paraId="3647E16F"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7EA02275"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57" w:type="dxa"/>
            <w:shd w:val="clear" w:color="auto" w:fill="FFFFFF" w:themeFill="background1"/>
            <w:tcMar>
              <w:top w:w="0" w:type="dxa"/>
              <w:left w:w="108" w:type="dxa"/>
              <w:bottom w:w="0" w:type="dxa"/>
              <w:right w:w="108" w:type="dxa"/>
            </w:tcMar>
            <w:vAlign w:val="center"/>
          </w:tcPr>
          <w:p w14:paraId="6056D91D"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44" w:type="dxa"/>
            <w:shd w:val="clear" w:color="auto" w:fill="FFFFFF" w:themeFill="background1"/>
            <w:tcMar>
              <w:top w:w="0" w:type="dxa"/>
              <w:left w:w="108" w:type="dxa"/>
              <w:bottom w:w="0" w:type="dxa"/>
              <w:right w:w="108" w:type="dxa"/>
            </w:tcMar>
            <w:vAlign w:val="center"/>
          </w:tcPr>
          <w:p w14:paraId="7ED41C0D"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8" w:type="dxa"/>
            <w:shd w:val="clear" w:color="auto" w:fill="FFFFFF" w:themeFill="background1"/>
            <w:tcMar>
              <w:top w:w="0" w:type="dxa"/>
              <w:left w:w="108" w:type="dxa"/>
              <w:bottom w:w="0" w:type="dxa"/>
              <w:right w:w="108" w:type="dxa"/>
            </w:tcMar>
            <w:vAlign w:val="center"/>
          </w:tcPr>
          <w:p w14:paraId="2A451BDB"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384A6139"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26" w:type="dxa"/>
            <w:shd w:val="clear" w:color="auto" w:fill="FFFFFF" w:themeFill="background1"/>
            <w:tcMar>
              <w:top w:w="0" w:type="dxa"/>
              <w:left w:w="108" w:type="dxa"/>
              <w:bottom w:w="0" w:type="dxa"/>
              <w:right w:w="108" w:type="dxa"/>
            </w:tcMar>
            <w:vAlign w:val="center"/>
          </w:tcPr>
          <w:p w14:paraId="1880982F"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75" w:type="dxa"/>
            <w:shd w:val="clear" w:color="auto" w:fill="FFFFFF" w:themeFill="background1"/>
            <w:tcMar>
              <w:top w:w="0" w:type="dxa"/>
              <w:left w:w="108" w:type="dxa"/>
              <w:bottom w:w="0" w:type="dxa"/>
              <w:right w:w="108" w:type="dxa"/>
            </w:tcMar>
            <w:vAlign w:val="center"/>
          </w:tcPr>
          <w:p w14:paraId="185AF9B3"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752A0B76"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2" w:type="dxa"/>
            <w:shd w:val="clear" w:color="auto" w:fill="FFFFFF" w:themeFill="background1"/>
            <w:tcMar>
              <w:top w:w="0" w:type="dxa"/>
              <w:left w:w="108" w:type="dxa"/>
              <w:bottom w:w="0" w:type="dxa"/>
              <w:right w:w="108" w:type="dxa"/>
            </w:tcMar>
            <w:vAlign w:val="center"/>
          </w:tcPr>
          <w:p w14:paraId="690699FD"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9" w:type="dxa"/>
            <w:shd w:val="clear" w:color="auto" w:fill="FFFFFF" w:themeFill="background1"/>
            <w:tcMar>
              <w:top w:w="0" w:type="dxa"/>
              <w:left w:w="108" w:type="dxa"/>
              <w:bottom w:w="0" w:type="dxa"/>
              <w:right w:w="108" w:type="dxa"/>
            </w:tcMar>
            <w:vAlign w:val="center"/>
          </w:tcPr>
          <w:p w14:paraId="3D4E5CF2"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2" w:type="dxa"/>
            <w:shd w:val="clear" w:color="auto" w:fill="FFFFFF" w:themeFill="background1"/>
            <w:tcMar>
              <w:top w:w="0" w:type="dxa"/>
              <w:left w:w="108" w:type="dxa"/>
              <w:bottom w:w="0" w:type="dxa"/>
              <w:right w:w="108" w:type="dxa"/>
            </w:tcMar>
            <w:vAlign w:val="center"/>
          </w:tcPr>
          <w:p w14:paraId="0250882F"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850" w:type="dxa"/>
            <w:shd w:val="clear" w:color="auto" w:fill="FFFFFF" w:themeFill="background1"/>
            <w:tcMar>
              <w:top w:w="0" w:type="dxa"/>
              <w:left w:w="108" w:type="dxa"/>
              <w:bottom w:w="0" w:type="dxa"/>
              <w:right w:w="108" w:type="dxa"/>
            </w:tcMar>
            <w:vAlign w:val="center"/>
          </w:tcPr>
          <w:p w14:paraId="66852580"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1CFC82B6"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1E2F371E"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850" w:type="dxa"/>
            <w:shd w:val="clear" w:color="auto" w:fill="FFFFFF" w:themeFill="background1"/>
            <w:tcMar>
              <w:top w:w="0" w:type="dxa"/>
              <w:left w:w="108" w:type="dxa"/>
              <w:bottom w:w="0" w:type="dxa"/>
              <w:right w:w="108" w:type="dxa"/>
            </w:tcMar>
            <w:vAlign w:val="center"/>
          </w:tcPr>
          <w:p w14:paraId="146239D1" w14:textId="77777777" w:rsidR="00284822" w:rsidRDefault="00F77BF8">
            <w:pPr>
              <w:rPr>
                <w:rFonts w:ascii="Rockwell" w:hAnsi="Rockwell"/>
                <w:color w:val="000000"/>
                <w:sz w:val="20"/>
                <w:szCs w:val="20"/>
              </w:rPr>
            </w:pPr>
            <w:r>
              <w:rPr>
                <w:rFonts w:ascii="Rockwell" w:hAnsi="Rockwell"/>
                <w:color w:val="000000"/>
                <w:sz w:val="20"/>
                <w:szCs w:val="20"/>
              </w:rPr>
              <w:t>0,00%</w:t>
            </w:r>
          </w:p>
        </w:tc>
      </w:tr>
      <w:tr w:rsidR="00284822" w14:paraId="76A9D4D4" w14:textId="77777777">
        <w:trPr>
          <w:trHeight w:val="409"/>
          <w:jc w:val="center"/>
        </w:trPr>
        <w:tc>
          <w:tcPr>
            <w:tcW w:w="988" w:type="dxa"/>
            <w:shd w:val="clear" w:color="auto" w:fill="FFFFFF" w:themeFill="background1"/>
            <w:noWrap/>
            <w:tcMar>
              <w:top w:w="0" w:type="dxa"/>
              <w:left w:w="108" w:type="dxa"/>
              <w:bottom w:w="0" w:type="dxa"/>
              <w:right w:w="108" w:type="dxa"/>
            </w:tcMar>
          </w:tcPr>
          <w:p w14:paraId="0EB2B71A" w14:textId="77777777" w:rsidR="00284822" w:rsidRDefault="00F77BF8">
            <w:pPr>
              <w:jc w:val="left"/>
              <w:rPr>
                <w:rFonts w:ascii="Rockwell" w:hAnsi="Rockwell"/>
                <w:bCs/>
                <w:color w:val="000000"/>
                <w:sz w:val="20"/>
                <w:szCs w:val="20"/>
              </w:rPr>
            </w:pPr>
            <w:r>
              <w:rPr>
                <w:rFonts w:ascii="Rockwell" w:hAnsi="Rockwell"/>
                <w:bCs/>
                <w:color w:val="000000"/>
                <w:sz w:val="20"/>
                <w:szCs w:val="20"/>
              </w:rPr>
              <w:t>6</w:t>
            </w:r>
          </w:p>
        </w:tc>
        <w:tc>
          <w:tcPr>
            <w:tcW w:w="1559" w:type="dxa"/>
            <w:shd w:val="clear" w:color="auto" w:fill="FFFFFF" w:themeFill="background1"/>
            <w:tcMar>
              <w:top w:w="0" w:type="dxa"/>
              <w:left w:w="108" w:type="dxa"/>
              <w:bottom w:w="0" w:type="dxa"/>
              <w:right w:w="108" w:type="dxa"/>
            </w:tcMar>
          </w:tcPr>
          <w:p w14:paraId="79272022" w14:textId="77777777" w:rsidR="00284822" w:rsidRDefault="00F77BF8">
            <w:pPr>
              <w:jc w:val="left"/>
              <w:rPr>
                <w:rFonts w:ascii="Rockwell" w:hAnsi="Rockwell"/>
                <w:b/>
                <w:color w:val="000000"/>
                <w:sz w:val="20"/>
                <w:szCs w:val="20"/>
              </w:rPr>
            </w:pPr>
            <w:r>
              <w:rPr>
                <w:rFonts w:ascii="Rockwell" w:hAnsi="Rockwell"/>
                <w:b/>
                <w:color w:val="000000"/>
                <w:sz w:val="20"/>
                <w:szCs w:val="20"/>
              </w:rPr>
              <w:t>BURK YIR</w:t>
            </w:r>
          </w:p>
        </w:tc>
        <w:tc>
          <w:tcPr>
            <w:tcW w:w="850" w:type="dxa"/>
            <w:shd w:val="clear" w:color="auto" w:fill="FFFFFF" w:themeFill="background1"/>
            <w:tcMar>
              <w:top w:w="0" w:type="dxa"/>
              <w:left w:w="108" w:type="dxa"/>
              <w:bottom w:w="0" w:type="dxa"/>
              <w:right w:w="108" w:type="dxa"/>
            </w:tcMar>
            <w:vAlign w:val="center"/>
          </w:tcPr>
          <w:p w14:paraId="6D08A153"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7F21D96C"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57" w:type="dxa"/>
            <w:shd w:val="clear" w:color="auto" w:fill="FFFFFF" w:themeFill="background1"/>
            <w:tcMar>
              <w:top w:w="0" w:type="dxa"/>
              <w:left w:w="108" w:type="dxa"/>
              <w:bottom w:w="0" w:type="dxa"/>
              <w:right w:w="108" w:type="dxa"/>
            </w:tcMar>
            <w:vAlign w:val="center"/>
          </w:tcPr>
          <w:p w14:paraId="509EF035"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44" w:type="dxa"/>
            <w:shd w:val="clear" w:color="auto" w:fill="FFFFFF" w:themeFill="background1"/>
            <w:tcMar>
              <w:top w:w="0" w:type="dxa"/>
              <w:left w:w="108" w:type="dxa"/>
              <w:bottom w:w="0" w:type="dxa"/>
              <w:right w:w="108" w:type="dxa"/>
            </w:tcMar>
            <w:vAlign w:val="center"/>
          </w:tcPr>
          <w:p w14:paraId="7C71F159"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8" w:type="dxa"/>
            <w:shd w:val="clear" w:color="auto" w:fill="FFFFFF" w:themeFill="background1"/>
            <w:tcMar>
              <w:top w:w="0" w:type="dxa"/>
              <w:left w:w="108" w:type="dxa"/>
              <w:bottom w:w="0" w:type="dxa"/>
              <w:right w:w="108" w:type="dxa"/>
            </w:tcMar>
            <w:vAlign w:val="center"/>
          </w:tcPr>
          <w:p w14:paraId="3A44EA34"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00D9A4F0"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26" w:type="dxa"/>
            <w:shd w:val="clear" w:color="auto" w:fill="FFFFFF" w:themeFill="background1"/>
            <w:tcMar>
              <w:top w:w="0" w:type="dxa"/>
              <w:left w:w="108" w:type="dxa"/>
              <w:bottom w:w="0" w:type="dxa"/>
              <w:right w:w="108" w:type="dxa"/>
            </w:tcMar>
            <w:vAlign w:val="center"/>
          </w:tcPr>
          <w:p w14:paraId="389928B6"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75" w:type="dxa"/>
            <w:shd w:val="clear" w:color="auto" w:fill="FFFFFF" w:themeFill="background1"/>
            <w:tcMar>
              <w:top w:w="0" w:type="dxa"/>
              <w:left w:w="108" w:type="dxa"/>
              <w:bottom w:w="0" w:type="dxa"/>
              <w:right w:w="108" w:type="dxa"/>
            </w:tcMar>
            <w:vAlign w:val="center"/>
          </w:tcPr>
          <w:p w14:paraId="66BB9752"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45A91BDA" w14:textId="77777777" w:rsidR="00284822" w:rsidRDefault="00F77BF8">
            <w:pPr>
              <w:rPr>
                <w:rFonts w:ascii="Rockwell" w:hAnsi="Rockwell"/>
                <w:color w:val="000000"/>
                <w:sz w:val="20"/>
                <w:szCs w:val="20"/>
              </w:rPr>
            </w:pPr>
            <w:r>
              <w:rPr>
                <w:rFonts w:ascii="Rockwell" w:hAnsi="Rockwell"/>
                <w:color w:val="000000"/>
                <w:sz w:val="20"/>
                <w:szCs w:val="20"/>
              </w:rPr>
              <w:t>3</w:t>
            </w:r>
          </w:p>
        </w:tc>
        <w:tc>
          <w:tcPr>
            <w:tcW w:w="992" w:type="dxa"/>
            <w:shd w:val="clear" w:color="auto" w:fill="FFFFFF" w:themeFill="background1"/>
            <w:tcMar>
              <w:top w:w="0" w:type="dxa"/>
              <w:left w:w="108" w:type="dxa"/>
              <w:bottom w:w="0" w:type="dxa"/>
              <w:right w:w="108" w:type="dxa"/>
            </w:tcMar>
            <w:vAlign w:val="center"/>
          </w:tcPr>
          <w:p w14:paraId="039E45BA" w14:textId="77777777" w:rsidR="00284822" w:rsidRDefault="00F77BF8">
            <w:pPr>
              <w:rPr>
                <w:rFonts w:ascii="Rockwell" w:hAnsi="Rockwell"/>
                <w:color w:val="000000"/>
                <w:sz w:val="20"/>
                <w:szCs w:val="20"/>
              </w:rPr>
            </w:pPr>
            <w:r>
              <w:rPr>
                <w:rFonts w:ascii="Rockwell" w:hAnsi="Rockwell"/>
                <w:color w:val="000000"/>
                <w:sz w:val="20"/>
                <w:szCs w:val="20"/>
              </w:rPr>
              <w:t>4,60%</w:t>
            </w:r>
          </w:p>
        </w:tc>
        <w:tc>
          <w:tcPr>
            <w:tcW w:w="709" w:type="dxa"/>
            <w:shd w:val="clear" w:color="auto" w:fill="FFFFFF" w:themeFill="background1"/>
            <w:tcMar>
              <w:top w:w="0" w:type="dxa"/>
              <w:left w:w="108" w:type="dxa"/>
              <w:bottom w:w="0" w:type="dxa"/>
              <w:right w:w="108" w:type="dxa"/>
            </w:tcMar>
            <w:vAlign w:val="center"/>
          </w:tcPr>
          <w:p w14:paraId="69E5A7A4" w14:textId="77777777" w:rsidR="00284822" w:rsidRDefault="00F77BF8">
            <w:pPr>
              <w:rPr>
                <w:rFonts w:ascii="Rockwell" w:hAnsi="Rockwell"/>
                <w:color w:val="000000"/>
                <w:sz w:val="20"/>
                <w:szCs w:val="20"/>
              </w:rPr>
            </w:pPr>
            <w:r>
              <w:rPr>
                <w:rFonts w:ascii="Rockwell" w:hAnsi="Rockwell"/>
                <w:color w:val="000000"/>
                <w:sz w:val="20"/>
                <w:szCs w:val="20"/>
              </w:rPr>
              <w:t>7</w:t>
            </w:r>
          </w:p>
        </w:tc>
        <w:tc>
          <w:tcPr>
            <w:tcW w:w="992" w:type="dxa"/>
            <w:shd w:val="clear" w:color="auto" w:fill="FFFFFF" w:themeFill="background1"/>
            <w:tcMar>
              <w:top w:w="0" w:type="dxa"/>
              <w:left w:w="108" w:type="dxa"/>
              <w:bottom w:w="0" w:type="dxa"/>
              <w:right w:w="108" w:type="dxa"/>
            </w:tcMar>
            <w:vAlign w:val="center"/>
          </w:tcPr>
          <w:p w14:paraId="2A5D2BD3" w14:textId="77777777" w:rsidR="00284822" w:rsidRDefault="00F77BF8">
            <w:pPr>
              <w:rPr>
                <w:rFonts w:ascii="Rockwell" w:hAnsi="Rockwell"/>
                <w:color w:val="000000"/>
                <w:sz w:val="20"/>
                <w:szCs w:val="20"/>
              </w:rPr>
            </w:pPr>
            <w:r>
              <w:rPr>
                <w:rFonts w:ascii="Rockwell" w:hAnsi="Rockwell"/>
                <w:color w:val="000000"/>
                <w:sz w:val="20"/>
                <w:szCs w:val="20"/>
              </w:rPr>
              <w:t>6,03%</w:t>
            </w:r>
          </w:p>
        </w:tc>
        <w:tc>
          <w:tcPr>
            <w:tcW w:w="850" w:type="dxa"/>
            <w:shd w:val="clear" w:color="auto" w:fill="FFFFFF" w:themeFill="background1"/>
            <w:tcMar>
              <w:top w:w="0" w:type="dxa"/>
              <w:left w:w="108" w:type="dxa"/>
              <w:bottom w:w="0" w:type="dxa"/>
              <w:right w:w="108" w:type="dxa"/>
            </w:tcMar>
            <w:vAlign w:val="center"/>
          </w:tcPr>
          <w:p w14:paraId="5367110C"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3405D991"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5F787234"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850" w:type="dxa"/>
            <w:shd w:val="clear" w:color="auto" w:fill="FFFFFF" w:themeFill="background1"/>
            <w:tcMar>
              <w:top w:w="0" w:type="dxa"/>
              <w:left w:w="108" w:type="dxa"/>
              <w:bottom w:w="0" w:type="dxa"/>
              <w:right w:w="108" w:type="dxa"/>
            </w:tcMar>
            <w:vAlign w:val="center"/>
          </w:tcPr>
          <w:p w14:paraId="2AC22FA0" w14:textId="77777777" w:rsidR="00284822" w:rsidRDefault="00F77BF8">
            <w:pPr>
              <w:rPr>
                <w:rFonts w:ascii="Rockwell" w:hAnsi="Rockwell"/>
                <w:color w:val="000000"/>
                <w:sz w:val="20"/>
                <w:szCs w:val="20"/>
              </w:rPr>
            </w:pPr>
            <w:r>
              <w:rPr>
                <w:rFonts w:ascii="Rockwell" w:hAnsi="Rockwell"/>
                <w:color w:val="000000"/>
                <w:sz w:val="20"/>
                <w:szCs w:val="20"/>
              </w:rPr>
              <w:t>0,00%</w:t>
            </w:r>
          </w:p>
        </w:tc>
      </w:tr>
      <w:tr w:rsidR="00284822" w14:paraId="5AA47F70" w14:textId="77777777" w:rsidTr="00EC515D">
        <w:trPr>
          <w:trHeight w:val="363"/>
          <w:jc w:val="center"/>
        </w:trPr>
        <w:tc>
          <w:tcPr>
            <w:tcW w:w="988" w:type="dxa"/>
            <w:shd w:val="clear" w:color="auto" w:fill="FFFFFF" w:themeFill="background1"/>
            <w:noWrap/>
            <w:tcMar>
              <w:top w:w="0" w:type="dxa"/>
              <w:left w:w="108" w:type="dxa"/>
              <w:bottom w:w="0" w:type="dxa"/>
              <w:right w:w="108" w:type="dxa"/>
            </w:tcMar>
          </w:tcPr>
          <w:p w14:paraId="6C56C2B2" w14:textId="77777777" w:rsidR="00284822" w:rsidRDefault="00F77BF8">
            <w:pPr>
              <w:jc w:val="left"/>
              <w:rPr>
                <w:rFonts w:ascii="Rockwell" w:hAnsi="Rockwell"/>
                <w:bCs/>
                <w:color w:val="000000"/>
                <w:sz w:val="20"/>
                <w:szCs w:val="20"/>
              </w:rPr>
            </w:pPr>
            <w:r>
              <w:rPr>
                <w:rFonts w:ascii="Rockwell" w:hAnsi="Rockwell"/>
                <w:bCs/>
                <w:color w:val="000000"/>
                <w:sz w:val="20"/>
                <w:szCs w:val="20"/>
              </w:rPr>
              <w:t>7</w:t>
            </w:r>
          </w:p>
        </w:tc>
        <w:tc>
          <w:tcPr>
            <w:tcW w:w="1559" w:type="dxa"/>
            <w:shd w:val="clear" w:color="auto" w:fill="FFFFFF" w:themeFill="background1"/>
            <w:tcMar>
              <w:top w:w="0" w:type="dxa"/>
              <w:left w:w="108" w:type="dxa"/>
              <w:bottom w:w="0" w:type="dxa"/>
              <w:right w:w="108" w:type="dxa"/>
            </w:tcMar>
          </w:tcPr>
          <w:p w14:paraId="57782644" w14:textId="77777777" w:rsidR="00284822" w:rsidRDefault="00F77BF8">
            <w:pPr>
              <w:jc w:val="left"/>
              <w:rPr>
                <w:rFonts w:ascii="Rockwell" w:hAnsi="Rockwell"/>
                <w:b/>
                <w:color w:val="000000"/>
                <w:sz w:val="20"/>
                <w:szCs w:val="20"/>
              </w:rPr>
            </w:pPr>
            <w:r>
              <w:rPr>
                <w:rFonts w:ascii="Rockwell" w:hAnsi="Rockwell"/>
                <w:b/>
                <w:color w:val="000000"/>
                <w:sz w:val="20"/>
                <w:szCs w:val="20"/>
              </w:rPr>
              <w:t>CDP</w:t>
            </w:r>
          </w:p>
        </w:tc>
        <w:tc>
          <w:tcPr>
            <w:tcW w:w="850" w:type="dxa"/>
            <w:shd w:val="clear" w:color="auto" w:fill="FFFFFF" w:themeFill="background1"/>
            <w:tcMar>
              <w:top w:w="0" w:type="dxa"/>
              <w:left w:w="108" w:type="dxa"/>
              <w:bottom w:w="0" w:type="dxa"/>
              <w:right w:w="108" w:type="dxa"/>
            </w:tcMar>
            <w:vAlign w:val="center"/>
          </w:tcPr>
          <w:p w14:paraId="3760E56E" w14:textId="77777777" w:rsidR="00284822" w:rsidRDefault="00F77BF8">
            <w:pPr>
              <w:rPr>
                <w:rFonts w:ascii="Rockwell" w:hAnsi="Rockwell"/>
                <w:color w:val="000000"/>
                <w:sz w:val="20"/>
                <w:szCs w:val="20"/>
              </w:rPr>
            </w:pPr>
            <w:r>
              <w:rPr>
                <w:rFonts w:ascii="Rockwell" w:hAnsi="Rockwell"/>
                <w:color w:val="000000"/>
                <w:sz w:val="20"/>
                <w:szCs w:val="20"/>
              </w:rPr>
              <w:t>16</w:t>
            </w:r>
          </w:p>
        </w:tc>
        <w:tc>
          <w:tcPr>
            <w:tcW w:w="993" w:type="dxa"/>
            <w:shd w:val="clear" w:color="auto" w:fill="FFFFFF" w:themeFill="background1"/>
            <w:tcMar>
              <w:top w:w="0" w:type="dxa"/>
              <w:left w:w="108" w:type="dxa"/>
              <w:bottom w:w="0" w:type="dxa"/>
              <w:right w:w="108" w:type="dxa"/>
            </w:tcMar>
            <w:vAlign w:val="center"/>
          </w:tcPr>
          <w:p w14:paraId="1B4E87ED" w14:textId="77777777" w:rsidR="00284822" w:rsidRDefault="00F77BF8">
            <w:pPr>
              <w:rPr>
                <w:rFonts w:ascii="Rockwell" w:hAnsi="Rockwell"/>
                <w:color w:val="000000"/>
                <w:sz w:val="20"/>
                <w:szCs w:val="20"/>
              </w:rPr>
            </w:pPr>
            <w:r>
              <w:rPr>
                <w:rFonts w:ascii="Rockwell" w:hAnsi="Rockwell"/>
                <w:color w:val="000000"/>
                <w:sz w:val="20"/>
                <w:szCs w:val="20"/>
              </w:rPr>
              <w:t>28,33%</w:t>
            </w:r>
          </w:p>
        </w:tc>
        <w:tc>
          <w:tcPr>
            <w:tcW w:w="657" w:type="dxa"/>
            <w:shd w:val="clear" w:color="auto" w:fill="FFFFFF" w:themeFill="background1"/>
            <w:tcMar>
              <w:top w:w="0" w:type="dxa"/>
              <w:left w:w="108" w:type="dxa"/>
              <w:bottom w:w="0" w:type="dxa"/>
              <w:right w:w="108" w:type="dxa"/>
            </w:tcMar>
            <w:vAlign w:val="center"/>
          </w:tcPr>
          <w:p w14:paraId="2EC15635" w14:textId="77777777" w:rsidR="00284822" w:rsidRDefault="00F77BF8">
            <w:pPr>
              <w:rPr>
                <w:rFonts w:ascii="Rockwell" w:hAnsi="Rockwell"/>
                <w:color w:val="000000"/>
                <w:sz w:val="20"/>
                <w:szCs w:val="20"/>
              </w:rPr>
            </w:pPr>
            <w:r>
              <w:rPr>
                <w:rFonts w:ascii="Rockwell" w:hAnsi="Rockwell"/>
                <w:color w:val="000000"/>
                <w:sz w:val="20"/>
                <w:szCs w:val="20"/>
              </w:rPr>
              <w:t>29</w:t>
            </w:r>
          </w:p>
        </w:tc>
        <w:tc>
          <w:tcPr>
            <w:tcW w:w="1044" w:type="dxa"/>
            <w:shd w:val="clear" w:color="auto" w:fill="FFFFFF" w:themeFill="background1"/>
            <w:tcMar>
              <w:top w:w="0" w:type="dxa"/>
              <w:left w:w="108" w:type="dxa"/>
              <w:bottom w:w="0" w:type="dxa"/>
              <w:right w:w="108" w:type="dxa"/>
            </w:tcMar>
            <w:vAlign w:val="center"/>
          </w:tcPr>
          <w:p w14:paraId="4A14F131" w14:textId="77777777" w:rsidR="00284822" w:rsidRDefault="00F77BF8">
            <w:pPr>
              <w:rPr>
                <w:rFonts w:ascii="Rockwell" w:hAnsi="Rockwell"/>
                <w:color w:val="000000"/>
                <w:sz w:val="20"/>
                <w:szCs w:val="20"/>
              </w:rPr>
            </w:pPr>
            <w:r>
              <w:rPr>
                <w:rFonts w:ascii="Rockwell" w:hAnsi="Rockwell"/>
                <w:color w:val="000000"/>
                <w:sz w:val="20"/>
                <w:szCs w:val="20"/>
              </w:rPr>
              <w:t>32,58%</w:t>
            </w:r>
          </w:p>
        </w:tc>
        <w:tc>
          <w:tcPr>
            <w:tcW w:w="708" w:type="dxa"/>
            <w:shd w:val="clear" w:color="auto" w:fill="FFFFFF" w:themeFill="background1"/>
            <w:tcMar>
              <w:top w:w="0" w:type="dxa"/>
              <w:left w:w="108" w:type="dxa"/>
              <w:bottom w:w="0" w:type="dxa"/>
              <w:right w:w="108" w:type="dxa"/>
            </w:tcMar>
            <w:vAlign w:val="center"/>
          </w:tcPr>
          <w:p w14:paraId="2075B8A6" w14:textId="77777777" w:rsidR="00284822" w:rsidRDefault="00F77BF8">
            <w:pPr>
              <w:rPr>
                <w:rFonts w:ascii="Rockwell" w:hAnsi="Rockwell"/>
                <w:color w:val="000000"/>
                <w:sz w:val="20"/>
                <w:szCs w:val="20"/>
              </w:rPr>
            </w:pPr>
            <w:r>
              <w:rPr>
                <w:rFonts w:ascii="Rockwell" w:hAnsi="Rockwell"/>
                <w:color w:val="000000"/>
                <w:sz w:val="20"/>
                <w:szCs w:val="20"/>
              </w:rPr>
              <w:t>12 1/8</w:t>
            </w:r>
          </w:p>
        </w:tc>
        <w:tc>
          <w:tcPr>
            <w:tcW w:w="993" w:type="dxa"/>
            <w:shd w:val="clear" w:color="auto" w:fill="FFFFFF" w:themeFill="background1"/>
            <w:tcMar>
              <w:top w:w="0" w:type="dxa"/>
              <w:left w:w="108" w:type="dxa"/>
              <w:bottom w:w="0" w:type="dxa"/>
              <w:right w:w="108" w:type="dxa"/>
            </w:tcMar>
            <w:vAlign w:val="center"/>
          </w:tcPr>
          <w:p w14:paraId="5F397598" w14:textId="77777777" w:rsidR="00284822" w:rsidRDefault="00F77BF8">
            <w:pPr>
              <w:rPr>
                <w:rFonts w:ascii="Rockwell" w:hAnsi="Rockwell"/>
                <w:color w:val="000000"/>
                <w:sz w:val="20"/>
                <w:szCs w:val="20"/>
              </w:rPr>
            </w:pPr>
            <w:r>
              <w:rPr>
                <w:rFonts w:ascii="Rockwell" w:hAnsi="Rockwell"/>
                <w:color w:val="000000"/>
                <w:sz w:val="20"/>
                <w:szCs w:val="20"/>
              </w:rPr>
              <w:t>27,25%</w:t>
            </w:r>
          </w:p>
        </w:tc>
        <w:tc>
          <w:tcPr>
            <w:tcW w:w="626" w:type="dxa"/>
            <w:shd w:val="clear" w:color="auto" w:fill="FFFFFF" w:themeFill="background1"/>
            <w:tcMar>
              <w:top w:w="0" w:type="dxa"/>
              <w:left w:w="108" w:type="dxa"/>
              <w:bottom w:w="0" w:type="dxa"/>
              <w:right w:w="108" w:type="dxa"/>
            </w:tcMar>
            <w:vAlign w:val="center"/>
          </w:tcPr>
          <w:p w14:paraId="3A613863" w14:textId="77777777" w:rsidR="00284822" w:rsidRDefault="00F77BF8">
            <w:pPr>
              <w:rPr>
                <w:rFonts w:ascii="Rockwell" w:hAnsi="Rockwell"/>
                <w:color w:val="000000"/>
                <w:sz w:val="20"/>
                <w:szCs w:val="20"/>
              </w:rPr>
            </w:pPr>
            <w:r>
              <w:rPr>
                <w:rFonts w:ascii="Rockwell" w:hAnsi="Rockwell"/>
                <w:color w:val="000000"/>
                <w:sz w:val="20"/>
                <w:szCs w:val="20"/>
              </w:rPr>
              <w:t>22</w:t>
            </w:r>
          </w:p>
        </w:tc>
        <w:tc>
          <w:tcPr>
            <w:tcW w:w="1075" w:type="dxa"/>
            <w:shd w:val="clear" w:color="auto" w:fill="FFFFFF" w:themeFill="background1"/>
            <w:tcMar>
              <w:top w:w="0" w:type="dxa"/>
              <w:left w:w="108" w:type="dxa"/>
              <w:bottom w:w="0" w:type="dxa"/>
              <w:right w:w="108" w:type="dxa"/>
            </w:tcMar>
            <w:vAlign w:val="center"/>
          </w:tcPr>
          <w:p w14:paraId="3EBD0495" w14:textId="77777777" w:rsidR="00284822" w:rsidRDefault="00F77BF8">
            <w:pPr>
              <w:rPr>
                <w:rFonts w:ascii="Rockwell" w:hAnsi="Rockwell"/>
                <w:color w:val="000000"/>
                <w:sz w:val="20"/>
                <w:szCs w:val="20"/>
              </w:rPr>
            </w:pPr>
            <w:r>
              <w:rPr>
                <w:rFonts w:ascii="Rockwell" w:hAnsi="Rockwell"/>
                <w:color w:val="000000"/>
                <w:sz w:val="20"/>
                <w:szCs w:val="20"/>
              </w:rPr>
              <w:t>25,88%</w:t>
            </w:r>
          </w:p>
        </w:tc>
        <w:tc>
          <w:tcPr>
            <w:tcW w:w="567" w:type="dxa"/>
            <w:shd w:val="clear" w:color="auto" w:fill="FFFFFF" w:themeFill="background1"/>
            <w:tcMar>
              <w:top w:w="0" w:type="dxa"/>
              <w:left w:w="108" w:type="dxa"/>
              <w:bottom w:w="0" w:type="dxa"/>
              <w:right w:w="108" w:type="dxa"/>
            </w:tcMar>
            <w:vAlign w:val="center"/>
          </w:tcPr>
          <w:p w14:paraId="7465A111" w14:textId="77777777" w:rsidR="00284822" w:rsidRDefault="00F77BF8">
            <w:pPr>
              <w:rPr>
                <w:rFonts w:ascii="Rockwell" w:hAnsi="Rockwell"/>
                <w:color w:val="000000"/>
                <w:sz w:val="20"/>
                <w:szCs w:val="20"/>
              </w:rPr>
            </w:pPr>
            <w:r>
              <w:rPr>
                <w:rFonts w:ascii="Rockwell" w:hAnsi="Rockwell"/>
                <w:color w:val="000000"/>
                <w:sz w:val="20"/>
                <w:szCs w:val="20"/>
              </w:rPr>
              <w:t>16 ½</w:t>
            </w:r>
          </w:p>
        </w:tc>
        <w:tc>
          <w:tcPr>
            <w:tcW w:w="992" w:type="dxa"/>
            <w:shd w:val="clear" w:color="auto" w:fill="FFFFFF" w:themeFill="background1"/>
            <w:tcMar>
              <w:top w:w="0" w:type="dxa"/>
              <w:left w:w="108" w:type="dxa"/>
              <w:bottom w:w="0" w:type="dxa"/>
              <w:right w:w="108" w:type="dxa"/>
            </w:tcMar>
            <w:vAlign w:val="center"/>
          </w:tcPr>
          <w:p w14:paraId="79E0FA50" w14:textId="77777777" w:rsidR="00284822" w:rsidRDefault="00F77BF8">
            <w:pPr>
              <w:rPr>
                <w:rFonts w:ascii="Rockwell" w:hAnsi="Rockwell"/>
                <w:color w:val="000000"/>
                <w:sz w:val="20"/>
                <w:szCs w:val="20"/>
              </w:rPr>
            </w:pPr>
            <w:r>
              <w:rPr>
                <w:rFonts w:ascii="Rockwell" w:hAnsi="Rockwell"/>
                <w:color w:val="000000"/>
                <w:sz w:val="20"/>
                <w:szCs w:val="20"/>
              </w:rPr>
              <w:t>25,32%</w:t>
            </w:r>
          </w:p>
        </w:tc>
        <w:tc>
          <w:tcPr>
            <w:tcW w:w="709" w:type="dxa"/>
            <w:shd w:val="clear" w:color="auto" w:fill="FFFFFF" w:themeFill="background1"/>
            <w:tcMar>
              <w:top w:w="0" w:type="dxa"/>
              <w:left w:w="108" w:type="dxa"/>
              <w:bottom w:w="0" w:type="dxa"/>
              <w:right w:w="108" w:type="dxa"/>
            </w:tcMar>
            <w:vAlign w:val="center"/>
          </w:tcPr>
          <w:p w14:paraId="46EFDA0E" w14:textId="77777777" w:rsidR="00284822" w:rsidRDefault="00F77BF8">
            <w:pPr>
              <w:rPr>
                <w:rFonts w:ascii="Rockwell" w:hAnsi="Rockwell"/>
                <w:color w:val="000000"/>
                <w:sz w:val="20"/>
                <w:szCs w:val="20"/>
              </w:rPr>
            </w:pPr>
            <w:r>
              <w:rPr>
                <w:rFonts w:ascii="Rockwell" w:hAnsi="Rockwell"/>
                <w:color w:val="000000"/>
                <w:sz w:val="20"/>
                <w:szCs w:val="20"/>
              </w:rPr>
              <w:t>21</w:t>
            </w:r>
          </w:p>
        </w:tc>
        <w:tc>
          <w:tcPr>
            <w:tcW w:w="992" w:type="dxa"/>
            <w:shd w:val="clear" w:color="auto" w:fill="FFFFFF" w:themeFill="background1"/>
            <w:tcMar>
              <w:top w:w="0" w:type="dxa"/>
              <w:left w:w="108" w:type="dxa"/>
              <w:bottom w:w="0" w:type="dxa"/>
              <w:right w:w="108" w:type="dxa"/>
            </w:tcMar>
            <w:vAlign w:val="center"/>
          </w:tcPr>
          <w:p w14:paraId="7A8D22D3" w14:textId="77777777" w:rsidR="00284822" w:rsidRDefault="00F77BF8">
            <w:pPr>
              <w:rPr>
                <w:rFonts w:ascii="Rockwell" w:hAnsi="Rockwell"/>
                <w:color w:val="000000"/>
                <w:sz w:val="20"/>
                <w:szCs w:val="20"/>
              </w:rPr>
            </w:pPr>
            <w:r>
              <w:rPr>
                <w:rFonts w:ascii="Rockwell" w:hAnsi="Rockwell"/>
                <w:color w:val="000000"/>
                <w:sz w:val="20"/>
                <w:szCs w:val="20"/>
              </w:rPr>
              <w:t>18,10%</w:t>
            </w:r>
          </w:p>
        </w:tc>
        <w:tc>
          <w:tcPr>
            <w:tcW w:w="850" w:type="dxa"/>
            <w:shd w:val="clear" w:color="auto" w:fill="FFFFFF" w:themeFill="background1"/>
            <w:tcMar>
              <w:top w:w="0" w:type="dxa"/>
              <w:left w:w="108" w:type="dxa"/>
              <w:bottom w:w="0" w:type="dxa"/>
              <w:right w:w="108" w:type="dxa"/>
            </w:tcMar>
            <w:vAlign w:val="center"/>
          </w:tcPr>
          <w:p w14:paraId="137DED65" w14:textId="77777777" w:rsidR="00284822" w:rsidRDefault="00F77BF8">
            <w:pPr>
              <w:rPr>
                <w:rFonts w:ascii="Rockwell" w:hAnsi="Rockwell"/>
                <w:color w:val="000000"/>
                <w:sz w:val="20"/>
                <w:szCs w:val="20"/>
              </w:rPr>
            </w:pPr>
            <w:r>
              <w:rPr>
                <w:rFonts w:ascii="Rockwell" w:hAnsi="Rockwell"/>
                <w:color w:val="000000"/>
                <w:sz w:val="20"/>
                <w:szCs w:val="20"/>
              </w:rPr>
              <w:t>4 5/6</w:t>
            </w:r>
          </w:p>
        </w:tc>
        <w:tc>
          <w:tcPr>
            <w:tcW w:w="993" w:type="dxa"/>
            <w:shd w:val="clear" w:color="auto" w:fill="FFFFFF" w:themeFill="background1"/>
            <w:tcMar>
              <w:top w:w="0" w:type="dxa"/>
              <w:left w:w="108" w:type="dxa"/>
              <w:bottom w:w="0" w:type="dxa"/>
              <w:right w:w="108" w:type="dxa"/>
            </w:tcMar>
            <w:vAlign w:val="center"/>
          </w:tcPr>
          <w:p w14:paraId="6108EF2A" w14:textId="77777777" w:rsidR="00284822" w:rsidRDefault="00F77BF8">
            <w:pPr>
              <w:rPr>
                <w:rFonts w:ascii="Rockwell" w:hAnsi="Rockwell"/>
                <w:color w:val="000000"/>
                <w:sz w:val="20"/>
                <w:szCs w:val="20"/>
              </w:rPr>
            </w:pPr>
            <w:r>
              <w:rPr>
                <w:rFonts w:ascii="Rockwell" w:hAnsi="Rockwell"/>
                <w:color w:val="000000"/>
                <w:sz w:val="20"/>
                <w:szCs w:val="20"/>
              </w:rPr>
              <w:t>15,27%</w:t>
            </w:r>
          </w:p>
        </w:tc>
        <w:tc>
          <w:tcPr>
            <w:tcW w:w="567" w:type="dxa"/>
            <w:shd w:val="clear" w:color="auto" w:fill="FFFFFF" w:themeFill="background1"/>
            <w:tcMar>
              <w:top w:w="0" w:type="dxa"/>
              <w:left w:w="108" w:type="dxa"/>
              <w:bottom w:w="0" w:type="dxa"/>
              <w:right w:w="108" w:type="dxa"/>
            </w:tcMar>
            <w:vAlign w:val="center"/>
          </w:tcPr>
          <w:p w14:paraId="2ECC164B" w14:textId="77777777" w:rsidR="00284822" w:rsidRDefault="00F77BF8">
            <w:pPr>
              <w:rPr>
                <w:rFonts w:ascii="Rockwell" w:hAnsi="Rockwell"/>
                <w:color w:val="000000"/>
                <w:sz w:val="20"/>
                <w:szCs w:val="20"/>
              </w:rPr>
            </w:pPr>
            <w:r>
              <w:rPr>
                <w:rFonts w:ascii="Rockwell" w:hAnsi="Rockwell"/>
                <w:color w:val="000000"/>
                <w:sz w:val="20"/>
                <w:szCs w:val="20"/>
              </w:rPr>
              <w:t>8</w:t>
            </w:r>
          </w:p>
        </w:tc>
        <w:tc>
          <w:tcPr>
            <w:tcW w:w="850" w:type="dxa"/>
            <w:shd w:val="clear" w:color="auto" w:fill="FFFFFF" w:themeFill="background1"/>
            <w:tcMar>
              <w:top w:w="0" w:type="dxa"/>
              <w:left w:w="108" w:type="dxa"/>
              <w:bottom w:w="0" w:type="dxa"/>
              <w:right w:w="108" w:type="dxa"/>
            </w:tcMar>
            <w:vAlign w:val="center"/>
          </w:tcPr>
          <w:p w14:paraId="668014A2" w14:textId="77777777" w:rsidR="00284822" w:rsidRDefault="00F77BF8">
            <w:pPr>
              <w:rPr>
                <w:rFonts w:ascii="Rockwell" w:hAnsi="Rockwell"/>
                <w:color w:val="000000"/>
                <w:sz w:val="20"/>
                <w:szCs w:val="20"/>
              </w:rPr>
            </w:pPr>
            <w:r>
              <w:rPr>
                <w:rFonts w:ascii="Rockwell" w:hAnsi="Rockwell"/>
                <w:color w:val="000000"/>
                <w:sz w:val="20"/>
                <w:szCs w:val="20"/>
              </w:rPr>
              <w:t>12,90%</w:t>
            </w:r>
          </w:p>
        </w:tc>
      </w:tr>
      <w:tr w:rsidR="00284822" w14:paraId="53A380FF" w14:textId="77777777">
        <w:trPr>
          <w:trHeight w:val="365"/>
          <w:jc w:val="center"/>
        </w:trPr>
        <w:tc>
          <w:tcPr>
            <w:tcW w:w="988" w:type="dxa"/>
            <w:shd w:val="clear" w:color="auto" w:fill="FFFFFF" w:themeFill="background1"/>
            <w:noWrap/>
            <w:tcMar>
              <w:top w:w="0" w:type="dxa"/>
              <w:left w:w="108" w:type="dxa"/>
              <w:bottom w:w="0" w:type="dxa"/>
              <w:right w:w="108" w:type="dxa"/>
            </w:tcMar>
          </w:tcPr>
          <w:p w14:paraId="73B9DDCD" w14:textId="77777777" w:rsidR="00284822" w:rsidRDefault="00F77BF8">
            <w:pPr>
              <w:jc w:val="left"/>
              <w:rPr>
                <w:rFonts w:ascii="Rockwell" w:hAnsi="Rockwell"/>
                <w:bCs/>
                <w:color w:val="000000"/>
                <w:sz w:val="20"/>
                <w:szCs w:val="20"/>
              </w:rPr>
            </w:pPr>
            <w:r>
              <w:rPr>
                <w:rFonts w:ascii="Rockwell" w:hAnsi="Rockwell"/>
                <w:bCs/>
                <w:color w:val="000000"/>
                <w:sz w:val="20"/>
                <w:szCs w:val="20"/>
              </w:rPr>
              <w:t>8</w:t>
            </w:r>
          </w:p>
        </w:tc>
        <w:tc>
          <w:tcPr>
            <w:tcW w:w="1559" w:type="dxa"/>
            <w:shd w:val="clear" w:color="auto" w:fill="FFFFFF" w:themeFill="background1"/>
            <w:tcMar>
              <w:top w:w="0" w:type="dxa"/>
              <w:left w:w="108" w:type="dxa"/>
              <w:bottom w:w="0" w:type="dxa"/>
              <w:right w:w="108" w:type="dxa"/>
            </w:tcMar>
          </w:tcPr>
          <w:p w14:paraId="3C7EF3D0" w14:textId="77777777" w:rsidR="00284822" w:rsidRDefault="00F77BF8">
            <w:pPr>
              <w:jc w:val="left"/>
              <w:rPr>
                <w:rFonts w:ascii="Rockwell" w:hAnsi="Rockwell"/>
                <w:b/>
                <w:color w:val="000000"/>
                <w:sz w:val="20"/>
                <w:szCs w:val="20"/>
              </w:rPr>
            </w:pPr>
            <w:r>
              <w:rPr>
                <w:rFonts w:ascii="Rockwell" w:hAnsi="Rockwell"/>
                <w:b/>
                <w:color w:val="000000"/>
                <w:sz w:val="20"/>
                <w:szCs w:val="20"/>
              </w:rPr>
              <w:t>CRP</w:t>
            </w:r>
          </w:p>
        </w:tc>
        <w:tc>
          <w:tcPr>
            <w:tcW w:w="850" w:type="dxa"/>
            <w:shd w:val="clear" w:color="auto" w:fill="FFFFFF" w:themeFill="background1"/>
            <w:tcMar>
              <w:top w:w="0" w:type="dxa"/>
              <w:left w:w="108" w:type="dxa"/>
              <w:bottom w:w="0" w:type="dxa"/>
              <w:right w:w="108" w:type="dxa"/>
            </w:tcMar>
            <w:vAlign w:val="center"/>
          </w:tcPr>
          <w:p w14:paraId="6D5C5398"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09FFD0AE"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57" w:type="dxa"/>
            <w:shd w:val="clear" w:color="auto" w:fill="FFFFFF" w:themeFill="background1"/>
            <w:tcMar>
              <w:top w:w="0" w:type="dxa"/>
              <w:left w:w="108" w:type="dxa"/>
              <w:bottom w:w="0" w:type="dxa"/>
              <w:right w:w="108" w:type="dxa"/>
            </w:tcMar>
            <w:vAlign w:val="center"/>
          </w:tcPr>
          <w:p w14:paraId="35F54A66"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44" w:type="dxa"/>
            <w:shd w:val="clear" w:color="auto" w:fill="FFFFFF" w:themeFill="background1"/>
            <w:tcMar>
              <w:top w:w="0" w:type="dxa"/>
              <w:left w:w="108" w:type="dxa"/>
              <w:bottom w:w="0" w:type="dxa"/>
              <w:right w:w="108" w:type="dxa"/>
            </w:tcMar>
            <w:vAlign w:val="center"/>
          </w:tcPr>
          <w:p w14:paraId="1E3404D2"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8" w:type="dxa"/>
            <w:shd w:val="clear" w:color="auto" w:fill="FFFFFF" w:themeFill="background1"/>
            <w:tcMar>
              <w:top w:w="0" w:type="dxa"/>
              <w:left w:w="108" w:type="dxa"/>
              <w:bottom w:w="0" w:type="dxa"/>
              <w:right w:w="108" w:type="dxa"/>
            </w:tcMar>
            <w:vAlign w:val="center"/>
          </w:tcPr>
          <w:p w14:paraId="4CA9B6FE"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25DE0BC9"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26" w:type="dxa"/>
            <w:shd w:val="clear" w:color="auto" w:fill="FFFFFF" w:themeFill="background1"/>
            <w:tcMar>
              <w:top w:w="0" w:type="dxa"/>
              <w:left w:w="108" w:type="dxa"/>
              <w:bottom w:w="0" w:type="dxa"/>
              <w:right w:w="108" w:type="dxa"/>
            </w:tcMar>
            <w:vAlign w:val="center"/>
          </w:tcPr>
          <w:p w14:paraId="5276EBDF"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75" w:type="dxa"/>
            <w:shd w:val="clear" w:color="auto" w:fill="FFFFFF" w:themeFill="background1"/>
            <w:tcMar>
              <w:top w:w="0" w:type="dxa"/>
              <w:left w:w="108" w:type="dxa"/>
              <w:bottom w:w="0" w:type="dxa"/>
              <w:right w:w="108" w:type="dxa"/>
            </w:tcMar>
            <w:vAlign w:val="center"/>
          </w:tcPr>
          <w:p w14:paraId="37439949"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375C661A"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2" w:type="dxa"/>
            <w:shd w:val="clear" w:color="auto" w:fill="FFFFFF" w:themeFill="background1"/>
            <w:tcMar>
              <w:top w:w="0" w:type="dxa"/>
              <w:left w:w="108" w:type="dxa"/>
              <w:bottom w:w="0" w:type="dxa"/>
              <w:right w:w="108" w:type="dxa"/>
            </w:tcMar>
            <w:vAlign w:val="center"/>
          </w:tcPr>
          <w:p w14:paraId="6EC5D274"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9" w:type="dxa"/>
            <w:shd w:val="clear" w:color="auto" w:fill="FFFFFF" w:themeFill="background1"/>
            <w:tcMar>
              <w:top w:w="0" w:type="dxa"/>
              <w:left w:w="108" w:type="dxa"/>
              <w:bottom w:w="0" w:type="dxa"/>
              <w:right w:w="108" w:type="dxa"/>
            </w:tcMar>
            <w:vAlign w:val="center"/>
          </w:tcPr>
          <w:p w14:paraId="36279245"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2" w:type="dxa"/>
            <w:shd w:val="clear" w:color="auto" w:fill="FFFFFF" w:themeFill="background1"/>
            <w:tcMar>
              <w:top w:w="0" w:type="dxa"/>
              <w:left w:w="108" w:type="dxa"/>
              <w:bottom w:w="0" w:type="dxa"/>
              <w:right w:w="108" w:type="dxa"/>
            </w:tcMar>
            <w:vAlign w:val="center"/>
          </w:tcPr>
          <w:p w14:paraId="27232AB9"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850" w:type="dxa"/>
            <w:shd w:val="clear" w:color="auto" w:fill="FFFFFF" w:themeFill="background1"/>
            <w:tcMar>
              <w:top w:w="0" w:type="dxa"/>
              <w:left w:w="108" w:type="dxa"/>
              <w:bottom w:w="0" w:type="dxa"/>
              <w:right w:w="108" w:type="dxa"/>
            </w:tcMar>
            <w:vAlign w:val="center"/>
          </w:tcPr>
          <w:p w14:paraId="0B2AC3E4" w14:textId="77777777" w:rsidR="00284822" w:rsidRDefault="00F77BF8">
            <w:pPr>
              <w:rPr>
                <w:rFonts w:ascii="Rockwell" w:hAnsi="Rockwell"/>
                <w:color w:val="000000"/>
                <w:sz w:val="20"/>
                <w:szCs w:val="20"/>
              </w:rPr>
            </w:pPr>
            <w:r>
              <w:rPr>
                <w:rFonts w:ascii="Rockwell" w:hAnsi="Rockwell"/>
                <w:color w:val="000000"/>
                <w:sz w:val="20"/>
                <w:szCs w:val="20"/>
              </w:rPr>
              <w:t>1 1/4</w:t>
            </w:r>
          </w:p>
        </w:tc>
        <w:tc>
          <w:tcPr>
            <w:tcW w:w="993" w:type="dxa"/>
            <w:shd w:val="clear" w:color="auto" w:fill="FFFFFF" w:themeFill="background1"/>
            <w:tcMar>
              <w:top w:w="0" w:type="dxa"/>
              <w:left w:w="108" w:type="dxa"/>
              <w:bottom w:w="0" w:type="dxa"/>
              <w:right w:w="108" w:type="dxa"/>
            </w:tcMar>
            <w:vAlign w:val="center"/>
          </w:tcPr>
          <w:p w14:paraId="02A9BCA7" w14:textId="77777777" w:rsidR="00284822" w:rsidRDefault="00F77BF8">
            <w:pPr>
              <w:rPr>
                <w:rFonts w:ascii="Rockwell" w:hAnsi="Rockwell"/>
                <w:color w:val="000000"/>
                <w:sz w:val="20"/>
                <w:szCs w:val="20"/>
              </w:rPr>
            </w:pPr>
            <w:r>
              <w:rPr>
                <w:rFonts w:ascii="Rockwell" w:hAnsi="Rockwell"/>
                <w:color w:val="000000"/>
                <w:sz w:val="20"/>
                <w:szCs w:val="20"/>
              </w:rPr>
              <w:t>3,95%</w:t>
            </w:r>
          </w:p>
        </w:tc>
        <w:tc>
          <w:tcPr>
            <w:tcW w:w="567" w:type="dxa"/>
            <w:shd w:val="clear" w:color="auto" w:fill="FFFFFF" w:themeFill="background1"/>
            <w:tcMar>
              <w:top w:w="0" w:type="dxa"/>
              <w:left w:w="108" w:type="dxa"/>
              <w:bottom w:w="0" w:type="dxa"/>
              <w:right w:w="108" w:type="dxa"/>
            </w:tcMar>
            <w:vAlign w:val="center"/>
          </w:tcPr>
          <w:p w14:paraId="44B6F655" w14:textId="77777777" w:rsidR="00284822" w:rsidRDefault="00F77BF8">
            <w:pPr>
              <w:rPr>
                <w:rFonts w:ascii="Rockwell" w:hAnsi="Rockwell"/>
                <w:color w:val="000000"/>
                <w:sz w:val="20"/>
                <w:szCs w:val="20"/>
              </w:rPr>
            </w:pPr>
            <w:r>
              <w:rPr>
                <w:rFonts w:ascii="Rockwell" w:hAnsi="Rockwell"/>
                <w:color w:val="000000"/>
                <w:sz w:val="20"/>
                <w:szCs w:val="20"/>
              </w:rPr>
              <w:t>2</w:t>
            </w:r>
          </w:p>
        </w:tc>
        <w:tc>
          <w:tcPr>
            <w:tcW w:w="850" w:type="dxa"/>
            <w:shd w:val="clear" w:color="auto" w:fill="FFFFFF" w:themeFill="background1"/>
            <w:tcMar>
              <w:top w:w="0" w:type="dxa"/>
              <w:left w:w="108" w:type="dxa"/>
              <w:bottom w:w="0" w:type="dxa"/>
              <w:right w:w="108" w:type="dxa"/>
            </w:tcMar>
            <w:vAlign w:val="center"/>
          </w:tcPr>
          <w:p w14:paraId="3A150667" w14:textId="77777777" w:rsidR="00284822" w:rsidRDefault="00F77BF8">
            <w:pPr>
              <w:rPr>
                <w:rFonts w:ascii="Rockwell" w:hAnsi="Rockwell"/>
                <w:color w:val="000000"/>
                <w:sz w:val="20"/>
                <w:szCs w:val="20"/>
              </w:rPr>
            </w:pPr>
            <w:r>
              <w:rPr>
                <w:rFonts w:ascii="Rockwell" w:hAnsi="Rockwell"/>
                <w:color w:val="000000"/>
                <w:sz w:val="20"/>
                <w:szCs w:val="20"/>
              </w:rPr>
              <w:t>3,23%</w:t>
            </w:r>
          </w:p>
        </w:tc>
      </w:tr>
      <w:tr w:rsidR="00284822" w14:paraId="580F9A4D" w14:textId="77777777">
        <w:trPr>
          <w:trHeight w:val="412"/>
          <w:jc w:val="center"/>
        </w:trPr>
        <w:tc>
          <w:tcPr>
            <w:tcW w:w="988" w:type="dxa"/>
            <w:shd w:val="clear" w:color="auto" w:fill="FFFFFF" w:themeFill="background1"/>
            <w:noWrap/>
            <w:tcMar>
              <w:top w:w="0" w:type="dxa"/>
              <w:left w:w="108" w:type="dxa"/>
              <w:bottom w:w="0" w:type="dxa"/>
              <w:right w:w="108" w:type="dxa"/>
            </w:tcMar>
          </w:tcPr>
          <w:p w14:paraId="42989FD6" w14:textId="77777777" w:rsidR="00284822" w:rsidRDefault="00F77BF8">
            <w:pPr>
              <w:jc w:val="left"/>
              <w:rPr>
                <w:rFonts w:ascii="Rockwell" w:hAnsi="Rockwell"/>
                <w:bCs/>
                <w:color w:val="000000"/>
                <w:sz w:val="20"/>
                <w:szCs w:val="20"/>
              </w:rPr>
            </w:pPr>
            <w:r>
              <w:rPr>
                <w:rFonts w:ascii="Rockwell" w:hAnsi="Rockwell"/>
                <w:bCs/>
                <w:color w:val="000000"/>
                <w:sz w:val="20"/>
                <w:szCs w:val="20"/>
              </w:rPr>
              <w:t>9</w:t>
            </w:r>
          </w:p>
        </w:tc>
        <w:tc>
          <w:tcPr>
            <w:tcW w:w="1559" w:type="dxa"/>
            <w:shd w:val="clear" w:color="auto" w:fill="FFFFFF" w:themeFill="background1"/>
            <w:tcMar>
              <w:top w:w="0" w:type="dxa"/>
              <w:left w:w="108" w:type="dxa"/>
              <w:bottom w:w="0" w:type="dxa"/>
              <w:right w:w="108" w:type="dxa"/>
            </w:tcMar>
          </w:tcPr>
          <w:p w14:paraId="7438AF7A" w14:textId="77777777" w:rsidR="00284822" w:rsidRDefault="00F77BF8">
            <w:pPr>
              <w:jc w:val="left"/>
              <w:rPr>
                <w:rFonts w:ascii="Rockwell" w:hAnsi="Rockwell"/>
                <w:b/>
                <w:color w:val="000000"/>
                <w:sz w:val="20"/>
                <w:szCs w:val="20"/>
              </w:rPr>
            </w:pPr>
            <w:r>
              <w:rPr>
                <w:rFonts w:ascii="Rockwell" w:hAnsi="Rockwell"/>
                <w:b/>
                <w:color w:val="000000"/>
                <w:sz w:val="20"/>
                <w:szCs w:val="20"/>
              </w:rPr>
              <w:t>FA</w:t>
            </w:r>
          </w:p>
        </w:tc>
        <w:tc>
          <w:tcPr>
            <w:tcW w:w="850" w:type="dxa"/>
            <w:shd w:val="clear" w:color="auto" w:fill="FFFFFF" w:themeFill="background1"/>
            <w:tcMar>
              <w:top w:w="0" w:type="dxa"/>
              <w:left w:w="108" w:type="dxa"/>
              <w:bottom w:w="0" w:type="dxa"/>
              <w:right w:w="108" w:type="dxa"/>
            </w:tcMar>
            <w:vAlign w:val="center"/>
          </w:tcPr>
          <w:p w14:paraId="3DB0DA40"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44B197B3"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57" w:type="dxa"/>
            <w:shd w:val="clear" w:color="auto" w:fill="FFFFFF" w:themeFill="background1"/>
            <w:tcMar>
              <w:top w:w="0" w:type="dxa"/>
              <w:left w:w="108" w:type="dxa"/>
              <w:bottom w:w="0" w:type="dxa"/>
              <w:right w:w="108" w:type="dxa"/>
            </w:tcMar>
            <w:vAlign w:val="center"/>
          </w:tcPr>
          <w:p w14:paraId="6C158EAF"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44" w:type="dxa"/>
            <w:shd w:val="clear" w:color="auto" w:fill="FFFFFF" w:themeFill="background1"/>
            <w:tcMar>
              <w:top w:w="0" w:type="dxa"/>
              <w:left w:w="108" w:type="dxa"/>
              <w:bottom w:w="0" w:type="dxa"/>
              <w:right w:w="108" w:type="dxa"/>
            </w:tcMar>
            <w:vAlign w:val="center"/>
          </w:tcPr>
          <w:p w14:paraId="120FB58E"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8" w:type="dxa"/>
            <w:shd w:val="clear" w:color="auto" w:fill="FFFFFF" w:themeFill="background1"/>
            <w:tcMar>
              <w:top w:w="0" w:type="dxa"/>
              <w:left w:w="108" w:type="dxa"/>
              <w:bottom w:w="0" w:type="dxa"/>
              <w:right w:w="108" w:type="dxa"/>
            </w:tcMar>
            <w:vAlign w:val="center"/>
          </w:tcPr>
          <w:p w14:paraId="7FB4C44D" w14:textId="77777777" w:rsidR="00284822" w:rsidRDefault="00F77BF8">
            <w:pPr>
              <w:rPr>
                <w:rFonts w:ascii="Rockwell" w:hAnsi="Rockwell"/>
                <w:color w:val="000000"/>
                <w:sz w:val="20"/>
                <w:szCs w:val="20"/>
              </w:rPr>
            </w:pPr>
            <w:r>
              <w:rPr>
                <w:rFonts w:ascii="Rockwell" w:hAnsi="Rockwell"/>
                <w:color w:val="000000"/>
                <w:sz w:val="20"/>
                <w:szCs w:val="20"/>
              </w:rPr>
              <w:t>6</w:t>
            </w:r>
          </w:p>
        </w:tc>
        <w:tc>
          <w:tcPr>
            <w:tcW w:w="993" w:type="dxa"/>
            <w:shd w:val="clear" w:color="auto" w:fill="FFFFFF" w:themeFill="background1"/>
            <w:tcMar>
              <w:top w:w="0" w:type="dxa"/>
              <w:left w:w="108" w:type="dxa"/>
              <w:bottom w:w="0" w:type="dxa"/>
              <w:right w:w="108" w:type="dxa"/>
            </w:tcMar>
            <w:vAlign w:val="center"/>
          </w:tcPr>
          <w:p w14:paraId="54DBB542" w14:textId="77777777" w:rsidR="00284822" w:rsidRDefault="00F77BF8">
            <w:pPr>
              <w:rPr>
                <w:rFonts w:ascii="Rockwell" w:hAnsi="Rockwell"/>
                <w:color w:val="000000"/>
                <w:sz w:val="20"/>
                <w:szCs w:val="20"/>
              </w:rPr>
            </w:pPr>
            <w:r>
              <w:rPr>
                <w:rFonts w:ascii="Rockwell" w:hAnsi="Rockwell"/>
                <w:color w:val="000000"/>
                <w:sz w:val="20"/>
                <w:szCs w:val="20"/>
              </w:rPr>
              <w:t>13,48%</w:t>
            </w:r>
          </w:p>
        </w:tc>
        <w:tc>
          <w:tcPr>
            <w:tcW w:w="626" w:type="dxa"/>
            <w:shd w:val="clear" w:color="auto" w:fill="FFFFFF" w:themeFill="background1"/>
            <w:tcMar>
              <w:top w:w="0" w:type="dxa"/>
              <w:left w:w="108" w:type="dxa"/>
              <w:bottom w:w="0" w:type="dxa"/>
              <w:right w:w="108" w:type="dxa"/>
            </w:tcMar>
            <w:vAlign w:val="center"/>
          </w:tcPr>
          <w:p w14:paraId="0BC5856A" w14:textId="77777777" w:rsidR="00284822" w:rsidRDefault="00F77BF8">
            <w:pPr>
              <w:rPr>
                <w:rFonts w:ascii="Rockwell" w:hAnsi="Rockwell"/>
                <w:color w:val="000000"/>
                <w:sz w:val="20"/>
                <w:szCs w:val="20"/>
              </w:rPr>
            </w:pPr>
            <w:r>
              <w:rPr>
                <w:rFonts w:ascii="Rockwell" w:hAnsi="Rockwell"/>
                <w:color w:val="000000"/>
                <w:sz w:val="20"/>
                <w:szCs w:val="20"/>
              </w:rPr>
              <w:t>8</w:t>
            </w:r>
          </w:p>
        </w:tc>
        <w:tc>
          <w:tcPr>
            <w:tcW w:w="1075" w:type="dxa"/>
            <w:shd w:val="clear" w:color="auto" w:fill="FFFFFF" w:themeFill="background1"/>
            <w:tcMar>
              <w:top w:w="0" w:type="dxa"/>
              <w:left w:w="108" w:type="dxa"/>
              <w:bottom w:w="0" w:type="dxa"/>
              <w:right w:w="108" w:type="dxa"/>
            </w:tcMar>
            <w:vAlign w:val="center"/>
          </w:tcPr>
          <w:p w14:paraId="339BDE38" w14:textId="77777777" w:rsidR="00284822" w:rsidRDefault="00F77BF8">
            <w:pPr>
              <w:rPr>
                <w:rFonts w:ascii="Rockwell" w:hAnsi="Rockwell"/>
                <w:color w:val="000000"/>
                <w:sz w:val="20"/>
                <w:szCs w:val="20"/>
              </w:rPr>
            </w:pPr>
            <w:r>
              <w:rPr>
                <w:rFonts w:ascii="Rockwell" w:hAnsi="Rockwell"/>
                <w:color w:val="000000"/>
                <w:sz w:val="20"/>
                <w:szCs w:val="20"/>
              </w:rPr>
              <w:t>9,41%</w:t>
            </w:r>
          </w:p>
        </w:tc>
        <w:tc>
          <w:tcPr>
            <w:tcW w:w="567" w:type="dxa"/>
            <w:shd w:val="clear" w:color="auto" w:fill="FFFFFF" w:themeFill="background1"/>
            <w:tcMar>
              <w:top w:w="0" w:type="dxa"/>
              <w:left w:w="108" w:type="dxa"/>
              <w:bottom w:w="0" w:type="dxa"/>
              <w:right w:w="108" w:type="dxa"/>
            </w:tcMar>
            <w:vAlign w:val="center"/>
          </w:tcPr>
          <w:p w14:paraId="7DA8D259" w14:textId="77777777" w:rsidR="00284822" w:rsidRDefault="00F77BF8">
            <w:pPr>
              <w:rPr>
                <w:rFonts w:ascii="Rockwell" w:hAnsi="Rockwell"/>
                <w:color w:val="000000"/>
                <w:sz w:val="20"/>
                <w:szCs w:val="20"/>
              </w:rPr>
            </w:pPr>
            <w:r>
              <w:rPr>
                <w:rFonts w:ascii="Rockwell" w:hAnsi="Rockwell"/>
                <w:color w:val="000000"/>
                <w:sz w:val="20"/>
                <w:szCs w:val="20"/>
              </w:rPr>
              <w:t>1</w:t>
            </w:r>
          </w:p>
        </w:tc>
        <w:tc>
          <w:tcPr>
            <w:tcW w:w="992" w:type="dxa"/>
            <w:shd w:val="clear" w:color="auto" w:fill="FFFFFF" w:themeFill="background1"/>
            <w:tcMar>
              <w:top w:w="0" w:type="dxa"/>
              <w:left w:w="108" w:type="dxa"/>
              <w:bottom w:w="0" w:type="dxa"/>
              <w:right w:w="108" w:type="dxa"/>
            </w:tcMar>
            <w:vAlign w:val="center"/>
          </w:tcPr>
          <w:p w14:paraId="509A8F86" w14:textId="77777777" w:rsidR="00284822" w:rsidRDefault="00F77BF8">
            <w:pPr>
              <w:rPr>
                <w:rFonts w:ascii="Rockwell" w:hAnsi="Rockwell"/>
                <w:color w:val="000000"/>
                <w:sz w:val="20"/>
                <w:szCs w:val="20"/>
              </w:rPr>
            </w:pPr>
            <w:r>
              <w:rPr>
                <w:rFonts w:ascii="Rockwell" w:hAnsi="Rockwell"/>
                <w:color w:val="000000"/>
                <w:sz w:val="20"/>
                <w:szCs w:val="20"/>
              </w:rPr>
              <w:t>1,53%</w:t>
            </w:r>
          </w:p>
        </w:tc>
        <w:tc>
          <w:tcPr>
            <w:tcW w:w="709" w:type="dxa"/>
            <w:shd w:val="clear" w:color="auto" w:fill="FFFFFF" w:themeFill="background1"/>
            <w:tcMar>
              <w:top w:w="0" w:type="dxa"/>
              <w:left w:w="108" w:type="dxa"/>
              <w:bottom w:w="0" w:type="dxa"/>
              <w:right w:w="108" w:type="dxa"/>
            </w:tcMar>
            <w:vAlign w:val="center"/>
          </w:tcPr>
          <w:p w14:paraId="5480F6CC" w14:textId="77777777" w:rsidR="00284822" w:rsidRDefault="00F77BF8">
            <w:pPr>
              <w:rPr>
                <w:rFonts w:ascii="Rockwell" w:hAnsi="Rockwell"/>
                <w:color w:val="000000"/>
                <w:sz w:val="20"/>
                <w:szCs w:val="20"/>
              </w:rPr>
            </w:pPr>
            <w:r>
              <w:rPr>
                <w:rFonts w:ascii="Rockwell" w:hAnsi="Rockwell"/>
                <w:color w:val="000000"/>
                <w:sz w:val="20"/>
                <w:szCs w:val="20"/>
              </w:rPr>
              <w:t>2</w:t>
            </w:r>
          </w:p>
        </w:tc>
        <w:tc>
          <w:tcPr>
            <w:tcW w:w="992" w:type="dxa"/>
            <w:shd w:val="clear" w:color="auto" w:fill="FFFFFF" w:themeFill="background1"/>
            <w:tcMar>
              <w:top w:w="0" w:type="dxa"/>
              <w:left w:w="108" w:type="dxa"/>
              <w:bottom w:w="0" w:type="dxa"/>
              <w:right w:w="108" w:type="dxa"/>
            </w:tcMar>
            <w:vAlign w:val="center"/>
          </w:tcPr>
          <w:p w14:paraId="7288D842" w14:textId="77777777" w:rsidR="00284822" w:rsidRDefault="00F77BF8">
            <w:pPr>
              <w:rPr>
                <w:rFonts w:ascii="Rockwell" w:hAnsi="Rockwell"/>
                <w:color w:val="000000"/>
                <w:sz w:val="20"/>
                <w:szCs w:val="20"/>
              </w:rPr>
            </w:pPr>
            <w:r>
              <w:rPr>
                <w:rFonts w:ascii="Rockwell" w:hAnsi="Rockwell"/>
                <w:color w:val="000000"/>
                <w:sz w:val="20"/>
                <w:szCs w:val="20"/>
              </w:rPr>
              <w:t>1,72%</w:t>
            </w:r>
          </w:p>
        </w:tc>
        <w:tc>
          <w:tcPr>
            <w:tcW w:w="850" w:type="dxa"/>
            <w:shd w:val="clear" w:color="auto" w:fill="FFFFFF" w:themeFill="background1"/>
            <w:tcMar>
              <w:top w:w="0" w:type="dxa"/>
              <w:left w:w="108" w:type="dxa"/>
              <w:bottom w:w="0" w:type="dxa"/>
              <w:right w:w="108" w:type="dxa"/>
            </w:tcMar>
            <w:vAlign w:val="center"/>
          </w:tcPr>
          <w:p w14:paraId="06DD4840" w14:textId="77777777" w:rsidR="00284822" w:rsidRDefault="00F77BF8">
            <w:pPr>
              <w:rPr>
                <w:rFonts w:ascii="Rockwell" w:hAnsi="Rockwell"/>
                <w:color w:val="000000"/>
                <w:sz w:val="20"/>
                <w:szCs w:val="20"/>
              </w:rPr>
            </w:pPr>
            <w:r>
              <w:rPr>
                <w:rFonts w:ascii="Rockwell" w:hAnsi="Rockwell"/>
                <w:color w:val="000000"/>
                <w:sz w:val="20"/>
                <w:szCs w:val="20"/>
              </w:rPr>
              <w:t>1/2</w:t>
            </w:r>
          </w:p>
        </w:tc>
        <w:tc>
          <w:tcPr>
            <w:tcW w:w="993" w:type="dxa"/>
            <w:shd w:val="clear" w:color="auto" w:fill="FFFFFF" w:themeFill="background1"/>
            <w:tcMar>
              <w:top w:w="0" w:type="dxa"/>
              <w:left w:w="108" w:type="dxa"/>
              <w:bottom w:w="0" w:type="dxa"/>
              <w:right w:w="108" w:type="dxa"/>
            </w:tcMar>
            <w:vAlign w:val="center"/>
          </w:tcPr>
          <w:p w14:paraId="722984DB" w14:textId="77777777" w:rsidR="00284822" w:rsidRDefault="00F77BF8">
            <w:pPr>
              <w:rPr>
                <w:rFonts w:ascii="Rockwell" w:hAnsi="Rockwell"/>
                <w:color w:val="000000"/>
                <w:sz w:val="20"/>
                <w:szCs w:val="20"/>
              </w:rPr>
            </w:pPr>
            <w:r>
              <w:rPr>
                <w:rFonts w:ascii="Rockwell" w:hAnsi="Rockwell"/>
                <w:color w:val="000000"/>
                <w:sz w:val="20"/>
                <w:szCs w:val="20"/>
              </w:rPr>
              <w:t>1,58%</w:t>
            </w:r>
          </w:p>
        </w:tc>
        <w:tc>
          <w:tcPr>
            <w:tcW w:w="567" w:type="dxa"/>
            <w:shd w:val="clear" w:color="auto" w:fill="FFFFFF" w:themeFill="background1"/>
            <w:tcMar>
              <w:top w:w="0" w:type="dxa"/>
              <w:left w:w="108" w:type="dxa"/>
              <w:bottom w:w="0" w:type="dxa"/>
              <w:right w:w="108" w:type="dxa"/>
            </w:tcMar>
            <w:vAlign w:val="center"/>
          </w:tcPr>
          <w:p w14:paraId="3DDABBF2" w14:textId="77777777" w:rsidR="00284822" w:rsidRDefault="00F77BF8">
            <w:pPr>
              <w:rPr>
                <w:rFonts w:ascii="Rockwell" w:hAnsi="Rockwell"/>
                <w:color w:val="000000"/>
                <w:sz w:val="20"/>
                <w:szCs w:val="20"/>
              </w:rPr>
            </w:pPr>
            <w:r>
              <w:rPr>
                <w:rFonts w:ascii="Rockwell" w:hAnsi="Rockwell"/>
                <w:color w:val="000000"/>
                <w:sz w:val="20"/>
                <w:szCs w:val="20"/>
              </w:rPr>
              <w:t>1</w:t>
            </w:r>
          </w:p>
        </w:tc>
        <w:tc>
          <w:tcPr>
            <w:tcW w:w="850" w:type="dxa"/>
            <w:shd w:val="clear" w:color="auto" w:fill="FFFFFF" w:themeFill="background1"/>
            <w:tcMar>
              <w:top w:w="0" w:type="dxa"/>
              <w:left w:w="108" w:type="dxa"/>
              <w:bottom w:w="0" w:type="dxa"/>
              <w:right w:w="108" w:type="dxa"/>
            </w:tcMar>
            <w:vAlign w:val="center"/>
          </w:tcPr>
          <w:p w14:paraId="0B690C75" w14:textId="77777777" w:rsidR="00284822" w:rsidRDefault="00F77BF8">
            <w:pPr>
              <w:rPr>
                <w:rFonts w:ascii="Rockwell" w:hAnsi="Rockwell"/>
                <w:color w:val="000000"/>
                <w:sz w:val="20"/>
                <w:szCs w:val="20"/>
              </w:rPr>
            </w:pPr>
            <w:r>
              <w:rPr>
                <w:rFonts w:ascii="Rockwell" w:hAnsi="Rockwell"/>
                <w:color w:val="000000"/>
                <w:sz w:val="20"/>
                <w:szCs w:val="20"/>
              </w:rPr>
              <w:t>1,61%</w:t>
            </w:r>
          </w:p>
        </w:tc>
      </w:tr>
      <w:tr w:rsidR="00284822" w14:paraId="70B373FE" w14:textId="77777777">
        <w:trPr>
          <w:trHeight w:val="419"/>
          <w:jc w:val="center"/>
        </w:trPr>
        <w:tc>
          <w:tcPr>
            <w:tcW w:w="988" w:type="dxa"/>
            <w:shd w:val="clear" w:color="auto" w:fill="FFFFFF" w:themeFill="background1"/>
            <w:noWrap/>
            <w:tcMar>
              <w:top w:w="0" w:type="dxa"/>
              <w:left w:w="108" w:type="dxa"/>
              <w:bottom w:w="0" w:type="dxa"/>
              <w:right w:w="108" w:type="dxa"/>
            </w:tcMar>
          </w:tcPr>
          <w:p w14:paraId="699F65D8" w14:textId="77777777" w:rsidR="00284822" w:rsidRDefault="00F77BF8">
            <w:pPr>
              <w:jc w:val="left"/>
              <w:rPr>
                <w:rFonts w:ascii="Rockwell" w:hAnsi="Rockwell"/>
                <w:bCs/>
                <w:color w:val="000000"/>
                <w:sz w:val="20"/>
                <w:szCs w:val="20"/>
              </w:rPr>
            </w:pPr>
            <w:r>
              <w:rPr>
                <w:rFonts w:ascii="Rockwell" w:hAnsi="Rockwell"/>
                <w:bCs/>
                <w:color w:val="000000"/>
                <w:sz w:val="20"/>
                <w:szCs w:val="20"/>
              </w:rPr>
              <w:t>10</w:t>
            </w:r>
          </w:p>
        </w:tc>
        <w:tc>
          <w:tcPr>
            <w:tcW w:w="1559" w:type="dxa"/>
            <w:shd w:val="clear" w:color="auto" w:fill="FFFFFF" w:themeFill="background1"/>
            <w:tcMar>
              <w:top w:w="0" w:type="dxa"/>
              <w:left w:w="108" w:type="dxa"/>
              <w:bottom w:w="0" w:type="dxa"/>
              <w:right w:w="108" w:type="dxa"/>
            </w:tcMar>
          </w:tcPr>
          <w:p w14:paraId="23130290" w14:textId="77777777" w:rsidR="00284822" w:rsidRDefault="00F77BF8">
            <w:pPr>
              <w:jc w:val="left"/>
              <w:rPr>
                <w:rFonts w:ascii="Rockwell" w:hAnsi="Rockwell"/>
                <w:b/>
                <w:color w:val="000000"/>
                <w:sz w:val="20"/>
                <w:szCs w:val="20"/>
              </w:rPr>
            </w:pPr>
            <w:r>
              <w:rPr>
                <w:rFonts w:ascii="Rockwell" w:hAnsi="Rockwell"/>
                <w:b/>
                <w:color w:val="000000"/>
                <w:sz w:val="20"/>
                <w:szCs w:val="20"/>
              </w:rPr>
              <w:t>FP</w:t>
            </w:r>
          </w:p>
        </w:tc>
        <w:tc>
          <w:tcPr>
            <w:tcW w:w="850" w:type="dxa"/>
            <w:shd w:val="clear" w:color="auto" w:fill="FFFFFF" w:themeFill="background1"/>
            <w:tcMar>
              <w:top w:w="0" w:type="dxa"/>
              <w:left w:w="108" w:type="dxa"/>
              <w:bottom w:w="0" w:type="dxa"/>
              <w:right w:w="108" w:type="dxa"/>
            </w:tcMar>
            <w:vAlign w:val="center"/>
          </w:tcPr>
          <w:p w14:paraId="2B5601CA"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1D8F740F"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57" w:type="dxa"/>
            <w:shd w:val="clear" w:color="auto" w:fill="FFFFFF" w:themeFill="background1"/>
            <w:tcMar>
              <w:top w:w="0" w:type="dxa"/>
              <w:left w:w="108" w:type="dxa"/>
              <w:bottom w:w="0" w:type="dxa"/>
              <w:right w:w="108" w:type="dxa"/>
            </w:tcMar>
            <w:vAlign w:val="center"/>
          </w:tcPr>
          <w:p w14:paraId="2364167A"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44" w:type="dxa"/>
            <w:shd w:val="clear" w:color="auto" w:fill="FFFFFF" w:themeFill="background1"/>
            <w:tcMar>
              <w:top w:w="0" w:type="dxa"/>
              <w:left w:w="108" w:type="dxa"/>
              <w:bottom w:w="0" w:type="dxa"/>
              <w:right w:w="108" w:type="dxa"/>
            </w:tcMar>
            <w:vAlign w:val="center"/>
          </w:tcPr>
          <w:p w14:paraId="51BF148B"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8" w:type="dxa"/>
            <w:shd w:val="clear" w:color="auto" w:fill="FFFFFF" w:themeFill="background1"/>
            <w:tcMar>
              <w:top w:w="0" w:type="dxa"/>
              <w:left w:w="108" w:type="dxa"/>
              <w:bottom w:w="0" w:type="dxa"/>
              <w:right w:w="108" w:type="dxa"/>
            </w:tcMar>
            <w:vAlign w:val="center"/>
          </w:tcPr>
          <w:p w14:paraId="2A840A9D"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2697F504"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26" w:type="dxa"/>
            <w:shd w:val="clear" w:color="auto" w:fill="FFFFFF" w:themeFill="background1"/>
            <w:tcMar>
              <w:top w:w="0" w:type="dxa"/>
              <w:left w:w="108" w:type="dxa"/>
              <w:bottom w:w="0" w:type="dxa"/>
              <w:right w:w="108" w:type="dxa"/>
            </w:tcMar>
            <w:vAlign w:val="center"/>
          </w:tcPr>
          <w:p w14:paraId="2E9F54F9"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75" w:type="dxa"/>
            <w:shd w:val="clear" w:color="auto" w:fill="FFFFFF" w:themeFill="background1"/>
            <w:tcMar>
              <w:top w:w="0" w:type="dxa"/>
              <w:left w:w="108" w:type="dxa"/>
              <w:bottom w:w="0" w:type="dxa"/>
              <w:right w:w="108" w:type="dxa"/>
            </w:tcMar>
            <w:vAlign w:val="center"/>
          </w:tcPr>
          <w:p w14:paraId="318BA8FA"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55DE5476" w14:textId="77777777" w:rsidR="00284822" w:rsidRDefault="00F77BF8">
            <w:pPr>
              <w:rPr>
                <w:rFonts w:ascii="Rockwell" w:hAnsi="Rockwell"/>
                <w:color w:val="000000"/>
                <w:sz w:val="20"/>
                <w:szCs w:val="20"/>
              </w:rPr>
            </w:pPr>
            <w:proofErr w:type="gramStart"/>
            <w:r>
              <w:rPr>
                <w:rFonts w:ascii="Rockwell" w:hAnsi="Rockwell"/>
                <w:color w:val="000000"/>
                <w:sz w:val="20"/>
                <w:szCs w:val="20"/>
              </w:rPr>
              <w:t>½</w:t>
            </w:r>
            <w:proofErr w:type="gramEnd"/>
          </w:p>
        </w:tc>
        <w:tc>
          <w:tcPr>
            <w:tcW w:w="992" w:type="dxa"/>
            <w:shd w:val="clear" w:color="auto" w:fill="FFFFFF" w:themeFill="background1"/>
            <w:tcMar>
              <w:top w:w="0" w:type="dxa"/>
              <w:left w:w="108" w:type="dxa"/>
              <w:bottom w:w="0" w:type="dxa"/>
              <w:right w:w="108" w:type="dxa"/>
            </w:tcMar>
            <w:vAlign w:val="center"/>
          </w:tcPr>
          <w:p w14:paraId="4D5B244F" w14:textId="77777777" w:rsidR="00284822" w:rsidRDefault="00F77BF8">
            <w:pPr>
              <w:rPr>
                <w:rFonts w:ascii="Rockwell" w:hAnsi="Rockwell"/>
                <w:color w:val="000000"/>
                <w:sz w:val="20"/>
                <w:szCs w:val="20"/>
              </w:rPr>
            </w:pPr>
            <w:r>
              <w:rPr>
                <w:rFonts w:ascii="Rockwell" w:hAnsi="Rockwell"/>
                <w:color w:val="000000"/>
                <w:sz w:val="20"/>
                <w:szCs w:val="20"/>
              </w:rPr>
              <w:t>0,77%</w:t>
            </w:r>
          </w:p>
        </w:tc>
        <w:tc>
          <w:tcPr>
            <w:tcW w:w="709" w:type="dxa"/>
            <w:shd w:val="clear" w:color="auto" w:fill="FFFFFF" w:themeFill="background1"/>
            <w:tcMar>
              <w:top w:w="0" w:type="dxa"/>
              <w:left w:w="108" w:type="dxa"/>
              <w:bottom w:w="0" w:type="dxa"/>
              <w:right w:w="108" w:type="dxa"/>
            </w:tcMar>
            <w:vAlign w:val="center"/>
          </w:tcPr>
          <w:p w14:paraId="3C8CC4B0" w14:textId="77777777" w:rsidR="00284822" w:rsidRDefault="00F77BF8">
            <w:pPr>
              <w:rPr>
                <w:rFonts w:ascii="Rockwell" w:hAnsi="Rockwell"/>
                <w:color w:val="000000"/>
                <w:sz w:val="20"/>
                <w:szCs w:val="20"/>
              </w:rPr>
            </w:pPr>
            <w:r>
              <w:rPr>
                <w:rFonts w:ascii="Rockwell" w:hAnsi="Rockwell"/>
                <w:color w:val="000000"/>
                <w:sz w:val="20"/>
                <w:szCs w:val="20"/>
              </w:rPr>
              <w:t>1</w:t>
            </w:r>
          </w:p>
        </w:tc>
        <w:tc>
          <w:tcPr>
            <w:tcW w:w="992" w:type="dxa"/>
            <w:shd w:val="clear" w:color="auto" w:fill="FFFFFF" w:themeFill="background1"/>
            <w:tcMar>
              <w:top w:w="0" w:type="dxa"/>
              <w:left w:w="108" w:type="dxa"/>
              <w:bottom w:w="0" w:type="dxa"/>
              <w:right w:w="108" w:type="dxa"/>
            </w:tcMar>
            <w:vAlign w:val="center"/>
          </w:tcPr>
          <w:p w14:paraId="7F62738B" w14:textId="77777777" w:rsidR="00284822" w:rsidRDefault="00F77BF8">
            <w:pPr>
              <w:rPr>
                <w:rFonts w:ascii="Rockwell" w:hAnsi="Rockwell"/>
                <w:color w:val="000000"/>
                <w:sz w:val="20"/>
                <w:szCs w:val="20"/>
              </w:rPr>
            </w:pPr>
            <w:r>
              <w:rPr>
                <w:rFonts w:ascii="Rockwell" w:hAnsi="Rockwell"/>
                <w:color w:val="000000"/>
                <w:sz w:val="20"/>
                <w:szCs w:val="20"/>
              </w:rPr>
              <w:t>0,86%</w:t>
            </w:r>
          </w:p>
        </w:tc>
        <w:tc>
          <w:tcPr>
            <w:tcW w:w="850" w:type="dxa"/>
            <w:shd w:val="clear" w:color="auto" w:fill="FFFFFF" w:themeFill="background1"/>
            <w:tcMar>
              <w:top w:w="0" w:type="dxa"/>
              <w:left w:w="108" w:type="dxa"/>
              <w:bottom w:w="0" w:type="dxa"/>
              <w:right w:w="108" w:type="dxa"/>
            </w:tcMar>
            <w:vAlign w:val="center"/>
          </w:tcPr>
          <w:p w14:paraId="7EF79301" w14:textId="77777777" w:rsidR="00284822" w:rsidRDefault="00F77BF8">
            <w:pPr>
              <w:rPr>
                <w:rFonts w:ascii="Rockwell" w:hAnsi="Rockwell"/>
                <w:color w:val="000000"/>
                <w:sz w:val="20"/>
                <w:szCs w:val="20"/>
              </w:rPr>
            </w:pPr>
            <w:r>
              <w:rPr>
                <w:rFonts w:ascii="Rockwell" w:hAnsi="Rockwell"/>
                <w:color w:val="000000"/>
                <w:sz w:val="20"/>
                <w:szCs w:val="20"/>
              </w:rPr>
              <w:t>1</w:t>
            </w:r>
          </w:p>
        </w:tc>
        <w:tc>
          <w:tcPr>
            <w:tcW w:w="993" w:type="dxa"/>
            <w:shd w:val="clear" w:color="auto" w:fill="FFFFFF" w:themeFill="background1"/>
            <w:tcMar>
              <w:top w:w="0" w:type="dxa"/>
              <w:left w:w="108" w:type="dxa"/>
              <w:bottom w:w="0" w:type="dxa"/>
              <w:right w:w="108" w:type="dxa"/>
            </w:tcMar>
            <w:vAlign w:val="center"/>
          </w:tcPr>
          <w:p w14:paraId="7ACF82C6" w14:textId="77777777" w:rsidR="00284822" w:rsidRDefault="00F77BF8">
            <w:pPr>
              <w:rPr>
                <w:rFonts w:ascii="Rockwell" w:hAnsi="Rockwell"/>
                <w:color w:val="000000"/>
                <w:sz w:val="20"/>
                <w:szCs w:val="20"/>
              </w:rPr>
            </w:pPr>
            <w:r>
              <w:rPr>
                <w:rFonts w:ascii="Rockwell" w:hAnsi="Rockwell"/>
                <w:color w:val="000000"/>
                <w:sz w:val="20"/>
                <w:szCs w:val="20"/>
              </w:rPr>
              <w:t>3,16%</w:t>
            </w:r>
          </w:p>
        </w:tc>
        <w:tc>
          <w:tcPr>
            <w:tcW w:w="567" w:type="dxa"/>
            <w:shd w:val="clear" w:color="auto" w:fill="FFFFFF" w:themeFill="background1"/>
            <w:tcMar>
              <w:top w:w="0" w:type="dxa"/>
              <w:left w:w="108" w:type="dxa"/>
              <w:bottom w:w="0" w:type="dxa"/>
              <w:right w:w="108" w:type="dxa"/>
            </w:tcMar>
            <w:vAlign w:val="center"/>
          </w:tcPr>
          <w:p w14:paraId="05D8D80D" w14:textId="77777777" w:rsidR="00284822" w:rsidRDefault="00F77BF8">
            <w:pPr>
              <w:rPr>
                <w:rFonts w:ascii="Rockwell" w:hAnsi="Rockwell"/>
                <w:color w:val="000000"/>
                <w:sz w:val="20"/>
                <w:szCs w:val="20"/>
              </w:rPr>
            </w:pPr>
            <w:r>
              <w:rPr>
                <w:rFonts w:ascii="Rockwell" w:hAnsi="Rockwell"/>
                <w:color w:val="000000"/>
                <w:sz w:val="20"/>
                <w:szCs w:val="20"/>
              </w:rPr>
              <w:t>1</w:t>
            </w:r>
          </w:p>
        </w:tc>
        <w:tc>
          <w:tcPr>
            <w:tcW w:w="850" w:type="dxa"/>
            <w:shd w:val="clear" w:color="auto" w:fill="FFFFFF" w:themeFill="background1"/>
            <w:tcMar>
              <w:top w:w="0" w:type="dxa"/>
              <w:left w:w="108" w:type="dxa"/>
              <w:bottom w:w="0" w:type="dxa"/>
              <w:right w:w="108" w:type="dxa"/>
            </w:tcMar>
            <w:vAlign w:val="center"/>
          </w:tcPr>
          <w:p w14:paraId="6AE51069" w14:textId="77777777" w:rsidR="00284822" w:rsidRDefault="00F77BF8">
            <w:pPr>
              <w:rPr>
                <w:rFonts w:ascii="Rockwell" w:hAnsi="Rockwell"/>
                <w:color w:val="000000"/>
                <w:sz w:val="20"/>
                <w:szCs w:val="20"/>
              </w:rPr>
            </w:pPr>
            <w:r>
              <w:rPr>
                <w:rFonts w:ascii="Rockwell" w:hAnsi="Rockwell"/>
                <w:color w:val="000000"/>
                <w:sz w:val="20"/>
                <w:szCs w:val="20"/>
              </w:rPr>
              <w:t>1,61%</w:t>
            </w:r>
          </w:p>
        </w:tc>
      </w:tr>
      <w:tr w:rsidR="00284822" w14:paraId="1670BDD6" w14:textId="77777777">
        <w:trPr>
          <w:trHeight w:val="425"/>
          <w:jc w:val="center"/>
        </w:trPr>
        <w:tc>
          <w:tcPr>
            <w:tcW w:w="988" w:type="dxa"/>
            <w:shd w:val="clear" w:color="auto" w:fill="FFFFFF" w:themeFill="background1"/>
            <w:noWrap/>
            <w:tcMar>
              <w:top w:w="0" w:type="dxa"/>
              <w:left w:w="108" w:type="dxa"/>
              <w:bottom w:w="0" w:type="dxa"/>
              <w:right w:w="108" w:type="dxa"/>
            </w:tcMar>
          </w:tcPr>
          <w:p w14:paraId="2F75CE30" w14:textId="77777777" w:rsidR="00284822" w:rsidRDefault="00F77BF8">
            <w:pPr>
              <w:jc w:val="left"/>
              <w:rPr>
                <w:rFonts w:ascii="Rockwell" w:hAnsi="Rockwell"/>
                <w:bCs/>
                <w:color w:val="000000"/>
                <w:sz w:val="20"/>
                <w:szCs w:val="20"/>
              </w:rPr>
            </w:pPr>
            <w:r>
              <w:rPr>
                <w:rFonts w:ascii="Rockwell" w:hAnsi="Rockwell"/>
                <w:bCs/>
                <w:color w:val="000000"/>
                <w:sz w:val="20"/>
                <w:szCs w:val="20"/>
              </w:rPr>
              <w:t>11</w:t>
            </w:r>
          </w:p>
        </w:tc>
        <w:tc>
          <w:tcPr>
            <w:tcW w:w="1559" w:type="dxa"/>
            <w:shd w:val="clear" w:color="auto" w:fill="FFFFFF" w:themeFill="background1"/>
            <w:tcMar>
              <w:top w:w="0" w:type="dxa"/>
              <w:left w:w="108" w:type="dxa"/>
              <w:bottom w:w="0" w:type="dxa"/>
              <w:right w:w="108" w:type="dxa"/>
            </w:tcMar>
          </w:tcPr>
          <w:p w14:paraId="5573C51A" w14:textId="77777777" w:rsidR="00284822" w:rsidRDefault="00F77BF8">
            <w:pPr>
              <w:jc w:val="left"/>
              <w:rPr>
                <w:rFonts w:ascii="Rockwell" w:hAnsi="Rockwell"/>
                <w:b/>
                <w:color w:val="000000"/>
                <w:sz w:val="20"/>
                <w:szCs w:val="20"/>
              </w:rPr>
            </w:pPr>
            <w:r>
              <w:rPr>
                <w:rFonts w:ascii="Rockwell" w:hAnsi="Rockwell"/>
                <w:b/>
                <w:color w:val="000000"/>
                <w:sz w:val="20"/>
                <w:szCs w:val="20"/>
              </w:rPr>
              <w:t>FPR</w:t>
            </w:r>
          </w:p>
        </w:tc>
        <w:tc>
          <w:tcPr>
            <w:tcW w:w="850" w:type="dxa"/>
            <w:shd w:val="clear" w:color="auto" w:fill="FFFFFF" w:themeFill="background1"/>
            <w:tcMar>
              <w:top w:w="0" w:type="dxa"/>
              <w:left w:w="108" w:type="dxa"/>
              <w:bottom w:w="0" w:type="dxa"/>
              <w:right w:w="108" w:type="dxa"/>
            </w:tcMar>
            <w:vAlign w:val="center"/>
          </w:tcPr>
          <w:p w14:paraId="555D6317" w14:textId="77777777" w:rsidR="00284822" w:rsidRDefault="00F77BF8">
            <w:pPr>
              <w:rPr>
                <w:rFonts w:ascii="Rockwell" w:hAnsi="Rockwell"/>
                <w:color w:val="000000"/>
                <w:sz w:val="20"/>
                <w:szCs w:val="20"/>
              </w:rPr>
            </w:pPr>
            <w:proofErr w:type="gramStart"/>
            <w:r>
              <w:rPr>
                <w:rFonts w:ascii="Rockwell" w:hAnsi="Rockwell"/>
                <w:color w:val="000000"/>
                <w:sz w:val="20"/>
                <w:szCs w:val="20"/>
              </w:rPr>
              <w:t>½</w:t>
            </w:r>
            <w:proofErr w:type="gramEnd"/>
          </w:p>
        </w:tc>
        <w:tc>
          <w:tcPr>
            <w:tcW w:w="993" w:type="dxa"/>
            <w:shd w:val="clear" w:color="auto" w:fill="FFFFFF" w:themeFill="background1"/>
            <w:tcMar>
              <w:top w:w="0" w:type="dxa"/>
              <w:left w:w="108" w:type="dxa"/>
              <w:bottom w:w="0" w:type="dxa"/>
              <w:right w:w="108" w:type="dxa"/>
            </w:tcMar>
            <w:vAlign w:val="center"/>
          </w:tcPr>
          <w:p w14:paraId="7AAF51BA" w14:textId="77777777" w:rsidR="00284822" w:rsidRDefault="00F77BF8">
            <w:pPr>
              <w:rPr>
                <w:rFonts w:ascii="Rockwell" w:hAnsi="Rockwell"/>
                <w:color w:val="000000"/>
                <w:sz w:val="20"/>
                <w:szCs w:val="20"/>
              </w:rPr>
            </w:pPr>
            <w:r>
              <w:rPr>
                <w:rFonts w:ascii="Rockwell" w:hAnsi="Rockwell"/>
                <w:color w:val="000000"/>
                <w:sz w:val="20"/>
                <w:szCs w:val="20"/>
              </w:rPr>
              <w:t>0,89%</w:t>
            </w:r>
          </w:p>
        </w:tc>
        <w:tc>
          <w:tcPr>
            <w:tcW w:w="657" w:type="dxa"/>
            <w:shd w:val="clear" w:color="auto" w:fill="FFFFFF" w:themeFill="background1"/>
            <w:tcMar>
              <w:top w:w="0" w:type="dxa"/>
              <w:left w:w="108" w:type="dxa"/>
              <w:bottom w:w="0" w:type="dxa"/>
              <w:right w:w="108" w:type="dxa"/>
            </w:tcMar>
            <w:vAlign w:val="center"/>
          </w:tcPr>
          <w:p w14:paraId="32DF4DBF" w14:textId="77777777" w:rsidR="00284822" w:rsidRDefault="00F77BF8">
            <w:pPr>
              <w:rPr>
                <w:rFonts w:ascii="Rockwell" w:hAnsi="Rockwell"/>
                <w:color w:val="000000"/>
                <w:sz w:val="20"/>
                <w:szCs w:val="20"/>
              </w:rPr>
            </w:pPr>
            <w:r>
              <w:rPr>
                <w:rFonts w:ascii="Rockwell" w:hAnsi="Rockwell"/>
                <w:color w:val="000000"/>
                <w:sz w:val="20"/>
                <w:szCs w:val="20"/>
              </w:rPr>
              <w:t>1</w:t>
            </w:r>
          </w:p>
        </w:tc>
        <w:tc>
          <w:tcPr>
            <w:tcW w:w="1044" w:type="dxa"/>
            <w:shd w:val="clear" w:color="auto" w:fill="FFFFFF" w:themeFill="background1"/>
            <w:tcMar>
              <w:top w:w="0" w:type="dxa"/>
              <w:left w:w="108" w:type="dxa"/>
              <w:bottom w:w="0" w:type="dxa"/>
              <w:right w:w="108" w:type="dxa"/>
            </w:tcMar>
            <w:vAlign w:val="center"/>
          </w:tcPr>
          <w:p w14:paraId="3BB677EC" w14:textId="77777777" w:rsidR="00284822" w:rsidRDefault="00F77BF8">
            <w:pPr>
              <w:rPr>
                <w:rFonts w:ascii="Rockwell" w:hAnsi="Rockwell"/>
                <w:color w:val="000000"/>
                <w:sz w:val="20"/>
                <w:szCs w:val="20"/>
              </w:rPr>
            </w:pPr>
            <w:r>
              <w:rPr>
                <w:rFonts w:ascii="Rockwell" w:hAnsi="Rockwell"/>
                <w:color w:val="000000"/>
                <w:sz w:val="20"/>
                <w:szCs w:val="20"/>
              </w:rPr>
              <w:t>1,12%</w:t>
            </w:r>
          </w:p>
        </w:tc>
        <w:tc>
          <w:tcPr>
            <w:tcW w:w="708" w:type="dxa"/>
            <w:shd w:val="clear" w:color="auto" w:fill="FFFFFF" w:themeFill="background1"/>
            <w:tcMar>
              <w:top w:w="0" w:type="dxa"/>
              <w:left w:w="108" w:type="dxa"/>
              <w:bottom w:w="0" w:type="dxa"/>
              <w:right w:w="108" w:type="dxa"/>
            </w:tcMar>
            <w:vAlign w:val="center"/>
          </w:tcPr>
          <w:p w14:paraId="622362E9"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02967E1B"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26" w:type="dxa"/>
            <w:shd w:val="clear" w:color="auto" w:fill="FFFFFF" w:themeFill="background1"/>
            <w:tcMar>
              <w:top w:w="0" w:type="dxa"/>
              <w:left w:w="108" w:type="dxa"/>
              <w:bottom w:w="0" w:type="dxa"/>
              <w:right w:w="108" w:type="dxa"/>
            </w:tcMar>
            <w:vAlign w:val="center"/>
          </w:tcPr>
          <w:p w14:paraId="62709624"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75" w:type="dxa"/>
            <w:shd w:val="clear" w:color="auto" w:fill="FFFFFF" w:themeFill="background1"/>
            <w:tcMar>
              <w:top w:w="0" w:type="dxa"/>
              <w:left w:w="108" w:type="dxa"/>
              <w:bottom w:w="0" w:type="dxa"/>
              <w:right w:w="108" w:type="dxa"/>
            </w:tcMar>
            <w:vAlign w:val="center"/>
          </w:tcPr>
          <w:p w14:paraId="143CD619"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7CEE4097"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2" w:type="dxa"/>
            <w:shd w:val="clear" w:color="auto" w:fill="FFFFFF" w:themeFill="background1"/>
            <w:tcMar>
              <w:top w:w="0" w:type="dxa"/>
              <w:left w:w="108" w:type="dxa"/>
              <w:bottom w:w="0" w:type="dxa"/>
              <w:right w:w="108" w:type="dxa"/>
            </w:tcMar>
            <w:vAlign w:val="center"/>
          </w:tcPr>
          <w:p w14:paraId="5B30D3F2"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9" w:type="dxa"/>
            <w:shd w:val="clear" w:color="auto" w:fill="FFFFFF" w:themeFill="background1"/>
            <w:tcMar>
              <w:top w:w="0" w:type="dxa"/>
              <w:left w:w="108" w:type="dxa"/>
              <w:bottom w:w="0" w:type="dxa"/>
              <w:right w:w="108" w:type="dxa"/>
            </w:tcMar>
            <w:vAlign w:val="center"/>
          </w:tcPr>
          <w:p w14:paraId="7B3FC4C0"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2" w:type="dxa"/>
            <w:shd w:val="clear" w:color="auto" w:fill="FFFFFF" w:themeFill="background1"/>
            <w:tcMar>
              <w:top w:w="0" w:type="dxa"/>
              <w:left w:w="108" w:type="dxa"/>
              <w:bottom w:w="0" w:type="dxa"/>
              <w:right w:w="108" w:type="dxa"/>
            </w:tcMar>
            <w:vAlign w:val="center"/>
          </w:tcPr>
          <w:p w14:paraId="586BF1C9"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850" w:type="dxa"/>
            <w:shd w:val="clear" w:color="auto" w:fill="FFFFFF" w:themeFill="background1"/>
            <w:tcMar>
              <w:top w:w="0" w:type="dxa"/>
              <w:left w:w="108" w:type="dxa"/>
              <w:bottom w:w="0" w:type="dxa"/>
              <w:right w:w="108" w:type="dxa"/>
            </w:tcMar>
            <w:vAlign w:val="center"/>
          </w:tcPr>
          <w:p w14:paraId="4027858F"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473B9B1C"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54BA6B0B"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850" w:type="dxa"/>
            <w:shd w:val="clear" w:color="auto" w:fill="FFFFFF" w:themeFill="background1"/>
            <w:tcMar>
              <w:top w:w="0" w:type="dxa"/>
              <w:left w:w="108" w:type="dxa"/>
              <w:bottom w:w="0" w:type="dxa"/>
              <w:right w:w="108" w:type="dxa"/>
            </w:tcMar>
            <w:vAlign w:val="center"/>
          </w:tcPr>
          <w:p w14:paraId="0EA97817" w14:textId="77777777" w:rsidR="00284822" w:rsidRDefault="00F77BF8">
            <w:pPr>
              <w:rPr>
                <w:rFonts w:ascii="Rockwell" w:hAnsi="Rockwell"/>
                <w:color w:val="000000"/>
                <w:sz w:val="20"/>
                <w:szCs w:val="20"/>
              </w:rPr>
            </w:pPr>
            <w:r>
              <w:rPr>
                <w:rFonts w:ascii="Rockwell" w:hAnsi="Rockwell"/>
                <w:color w:val="000000"/>
                <w:sz w:val="20"/>
                <w:szCs w:val="20"/>
              </w:rPr>
              <w:t>0,00%</w:t>
            </w:r>
          </w:p>
        </w:tc>
      </w:tr>
      <w:tr w:rsidR="00284822" w14:paraId="3C673898" w14:textId="77777777">
        <w:trPr>
          <w:trHeight w:val="275"/>
          <w:jc w:val="center"/>
        </w:trPr>
        <w:tc>
          <w:tcPr>
            <w:tcW w:w="988" w:type="dxa"/>
            <w:shd w:val="clear" w:color="auto" w:fill="FFFFFF" w:themeFill="background1"/>
            <w:noWrap/>
            <w:tcMar>
              <w:top w:w="0" w:type="dxa"/>
              <w:left w:w="108" w:type="dxa"/>
              <w:bottom w:w="0" w:type="dxa"/>
              <w:right w:w="108" w:type="dxa"/>
            </w:tcMar>
          </w:tcPr>
          <w:p w14:paraId="7E2F660C" w14:textId="77777777" w:rsidR="00284822" w:rsidRDefault="00F77BF8">
            <w:pPr>
              <w:jc w:val="left"/>
              <w:rPr>
                <w:rFonts w:ascii="Rockwell" w:hAnsi="Rockwell"/>
                <w:bCs/>
                <w:color w:val="000000"/>
                <w:sz w:val="20"/>
                <w:szCs w:val="20"/>
              </w:rPr>
            </w:pPr>
            <w:r>
              <w:rPr>
                <w:rFonts w:ascii="Rockwell" w:hAnsi="Rockwell"/>
                <w:bCs/>
                <w:color w:val="000000"/>
                <w:sz w:val="20"/>
                <w:szCs w:val="20"/>
              </w:rPr>
              <w:t>12</w:t>
            </w:r>
          </w:p>
        </w:tc>
        <w:tc>
          <w:tcPr>
            <w:tcW w:w="1559" w:type="dxa"/>
            <w:shd w:val="clear" w:color="auto" w:fill="FFFFFF" w:themeFill="background1"/>
            <w:tcMar>
              <w:top w:w="0" w:type="dxa"/>
              <w:left w:w="108" w:type="dxa"/>
              <w:bottom w:w="0" w:type="dxa"/>
              <w:right w:w="108" w:type="dxa"/>
            </w:tcMar>
          </w:tcPr>
          <w:p w14:paraId="7B6ADA1C" w14:textId="77777777" w:rsidR="00284822" w:rsidRDefault="00F77BF8">
            <w:pPr>
              <w:jc w:val="left"/>
              <w:rPr>
                <w:rFonts w:ascii="Rockwell" w:hAnsi="Rockwell"/>
                <w:b/>
                <w:color w:val="000000"/>
                <w:sz w:val="20"/>
                <w:szCs w:val="20"/>
              </w:rPr>
            </w:pPr>
            <w:r>
              <w:rPr>
                <w:rFonts w:ascii="Rockwell" w:hAnsi="Rockwell"/>
                <w:b/>
                <w:color w:val="000000"/>
                <w:sz w:val="20"/>
                <w:szCs w:val="20"/>
              </w:rPr>
              <w:t>L'AB/PSR</w:t>
            </w:r>
          </w:p>
        </w:tc>
        <w:tc>
          <w:tcPr>
            <w:tcW w:w="850" w:type="dxa"/>
            <w:shd w:val="clear" w:color="auto" w:fill="FFFFFF" w:themeFill="background1"/>
            <w:tcMar>
              <w:top w:w="0" w:type="dxa"/>
              <w:left w:w="108" w:type="dxa"/>
              <w:bottom w:w="0" w:type="dxa"/>
              <w:right w:w="108" w:type="dxa"/>
            </w:tcMar>
            <w:vAlign w:val="center"/>
          </w:tcPr>
          <w:p w14:paraId="4D3E58D6"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6BE2DC89"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57" w:type="dxa"/>
            <w:shd w:val="clear" w:color="auto" w:fill="FFFFFF" w:themeFill="background1"/>
            <w:tcMar>
              <w:top w:w="0" w:type="dxa"/>
              <w:left w:w="108" w:type="dxa"/>
              <w:bottom w:w="0" w:type="dxa"/>
              <w:right w:w="108" w:type="dxa"/>
            </w:tcMar>
            <w:vAlign w:val="center"/>
          </w:tcPr>
          <w:p w14:paraId="793368F4"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44" w:type="dxa"/>
            <w:shd w:val="clear" w:color="auto" w:fill="FFFFFF" w:themeFill="background1"/>
            <w:tcMar>
              <w:top w:w="0" w:type="dxa"/>
              <w:left w:w="108" w:type="dxa"/>
              <w:bottom w:w="0" w:type="dxa"/>
              <w:right w:w="108" w:type="dxa"/>
            </w:tcMar>
            <w:vAlign w:val="center"/>
          </w:tcPr>
          <w:p w14:paraId="444E5C24"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8" w:type="dxa"/>
            <w:shd w:val="clear" w:color="auto" w:fill="FFFFFF" w:themeFill="background1"/>
            <w:tcMar>
              <w:top w:w="0" w:type="dxa"/>
              <w:left w:w="108" w:type="dxa"/>
              <w:bottom w:w="0" w:type="dxa"/>
              <w:right w:w="108" w:type="dxa"/>
            </w:tcMar>
            <w:vAlign w:val="center"/>
          </w:tcPr>
          <w:p w14:paraId="0D31A287"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4434D987"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26" w:type="dxa"/>
            <w:shd w:val="clear" w:color="auto" w:fill="FFFFFF" w:themeFill="background1"/>
            <w:tcMar>
              <w:top w:w="0" w:type="dxa"/>
              <w:left w:w="108" w:type="dxa"/>
              <w:bottom w:w="0" w:type="dxa"/>
              <w:right w:w="108" w:type="dxa"/>
            </w:tcMar>
            <w:vAlign w:val="center"/>
          </w:tcPr>
          <w:p w14:paraId="3A89EAA2"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75" w:type="dxa"/>
            <w:shd w:val="clear" w:color="auto" w:fill="FFFFFF" w:themeFill="background1"/>
            <w:tcMar>
              <w:top w:w="0" w:type="dxa"/>
              <w:left w:w="108" w:type="dxa"/>
              <w:bottom w:w="0" w:type="dxa"/>
              <w:right w:w="108" w:type="dxa"/>
            </w:tcMar>
            <w:vAlign w:val="center"/>
          </w:tcPr>
          <w:p w14:paraId="57FB137B"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56272C3A"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2" w:type="dxa"/>
            <w:shd w:val="clear" w:color="auto" w:fill="FFFFFF" w:themeFill="background1"/>
            <w:tcMar>
              <w:top w:w="0" w:type="dxa"/>
              <w:left w:w="108" w:type="dxa"/>
              <w:bottom w:w="0" w:type="dxa"/>
              <w:right w:w="108" w:type="dxa"/>
            </w:tcMar>
            <w:vAlign w:val="center"/>
          </w:tcPr>
          <w:p w14:paraId="37D87F0B"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9" w:type="dxa"/>
            <w:shd w:val="clear" w:color="auto" w:fill="FFFFFF" w:themeFill="background1"/>
            <w:tcMar>
              <w:top w:w="0" w:type="dxa"/>
              <w:left w:w="108" w:type="dxa"/>
              <w:bottom w:w="0" w:type="dxa"/>
              <w:right w:w="108" w:type="dxa"/>
            </w:tcMar>
            <w:vAlign w:val="center"/>
          </w:tcPr>
          <w:p w14:paraId="078E97E6"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2" w:type="dxa"/>
            <w:shd w:val="clear" w:color="auto" w:fill="FFFFFF" w:themeFill="background1"/>
            <w:tcMar>
              <w:top w:w="0" w:type="dxa"/>
              <w:left w:w="108" w:type="dxa"/>
              <w:bottom w:w="0" w:type="dxa"/>
              <w:right w:w="108" w:type="dxa"/>
            </w:tcMar>
            <w:vAlign w:val="center"/>
          </w:tcPr>
          <w:p w14:paraId="0466104D"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850" w:type="dxa"/>
            <w:shd w:val="clear" w:color="auto" w:fill="FFFFFF" w:themeFill="background1"/>
            <w:tcMar>
              <w:top w:w="0" w:type="dxa"/>
              <w:left w:w="108" w:type="dxa"/>
              <w:bottom w:w="0" w:type="dxa"/>
              <w:right w:w="108" w:type="dxa"/>
            </w:tcMar>
            <w:vAlign w:val="center"/>
          </w:tcPr>
          <w:p w14:paraId="5A8C00DC"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4809DC2D"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3D508589"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850" w:type="dxa"/>
            <w:shd w:val="clear" w:color="auto" w:fill="FFFFFF" w:themeFill="background1"/>
            <w:tcMar>
              <w:top w:w="0" w:type="dxa"/>
              <w:left w:w="108" w:type="dxa"/>
              <w:bottom w:w="0" w:type="dxa"/>
              <w:right w:w="108" w:type="dxa"/>
            </w:tcMar>
            <w:vAlign w:val="center"/>
          </w:tcPr>
          <w:p w14:paraId="551FB4C8" w14:textId="77777777" w:rsidR="00284822" w:rsidRDefault="00F77BF8">
            <w:pPr>
              <w:rPr>
                <w:rFonts w:ascii="Rockwell" w:hAnsi="Rockwell"/>
                <w:color w:val="000000"/>
                <w:sz w:val="20"/>
                <w:szCs w:val="20"/>
              </w:rPr>
            </w:pPr>
            <w:r>
              <w:rPr>
                <w:rFonts w:ascii="Rockwell" w:hAnsi="Rockwell"/>
                <w:color w:val="000000"/>
                <w:sz w:val="20"/>
                <w:szCs w:val="20"/>
              </w:rPr>
              <w:t>0,00%</w:t>
            </w:r>
          </w:p>
        </w:tc>
      </w:tr>
      <w:tr w:rsidR="00284822" w14:paraId="431DF0BD" w14:textId="77777777">
        <w:trPr>
          <w:trHeight w:val="279"/>
          <w:jc w:val="center"/>
        </w:trPr>
        <w:tc>
          <w:tcPr>
            <w:tcW w:w="988" w:type="dxa"/>
            <w:shd w:val="clear" w:color="auto" w:fill="FFFFFF" w:themeFill="background1"/>
            <w:noWrap/>
            <w:tcMar>
              <w:top w:w="0" w:type="dxa"/>
              <w:left w:w="108" w:type="dxa"/>
              <w:bottom w:w="0" w:type="dxa"/>
              <w:right w:w="108" w:type="dxa"/>
            </w:tcMar>
          </w:tcPr>
          <w:p w14:paraId="5EF2F430" w14:textId="77777777" w:rsidR="00284822" w:rsidRDefault="00F77BF8">
            <w:pPr>
              <w:jc w:val="left"/>
              <w:rPr>
                <w:rFonts w:ascii="Rockwell" w:hAnsi="Rockwell"/>
                <w:bCs/>
                <w:color w:val="000000"/>
                <w:sz w:val="20"/>
                <w:szCs w:val="20"/>
              </w:rPr>
            </w:pPr>
            <w:r>
              <w:rPr>
                <w:rFonts w:ascii="Rockwell" w:hAnsi="Rockwell"/>
                <w:bCs/>
                <w:color w:val="000000"/>
                <w:sz w:val="20"/>
                <w:szCs w:val="20"/>
              </w:rPr>
              <w:t>13</w:t>
            </w:r>
          </w:p>
        </w:tc>
        <w:tc>
          <w:tcPr>
            <w:tcW w:w="1559" w:type="dxa"/>
            <w:shd w:val="clear" w:color="auto" w:fill="FFFFFF" w:themeFill="background1"/>
            <w:tcMar>
              <w:top w:w="0" w:type="dxa"/>
              <w:left w:w="108" w:type="dxa"/>
              <w:bottom w:w="0" w:type="dxa"/>
              <w:right w:w="108" w:type="dxa"/>
            </w:tcMar>
          </w:tcPr>
          <w:p w14:paraId="298EAE87" w14:textId="77777777" w:rsidR="00284822" w:rsidRDefault="00F77BF8">
            <w:pPr>
              <w:jc w:val="left"/>
              <w:rPr>
                <w:rFonts w:ascii="Rockwell" w:hAnsi="Rockwell"/>
                <w:b/>
                <w:color w:val="000000"/>
                <w:sz w:val="20"/>
                <w:szCs w:val="20"/>
              </w:rPr>
            </w:pPr>
            <w:r>
              <w:rPr>
                <w:rFonts w:ascii="Rockwell" w:hAnsi="Rockwell"/>
                <w:b/>
                <w:color w:val="000000"/>
                <w:sz w:val="20"/>
                <w:szCs w:val="20"/>
              </w:rPr>
              <w:t>LES DEMOC</w:t>
            </w:r>
          </w:p>
        </w:tc>
        <w:tc>
          <w:tcPr>
            <w:tcW w:w="850" w:type="dxa"/>
            <w:shd w:val="clear" w:color="auto" w:fill="FFFFFF" w:themeFill="background1"/>
            <w:tcMar>
              <w:top w:w="0" w:type="dxa"/>
              <w:left w:w="108" w:type="dxa"/>
              <w:bottom w:w="0" w:type="dxa"/>
              <w:right w:w="108" w:type="dxa"/>
            </w:tcMar>
            <w:vAlign w:val="center"/>
          </w:tcPr>
          <w:p w14:paraId="61CA49C2"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287C73B7"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57" w:type="dxa"/>
            <w:shd w:val="clear" w:color="auto" w:fill="FFFFFF" w:themeFill="background1"/>
            <w:tcMar>
              <w:top w:w="0" w:type="dxa"/>
              <w:left w:w="108" w:type="dxa"/>
              <w:bottom w:w="0" w:type="dxa"/>
              <w:right w:w="108" w:type="dxa"/>
            </w:tcMar>
            <w:vAlign w:val="center"/>
          </w:tcPr>
          <w:p w14:paraId="496FFDF5"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44" w:type="dxa"/>
            <w:shd w:val="clear" w:color="auto" w:fill="FFFFFF" w:themeFill="background1"/>
            <w:tcMar>
              <w:top w:w="0" w:type="dxa"/>
              <w:left w:w="108" w:type="dxa"/>
              <w:bottom w:w="0" w:type="dxa"/>
              <w:right w:w="108" w:type="dxa"/>
            </w:tcMar>
            <w:vAlign w:val="center"/>
          </w:tcPr>
          <w:p w14:paraId="686E8EF8"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8" w:type="dxa"/>
            <w:shd w:val="clear" w:color="auto" w:fill="FFFFFF" w:themeFill="background1"/>
            <w:tcMar>
              <w:top w:w="0" w:type="dxa"/>
              <w:left w:w="108" w:type="dxa"/>
              <w:bottom w:w="0" w:type="dxa"/>
              <w:right w:w="108" w:type="dxa"/>
            </w:tcMar>
            <w:vAlign w:val="center"/>
          </w:tcPr>
          <w:p w14:paraId="746FC0AB" w14:textId="77777777" w:rsidR="00284822" w:rsidRDefault="00F77BF8">
            <w:pPr>
              <w:rPr>
                <w:rFonts w:ascii="Rockwell" w:hAnsi="Rockwell"/>
                <w:color w:val="000000"/>
                <w:sz w:val="20"/>
                <w:szCs w:val="20"/>
              </w:rPr>
            </w:pPr>
            <w:proofErr w:type="gramStart"/>
            <w:r>
              <w:rPr>
                <w:rFonts w:ascii="Rockwell" w:hAnsi="Rockwell"/>
                <w:color w:val="000000"/>
                <w:sz w:val="20"/>
                <w:szCs w:val="20"/>
              </w:rPr>
              <w:t>½</w:t>
            </w:r>
            <w:proofErr w:type="gramEnd"/>
          </w:p>
        </w:tc>
        <w:tc>
          <w:tcPr>
            <w:tcW w:w="993" w:type="dxa"/>
            <w:shd w:val="clear" w:color="auto" w:fill="FFFFFF" w:themeFill="background1"/>
            <w:tcMar>
              <w:top w:w="0" w:type="dxa"/>
              <w:left w:w="108" w:type="dxa"/>
              <w:bottom w:w="0" w:type="dxa"/>
              <w:right w:w="108" w:type="dxa"/>
            </w:tcMar>
            <w:vAlign w:val="center"/>
          </w:tcPr>
          <w:p w14:paraId="7E3F54A2" w14:textId="77777777" w:rsidR="00284822" w:rsidRDefault="00F77BF8">
            <w:pPr>
              <w:rPr>
                <w:rFonts w:ascii="Rockwell" w:hAnsi="Rockwell"/>
                <w:color w:val="000000"/>
                <w:sz w:val="20"/>
                <w:szCs w:val="20"/>
              </w:rPr>
            </w:pPr>
            <w:r>
              <w:rPr>
                <w:rFonts w:ascii="Rockwell" w:hAnsi="Rockwell"/>
                <w:color w:val="000000"/>
                <w:sz w:val="20"/>
                <w:szCs w:val="20"/>
              </w:rPr>
              <w:t>1,12%</w:t>
            </w:r>
          </w:p>
        </w:tc>
        <w:tc>
          <w:tcPr>
            <w:tcW w:w="626" w:type="dxa"/>
            <w:shd w:val="clear" w:color="auto" w:fill="FFFFFF" w:themeFill="background1"/>
            <w:tcMar>
              <w:top w:w="0" w:type="dxa"/>
              <w:left w:w="108" w:type="dxa"/>
              <w:bottom w:w="0" w:type="dxa"/>
              <w:right w:w="108" w:type="dxa"/>
            </w:tcMar>
            <w:vAlign w:val="center"/>
          </w:tcPr>
          <w:p w14:paraId="5E9EB613" w14:textId="77777777" w:rsidR="00284822" w:rsidRDefault="00F77BF8">
            <w:pPr>
              <w:rPr>
                <w:rFonts w:ascii="Rockwell" w:hAnsi="Rockwell"/>
                <w:color w:val="000000"/>
                <w:sz w:val="20"/>
                <w:szCs w:val="20"/>
              </w:rPr>
            </w:pPr>
            <w:r>
              <w:rPr>
                <w:rFonts w:ascii="Rockwell" w:hAnsi="Rockwell"/>
                <w:color w:val="000000"/>
                <w:sz w:val="20"/>
                <w:szCs w:val="20"/>
              </w:rPr>
              <w:t>1</w:t>
            </w:r>
          </w:p>
        </w:tc>
        <w:tc>
          <w:tcPr>
            <w:tcW w:w="1075" w:type="dxa"/>
            <w:shd w:val="clear" w:color="auto" w:fill="FFFFFF" w:themeFill="background1"/>
            <w:tcMar>
              <w:top w:w="0" w:type="dxa"/>
              <w:left w:w="108" w:type="dxa"/>
              <w:bottom w:w="0" w:type="dxa"/>
              <w:right w:w="108" w:type="dxa"/>
            </w:tcMar>
            <w:vAlign w:val="center"/>
          </w:tcPr>
          <w:p w14:paraId="09BBCE0C" w14:textId="77777777" w:rsidR="00284822" w:rsidRDefault="00F77BF8">
            <w:pPr>
              <w:rPr>
                <w:rFonts w:ascii="Rockwell" w:hAnsi="Rockwell"/>
                <w:color w:val="000000"/>
                <w:sz w:val="20"/>
                <w:szCs w:val="20"/>
              </w:rPr>
            </w:pPr>
            <w:r>
              <w:rPr>
                <w:rFonts w:ascii="Rockwell" w:hAnsi="Rockwell"/>
                <w:color w:val="000000"/>
                <w:sz w:val="20"/>
                <w:szCs w:val="20"/>
              </w:rPr>
              <w:t>1,18%</w:t>
            </w:r>
          </w:p>
        </w:tc>
        <w:tc>
          <w:tcPr>
            <w:tcW w:w="567" w:type="dxa"/>
            <w:shd w:val="clear" w:color="auto" w:fill="FFFFFF" w:themeFill="background1"/>
            <w:tcMar>
              <w:top w:w="0" w:type="dxa"/>
              <w:left w:w="108" w:type="dxa"/>
              <w:bottom w:w="0" w:type="dxa"/>
              <w:right w:w="108" w:type="dxa"/>
            </w:tcMar>
            <w:vAlign w:val="center"/>
          </w:tcPr>
          <w:p w14:paraId="04DC5F5B" w14:textId="77777777" w:rsidR="00284822" w:rsidRDefault="00F77BF8">
            <w:pPr>
              <w:rPr>
                <w:rFonts w:ascii="Rockwell" w:hAnsi="Rockwell"/>
                <w:color w:val="000000"/>
                <w:sz w:val="20"/>
                <w:szCs w:val="20"/>
              </w:rPr>
            </w:pPr>
            <w:r>
              <w:rPr>
                <w:rFonts w:ascii="Rockwell" w:hAnsi="Rockwell"/>
                <w:color w:val="000000"/>
                <w:sz w:val="20"/>
                <w:szCs w:val="20"/>
              </w:rPr>
              <w:t>1</w:t>
            </w:r>
          </w:p>
        </w:tc>
        <w:tc>
          <w:tcPr>
            <w:tcW w:w="992" w:type="dxa"/>
            <w:shd w:val="clear" w:color="auto" w:fill="FFFFFF" w:themeFill="background1"/>
            <w:tcMar>
              <w:top w:w="0" w:type="dxa"/>
              <w:left w:w="108" w:type="dxa"/>
              <w:bottom w:w="0" w:type="dxa"/>
              <w:right w:w="108" w:type="dxa"/>
            </w:tcMar>
            <w:vAlign w:val="center"/>
          </w:tcPr>
          <w:p w14:paraId="1542D3FE" w14:textId="77777777" w:rsidR="00284822" w:rsidRDefault="00F77BF8">
            <w:pPr>
              <w:rPr>
                <w:rFonts w:ascii="Rockwell" w:hAnsi="Rockwell"/>
                <w:color w:val="000000"/>
                <w:sz w:val="20"/>
                <w:szCs w:val="20"/>
              </w:rPr>
            </w:pPr>
            <w:r>
              <w:rPr>
                <w:rFonts w:ascii="Rockwell" w:hAnsi="Rockwell"/>
                <w:color w:val="000000"/>
                <w:sz w:val="20"/>
                <w:szCs w:val="20"/>
              </w:rPr>
              <w:t>1,53%</w:t>
            </w:r>
          </w:p>
        </w:tc>
        <w:tc>
          <w:tcPr>
            <w:tcW w:w="709" w:type="dxa"/>
            <w:shd w:val="clear" w:color="auto" w:fill="FFFFFF" w:themeFill="background1"/>
            <w:tcMar>
              <w:top w:w="0" w:type="dxa"/>
              <w:left w:w="108" w:type="dxa"/>
              <w:bottom w:w="0" w:type="dxa"/>
              <w:right w:w="108" w:type="dxa"/>
            </w:tcMar>
            <w:vAlign w:val="center"/>
          </w:tcPr>
          <w:p w14:paraId="3FCB7803" w14:textId="77777777" w:rsidR="00284822" w:rsidRDefault="00F77BF8">
            <w:pPr>
              <w:rPr>
                <w:rFonts w:ascii="Rockwell" w:hAnsi="Rockwell"/>
                <w:color w:val="000000"/>
                <w:sz w:val="20"/>
                <w:szCs w:val="20"/>
              </w:rPr>
            </w:pPr>
            <w:r>
              <w:rPr>
                <w:rFonts w:ascii="Rockwell" w:hAnsi="Rockwell"/>
                <w:color w:val="000000"/>
                <w:sz w:val="20"/>
                <w:szCs w:val="20"/>
              </w:rPr>
              <w:t>3</w:t>
            </w:r>
          </w:p>
        </w:tc>
        <w:tc>
          <w:tcPr>
            <w:tcW w:w="992" w:type="dxa"/>
            <w:shd w:val="clear" w:color="auto" w:fill="FFFFFF" w:themeFill="background1"/>
            <w:tcMar>
              <w:top w:w="0" w:type="dxa"/>
              <w:left w:w="108" w:type="dxa"/>
              <w:bottom w:w="0" w:type="dxa"/>
              <w:right w:w="108" w:type="dxa"/>
            </w:tcMar>
            <w:vAlign w:val="center"/>
          </w:tcPr>
          <w:p w14:paraId="7BC7E287" w14:textId="77777777" w:rsidR="00284822" w:rsidRDefault="00F77BF8">
            <w:pPr>
              <w:rPr>
                <w:rFonts w:ascii="Rockwell" w:hAnsi="Rockwell"/>
                <w:color w:val="000000"/>
                <w:sz w:val="20"/>
                <w:szCs w:val="20"/>
              </w:rPr>
            </w:pPr>
            <w:r>
              <w:rPr>
                <w:rFonts w:ascii="Rockwell" w:hAnsi="Rockwell"/>
                <w:color w:val="000000"/>
                <w:sz w:val="20"/>
                <w:szCs w:val="20"/>
              </w:rPr>
              <w:t>2,59%</w:t>
            </w:r>
          </w:p>
        </w:tc>
        <w:tc>
          <w:tcPr>
            <w:tcW w:w="850" w:type="dxa"/>
            <w:shd w:val="clear" w:color="auto" w:fill="FFFFFF" w:themeFill="background1"/>
            <w:tcMar>
              <w:top w:w="0" w:type="dxa"/>
              <w:left w:w="108" w:type="dxa"/>
              <w:bottom w:w="0" w:type="dxa"/>
              <w:right w:w="108" w:type="dxa"/>
            </w:tcMar>
            <w:vAlign w:val="center"/>
          </w:tcPr>
          <w:p w14:paraId="3E4A5446" w14:textId="77777777" w:rsidR="00284822" w:rsidRDefault="00F77BF8">
            <w:pPr>
              <w:rPr>
                <w:rFonts w:ascii="Rockwell" w:hAnsi="Rockwell"/>
                <w:color w:val="000000"/>
                <w:sz w:val="20"/>
                <w:szCs w:val="20"/>
              </w:rPr>
            </w:pPr>
            <w:r>
              <w:rPr>
                <w:rFonts w:ascii="Rockwell" w:hAnsi="Rockwell"/>
                <w:color w:val="000000"/>
                <w:sz w:val="20"/>
                <w:szCs w:val="20"/>
              </w:rPr>
              <w:t>1/2</w:t>
            </w:r>
          </w:p>
        </w:tc>
        <w:tc>
          <w:tcPr>
            <w:tcW w:w="993" w:type="dxa"/>
            <w:shd w:val="clear" w:color="auto" w:fill="FFFFFF" w:themeFill="background1"/>
            <w:tcMar>
              <w:top w:w="0" w:type="dxa"/>
              <w:left w:w="108" w:type="dxa"/>
              <w:bottom w:w="0" w:type="dxa"/>
              <w:right w:w="108" w:type="dxa"/>
            </w:tcMar>
            <w:vAlign w:val="center"/>
          </w:tcPr>
          <w:p w14:paraId="448FC564" w14:textId="77777777" w:rsidR="00284822" w:rsidRDefault="00F77BF8">
            <w:pPr>
              <w:rPr>
                <w:rFonts w:ascii="Rockwell" w:hAnsi="Rockwell"/>
                <w:color w:val="000000"/>
                <w:sz w:val="20"/>
                <w:szCs w:val="20"/>
              </w:rPr>
            </w:pPr>
            <w:r>
              <w:rPr>
                <w:rFonts w:ascii="Rockwell" w:hAnsi="Rockwell"/>
                <w:color w:val="000000"/>
                <w:sz w:val="20"/>
                <w:szCs w:val="20"/>
              </w:rPr>
              <w:t>1,58%</w:t>
            </w:r>
          </w:p>
        </w:tc>
        <w:tc>
          <w:tcPr>
            <w:tcW w:w="567" w:type="dxa"/>
            <w:shd w:val="clear" w:color="auto" w:fill="FFFFFF" w:themeFill="background1"/>
            <w:tcMar>
              <w:top w:w="0" w:type="dxa"/>
              <w:left w:w="108" w:type="dxa"/>
              <w:bottom w:w="0" w:type="dxa"/>
              <w:right w:w="108" w:type="dxa"/>
            </w:tcMar>
            <w:vAlign w:val="center"/>
          </w:tcPr>
          <w:p w14:paraId="5A945D80" w14:textId="77777777" w:rsidR="00284822" w:rsidRDefault="00F77BF8">
            <w:pPr>
              <w:rPr>
                <w:rFonts w:ascii="Rockwell" w:hAnsi="Rockwell"/>
                <w:color w:val="000000"/>
                <w:sz w:val="20"/>
                <w:szCs w:val="20"/>
              </w:rPr>
            </w:pPr>
            <w:r>
              <w:rPr>
                <w:rFonts w:ascii="Rockwell" w:hAnsi="Rockwell"/>
                <w:color w:val="000000"/>
                <w:sz w:val="20"/>
                <w:szCs w:val="20"/>
              </w:rPr>
              <w:t>2</w:t>
            </w:r>
          </w:p>
        </w:tc>
        <w:tc>
          <w:tcPr>
            <w:tcW w:w="850" w:type="dxa"/>
            <w:shd w:val="clear" w:color="auto" w:fill="FFFFFF" w:themeFill="background1"/>
            <w:tcMar>
              <w:top w:w="0" w:type="dxa"/>
              <w:left w:w="108" w:type="dxa"/>
              <w:bottom w:w="0" w:type="dxa"/>
              <w:right w:w="108" w:type="dxa"/>
            </w:tcMar>
            <w:vAlign w:val="center"/>
          </w:tcPr>
          <w:p w14:paraId="08D3DEFB" w14:textId="77777777" w:rsidR="00284822" w:rsidRDefault="00F77BF8">
            <w:pPr>
              <w:rPr>
                <w:rFonts w:ascii="Rockwell" w:hAnsi="Rockwell"/>
                <w:color w:val="000000"/>
                <w:sz w:val="20"/>
                <w:szCs w:val="20"/>
              </w:rPr>
            </w:pPr>
            <w:r>
              <w:rPr>
                <w:rFonts w:ascii="Rockwell" w:hAnsi="Rockwell"/>
                <w:color w:val="000000"/>
                <w:sz w:val="20"/>
                <w:szCs w:val="20"/>
              </w:rPr>
              <w:t>3,23%</w:t>
            </w:r>
          </w:p>
        </w:tc>
      </w:tr>
      <w:tr w:rsidR="00284822" w14:paraId="29C70179" w14:textId="77777777">
        <w:trPr>
          <w:trHeight w:val="397"/>
          <w:jc w:val="center"/>
        </w:trPr>
        <w:tc>
          <w:tcPr>
            <w:tcW w:w="988" w:type="dxa"/>
            <w:shd w:val="clear" w:color="auto" w:fill="FFFFFF" w:themeFill="background1"/>
            <w:noWrap/>
            <w:tcMar>
              <w:top w:w="0" w:type="dxa"/>
              <w:left w:w="108" w:type="dxa"/>
              <w:bottom w:w="0" w:type="dxa"/>
              <w:right w:w="108" w:type="dxa"/>
            </w:tcMar>
          </w:tcPr>
          <w:p w14:paraId="6EA96D48" w14:textId="77777777" w:rsidR="00284822" w:rsidRDefault="00F77BF8">
            <w:pPr>
              <w:jc w:val="left"/>
              <w:rPr>
                <w:rFonts w:ascii="Rockwell" w:hAnsi="Rockwell"/>
                <w:bCs/>
                <w:color w:val="000000"/>
                <w:sz w:val="20"/>
                <w:szCs w:val="20"/>
              </w:rPr>
            </w:pPr>
            <w:r>
              <w:rPr>
                <w:rFonts w:ascii="Rockwell" w:hAnsi="Rockwell"/>
                <w:bCs/>
                <w:color w:val="000000"/>
                <w:sz w:val="20"/>
                <w:szCs w:val="20"/>
              </w:rPr>
              <w:t>14</w:t>
            </w:r>
          </w:p>
        </w:tc>
        <w:tc>
          <w:tcPr>
            <w:tcW w:w="1559" w:type="dxa"/>
            <w:shd w:val="clear" w:color="auto" w:fill="FFFFFF" w:themeFill="background1"/>
            <w:tcMar>
              <w:top w:w="0" w:type="dxa"/>
              <w:left w:w="108" w:type="dxa"/>
              <w:bottom w:w="0" w:type="dxa"/>
              <w:right w:w="108" w:type="dxa"/>
            </w:tcMar>
          </w:tcPr>
          <w:p w14:paraId="74D24F33" w14:textId="77777777" w:rsidR="00284822" w:rsidRDefault="00F77BF8">
            <w:pPr>
              <w:jc w:val="left"/>
              <w:rPr>
                <w:rFonts w:ascii="Rockwell" w:hAnsi="Rockwell"/>
                <w:b/>
                <w:color w:val="000000"/>
                <w:sz w:val="20"/>
                <w:szCs w:val="20"/>
              </w:rPr>
            </w:pPr>
            <w:r>
              <w:rPr>
                <w:rFonts w:ascii="Rockwell" w:hAnsi="Rockwell"/>
                <w:b/>
                <w:color w:val="000000"/>
                <w:sz w:val="20"/>
                <w:szCs w:val="20"/>
              </w:rPr>
              <w:t>MAE</w:t>
            </w:r>
          </w:p>
        </w:tc>
        <w:tc>
          <w:tcPr>
            <w:tcW w:w="850" w:type="dxa"/>
            <w:shd w:val="clear" w:color="auto" w:fill="FFFFFF" w:themeFill="background1"/>
            <w:tcMar>
              <w:top w:w="0" w:type="dxa"/>
              <w:left w:w="108" w:type="dxa"/>
              <w:bottom w:w="0" w:type="dxa"/>
              <w:right w:w="108" w:type="dxa"/>
            </w:tcMar>
            <w:vAlign w:val="center"/>
          </w:tcPr>
          <w:p w14:paraId="43355508" w14:textId="77777777" w:rsidR="00284822" w:rsidRDefault="00F77BF8">
            <w:pPr>
              <w:rPr>
                <w:rFonts w:ascii="Rockwell" w:hAnsi="Rockwell"/>
                <w:color w:val="000000"/>
                <w:sz w:val="20"/>
                <w:szCs w:val="20"/>
              </w:rPr>
            </w:pPr>
            <w:r>
              <w:rPr>
                <w:rFonts w:ascii="Rockwell" w:hAnsi="Rockwell"/>
                <w:color w:val="000000"/>
                <w:sz w:val="20"/>
                <w:szCs w:val="20"/>
              </w:rPr>
              <w:t>1</w:t>
            </w:r>
          </w:p>
        </w:tc>
        <w:tc>
          <w:tcPr>
            <w:tcW w:w="993" w:type="dxa"/>
            <w:shd w:val="clear" w:color="auto" w:fill="FFFFFF" w:themeFill="background1"/>
            <w:tcMar>
              <w:top w:w="0" w:type="dxa"/>
              <w:left w:w="108" w:type="dxa"/>
              <w:bottom w:w="0" w:type="dxa"/>
              <w:right w:w="108" w:type="dxa"/>
            </w:tcMar>
            <w:vAlign w:val="center"/>
          </w:tcPr>
          <w:p w14:paraId="700BF755" w14:textId="77777777" w:rsidR="00284822" w:rsidRDefault="00F77BF8">
            <w:pPr>
              <w:rPr>
                <w:rFonts w:ascii="Rockwell" w:hAnsi="Rockwell"/>
                <w:color w:val="000000"/>
                <w:sz w:val="20"/>
                <w:szCs w:val="20"/>
              </w:rPr>
            </w:pPr>
            <w:r>
              <w:rPr>
                <w:rFonts w:ascii="Rockwell" w:hAnsi="Rockwell"/>
                <w:color w:val="000000"/>
                <w:sz w:val="20"/>
                <w:szCs w:val="20"/>
              </w:rPr>
              <w:t>1,77%</w:t>
            </w:r>
          </w:p>
        </w:tc>
        <w:tc>
          <w:tcPr>
            <w:tcW w:w="657" w:type="dxa"/>
            <w:shd w:val="clear" w:color="auto" w:fill="FFFFFF" w:themeFill="background1"/>
            <w:tcMar>
              <w:top w:w="0" w:type="dxa"/>
              <w:left w:w="108" w:type="dxa"/>
              <w:bottom w:w="0" w:type="dxa"/>
              <w:right w:w="108" w:type="dxa"/>
            </w:tcMar>
            <w:vAlign w:val="center"/>
          </w:tcPr>
          <w:p w14:paraId="161C7982" w14:textId="77777777" w:rsidR="00284822" w:rsidRDefault="00F77BF8">
            <w:pPr>
              <w:rPr>
                <w:rFonts w:ascii="Rockwell" w:hAnsi="Rockwell"/>
                <w:color w:val="000000"/>
                <w:sz w:val="20"/>
                <w:szCs w:val="20"/>
              </w:rPr>
            </w:pPr>
            <w:r>
              <w:rPr>
                <w:rFonts w:ascii="Rockwell" w:hAnsi="Rockwell"/>
                <w:color w:val="000000"/>
                <w:sz w:val="20"/>
                <w:szCs w:val="20"/>
              </w:rPr>
              <w:t>2</w:t>
            </w:r>
          </w:p>
        </w:tc>
        <w:tc>
          <w:tcPr>
            <w:tcW w:w="1044" w:type="dxa"/>
            <w:shd w:val="clear" w:color="auto" w:fill="FFFFFF" w:themeFill="background1"/>
            <w:tcMar>
              <w:top w:w="0" w:type="dxa"/>
              <w:left w:w="108" w:type="dxa"/>
              <w:bottom w:w="0" w:type="dxa"/>
              <w:right w:w="108" w:type="dxa"/>
            </w:tcMar>
            <w:vAlign w:val="center"/>
          </w:tcPr>
          <w:p w14:paraId="5D6E2CFE" w14:textId="77777777" w:rsidR="00284822" w:rsidRDefault="00F77BF8">
            <w:pPr>
              <w:rPr>
                <w:rFonts w:ascii="Rockwell" w:hAnsi="Rockwell"/>
                <w:color w:val="000000"/>
                <w:sz w:val="20"/>
                <w:szCs w:val="20"/>
              </w:rPr>
            </w:pPr>
            <w:r>
              <w:rPr>
                <w:rFonts w:ascii="Rockwell" w:hAnsi="Rockwell"/>
                <w:color w:val="000000"/>
                <w:sz w:val="20"/>
                <w:szCs w:val="20"/>
              </w:rPr>
              <w:t>2,25%</w:t>
            </w:r>
          </w:p>
        </w:tc>
        <w:tc>
          <w:tcPr>
            <w:tcW w:w="708" w:type="dxa"/>
            <w:shd w:val="clear" w:color="auto" w:fill="FFFFFF" w:themeFill="background1"/>
            <w:tcMar>
              <w:top w:w="0" w:type="dxa"/>
              <w:left w:w="108" w:type="dxa"/>
              <w:bottom w:w="0" w:type="dxa"/>
              <w:right w:w="108" w:type="dxa"/>
            </w:tcMar>
            <w:vAlign w:val="center"/>
          </w:tcPr>
          <w:p w14:paraId="66C0F206"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1311C3A6"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26" w:type="dxa"/>
            <w:shd w:val="clear" w:color="auto" w:fill="FFFFFF" w:themeFill="background1"/>
            <w:tcMar>
              <w:top w:w="0" w:type="dxa"/>
              <w:left w:w="108" w:type="dxa"/>
              <w:bottom w:w="0" w:type="dxa"/>
              <w:right w:w="108" w:type="dxa"/>
            </w:tcMar>
            <w:vAlign w:val="center"/>
          </w:tcPr>
          <w:p w14:paraId="2B8B6743"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75" w:type="dxa"/>
            <w:shd w:val="clear" w:color="auto" w:fill="FFFFFF" w:themeFill="background1"/>
            <w:tcMar>
              <w:top w:w="0" w:type="dxa"/>
              <w:left w:w="108" w:type="dxa"/>
              <w:bottom w:w="0" w:type="dxa"/>
              <w:right w:w="108" w:type="dxa"/>
            </w:tcMar>
            <w:vAlign w:val="center"/>
          </w:tcPr>
          <w:p w14:paraId="1E053269"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486B9B0B"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2" w:type="dxa"/>
            <w:shd w:val="clear" w:color="auto" w:fill="FFFFFF" w:themeFill="background1"/>
            <w:tcMar>
              <w:top w:w="0" w:type="dxa"/>
              <w:left w:w="108" w:type="dxa"/>
              <w:bottom w:w="0" w:type="dxa"/>
              <w:right w:w="108" w:type="dxa"/>
            </w:tcMar>
            <w:vAlign w:val="center"/>
          </w:tcPr>
          <w:p w14:paraId="6327D7F9"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9" w:type="dxa"/>
            <w:shd w:val="clear" w:color="auto" w:fill="FFFFFF" w:themeFill="background1"/>
            <w:tcMar>
              <w:top w:w="0" w:type="dxa"/>
              <w:left w:w="108" w:type="dxa"/>
              <w:bottom w:w="0" w:type="dxa"/>
              <w:right w:w="108" w:type="dxa"/>
            </w:tcMar>
            <w:vAlign w:val="center"/>
          </w:tcPr>
          <w:p w14:paraId="0A9569A4"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2" w:type="dxa"/>
            <w:shd w:val="clear" w:color="auto" w:fill="FFFFFF" w:themeFill="background1"/>
            <w:tcMar>
              <w:top w:w="0" w:type="dxa"/>
              <w:left w:w="108" w:type="dxa"/>
              <w:bottom w:w="0" w:type="dxa"/>
              <w:right w:w="108" w:type="dxa"/>
            </w:tcMar>
            <w:vAlign w:val="center"/>
          </w:tcPr>
          <w:p w14:paraId="2102678F"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850" w:type="dxa"/>
            <w:shd w:val="clear" w:color="auto" w:fill="FFFFFF" w:themeFill="background1"/>
            <w:tcMar>
              <w:top w:w="0" w:type="dxa"/>
              <w:left w:w="108" w:type="dxa"/>
              <w:bottom w:w="0" w:type="dxa"/>
              <w:right w:w="108" w:type="dxa"/>
            </w:tcMar>
            <w:vAlign w:val="center"/>
          </w:tcPr>
          <w:p w14:paraId="744BAE84"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1672E86E"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514B7BC8"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850" w:type="dxa"/>
            <w:shd w:val="clear" w:color="auto" w:fill="FFFFFF" w:themeFill="background1"/>
            <w:tcMar>
              <w:top w:w="0" w:type="dxa"/>
              <w:left w:w="108" w:type="dxa"/>
              <w:bottom w:w="0" w:type="dxa"/>
              <w:right w:w="108" w:type="dxa"/>
            </w:tcMar>
            <w:vAlign w:val="center"/>
          </w:tcPr>
          <w:p w14:paraId="57D88DDB" w14:textId="77777777" w:rsidR="00284822" w:rsidRDefault="00F77BF8">
            <w:pPr>
              <w:rPr>
                <w:rFonts w:ascii="Rockwell" w:hAnsi="Rockwell"/>
                <w:color w:val="000000"/>
                <w:sz w:val="20"/>
                <w:szCs w:val="20"/>
              </w:rPr>
            </w:pPr>
            <w:r>
              <w:rPr>
                <w:rFonts w:ascii="Rockwell" w:hAnsi="Rockwell"/>
                <w:color w:val="000000"/>
                <w:sz w:val="20"/>
                <w:szCs w:val="20"/>
              </w:rPr>
              <w:t>0,00%</w:t>
            </w:r>
          </w:p>
        </w:tc>
      </w:tr>
      <w:tr w:rsidR="00284822" w14:paraId="18BC1C8C" w14:textId="77777777">
        <w:trPr>
          <w:trHeight w:val="416"/>
          <w:jc w:val="center"/>
        </w:trPr>
        <w:tc>
          <w:tcPr>
            <w:tcW w:w="988" w:type="dxa"/>
            <w:shd w:val="clear" w:color="auto" w:fill="FFFFFF" w:themeFill="background1"/>
            <w:noWrap/>
            <w:tcMar>
              <w:top w:w="0" w:type="dxa"/>
              <w:left w:w="108" w:type="dxa"/>
              <w:bottom w:w="0" w:type="dxa"/>
              <w:right w:w="108" w:type="dxa"/>
            </w:tcMar>
          </w:tcPr>
          <w:p w14:paraId="52903C8C" w14:textId="77777777" w:rsidR="00284822" w:rsidRDefault="00F77BF8">
            <w:pPr>
              <w:jc w:val="left"/>
              <w:rPr>
                <w:rFonts w:ascii="Rockwell" w:hAnsi="Rockwell"/>
                <w:bCs/>
                <w:color w:val="000000"/>
                <w:sz w:val="20"/>
                <w:szCs w:val="20"/>
              </w:rPr>
            </w:pPr>
            <w:r>
              <w:rPr>
                <w:rFonts w:ascii="Rockwell" w:hAnsi="Rockwell"/>
                <w:bCs/>
                <w:color w:val="000000"/>
                <w:sz w:val="20"/>
                <w:szCs w:val="20"/>
              </w:rPr>
              <w:t>15</w:t>
            </w:r>
          </w:p>
        </w:tc>
        <w:tc>
          <w:tcPr>
            <w:tcW w:w="1559" w:type="dxa"/>
            <w:shd w:val="clear" w:color="auto" w:fill="FFFFFF" w:themeFill="background1"/>
            <w:tcMar>
              <w:top w:w="0" w:type="dxa"/>
              <w:left w:w="108" w:type="dxa"/>
              <w:bottom w:w="0" w:type="dxa"/>
              <w:right w:w="108" w:type="dxa"/>
            </w:tcMar>
          </w:tcPr>
          <w:p w14:paraId="026FAC8B" w14:textId="77777777" w:rsidR="00284822" w:rsidRDefault="00F77BF8">
            <w:pPr>
              <w:jc w:val="left"/>
              <w:rPr>
                <w:rFonts w:ascii="Rockwell" w:hAnsi="Rockwell"/>
                <w:b/>
                <w:color w:val="000000"/>
                <w:sz w:val="20"/>
                <w:szCs w:val="20"/>
              </w:rPr>
            </w:pPr>
            <w:r>
              <w:rPr>
                <w:rFonts w:ascii="Rockwell" w:hAnsi="Rockwell"/>
                <w:b/>
                <w:color w:val="000000"/>
                <w:sz w:val="20"/>
                <w:szCs w:val="20"/>
              </w:rPr>
              <w:t>MBF</w:t>
            </w:r>
          </w:p>
        </w:tc>
        <w:tc>
          <w:tcPr>
            <w:tcW w:w="850" w:type="dxa"/>
            <w:shd w:val="clear" w:color="auto" w:fill="FFFFFF" w:themeFill="background1"/>
            <w:tcMar>
              <w:top w:w="0" w:type="dxa"/>
              <w:left w:w="108" w:type="dxa"/>
              <w:bottom w:w="0" w:type="dxa"/>
              <w:right w:w="108" w:type="dxa"/>
            </w:tcMar>
            <w:vAlign w:val="center"/>
          </w:tcPr>
          <w:p w14:paraId="113AF045" w14:textId="77777777" w:rsidR="00284822" w:rsidRDefault="00F77BF8">
            <w:pPr>
              <w:rPr>
                <w:rFonts w:ascii="Rockwell" w:hAnsi="Rockwell"/>
                <w:color w:val="000000"/>
                <w:sz w:val="20"/>
                <w:szCs w:val="20"/>
              </w:rPr>
            </w:pPr>
            <w:proofErr w:type="gramStart"/>
            <w:r>
              <w:rPr>
                <w:rFonts w:ascii="Rockwell" w:hAnsi="Rockwell"/>
                <w:color w:val="000000"/>
                <w:sz w:val="20"/>
                <w:szCs w:val="20"/>
              </w:rPr>
              <w:t>½</w:t>
            </w:r>
            <w:proofErr w:type="gramEnd"/>
          </w:p>
        </w:tc>
        <w:tc>
          <w:tcPr>
            <w:tcW w:w="993" w:type="dxa"/>
            <w:shd w:val="clear" w:color="auto" w:fill="FFFFFF" w:themeFill="background1"/>
            <w:tcMar>
              <w:top w:w="0" w:type="dxa"/>
              <w:left w:w="108" w:type="dxa"/>
              <w:bottom w:w="0" w:type="dxa"/>
              <w:right w:w="108" w:type="dxa"/>
            </w:tcMar>
            <w:vAlign w:val="center"/>
          </w:tcPr>
          <w:p w14:paraId="1D203B25" w14:textId="77777777" w:rsidR="00284822" w:rsidRDefault="00F77BF8">
            <w:pPr>
              <w:rPr>
                <w:rFonts w:ascii="Rockwell" w:hAnsi="Rockwell"/>
                <w:color w:val="000000"/>
                <w:sz w:val="20"/>
                <w:szCs w:val="20"/>
              </w:rPr>
            </w:pPr>
            <w:r>
              <w:rPr>
                <w:rFonts w:ascii="Rockwell" w:hAnsi="Rockwell"/>
                <w:color w:val="000000"/>
                <w:sz w:val="20"/>
                <w:szCs w:val="20"/>
              </w:rPr>
              <w:t>0,89%</w:t>
            </w:r>
          </w:p>
        </w:tc>
        <w:tc>
          <w:tcPr>
            <w:tcW w:w="657" w:type="dxa"/>
            <w:shd w:val="clear" w:color="auto" w:fill="FFFFFF" w:themeFill="background1"/>
            <w:tcMar>
              <w:top w:w="0" w:type="dxa"/>
              <w:left w:w="108" w:type="dxa"/>
              <w:bottom w:w="0" w:type="dxa"/>
              <w:right w:w="108" w:type="dxa"/>
            </w:tcMar>
            <w:vAlign w:val="center"/>
          </w:tcPr>
          <w:p w14:paraId="7889CE22" w14:textId="77777777" w:rsidR="00284822" w:rsidRDefault="00F77BF8">
            <w:pPr>
              <w:rPr>
                <w:rFonts w:ascii="Rockwell" w:hAnsi="Rockwell"/>
                <w:color w:val="000000"/>
                <w:sz w:val="20"/>
                <w:szCs w:val="20"/>
              </w:rPr>
            </w:pPr>
            <w:r>
              <w:rPr>
                <w:rFonts w:ascii="Rockwell" w:hAnsi="Rockwell"/>
                <w:color w:val="000000"/>
                <w:sz w:val="20"/>
                <w:szCs w:val="20"/>
              </w:rPr>
              <w:t>1</w:t>
            </w:r>
          </w:p>
        </w:tc>
        <w:tc>
          <w:tcPr>
            <w:tcW w:w="1044" w:type="dxa"/>
            <w:shd w:val="clear" w:color="auto" w:fill="FFFFFF" w:themeFill="background1"/>
            <w:tcMar>
              <w:top w:w="0" w:type="dxa"/>
              <w:left w:w="108" w:type="dxa"/>
              <w:bottom w:w="0" w:type="dxa"/>
              <w:right w:w="108" w:type="dxa"/>
            </w:tcMar>
            <w:vAlign w:val="center"/>
          </w:tcPr>
          <w:p w14:paraId="59B5EA6E" w14:textId="77777777" w:rsidR="00284822" w:rsidRDefault="00F77BF8">
            <w:pPr>
              <w:rPr>
                <w:rFonts w:ascii="Rockwell" w:hAnsi="Rockwell"/>
                <w:color w:val="000000"/>
                <w:sz w:val="20"/>
                <w:szCs w:val="20"/>
              </w:rPr>
            </w:pPr>
            <w:r>
              <w:rPr>
                <w:rFonts w:ascii="Rockwell" w:hAnsi="Rockwell"/>
                <w:color w:val="000000"/>
                <w:sz w:val="20"/>
                <w:szCs w:val="20"/>
              </w:rPr>
              <w:t>1,12%</w:t>
            </w:r>
          </w:p>
        </w:tc>
        <w:tc>
          <w:tcPr>
            <w:tcW w:w="708" w:type="dxa"/>
            <w:shd w:val="clear" w:color="auto" w:fill="FFFFFF" w:themeFill="background1"/>
            <w:tcMar>
              <w:top w:w="0" w:type="dxa"/>
              <w:left w:w="108" w:type="dxa"/>
              <w:bottom w:w="0" w:type="dxa"/>
              <w:right w:w="108" w:type="dxa"/>
            </w:tcMar>
            <w:vAlign w:val="center"/>
          </w:tcPr>
          <w:p w14:paraId="32EF765F"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279CF062"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26" w:type="dxa"/>
            <w:shd w:val="clear" w:color="auto" w:fill="FFFFFF" w:themeFill="background1"/>
            <w:tcMar>
              <w:top w:w="0" w:type="dxa"/>
              <w:left w:w="108" w:type="dxa"/>
              <w:bottom w:w="0" w:type="dxa"/>
              <w:right w:w="108" w:type="dxa"/>
            </w:tcMar>
            <w:vAlign w:val="center"/>
          </w:tcPr>
          <w:p w14:paraId="4ABE9939"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75" w:type="dxa"/>
            <w:shd w:val="clear" w:color="auto" w:fill="FFFFFF" w:themeFill="background1"/>
            <w:tcMar>
              <w:top w:w="0" w:type="dxa"/>
              <w:left w:w="108" w:type="dxa"/>
              <w:bottom w:w="0" w:type="dxa"/>
              <w:right w:w="108" w:type="dxa"/>
            </w:tcMar>
            <w:vAlign w:val="center"/>
          </w:tcPr>
          <w:p w14:paraId="0D08ED56"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2A85B69D"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2" w:type="dxa"/>
            <w:shd w:val="clear" w:color="auto" w:fill="FFFFFF" w:themeFill="background1"/>
            <w:tcMar>
              <w:top w:w="0" w:type="dxa"/>
              <w:left w:w="108" w:type="dxa"/>
              <w:bottom w:w="0" w:type="dxa"/>
              <w:right w:w="108" w:type="dxa"/>
            </w:tcMar>
            <w:vAlign w:val="center"/>
          </w:tcPr>
          <w:p w14:paraId="66BB6B9E"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9" w:type="dxa"/>
            <w:shd w:val="clear" w:color="auto" w:fill="FFFFFF" w:themeFill="background1"/>
            <w:tcMar>
              <w:top w:w="0" w:type="dxa"/>
              <w:left w:w="108" w:type="dxa"/>
              <w:bottom w:w="0" w:type="dxa"/>
              <w:right w:w="108" w:type="dxa"/>
            </w:tcMar>
            <w:vAlign w:val="center"/>
          </w:tcPr>
          <w:p w14:paraId="3F1C6A49"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2" w:type="dxa"/>
            <w:shd w:val="clear" w:color="auto" w:fill="FFFFFF" w:themeFill="background1"/>
            <w:tcMar>
              <w:top w:w="0" w:type="dxa"/>
              <w:left w:w="108" w:type="dxa"/>
              <w:bottom w:w="0" w:type="dxa"/>
              <w:right w:w="108" w:type="dxa"/>
            </w:tcMar>
            <w:vAlign w:val="center"/>
          </w:tcPr>
          <w:p w14:paraId="40263CD9"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850" w:type="dxa"/>
            <w:shd w:val="clear" w:color="auto" w:fill="FFFFFF" w:themeFill="background1"/>
            <w:tcMar>
              <w:top w:w="0" w:type="dxa"/>
              <w:left w:w="108" w:type="dxa"/>
              <w:bottom w:w="0" w:type="dxa"/>
              <w:right w:w="108" w:type="dxa"/>
            </w:tcMar>
            <w:vAlign w:val="center"/>
          </w:tcPr>
          <w:p w14:paraId="15F931DE"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13FACDBE"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17B3BF6D"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850" w:type="dxa"/>
            <w:shd w:val="clear" w:color="auto" w:fill="FFFFFF" w:themeFill="background1"/>
            <w:tcMar>
              <w:top w:w="0" w:type="dxa"/>
              <w:left w:w="108" w:type="dxa"/>
              <w:bottom w:w="0" w:type="dxa"/>
              <w:right w:w="108" w:type="dxa"/>
            </w:tcMar>
            <w:vAlign w:val="center"/>
          </w:tcPr>
          <w:p w14:paraId="65C3846C" w14:textId="77777777" w:rsidR="00284822" w:rsidRDefault="00F77BF8">
            <w:pPr>
              <w:rPr>
                <w:rFonts w:ascii="Rockwell" w:hAnsi="Rockwell"/>
                <w:color w:val="000000"/>
                <w:sz w:val="20"/>
                <w:szCs w:val="20"/>
              </w:rPr>
            </w:pPr>
            <w:r>
              <w:rPr>
                <w:rFonts w:ascii="Rockwell" w:hAnsi="Rockwell"/>
                <w:color w:val="000000"/>
                <w:sz w:val="20"/>
                <w:szCs w:val="20"/>
              </w:rPr>
              <w:t>0,00%</w:t>
            </w:r>
          </w:p>
        </w:tc>
      </w:tr>
      <w:tr w:rsidR="00284822" w14:paraId="4269549A" w14:textId="77777777">
        <w:trPr>
          <w:trHeight w:val="423"/>
          <w:jc w:val="center"/>
        </w:trPr>
        <w:tc>
          <w:tcPr>
            <w:tcW w:w="988" w:type="dxa"/>
            <w:shd w:val="clear" w:color="auto" w:fill="FFFFFF" w:themeFill="background1"/>
            <w:noWrap/>
            <w:tcMar>
              <w:top w:w="0" w:type="dxa"/>
              <w:left w:w="108" w:type="dxa"/>
              <w:bottom w:w="0" w:type="dxa"/>
              <w:right w:w="108" w:type="dxa"/>
            </w:tcMar>
          </w:tcPr>
          <w:p w14:paraId="039FDD43" w14:textId="77777777" w:rsidR="00284822" w:rsidRDefault="00F77BF8">
            <w:pPr>
              <w:jc w:val="left"/>
              <w:rPr>
                <w:rFonts w:ascii="Rockwell" w:hAnsi="Rockwell"/>
                <w:bCs/>
                <w:color w:val="000000"/>
                <w:sz w:val="20"/>
                <w:szCs w:val="20"/>
              </w:rPr>
            </w:pPr>
            <w:r>
              <w:rPr>
                <w:rFonts w:ascii="Rockwell" w:hAnsi="Rockwell"/>
                <w:bCs/>
                <w:color w:val="000000"/>
                <w:sz w:val="20"/>
                <w:szCs w:val="20"/>
              </w:rPr>
              <w:t>16</w:t>
            </w:r>
          </w:p>
        </w:tc>
        <w:tc>
          <w:tcPr>
            <w:tcW w:w="1559" w:type="dxa"/>
            <w:shd w:val="clear" w:color="auto" w:fill="FFFFFF" w:themeFill="background1"/>
            <w:tcMar>
              <w:top w:w="0" w:type="dxa"/>
              <w:left w:w="108" w:type="dxa"/>
              <w:bottom w:w="0" w:type="dxa"/>
              <w:right w:w="108" w:type="dxa"/>
            </w:tcMar>
          </w:tcPr>
          <w:p w14:paraId="26F801DF" w14:textId="77777777" w:rsidR="00284822" w:rsidRDefault="00F77BF8">
            <w:pPr>
              <w:jc w:val="left"/>
              <w:rPr>
                <w:rFonts w:ascii="Rockwell" w:hAnsi="Rockwell"/>
                <w:b/>
                <w:color w:val="000000"/>
                <w:sz w:val="20"/>
                <w:szCs w:val="20"/>
              </w:rPr>
            </w:pPr>
            <w:r>
              <w:rPr>
                <w:rFonts w:ascii="Rockwell" w:hAnsi="Rockwell"/>
                <w:b/>
                <w:color w:val="000000"/>
                <w:sz w:val="20"/>
                <w:szCs w:val="20"/>
              </w:rPr>
              <w:t>MCR</w:t>
            </w:r>
          </w:p>
        </w:tc>
        <w:tc>
          <w:tcPr>
            <w:tcW w:w="850" w:type="dxa"/>
            <w:shd w:val="clear" w:color="auto" w:fill="FFFFFF" w:themeFill="background1"/>
            <w:tcMar>
              <w:top w:w="0" w:type="dxa"/>
              <w:left w:w="108" w:type="dxa"/>
              <w:bottom w:w="0" w:type="dxa"/>
              <w:right w:w="108" w:type="dxa"/>
            </w:tcMar>
            <w:vAlign w:val="center"/>
          </w:tcPr>
          <w:p w14:paraId="136C9A23" w14:textId="77777777" w:rsidR="00284822" w:rsidRDefault="00F77BF8">
            <w:pPr>
              <w:rPr>
                <w:rFonts w:ascii="Rockwell" w:hAnsi="Rockwell"/>
                <w:color w:val="000000"/>
                <w:sz w:val="20"/>
                <w:szCs w:val="20"/>
              </w:rPr>
            </w:pPr>
            <w:proofErr w:type="gramStart"/>
            <w:r>
              <w:rPr>
                <w:rFonts w:ascii="Rockwell" w:hAnsi="Rockwell"/>
                <w:color w:val="000000"/>
                <w:sz w:val="20"/>
                <w:szCs w:val="20"/>
              </w:rPr>
              <w:t>½</w:t>
            </w:r>
            <w:proofErr w:type="gramEnd"/>
          </w:p>
        </w:tc>
        <w:tc>
          <w:tcPr>
            <w:tcW w:w="993" w:type="dxa"/>
            <w:shd w:val="clear" w:color="auto" w:fill="FFFFFF" w:themeFill="background1"/>
            <w:tcMar>
              <w:top w:w="0" w:type="dxa"/>
              <w:left w:w="108" w:type="dxa"/>
              <w:bottom w:w="0" w:type="dxa"/>
              <w:right w:w="108" w:type="dxa"/>
            </w:tcMar>
            <w:vAlign w:val="center"/>
          </w:tcPr>
          <w:p w14:paraId="4861E730" w14:textId="77777777" w:rsidR="00284822" w:rsidRDefault="00F77BF8">
            <w:pPr>
              <w:rPr>
                <w:rFonts w:ascii="Rockwell" w:hAnsi="Rockwell"/>
                <w:color w:val="000000"/>
                <w:sz w:val="20"/>
                <w:szCs w:val="20"/>
              </w:rPr>
            </w:pPr>
            <w:r>
              <w:rPr>
                <w:rFonts w:ascii="Rockwell" w:hAnsi="Rockwell"/>
                <w:color w:val="000000"/>
                <w:sz w:val="20"/>
                <w:szCs w:val="20"/>
              </w:rPr>
              <w:t>0,89%</w:t>
            </w:r>
          </w:p>
        </w:tc>
        <w:tc>
          <w:tcPr>
            <w:tcW w:w="657" w:type="dxa"/>
            <w:shd w:val="clear" w:color="auto" w:fill="FFFFFF" w:themeFill="background1"/>
            <w:tcMar>
              <w:top w:w="0" w:type="dxa"/>
              <w:left w:w="108" w:type="dxa"/>
              <w:bottom w:w="0" w:type="dxa"/>
              <w:right w:w="108" w:type="dxa"/>
            </w:tcMar>
            <w:vAlign w:val="center"/>
          </w:tcPr>
          <w:p w14:paraId="6EEEF84C" w14:textId="77777777" w:rsidR="00284822" w:rsidRDefault="00F77BF8">
            <w:pPr>
              <w:rPr>
                <w:rFonts w:ascii="Rockwell" w:hAnsi="Rockwell"/>
                <w:color w:val="000000"/>
                <w:sz w:val="20"/>
                <w:szCs w:val="20"/>
              </w:rPr>
            </w:pPr>
            <w:r>
              <w:rPr>
                <w:rFonts w:ascii="Rockwell" w:hAnsi="Rockwell"/>
                <w:color w:val="000000"/>
                <w:sz w:val="20"/>
                <w:szCs w:val="20"/>
              </w:rPr>
              <w:t>1</w:t>
            </w:r>
          </w:p>
        </w:tc>
        <w:tc>
          <w:tcPr>
            <w:tcW w:w="1044" w:type="dxa"/>
            <w:shd w:val="clear" w:color="auto" w:fill="FFFFFF" w:themeFill="background1"/>
            <w:tcMar>
              <w:top w:w="0" w:type="dxa"/>
              <w:left w:w="108" w:type="dxa"/>
              <w:bottom w:w="0" w:type="dxa"/>
              <w:right w:w="108" w:type="dxa"/>
            </w:tcMar>
            <w:vAlign w:val="center"/>
          </w:tcPr>
          <w:p w14:paraId="60B86FF9" w14:textId="77777777" w:rsidR="00284822" w:rsidRDefault="00F77BF8">
            <w:pPr>
              <w:rPr>
                <w:rFonts w:ascii="Rockwell" w:hAnsi="Rockwell"/>
                <w:color w:val="000000"/>
                <w:sz w:val="20"/>
                <w:szCs w:val="20"/>
              </w:rPr>
            </w:pPr>
            <w:r>
              <w:rPr>
                <w:rFonts w:ascii="Rockwell" w:hAnsi="Rockwell"/>
                <w:color w:val="000000"/>
                <w:sz w:val="20"/>
                <w:szCs w:val="20"/>
              </w:rPr>
              <w:t>1,12%</w:t>
            </w:r>
          </w:p>
        </w:tc>
        <w:tc>
          <w:tcPr>
            <w:tcW w:w="708" w:type="dxa"/>
            <w:shd w:val="clear" w:color="auto" w:fill="FFFFFF" w:themeFill="background1"/>
            <w:tcMar>
              <w:top w:w="0" w:type="dxa"/>
              <w:left w:w="108" w:type="dxa"/>
              <w:bottom w:w="0" w:type="dxa"/>
              <w:right w:w="108" w:type="dxa"/>
            </w:tcMar>
            <w:vAlign w:val="center"/>
          </w:tcPr>
          <w:p w14:paraId="1EAC80BF"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5AD3D855"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26" w:type="dxa"/>
            <w:shd w:val="clear" w:color="auto" w:fill="FFFFFF" w:themeFill="background1"/>
            <w:tcMar>
              <w:top w:w="0" w:type="dxa"/>
              <w:left w:w="108" w:type="dxa"/>
              <w:bottom w:w="0" w:type="dxa"/>
              <w:right w:w="108" w:type="dxa"/>
            </w:tcMar>
            <w:vAlign w:val="center"/>
          </w:tcPr>
          <w:p w14:paraId="0C1F1085"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75" w:type="dxa"/>
            <w:shd w:val="clear" w:color="auto" w:fill="FFFFFF" w:themeFill="background1"/>
            <w:tcMar>
              <w:top w:w="0" w:type="dxa"/>
              <w:left w:w="108" w:type="dxa"/>
              <w:bottom w:w="0" w:type="dxa"/>
              <w:right w:w="108" w:type="dxa"/>
            </w:tcMar>
            <w:vAlign w:val="center"/>
          </w:tcPr>
          <w:p w14:paraId="1EC9776A"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31F6E0B8" w14:textId="77777777" w:rsidR="00284822" w:rsidRDefault="00F77BF8">
            <w:pPr>
              <w:rPr>
                <w:rFonts w:ascii="Rockwell" w:hAnsi="Rockwell"/>
                <w:color w:val="000000"/>
                <w:sz w:val="20"/>
                <w:szCs w:val="20"/>
              </w:rPr>
            </w:pPr>
            <w:proofErr w:type="gramStart"/>
            <w:r>
              <w:rPr>
                <w:rFonts w:ascii="Rockwell" w:hAnsi="Rockwell"/>
                <w:color w:val="000000"/>
                <w:sz w:val="20"/>
                <w:szCs w:val="20"/>
              </w:rPr>
              <w:t>½</w:t>
            </w:r>
            <w:proofErr w:type="gramEnd"/>
          </w:p>
        </w:tc>
        <w:tc>
          <w:tcPr>
            <w:tcW w:w="992" w:type="dxa"/>
            <w:shd w:val="clear" w:color="auto" w:fill="FFFFFF" w:themeFill="background1"/>
            <w:tcMar>
              <w:top w:w="0" w:type="dxa"/>
              <w:left w:w="108" w:type="dxa"/>
              <w:bottom w:w="0" w:type="dxa"/>
              <w:right w:w="108" w:type="dxa"/>
            </w:tcMar>
            <w:vAlign w:val="center"/>
          </w:tcPr>
          <w:p w14:paraId="6717CA0F" w14:textId="77777777" w:rsidR="00284822" w:rsidRDefault="00F77BF8">
            <w:pPr>
              <w:rPr>
                <w:rFonts w:ascii="Rockwell" w:hAnsi="Rockwell"/>
                <w:color w:val="000000"/>
                <w:sz w:val="20"/>
                <w:szCs w:val="20"/>
              </w:rPr>
            </w:pPr>
            <w:r>
              <w:rPr>
                <w:rFonts w:ascii="Rockwell" w:hAnsi="Rockwell"/>
                <w:color w:val="000000"/>
                <w:sz w:val="20"/>
                <w:szCs w:val="20"/>
              </w:rPr>
              <w:t>0,77%</w:t>
            </w:r>
          </w:p>
        </w:tc>
        <w:tc>
          <w:tcPr>
            <w:tcW w:w="709" w:type="dxa"/>
            <w:shd w:val="clear" w:color="auto" w:fill="FFFFFF" w:themeFill="background1"/>
            <w:tcMar>
              <w:top w:w="0" w:type="dxa"/>
              <w:left w:w="108" w:type="dxa"/>
              <w:bottom w:w="0" w:type="dxa"/>
              <w:right w:w="108" w:type="dxa"/>
            </w:tcMar>
            <w:vAlign w:val="center"/>
          </w:tcPr>
          <w:p w14:paraId="16AF8BC6" w14:textId="77777777" w:rsidR="00284822" w:rsidRDefault="00F77BF8">
            <w:pPr>
              <w:rPr>
                <w:rFonts w:ascii="Rockwell" w:hAnsi="Rockwell"/>
                <w:color w:val="000000"/>
                <w:sz w:val="20"/>
                <w:szCs w:val="20"/>
              </w:rPr>
            </w:pPr>
            <w:r>
              <w:rPr>
                <w:rFonts w:ascii="Rockwell" w:hAnsi="Rockwell"/>
                <w:color w:val="000000"/>
                <w:sz w:val="20"/>
                <w:szCs w:val="20"/>
              </w:rPr>
              <w:t>1</w:t>
            </w:r>
          </w:p>
        </w:tc>
        <w:tc>
          <w:tcPr>
            <w:tcW w:w="992" w:type="dxa"/>
            <w:shd w:val="clear" w:color="auto" w:fill="FFFFFF" w:themeFill="background1"/>
            <w:tcMar>
              <w:top w:w="0" w:type="dxa"/>
              <w:left w:w="108" w:type="dxa"/>
              <w:bottom w:w="0" w:type="dxa"/>
              <w:right w:w="108" w:type="dxa"/>
            </w:tcMar>
            <w:vAlign w:val="center"/>
          </w:tcPr>
          <w:p w14:paraId="6791FB1A" w14:textId="77777777" w:rsidR="00284822" w:rsidRDefault="00F77BF8">
            <w:pPr>
              <w:rPr>
                <w:rFonts w:ascii="Rockwell" w:hAnsi="Rockwell"/>
                <w:color w:val="000000"/>
                <w:sz w:val="20"/>
                <w:szCs w:val="20"/>
              </w:rPr>
            </w:pPr>
            <w:r>
              <w:rPr>
                <w:rFonts w:ascii="Rockwell" w:hAnsi="Rockwell"/>
                <w:color w:val="000000"/>
                <w:sz w:val="20"/>
                <w:szCs w:val="20"/>
              </w:rPr>
              <w:t>0,86%</w:t>
            </w:r>
          </w:p>
        </w:tc>
        <w:tc>
          <w:tcPr>
            <w:tcW w:w="850" w:type="dxa"/>
            <w:shd w:val="clear" w:color="auto" w:fill="FFFFFF" w:themeFill="background1"/>
            <w:tcMar>
              <w:top w:w="0" w:type="dxa"/>
              <w:left w:w="108" w:type="dxa"/>
              <w:bottom w:w="0" w:type="dxa"/>
              <w:right w:w="108" w:type="dxa"/>
            </w:tcMar>
            <w:vAlign w:val="center"/>
          </w:tcPr>
          <w:p w14:paraId="665AFBEB" w14:textId="77777777" w:rsidR="00284822" w:rsidRDefault="00F77BF8">
            <w:pPr>
              <w:rPr>
                <w:rFonts w:ascii="Rockwell" w:hAnsi="Rockwell"/>
                <w:color w:val="000000"/>
                <w:sz w:val="20"/>
                <w:szCs w:val="20"/>
              </w:rPr>
            </w:pPr>
            <w:r>
              <w:rPr>
                <w:rFonts w:ascii="Rockwell" w:hAnsi="Rockwell"/>
                <w:color w:val="000000"/>
                <w:sz w:val="20"/>
                <w:szCs w:val="20"/>
              </w:rPr>
              <w:t>1/2</w:t>
            </w:r>
          </w:p>
        </w:tc>
        <w:tc>
          <w:tcPr>
            <w:tcW w:w="993" w:type="dxa"/>
            <w:shd w:val="clear" w:color="auto" w:fill="FFFFFF" w:themeFill="background1"/>
            <w:tcMar>
              <w:top w:w="0" w:type="dxa"/>
              <w:left w:w="108" w:type="dxa"/>
              <w:bottom w:w="0" w:type="dxa"/>
              <w:right w:w="108" w:type="dxa"/>
            </w:tcMar>
            <w:vAlign w:val="center"/>
          </w:tcPr>
          <w:p w14:paraId="4B7F60A7" w14:textId="77777777" w:rsidR="00284822" w:rsidRDefault="00F77BF8">
            <w:pPr>
              <w:rPr>
                <w:rFonts w:ascii="Rockwell" w:hAnsi="Rockwell"/>
                <w:color w:val="000000"/>
                <w:sz w:val="20"/>
                <w:szCs w:val="20"/>
              </w:rPr>
            </w:pPr>
            <w:r>
              <w:rPr>
                <w:rFonts w:ascii="Rockwell" w:hAnsi="Rockwell"/>
                <w:color w:val="000000"/>
                <w:sz w:val="20"/>
                <w:szCs w:val="20"/>
              </w:rPr>
              <w:t>1,58%</w:t>
            </w:r>
          </w:p>
        </w:tc>
        <w:tc>
          <w:tcPr>
            <w:tcW w:w="567" w:type="dxa"/>
            <w:shd w:val="clear" w:color="auto" w:fill="FFFFFF" w:themeFill="background1"/>
            <w:tcMar>
              <w:top w:w="0" w:type="dxa"/>
              <w:left w:w="108" w:type="dxa"/>
              <w:bottom w:w="0" w:type="dxa"/>
              <w:right w:w="108" w:type="dxa"/>
            </w:tcMar>
            <w:vAlign w:val="center"/>
          </w:tcPr>
          <w:p w14:paraId="70ABD14A" w14:textId="77777777" w:rsidR="00284822" w:rsidRDefault="00F77BF8">
            <w:pPr>
              <w:rPr>
                <w:rFonts w:ascii="Rockwell" w:hAnsi="Rockwell"/>
                <w:color w:val="000000"/>
                <w:sz w:val="20"/>
                <w:szCs w:val="20"/>
              </w:rPr>
            </w:pPr>
            <w:r>
              <w:rPr>
                <w:rFonts w:ascii="Rockwell" w:hAnsi="Rockwell"/>
                <w:color w:val="000000"/>
                <w:sz w:val="20"/>
                <w:szCs w:val="20"/>
              </w:rPr>
              <w:t>1</w:t>
            </w:r>
          </w:p>
        </w:tc>
        <w:tc>
          <w:tcPr>
            <w:tcW w:w="850" w:type="dxa"/>
            <w:shd w:val="clear" w:color="auto" w:fill="FFFFFF" w:themeFill="background1"/>
            <w:tcMar>
              <w:top w:w="0" w:type="dxa"/>
              <w:left w:w="108" w:type="dxa"/>
              <w:bottom w:w="0" w:type="dxa"/>
              <w:right w:w="108" w:type="dxa"/>
            </w:tcMar>
            <w:vAlign w:val="center"/>
          </w:tcPr>
          <w:p w14:paraId="0A88EFEF" w14:textId="77777777" w:rsidR="00284822" w:rsidRDefault="00F77BF8">
            <w:pPr>
              <w:rPr>
                <w:rFonts w:ascii="Rockwell" w:hAnsi="Rockwell"/>
                <w:color w:val="000000"/>
                <w:sz w:val="20"/>
                <w:szCs w:val="20"/>
              </w:rPr>
            </w:pPr>
            <w:r>
              <w:rPr>
                <w:rFonts w:ascii="Rockwell" w:hAnsi="Rockwell"/>
                <w:color w:val="000000"/>
                <w:sz w:val="20"/>
                <w:szCs w:val="20"/>
              </w:rPr>
              <w:t>1,61%</w:t>
            </w:r>
          </w:p>
        </w:tc>
      </w:tr>
      <w:tr w:rsidR="00284822" w14:paraId="7629C0F6" w14:textId="77777777">
        <w:trPr>
          <w:trHeight w:val="415"/>
          <w:jc w:val="center"/>
        </w:trPr>
        <w:tc>
          <w:tcPr>
            <w:tcW w:w="988" w:type="dxa"/>
            <w:shd w:val="clear" w:color="auto" w:fill="FFFFFF" w:themeFill="background1"/>
            <w:noWrap/>
            <w:tcMar>
              <w:top w:w="0" w:type="dxa"/>
              <w:left w:w="108" w:type="dxa"/>
              <w:bottom w:w="0" w:type="dxa"/>
              <w:right w:w="108" w:type="dxa"/>
            </w:tcMar>
          </w:tcPr>
          <w:p w14:paraId="5DDF7B4C" w14:textId="77777777" w:rsidR="00284822" w:rsidRDefault="00F77BF8">
            <w:pPr>
              <w:jc w:val="left"/>
              <w:rPr>
                <w:rFonts w:ascii="Rockwell" w:hAnsi="Rockwell"/>
                <w:bCs/>
                <w:color w:val="000000"/>
                <w:sz w:val="20"/>
                <w:szCs w:val="20"/>
              </w:rPr>
            </w:pPr>
            <w:r>
              <w:rPr>
                <w:rFonts w:ascii="Rockwell" w:hAnsi="Rockwell"/>
                <w:bCs/>
                <w:color w:val="000000"/>
                <w:sz w:val="20"/>
                <w:szCs w:val="20"/>
              </w:rPr>
              <w:t>17</w:t>
            </w:r>
          </w:p>
        </w:tc>
        <w:tc>
          <w:tcPr>
            <w:tcW w:w="1559" w:type="dxa"/>
            <w:shd w:val="clear" w:color="auto" w:fill="FFFFFF" w:themeFill="background1"/>
            <w:tcMar>
              <w:top w:w="0" w:type="dxa"/>
              <w:left w:w="108" w:type="dxa"/>
              <w:bottom w:w="0" w:type="dxa"/>
              <w:right w:w="108" w:type="dxa"/>
            </w:tcMar>
          </w:tcPr>
          <w:p w14:paraId="618A0D44" w14:textId="77777777" w:rsidR="00284822" w:rsidRDefault="00F77BF8">
            <w:pPr>
              <w:jc w:val="left"/>
              <w:rPr>
                <w:rFonts w:ascii="Rockwell" w:hAnsi="Rockwell"/>
                <w:b/>
                <w:color w:val="000000"/>
                <w:sz w:val="20"/>
                <w:szCs w:val="20"/>
              </w:rPr>
            </w:pPr>
            <w:r>
              <w:rPr>
                <w:rFonts w:ascii="Rockwell" w:hAnsi="Rockwell"/>
                <w:b/>
                <w:color w:val="000000"/>
                <w:sz w:val="20"/>
                <w:szCs w:val="20"/>
              </w:rPr>
              <w:t>MIDE</w:t>
            </w:r>
          </w:p>
        </w:tc>
        <w:tc>
          <w:tcPr>
            <w:tcW w:w="850" w:type="dxa"/>
            <w:shd w:val="clear" w:color="auto" w:fill="FFFFFF" w:themeFill="background1"/>
            <w:tcMar>
              <w:top w:w="0" w:type="dxa"/>
              <w:left w:w="108" w:type="dxa"/>
              <w:bottom w:w="0" w:type="dxa"/>
              <w:right w:w="108" w:type="dxa"/>
            </w:tcMar>
            <w:vAlign w:val="center"/>
          </w:tcPr>
          <w:p w14:paraId="082BD0CF"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13F64648"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57" w:type="dxa"/>
            <w:shd w:val="clear" w:color="auto" w:fill="FFFFFF" w:themeFill="background1"/>
            <w:tcMar>
              <w:top w:w="0" w:type="dxa"/>
              <w:left w:w="108" w:type="dxa"/>
              <w:bottom w:w="0" w:type="dxa"/>
              <w:right w:w="108" w:type="dxa"/>
            </w:tcMar>
            <w:vAlign w:val="center"/>
          </w:tcPr>
          <w:p w14:paraId="69F2EAA8"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44" w:type="dxa"/>
            <w:shd w:val="clear" w:color="auto" w:fill="FFFFFF" w:themeFill="background1"/>
            <w:tcMar>
              <w:top w:w="0" w:type="dxa"/>
              <w:left w:w="108" w:type="dxa"/>
              <w:bottom w:w="0" w:type="dxa"/>
              <w:right w:w="108" w:type="dxa"/>
            </w:tcMar>
            <w:vAlign w:val="center"/>
          </w:tcPr>
          <w:p w14:paraId="27211935"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8" w:type="dxa"/>
            <w:shd w:val="clear" w:color="auto" w:fill="FFFFFF" w:themeFill="background1"/>
            <w:tcMar>
              <w:top w:w="0" w:type="dxa"/>
              <w:left w:w="108" w:type="dxa"/>
              <w:bottom w:w="0" w:type="dxa"/>
              <w:right w:w="108" w:type="dxa"/>
            </w:tcMar>
            <w:vAlign w:val="center"/>
          </w:tcPr>
          <w:p w14:paraId="3BD0C87E"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53A85321"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26" w:type="dxa"/>
            <w:shd w:val="clear" w:color="auto" w:fill="FFFFFF" w:themeFill="background1"/>
            <w:tcMar>
              <w:top w:w="0" w:type="dxa"/>
              <w:left w:w="108" w:type="dxa"/>
              <w:bottom w:w="0" w:type="dxa"/>
              <w:right w:w="108" w:type="dxa"/>
            </w:tcMar>
            <w:vAlign w:val="center"/>
          </w:tcPr>
          <w:p w14:paraId="7B89EC28"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75" w:type="dxa"/>
            <w:shd w:val="clear" w:color="auto" w:fill="FFFFFF" w:themeFill="background1"/>
            <w:tcMar>
              <w:top w:w="0" w:type="dxa"/>
              <w:left w:w="108" w:type="dxa"/>
              <w:bottom w:w="0" w:type="dxa"/>
              <w:right w:w="108" w:type="dxa"/>
            </w:tcMar>
            <w:vAlign w:val="center"/>
          </w:tcPr>
          <w:p w14:paraId="7535AC32"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271BE922"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2" w:type="dxa"/>
            <w:shd w:val="clear" w:color="auto" w:fill="FFFFFF" w:themeFill="background1"/>
            <w:tcMar>
              <w:top w:w="0" w:type="dxa"/>
              <w:left w:w="108" w:type="dxa"/>
              <w:bottom w:w="0" w:type="dxa"/>
              <w:right w:w="108" w:type="dxa"/>
            </w:tcMar>
            <w:vAlign w:val="center"/>
          </w:tcPr>
          <w:p w14:paraId="74CB97A3"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9" w:type="dxa"/>
            <w:shd w:val="clear" w:color="auto" w:fill="FFFFFF" w:themeFill="background1"/>
            <w:tcMar>
              <w:top w:w="0" w:type="dxa"/>
              <w:left w:w="108" w:type="dxa"/>
              <w:bottom w:w="0" w:type="dxa"/>
              <w:right w:w="108" w:type="dxa"/>
            </w:tcMar>
            <w:vAlign w:val="center"/>
          </w:tcPr>
          <w:p w14:paraId="418543B2"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2" w:type="dxa"/>
            <w:shd w:val="clear" w:color="auto" w:fill="FFFFFF" w:themeFill="background1"/>
            <w:tcMar>
              <w:top w:w="0" w:type="dxa"/>
              <w:left w:w="108" w:type="dxa"/>
              <w:bottom w:w="0" w:type="dxa"/>
              <w:right w:w="108" w:type="dxa"/>
            </w:tcMar>
            <w:vAlign w:val="center"/>
          </w:tcPr>
          <w:p w14:paraId="3082EAB1"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850" w:type="dxa"/>
            <w:shd w:val="clear" w:color="auto" w:fill="FFFFFF" w:themeFill="background1"/>
            <w:tcMar>
              <w:top w:w="0" w:type="dxa"/>
              <w:left w:w="108" w:type="dxa"/>
              <w:bottom w:w="0" w:type="dxa"/>
              <w:right w:w="108" w:type="dxa"/>
            </w:tcMar>
            <w:vAlign w:val="center"/>
          </w:tcPr>
          <w:p w14:paraId="297258C7" w14:textId="77777777" w:rsidR="00284822" w:rsidRDefault="00F77BF8">
            <w:pPr>
              <w:rPr>
                <w:rFonts w:ascii="Rockwell" w:hAnsi="Rockwell"/>
                <w:color w:val="000000"/>
                <w:sz w:val="20"/>
                <w:szCs w:val="20"/>
              </w:rPr>
            </w:pPr>
            <w:r>
              <w:rPr>
                <w:rFonts w:ascii="Rockwell" w:hAnsi="Rockwell"/>
                <w:color w:val="000000"/>
                <w:sz w:val="20"/>
                <w:szCs w:val="20"/>
              </w:rPr>
              <w:t>1/2</w:t>
            </w:r>
          </w:p>
        </w:tc>
        <w:tc>
          <w:tcPr>
            <w:tcW w:w="993" w:type="dxa"/>
            <w:shd w:val="clear" w:color="auto" w:fill="FFFFFF" w:themeFill="background1"/>
            <w:tcMar>
              <w:top w:w="0" w:type="dxa"/>
              <w:left w:w="108" w:type="dxa"/>
              <w:bottom w:w="0" w:type="dxa"/>
              <w:right w:w="108" w:type="dxa"/>
            </w:tcMar>
            <w:vAlign w:val="center"/>
          </w:tcPr>
          <w:p w14:paraId="22C480EB" w14:textId="77777777" w:rsidR="00284822" w:rsidRDefault="00F77BF8">
            <w:pPr>
              <w:rPr>
                <w:rFonts w:ascii="Rockwell" w:hAnsi="Rockwell"/>
                <w:color w:val="000000"/>
                <w:sz w:val="20"/>
                <w:szCs w:val="20"/>
              </w:rPr>
            </w:pPr>
            <w:r>
              <w:rPr>
                <w:rFonts w:ascii="Rockwell" w:hAnsi="Rockwell"/>
                <w:color w:val="000000"/>
                <w:sz w:val="20"/>
                <w:szCs w:val="20"/>
              </w:rPr>
              <w:t>1,58%</w:t>
            </w:r>
          </w:p>
        </w:tc>
        <w:tc>
          <w:tcPr>
            <w:tcW w:w="567" w:type="dxa"/>
            <w:shd w:val="clear" w:color="auto" w:fill="FFFFFF" w:themeFill="background1"/>
            <w:tcMar>
              <w:top w:w="0" w:type="dxa"/>
              <w:left w:w="108" w:type="dxa"/>
              <w:bottom w:w="0" w:type="dxa"/>
              <w:right w:w="108" w:type="dxa"/>
            </w:tcMar>
            <w:vAlign w:val="center"/>
          </w:tcPr>
          <w:p w14:paraId="67927ACE"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850" w:type="dxa"/>
            <w:shd w:val="clear" w:color="auto" w:fill="FFFFFF" w:themeFill="background1"/>
            <w:tcMar>
              <w:top w:w="0" w:type="dxa"/>
              <w:left w:w="108" w:type="dxa"/>
              <w:bottom w:w="0" w:type="dxa"/>
              <w:right w:w="108" w:type="dxa"/>
            </w:tcMar>
            <w:vAlign w:val="center"/>
          </w:tcPr>
          <w:p w14:paraId="797E1CF4" w14:textId="77777777" w:rsidR="00284822" w:rsidRDefault="00F77BF8">
            <w:pPr>
              <w:rPr>
                <w:rFonts w:ascii="Rockwell" w:hAnsi="Rockwell"/>
                <w:color w:val="000000"/>
                <w:sz w:val="20"/>
                <w:szCs w:val="20"/>
              </w:rPr>
            </w:pPr>
            <w:r>
              <w:rPr>
                <w:rFonts w:ascii="Rockwell" w:hAnsi="Rockwell"/>
                <w:color w:val="000000"/>
                <w:sz w:val="20"/>
                <w:szCs w:val="20"/>
              </w:rPr>
              <w:t>0,00%</w:t>
            </w:r>
          </w:p>
        </w:tc>
      </w:tr>
      <w:tr w:rsidR="00284822" w14:paraId="0E177B2F" w14:textId="77777777">
        <w:trPr>
          <w:trHeight w:val="539"/>
          <w:jc w:val="center"/>
        </w:trPr>
        <w:tc>
          <w:tcPr>
            <w:tcW w:w="988" w:type="dxa"/>
            <w:shd w:val="clear" w:color="auto" w:fill="FFFFFF" w:themeFill="background1"/>
            <w:noWrap/>
            <w:tcMar>
              <w:top w:w="0" w:type="dxa"/>
              <w:left w:w="108" w:type="dxa"/>
              <w:bottom w:w="0" w:type="dxa"/>
              <w:right w:w="108" w:type="dxa"/>
            </w:tcMar>
          </w:tcPr>
          <w:p w14:paraId="3ADC952E" w14:textId="77777777" w:rsidR="00284822" w:rsidRDefault="00F77BF8">
            <w:pPr>
              <w:jc w:val="left"/>
              <w:rPr>
                <w:rFonts w:ascii="Rockwell" w:hAnsi="Rockwell"/>
                <w:bCs/>
                <w:color w:val="000000"/>
                <w:sz w:val="20"/>
                <w:szCs w:val="20"/>
              </w:rPr>
            </w:pPr>
            <w:r>
              <w:rPr>
                <w:rFonts w:ascii="Rockwell" w:hAnsi="Rockwell"/>
                <w:bCs/>
                <w:color w:val="000000"/>
                <w:sz w:val="20"/>
                <w:szCs w:val="20"/>
              </w:rPr>
              <w:lastRenderedPageBreak/>
              <w:t>18</w:t>
            </w:r>
          </w:p>
        </w:tc>
        <w:tc>
          <w:tcPr>
            <w:tcW w:w="1559" w:type="dxa"/>
            <w:shd w:val="clear" w:color="auto" w:fill="FFFFFF" w:themeFill="background1"/>
            <w:tcMar>
              <w:top w:w="0" w:type="dxa"/>
              <w:left w:w="108" w:type="dxa"/>
              <w:bottom w:w="0" w:type="dxa"/>
              <w:right w:w="108" w:type="dxa"/>
            </w:tcMar>
          </w:tcPr>
          <w:p w14:paraId="3B53CA45" w14:textId="77777777" w:rsidR="00284822" w:rsidRDefault="00F77BF8">
            <w:pPr>
              <w:jc w:val="left"/>
              <w:rPr>
                <w:rFonts w:ascii="Rockwell" w:hAnsi="Rockwell"/>
                <w:b/>
                <w:color w:val="000000"/>
                <w:sz w:val="20"/>
                <w:szCs w:val="20"/>
              </w:rPr>
            </w:pPr>
            <w:r>
              <w:rPr>
                <w:rFonts w:ascii="Rockwell" w:hAnsi="Rockwell"/>
                <w:b/>
                <w:color w:val="000000"/>
                <w:sz w:val="20"/>
                <w:szCs w:val="20"/>
              </w:rPr>
              <w:t>MPC</w:t>
            </w:r>
          </w:p>
        </w:tc>
        <w:tc>
          <w:tcPr>
            <w:tcW w:w="850" w:type="dxa"/>
            <w:shd w:val="clear" w:color="auto" w:fill="FFFFFF" w:themeFill="background1"/>
            <w:tcMar>
              <w:top w:w="0" w:type="dxa"/>
              <w:left w:w="108" w:type="dxa"/>
              <w:bottom w:w="0" w:type="dxa"/>
              <w:right w:w="108" w:type="dxa"/>
            </w:tcMar>
            <w:vAlign w:val="center"/>
          </w:tcPr>
          <w:p w14:paraId="18839AA0"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0BCFB2A3"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57" w:type="dxa"/>
            <w:shd w:val="clear" w:color="auto" w:fill="FFFFFF" w:themeFill="background1"/>
            <w:tcMar>
              <w:top w:w="0" w:type="dxa"/>
              <w:left w:w="108" w:type="dxa"/>
              <w:bottom w:w="0" w:type="dxa"/>
              <w:right w:w="108" w:type="dxa"/>
            </w:tcMar>
            <w:vAlign w:val="center"/>
          </w:tcPr>
          <w:p w14:paraId="3A04C7C5"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44" w:type="dxa"/>
            <w:shd w:val="clear" w:color="auto" w:fill="FFFFFF" w:themeFill="background1"/>
            <w:tcMar>
              <w:top w:w="0" w:type="dxa"/>
              <w:left w:w="108" w:type="dxa"/>
              <w:bottom w:w="0" w:type="dxa"/>
              <w:right w:w="108" w:type="dxa"/>
            </w:tcMar>
            <w:vAlign w:val="center"/>
          </w:tcPr>
          <w:p w14:paraId="64709F04"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8" w:type="dxa"/>
            <w:shd w:val="clear" w:color="auto" w:fill="FFFFFF" w:themeFill="background1"/>
            <w:tcMar>
              <w:top w:w="0" w:type="dxa"/>
              <w:left w:w="108" w:type="dxa"/>
              <w:bottom w:w="0" w:type="dxa"/>
              <w:right w:w="108" w:type="dxa"/>
            </w:tcMar>
            <w:vAlign w:val="center"/>
          </w:tcPr>
          <w:p w14:paraId="4F913D1C"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11E24127"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26" w:type="dxa"/>
            <w:shd w:val="clear" w:color="auto" w:fill="FFFFFF" w:themeFill="background1"/>
            <w:tcMar>
              <w:top w:w="0" w:type="dxa"/>
              <w:left w:w="108" w:type="dxa"/>
              <w:bottom w:w="0" w:type="dxa"/>
              <w:right w:w="108" w:type="dxa"/>
            </w:tcMar>
            <w:vAlign w:val="center"/>
          </w:tcPr>
          <w:p w14:paraId="2FEA30D0"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75" w:type="dxa"/>
            <w:shd w:val="clear" w:color="auto" w:fill="FFFFFF" w:themeFill="background1"/>
            <w:tcMar>
              <w:top w:w="0" w:type="dxa"/>
              <w:left w:w="108" w:type="dxa"/>
              <w:bottom w:w="0" w:type="dxa"/>
              <w:right w:w="108" w:type="dxa"/>
            </w:tcMar>
            <w:vAlign w:val="center"/>
          </w:tcPr>
          <w:p w14:paraId="465F6584"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54C65D82"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2" w:type="dxa"/>
            <w:shd w:val="clear" w:color="auto" w:fill="FFFFFF" w:themeFill="background1"/>
            <w:tcMar>
              <w:top w:w="0" w:type="dxa"/>
              <w:left w:w="108" w:type="dxa"/>
              <w:bottom w:w="0" w:type="dxa"/>
              <w:right w:w="108" w:type="dxa"/>
            </w:tcMar>
            <w:vAlign w:val="center"/>
          </w:tcPr>
          <w:p w14:paraId="58FE14EC"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9" w:type="dxa"/>
            <w:shd w:val="clear" w:color="auto" w:fill="FFFFFF" w:themeFill="background1"/>
            <w:tcMar>
              <w:top w:w="0" w:type="dxa"/>
              <w:left w:w="108" w:type="dxa"/>
              <w:bottom w:w="0" w:type="dxa"/>
              <w:right w:w="108" w:type="dxa"/>
            </w:tcMar>
            <w:vAlign w:val="center"/>
          </w:tcPr>
          <w:p w14:paraId="267593A1"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2" w:type="dxa"/>
            <w:shd w:val="clear" w:color="auto" w:fill="FFFFFF" w:themeFill="background1"/>
            <w:tcMar>
              <w:top w:w="0" w:type="dxa"/>
              <w:left w:w="108" w:type="dxa"/>
              <w:bottom w:w="0" w:type="dxa"/>
              <w:right w:w="108" w:type="dxa"/>
            </w:tcMar>
            <w:vAlign w:val="center"/>
          </w:tcPr>
          <w:p w14:paraId="07AD3E90"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850" w:type="dxa"/>
            <w:shd w:val="clear" w:color="auto" w:fill="FFFFFF" w:themeFill="background1"/>
            <w:tcMar>
              <w:top w:w="0" w:type="dxa"/>
              <w:left w:w="108" w:type="dxa"/>
              <w:bottom w:w="0" w:type="dxa"/>
              <w:right w:w="108" w:type="dxa"/>
            </w:tcMar>
            <w:vAlign w:val="center"/>
          </w:tcPr>
          <w:p w14:paraId="1C45E132"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3FDD0E8F"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1E846429"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850" w:type="dxa"/>
            <w:shd w:val="clear" w:color="auto" w:fill="FFFFFF" w:themeFill="background1"/>
            <w:tcMar>
              <w:top w:w="0" w:type="dxa"/>
              <w:left w:w="108" w:type="dxa"/>
              <w:bottom w:w="0" w:type="dxa"/>
              <w:right w:w="108" w:type="dxa"/>
            </w:tcMar>
            <w:vAlign w:val="center"/>
          </w:tcPr>
          <w:p w14:paraId="58033510" w14:textId="77777777" w:rsidR="00284822" w:rsidRDefault="00F77BF8">
            <w:pPr>
              <w:rPr>
                <w:rFonts w:ascii="Rockwell" w:hAnsi="Rockwell"/>
                <w:color w:val="000000"/>
                <w:sz w:val="20"/>
                <w:szCs w:val="20"/>
              </w:rPr>
            </w:pPr>
            <w:r>
              <w:rPr>
                <w:rFonts w:ascii="Rockwell" w:hAnsi="Rockwell"/>
                <w:color w:val="000000"/>
                <w:sz w:val="20"/>
                <w:szCs w:val="20"/>
              </w:rPr>
              <w:t>0,00%</w:t>
            </w:r>
          </w:p>
        </w:tc>
      </w:tr>
      <w:tr w:rsidR="00284822" w14:paraId="4B7CF117" w14:textId="77777777">
        <w:trPr>
          <w:trHeight w:val="410"/>
          <w:jc w:val="center"/>
        </w:trPr>
        <w:tc>
          <w:tcPr>
            <w:tcW w:w="988" w:type="dxa"/>
            <w:shd w:val="clear" w:color="auto" w:fill="FFFFFF" w:themeFill="background1"/>
            <w:noWrap/>
            <w:tcMar>
              <w:top w:w="0" w:type="dxa"/>
              <w:left w:w="108" w:type="dxa"/>
              <w:bottom w:w="0" w:type="dxa"/>
              <w:right w:w="108" w:type="dxa"/>
            </w:tcMar>
          </w:tcPr>
          <w:p w14:paraId="35DD81C8" w14:textId="77777777" w:rsidR="00284822" w:rsidRDefault="00F77BF8">
            <w:pPr>
              <w:rPr>
                <w:rFonts w:ascii="Rockwell" w:hAnsi="Rockwell"/>
                <w:bCs/>
                <w:color w:val="000000"/>
                <w:sz w:val="20"/>
                <w:szCs w:val="20"/>
              </w:rPr>
            </w:pPr>
            <w:r>
              <w:rPr>
                <w:rFonts w:ascii="Rockwell" w:hAnsi="Rockwell"/>
                <w:bCs/>
                <w:color w:val="000000"/>
                <w:sz w:val="20"/>
                <w:szCs w:val="20"/>
              </w:rPr>
              <w:t>19</w:t>
            </w:r>
          </w:p>
        </w:tc>
        <w:tc>
          <w:tcPr>
            <w:tcW w:w="1559" w:type="dxa"/>
            <w:shd w:val="clear" w:color="auto" w:fill="FFFFFF" w:themeFill="background1"/>
            <w:tcMar>
              <w:top w:w="0" w:type="dxa"/>
              <w:left w:w="108" w:type="dxa"/>
              <w:bottom w:w="0" w:type="dxa"/>
              <w:right w:w="108" w:type="dxa"/>
            </w:tcMar>
          </w:tcPr>
          <w:p w14:paraId="0DC8A8FB" w14:textId="77777777" w:rsidR="00284822" w:rsidRDefault="00F77BF8">
            <w:pPr>
              <w:jc w:val="left"/>
              <w:rPr>
                <w:rFonts w:ascii="Rockwell" w:hAnsi="Rockwell"/>
                <w:b/>
                <w:color w:val="000000"/>
                <w:sz w:val="20"/>
                <w:szCs w:val="20"/>
              </w:rPr>
            </w:pPr>
            <w:r>
              <w:rPr>
                <w:rFonts w:ascii="Rockwell" w:hAnsi="Rockwell"/>
                <w:b/>
                <w:color w:val="000000"/>
                <w:sz w:val="20"/>
                <w:szCs w:val="20"/>
              </w:rPr>
              <w:t>MPP</w:t>
            </w:r>
          </w:p>
        </w:tc>
        <w:tc>
          <w:tcPr>
            <w:tcW w:w="850" w:type="dxa"/>
            <w:shd w:val="clear" w:color="auto" w:fill="FFFFFF" w:themeFill="background1"/>
            <w:tcMar>
              <w:top w:w="0" w:type="dxa"/>
              <w:left w:w="108" w:type="dxa"/>
              <w:bottom w:w="0" w:type="dxa"/>
              <w:right w:w="108" w:type="dxa"/>
            </w:tcMar>
          </w:tcPr>
          <w:p w14:paraId="6607580F" w14:textId="77777777" w:rsidR="00284822" w:rsidRDefault="00F77BF8">
            <w:pPr>
              <w:rPr>
                <w:rFonts w:ascii="Rockwell" w:hAnsi="Rockwell"/>
                <w:color w:val="000000"/>
                <w:sz w:val="20"/>
                <w:szCs w:val="20"/>
              </w:rPr>
            </w:pPr>
            <w:r>
              <w:rPr>
                <w:rFonts w:ascii="Rockwell" w:hAnsi="Rockwell"/>
                <w:color w:val="000000"/>
                <w:sz w:val="20"/>
                <w:szCs w:val="20"/>
              </w:rPr>
              <w:t>11</w:t>
            </w:r>
          </w:p>
        </w:tc>
        <w:tc>
          <w:tcPr>
            <w:tcW w:w="993" w:type="dxa"/>
            <w:shd w:val="clear" w:color="auto" w:fill="FFFFFF" w:themeFill="background1"/>
            <w:tcMar>
              <w:top w:w="0" w:type="dxa"/>
              <w:left w:w="108" w:type="dxa"/>
              <w:bottom w:w="0" w:type="dxa"/>
              <w:right w:w="108" w:type="dxa"/>
            </w:tcMar>
          </w:tcPr>
          <w:p w14:paraId="42CA1E1A" w14:textId="77777777" w:rsidR="00284822" w:rsidRDefault="00F77BF8">
            <w:pPr>
              <w:rPr>
                <w:rFonts w:ascii="Rockwell" w:hAnsi="Rockwell"/>
                <w:color w:val="000000"/>
                <w:sz w:val="20"/>
                <w:szCs w:val="20"/>
              </w:rPr>
            </w:pPr>
            <w:r>
              <w:rPr>
                <w:rFonts w:ascii="Rockwell" w:hAnsi="Rockwell"/>
                <w:color w:val="000000"/>
                <w:sz w:val="20"/>
                <w:szCs w:val="20"/>
              </w:rPr>
              <w:t>19,59%</w:t>
            </w:r>
          </w:p>
        </w:tc>
        <w:tc>
          <w:tcPr>
            <w:tcW w:w="657" w:type="dxa"/>
            <w:shd w:val="clear" w:color="auto" w:fill="FFFFFF" w:themeFill="background1"/>
            <w:tcMar>
              <w:top w:w="0" w:type="dxa"/>
              <w:left w:w="108" w:type="dxa"/>
              <w:bottom w:w="0" w:type="dxa"/>
              <w:right w:w="108" w:type="dxa"/>
            </w:tcMar>
          </w:tcPr>
          <w:p w14:paraId="5EF19F70" w14:textId="77777777" w:rsidR="00284822" w:rsidRDefault="00F77BF8">
            <w:pPr>
              <w:rPr>
                <w:rFonts w:ascii="Rockwell" w:hAnsi="Rockwell"/>
                <w:color w:val="000000"/>
                <w:sz w:val="20"/>
                <w:szCs w:val="20"/>
              </w:rPr>
            </w:pPr>
            <w:r>
              <w:rPr>
                <w:rFonts w:ascii="Rockwell" w:hAnsi="Rockwell"/>
                <w:color w:val="000000"/>
                <w:sz w:val="20"/>
                <w:szCs w:val="20"/>
              </w:rPr>
              <w:t>12</w:t>
            </w:r>
          </w:p>
        </w:tc>
        <w:tc>
          <w:tcPr>
            <w:tcW w:w="1044" w:type="dxa"/>
            <w:shd w:val="clear" w:color="auto" w:fill="FFFFFF" w:themeFill="background1"/>
            <w:tcMar>
              <w:top w:w="0" w:type="dxa"/>
              <w:left w:w="108" w:type="dxa"/>
              <w:bottom w:w="0" w:type="dxa"/>
              <w:right w:w="108" w:type="dxa"/>
            </w:tcMar>
          </w:tcPr>
          <w:p w14:paraId="767E7D47" w14:textId="77777777" w:rsidR="00284822" w:rsidRDefault="00F77BF8">
            <w:pPr>
              <w:rPr>
                <w:rFonts w:ascii="Rockwell" w:hAnsi="Rockwell"/>
                <w:color w:val="000000"/>
                <w:sz w:val="20"/>
                <w:szCs w:val="20"/>
              </w:rPr>
            </w:pPr>
            <w:r>
              <w:rPr>
                <w:rFonts w:ascii="Rockwell" w:hAnsi="Rockwell"/>
                <w:color w:val="000000"/>
                <w:sz w:val="20"/>
                <w:szCs w:val="20"/>
              </w:rPr>
              <w:t>13,48%</w:t>
            </w:r>
          </w:p>
        </w:tc>
        <w:tc>
          <w:tcPr>
            <w:tcW w:w="708" w:type="dxa"/>
            <w:shd w:val="clear" w:color="auto" w:fill="FFFFFF" w:themeFill="background1"/>
            <w:tcMar>
              <w:top w:w="0" w:type="dxa"/>
              <w:left w:w="108" w:type="dxa"/>
              <w:bottom w:w="0" w:type="dxa"/>
              <w:right w:w="108" w:type="dxa"/>
            </w:tcMar>
          </w:tcPr>
          <w:p w14:paraId="6D98F4B7" w14:textId="77777777" w:rsidR="00284822" w:rsidRDefault="00F77BF8">
            <w:pPr>
              <w:rPr>
                <w:rFonts w:ascii="Rockwell" w:hAnsi="Rockwell"/>
                <w:color w:val="000000"/>
                <w:sz w:val="20"/>
                <w:szCs w:val="20"/>
              </w:rPr>
            </w:pPr>
            <w:r>
              <w:rPr>
                <w:rFonts w:ascii="Rockwell" w:hAnsi="Rockwell"/>
                <w:color w:val="000000"/>
                <w:sz w:val="20"/>
                <w:szCs w:val="20"/>
              </w:rPr>
              <w:t>4 2/7</w:t>
            </w:r>
          </w:p>
        </w:tc>
        <w:tc>
          <w:tcPr>
            <w:tcW w:w="993" w:type="dxa"/>
            <w:shd w:val="clear" w:color="auto" w:fill="FFFFFF" w:themeFill="background1"/>
            <w:tcMar>
              <w:top w:w="0" w:type="dxa"/>
              <w:left w:w="108" w:type="dxa"/>
              <w:bottom w:w="0" w:type="dxa"/>
              <w:right w:w="108" w:type="dxa"/>
            </w:tcMar>
          </w:tcPr>
          <w:p w14:paraId="1FF10E4A" w14:textId="77777777" w:rsidR="00284822" w:rsidRDefault="00F77BF8">
            <w:pPr>
              <w:rPr>
                <w:rFonts w:ascii="Rockwell" w:hAnsi="Rockwell"/>
                <w:color w:val="000000"/>
                <w:sz w:val="20"/>
                <w:szCs w:val="20"/>
              </w:rPr>
            </w:pPr>
            <w:r>
              <w:rPr>
                <w:rFonts w:ascii="Rockwell" w:hAnsi="Rockwell"/>
                <w:color w:val="000000"/>
                <w:sz w:val="20"/>
                <w:szCs w:val="20"/>
              </w:rPr>
              <w:t>9,64%</w:t>
            </w:r>
          </w:p>
        </w:tc>
        <w:tc>
          <w:tcPr>
            <w:tcW w:w="626" w:type="dxa"/>
            <w:shd w:val="clear" w:color="auto" w:fill="FFFFFF" w:themeFill="background1"/>
            <w:tcMar>
              <w:top w:w="0" w:type="dxa"/>
              <w:left w:w="108" w:type="dxa"/>
              <w:bottom w:w="0" w:type="dxa"/>
              <w:right w:w="108" w:type="dxa"/>
            </w:tcMar>
          </w:tcPr>
          <w:p w14:paraId="7DBDDF75" w14:textId="77777777" w:rsidR="00284822" w:rsidRDefault="00F77BF8">
            <w:pPr>
              <w:rPr>
                <w:rFonts w:ascii="Rockwell" w:hAnsi="Rockwell"/>
                <w:color w:val="000000"/>
                <w:sz w:val="20"/>
                <w:szCs w:val="20"/>
              </w:rPr>
            </w:pPr>
            <w:r>
              <w:rPr>
                <w:rFonts w:ascii="Rockwell" w:hAnsi="Rockwell"/>
                <w:color w:val="000000"/>
                <w:sz w:val="20"/>
                <w:szCs w:val="20"/>
              </w:rPr>
              <w:t>11</w:t>
            </w:r>
          </w:p>
        </w:tc>
        <w:tc>
          <w:tcPr>
            <w:tcW w:w="1075" w:type="dxa"/>
            <w:shd w:val="clear" w:color="auto" w:fill="FFFFFF" w:themeFill="background1"/>
            <w:tcMar>
              <w:top w:w="0" w:type="dxa"/>
              <w:left w:w="108" w:type="dxa"/>
              <w:bottom w:w="0" w:type="dxa"/>
              <w:right w:w="108" w:type="dxa"/>
            </w:tcMar>
          </w:tcPr>
          <w:p w14:paraId="78327CA4" w14:textId="77777777" w:rsidR="00284822" w:rsidRDefault="00F77BF8">
            <w:pPr>
              <w:rPr>
                <w:rFonts w:ascii="Rockwell" w:hAnsi="Rockwell"/>
                <w:color w:val="000000"/>
                <w:sz w:val="20"/>
                <w:szCs w:val="20"/>
              </w:rPr>
            </w:pPr>
            <w:r>
              <w:rPr>
                <w:rFonts w:ascii="Rockwell" w:hAnsi="Rockwell"/>
                <w:color w:val="000000"/>
                <w:sz w:val="20"/>
                <w:szCs w:val="20"/>
              </w:rPr>
              <w:t>12,94%</w:t>
            </w:r>
          </w:p>
        </w:tc>
        <w:tc>
          <w:tcPr>
            <w:tcW w:w="567" w:type="dxa"/>
            <w:shd w:val="clear" w:color="auto" w:fill="FFFFFF" w:themeFill="background1"/>
            <w:tcMar>
              <w:top w:w="0" w:type="dxa"/>
              <w:left w:w="108" w:type="dxa"/>
              <w:bottom w:w="0" w:type="dxa"/>
              <w:right w:w="108" w:type="dxa"/>
            </w:tcMar>
          </w:tcPr>
          <w:p w14:paraId="43E4AA92" w14:textId="77777777" w:rsidR="00284822" w:rsidRDefault="00F77BF8">
            <w:pPr>
              <w:rPr>
                <w:rFonts w:ascii="Rockwell" w:hAnsi="Rockwell"/>
                <w:color w:val="000000"/>
                <w:sz w:val="20"/>
                <w:szCs w:val="20"/>
              </w:rPr>
            </w:pPr>
            <w:r>
              <w:rPr>
                <w:rFonts w:ascii="Rockwell" w:hAnsi="Rockwell"/>
                <w:color w:val="000000"/>
                <w:sz w:val="20"/>
                <w:szCs w:val="20"/>
              </w:rPr>
              <w:t>14 1/3</w:t>
            </w:r>
          </w:p>
        </w:tc>
        <w:tc>
          <w:tcPr>
            <w:tcW w:w="992" w:type="dxa"/>
            <w:shd w:val="clear" w:color="auto" w:fill="FFFFFF" w:themeFill="background1"/>
            <w:tcMar>
              <w:top w:w="0" w:type="dxa"/>
              <w:left w:w="108" w:type="dxa"/>
              <w:bottom w:w="0" w:type="dxa"/>
              <w:right w:w="108" w:type="dxa"/>
            </w:tcMar>
          </w:tcPr>
          <w:p w14:paraId="36707AC8" w14:textId="77777777" w:rsidR="00284822" w:rsidRDefault="00F77BF8">
            <w:pPr>
              <w:rPr>
                <w:rFonts w:ascii="Rockwell" w:hAnsi="Rockwell"/>
                <w:color w:val="000000"/>
                <w:sz w:val="20"/>
                <w:szCs w:val="20"/>
              </w:rPr>
            </w:pPr>
            <w:r>
              <w:rPr>
                <w:rFonts w:ascii="Rockwell" w:hAnsi="Rockwell"/>
                <w:color w:val="000000"/>
                <w:sz w:val="20"/>
                <w:szCs w:val="20"/>
              </w:rPr>
              <w:t>21,99%</w:t>
            </w:r>
          </w:p>
        </w:tc>
        <w:tc>
          <w:tcPr>
            <w:tcW w:w="709" w:type="dxa"/>
            <w:shd w:val="clear" w:color="auto" w:fill="FFFFFF" w:themeFill="background1"/>
            <w:tcMar>
              <w:top w:w="0" w:type="dxa"/>
              <w:left w:w="108" w:type="dxa"/>
              <w:bottom w:w="0" w:type="dxa"/>
              <w:right w:w="108" w:type="dxa"/>
            </w:tcMar>
          </w:tcPr>
          <w:p w14:paraId="14231909" w14:textId="77777777" w:rsidR="00284822" w:rsidRDefault="00F77BF8">
            <w:pPr>
              <w:rPr>
                <w:rFonts w:ascii="Rockwell" w:hAnsi="Rockwell"/>
                <w:color w:val="000000"/>
                <w:sz w:val="20"/>
                <w:szCs w:val="20"/>
              </w:rPr>
            </w:pPr>
            <w:r>
              <w:rPr>
                <w:rFonts w:ascii="Rockwell" w:hAnsi="Rockwell"/>
                <w:color w:val="000000"/>
                <w:sz w:val="20"/>
                <w:szCs w:val="20"/>
              </w:rPr>
              <w:t>29</w:t>
            </w:r>
          </w:p>
        </w:tc>
        <w:tc>
          <w:tcPr>
            <w:tcW w:w="992" w:type="dxa"/>
            <w:shd w:val="clear" w:color="auto" w:fill="FFFFFF" w:themeFill="background1"/>
            <w:tcMar>
              <w:top w:w="0" w:type="dxa"/>
              <w:left w:w="108" w:type="dxa"/>
              <w:bottom w:w="0" w:type="dxa"/>
              <w:right w:w="108" w:type="dxa"/>
            </w:tcMar>
          </w:tcPr>
          <w:p w14:paraId="21842199" w14:textId="77777777" w:rsidR="00284822" w:rsidRDefault="00F77BF8">
            <w:pPr>
              <w:rPr>
                <w:rFonts w:ascii="Rockwell" w:hAnsi="Rockwell"/>
                <w:color w:val="000000"/>
                <w:sz w:val="20"/>
                <w:szCs w:val="20"/>
              </w:rPr>
            </w:pPr>
            <w:r>
              <w:rPr>
                <w:rFonts w:ascii="Rockwell" w:hAnsi="Rockwell"/>
                <w:color w:val="000000"/>
                <w:sz w:val="20"/>
                <w:szCs w:val="20"/>
              </w:rPr>
              <w:t>25,00%</w:t>
            </w:r>
          </w:p>
        </w:tc>
        <w:tc>
          <w:tcPr>
            <w:tcW w:w="850" w:type="dxa"/>
            <w:shd w:val="clear" w:color="auto" w:fill="FFFFFF" w:themeFill="background1"/>
            <w:tcMar>
              <w:top w:w="0" w:type="dxa"/>
              <w:left w:w="108" w:type="dxa"/>
              <w:bottom w:w="0" w:type="dxa"/>
              <w:right w:w="108" w:type="dxa"/>
            </w:tcMar>
          </w:tcPr>
          <w:p w14:paraId="6509AE51" w14:textId="77777777" w:rsidR="00284822" w:rsidRDefault="00F77BF8">
            <w:pPr>
              <w:rPr>
                <w:rFonts w:ascii="Rockwell" w:hAnsi="Rockwell"/>
                <w:color w:val="000000"/>
                <w:sz w:val="20"/>
                <w:szCs w:val="20"/>
              </w:rPr>
            </w:pPr>
            <w:r>
              <w:rPr>
                <w:rFonts w:ascii="Rockwell" w:hAnsi="Rockwell"/>
                <w:color w:val="000000"/>
                <w:sz w:val="20"/>
                <w:szCs w:val="20"/>
              </w:rPr>
              <w:t>6 3/4</w:t>
            </w:r>
          </w:p>
        </w:tc>
        <w:tc>
          <w:tcPr>
            <w:tcW w:w="993" w:type="dxa"/>
            <w:shd w:val="clear" w:color="auto" w:fill="FFFFFF" w:themeFill="background1"/>
            <w:tcMar>
              <w:top w:w="0" w:type="dxa"/>
              <w:left w:w="108" w:type="dxa"/>
              <w:bottom w:w="0" w:type="dxa"/>
              <w:right w:w="108" w:type="dxa"/>
            </w:tcMar>
          </w:tcPr>
          <w:p w14:paraId="3F713B0F" w14:textId="77777777" w:rsidR="00284822" w:rsidRDefault="00F77BF8">
            <w:pPr>
              <w:rPr>
                <w:rFonts w:ascii="Rockwell" w:hAnsi="Rockwell"/>
                <w:color w:val="000000"/>
                <w:sz w:val="20"/>
                <w:szCs w:val="20"/>
              </w:rPr>
            </w:pPr>
            <w:r>
              <w:rPr>
                <w:rFonts w:ascii="Rockwell" w:hAnsi="Rockwell"/>
                <w:color w:val="000000"/>
                <w:sz w:val="20"/>
                <w:szCs w:val="20"/>
              </w:rPr>
              <w:t>21,33%</w:t>
            </w:r>
          </w:p>
        </w:tc>
        <w:tc>
          <w:tcPr>
            <w:tcW w:w="567" w:type="dxa"/>
            <w:shd w:val="clear" w:color="auto" w:fill="FFFFFF" w:themeFill="background1"/>
            <w:tcMar>
              <w:top w:w="0" w:type="dxa"/>
              <w:left w:w="108" w:type="dxa"/>
              <w:bottom w:w="0" w:type="dxa"/>
              <w:right w:w="108" w:type="dxa"/>
            </w:tcMar>
          </w:tcPr>
          <w:p w14:paraId="75F37BEC" w14:textId="77777777" w:rsidR="00284822" w:rsidRDefault="00F77BF8">
            <w:pPr>
              <w:rPr>
                <w:rFonts w:ascii="Rockwell" w:hAnsi="Rockwell"/>
                <w:color w:val="000000"/>
                <w:sz w:val="20"/>
                <w:szCs w:val="20"/>
              </w:rPr>
            </w:pPr>
            <w:r>
              <w:rPr>
                <w:rFonts w:ascii="Rockwell" w:hAnsi="Rockwell"/>
                <w:color w:val="000000"/>
                <w:sz w:val="20"/>
                <w:szCs w:val="20"/>
              </w:rPr>
              <w:t>12</w:t>
            </w:r>
          </w:p>
        </w:tc>
        <w:tc>
          <w:tcPr>
            <w:tcW w:w="850" w:type="dxa"/>
            <w:shd w:val="clear" w:color="auto" w:fill="FFFFFF" w:themeFill="background1"/>
            <w:tcMar>
              <w:top w:w="0" w:type="dxa"/>
              <w:left w:w="108" w:type="dxa"/>
              <w:bottom w:w="0" w:type="dxa"/>
              <w:right w:w="108" w:type="dxa"/>
            </w:tcMar>
          </w:tcPr>
          <w:p w14:paraId="18E605E5" w14:textId="77777777" w:rsidR="00284822" w:rsidRDefault="00F77BF8">
            <w:pPr>
              <w:rPr>
                <w:rFonts w:ascii="Rockwell" w:hAnsi="Rockwell"/>
                <w:color w:val="000000"/>
                <w:sz w:val="20"/>
                <w:szCs w:val="20"/>
              </w:rPr>
            </w:pPr>
            <w:r>
              <w:rPr>
                <w:rFonts w:ascii="Rockwell" w:hAnsi="Rockwell"/>
                <w:color w:val="000000"/>
                <w:sz w:val="20"/>
                <w:szCs w:val="20"/>
              </w:rPr>
              <w:t>19,35%</w:t>
            </w:r>
          </w:p>
        </w:tc>
      </w:tr>
      <w:tr w:rsidR="00284822" w14:paraId="0B64B1A4" w14:textId="77777777">
        <w:trPr>
          <w:trHeight w:val="410"/>
          <w:jc w:val="center"/>
        </w:trPr>
        <w:tc>
          <w:tcPr>
            <w:tcW w:w="988" w:type="dxa"/>
            <w:shd w:val="clear" w:color="auto" w:fill="FFFFFF" w:themeFill="background1"/>
            <w:noWrap/>
            <w:tcMar>
              <w:top w:w="0" w:type="dxa"/>
              <w:left w:w="108" w:type="dxa"/>
              <w:bottom w:w="0" w:type="dxa"/>
              <w:right w:w="108" w:type="dxa"/>
            </w:tcMar>
            <w:vAlign w:val="bottom"/>
          </w:tcPr>
          <w:p w14:paraId="1339E376" w14:textId="77777777" w:rsidR="00284822" w:rsidRDefault="00F77BF8">
            <w:pPr>
              <w:rPr>
                <w:rFonts w:ascii="Rockwell" w:hAnsi="Rockwell"/>
                <w:bCs/>
                <w:color w:val="000000"/>
                <w:sz w:val="20"/>
                <w:szCs w:val="20"/>
              </w:rPr>
            </w:pPr>
            <w:r>
              <w:rPr>
                <w:rFonts w:ascii="Rockwell" w:hAnsi="Rockwell"/>
                <w:bCs/>
                <w:color w:val="000000"/>
                <w:sz w:val="20"/>
                <w:szCs w:val="20"/>
              </w:rPr>
              <w:t>20</w:t>
            </w:r>
          </w:p>
        </w:tc>
        <w:tc>
          <w:tcPr>
            <w:tcW w:w="1559" w:type="dxa"/>
            <w:shd w:val="clear" w:color="auto" w:fill="FFFFFF" w:themeFill="background1"/>
            <w:tcMar>
              <w:top w:w="0" w:type="dxa"/>
              <w:left w:w="108" w:type="dxa"/>
              <w:bottom w:w="0" w:type="dxa"/>
              <w:right w:w="108" w:type="dxa"/>
            </w:tcMar>
          </w:tcPr>
          <w:p w14:paraId="2ED7F31F" w14:textId="77777777" w:rsidR="00284822" w:rsidRDefault="00F77BF8">
            <w:pPr>
              <w:jc w:val="left"/>
              <w:rPr>
                <w:rFonts w:ascii="Rockwell" w:hAnsi="Rockwell"/>
                <w:b/>
                <w:color w:val="000000"/>
                <w:sz w:val="20"/>
                <w:szCs w:val="20"/>
              </w:rPr>
            </w:pPr>
            <w:r>
              <w:rPr>
                <w:rFonts w:ascii="Rockwell" w:hAnsi="Rockwell"/>
                <w:b/>
                <w:color w:val="000000"/>
                <w:sz w:val="20"/>
                <w:szCs w:val="20"/>
              </w:rPr>
              <w:t>MRB</w:t>
            </w:r>
          </w:p>
        </w:tc>
        <w:tc>
          <w:tcPr>
            <w:tcW w:w="850" w:type="dxa"/>
            <w:shd w:val="clear" w:color="auto" w:fill="FFFFFF" w:themeFill="background1"/>
            <w:tcMar>
              <w:top w:w="0" w:type="dxa"/>
              <w:left w:w="108" w:type="dxa"/>
              <w:bottom w:w="0" w:type="dxa"/>
              <w:right w:w="108" w:type="dxa"/>
            </w:tcMar>
            <w:vAlign w:val="center"/>
          </w:tcPr>
          <w:p w14:paraId="2D96AA27" w14:textId="77777777" w:rsidR="00284822" w:rsidRDefault="00F77BF8">
            <w:pPr>
              <w:rPr>
                <w:rFonts w:ascii="Rockwell" w:hAnsi="Rockwell"/>
                <w:color w:val="000000"/>
                <w:sz w:val="20"/>
                <w:szCs w:val="20"/>
              </w:rPr>
            </w:pPr>
            <w:r>
              <w:rPr>
                <w:rFonts w:ascii="Rockwell" w:hAnsi="Rockwell"/>
                <w:color w:val="000000"/>
                <w:sz w:val="20"/>
                <w:szCs w:val="20"/>
              </w:rPr>
              <w:t>2 1/6</w:t>
            </w:r>
          </w:p>
        </w:tc>
        <w:tc>
          <w:tcPr>
            <w:tcW w:w="993" w:type="dxa"/>
            <w:shd w:val="clear" w:color="auto" w:fill="FFFFFF" w:themeFill="background1"/>
            <w:tcMar>
              <w:top w:w="0" w:type="dxa"/>
              <w:left w:w="108" w:type="dxa"/>
              <w:bottom w:w="0" w:type="dxa"/>
              <w:right w:w="108" w:type="dxa"/>
            </w:tcMar>
            <w:vAlign w:val="center"/>
          </w:tcPr>
          <w:p w14:paraId="080A755C" w14:textId="77777777" w:rsidR="00284822" w:rsidRDefault="00F77BF8">
            <w:pPr>
              <w:rPr>
                <w:rFonts w:ascii="Rockwell" w:hAnsi="Rockwell"/>
                <w:color w:val="000000"/>
                <w:sz w:val="20"/>
                <w:szCs w:val="20"/>
              </w:rPr>
            </w:pPr>
            <w:r>
              <w:rPr>
                <w:rFonts w:ascii="Rockwell" w:hAnsi="Rockwell"/>
                <w:color w:val="000000"/>
                <w:sz w:val="20"/>
                <w:szCs w:val="20"/>
              </w:rPr>
              <w:t>3,84%</w:t>
            </w:r>
          </w:p>
        </w:tc>
        <w:tc>
          <w:tcPr>
            <w:tcW w:w="657" w:type="dxa"/>
            <w:shd w:val="clear" w:color="auto" w:fill="FFFFFF" w:themeFill="background1"/>
            <w:tcMar>
              <w:top w:w="0" w:type="dxa"/>
              <w:left w:w="108" w:type="dxa"/>
              <w:bottom w:w="0" w:type="dxa"/>
              <w:right w:w="108" w:type="dxa"/>
            </w:tcMar>
            <w:vAlign w:val="center"/>
          </w:tcPr>
          <w:p w14:paraId="14450013" w14:textId="77777777" w:rsidR="00284822" w:rsidRDefault="00F77BF8">
            <w:pPr>
              <w:rPr>
                <w:rFonts w:ascii="Rockwell" w:hAnsi="Rockwell"/>
                <w:color w:val="000000"/>
                <w:sz w:val="20"/>
                <w:szCs w:val="20"/>
              </w:rPr>
            </w:pPr>
            <w:r>
              <w:rPr>
                <w:rFonts w:ascii="Rockwell" w:hAnsi="Rockwell"/>
                <w:color w:val="000000"/>
                <w:sz w:val="20"/>
                <w:szCs w:val="20"/>
              </w:rPr>
              <w:t>5</w:t>
            </w:r>
          </w:p>
        </w:tc>
        <w:tc>
          <w:tcPr>
            <w:tcW w:w="1044" w:type="dxa"/>
            <w:shd w:val="clear" w:color="auto" w:fill="FFFFFF" w:themeFill="background1"/>
            <w:tcMar>
              <w:top w:w="0" w:type="dxa"/>
              <w:left w:w="108" w:type="dxa"/>
              <w:bottom w:w="0" w:type="dxa"/>
              <w:right w:w="108" w:type="dxa"/>
            </w:tcMar>
            <w:vAlign w:val="center"/>
          </w:tcPr>
          <w:p w14:paraId="36208E7A" w14:textId="77777777" w:rsidR="00284822" w:rsidRDefault="00F77BF8">
            <w:pPr>
              <w:rPr>
                <w:rFonts w:ascii="Rockwell" w:hAnsi="Rockwell"/>
                <w:color w:val="000000"/>
                <w:sz w:val="20"/>
                <w:szCs w:val="20"/>
              </w:rPr>
            </w:pPr>
            <w:r>
              <w:rPr>
                <w:rFonts w:ascii="Rockwell" w:hAnsi="Rockwell"/>
                <w:color w:val="000000"/>
                <w:sz w:val="20"/>
                <w:szCs w:val="20"/>
              </w:rPr>
              <w:t>5,62%</w:t>
            </w:r>
          </w:p>
        </w:tc>
        <w:tc>
          <w:tcPr>
            <w:tcW w:w="708" w:type="dxa"/>
            <w:shd w:val="clear" w:color="auto" w:fill="FFFFFF" w:themeFill="background1"/>
            <w:tcMar>
              <w:top w:w="0" w:type="dxa"/>
              <w:left w:w="108" w:type="dxa"/>
              <w:bottom w:w="0" w:type="dxa"/>
              <w:right w:w="108" w:type="dxa"/>
            </w:tcMar>
            <w:vAlign w:val="center"/>
          </w:tcPr>
          <w:p w14:paraId="1A06B34B" w14:textId="77777777" w:rsidR="00284822" w:rsidRDefault="00F77BF8">
            <w:pPr>
              <w:rPr>
                <w:rFonts w:ascii="Rockwell" w:hAnsi="Rockwell"/>
                <w:color w:val="000000"/>
                <w:sz w:val="20"/>
                <w:szCs w:val="20"/>
              </w:rPr>
            </w:pPr>
            <w:r>
              <w:rPr>
                <w:rFonts w:ascii="Rockwell" w:hAnsi="Rockwell"/>
                <w:color w:val="000000"/>
                <w:sz w:val="20"/>
                <w:szCs w:val="20"/>
              </w:rPr>
              <w:t>1</w:t>
            </w:r>
          </w:p>
        </w:tc>
        <w:tc>
          <w:tcPr>
            <w:tcW w:w="993" w:type="dxa"/>
            <w:shd w:val="clear" w:color="auto" w:fill="FFFFFF" w:themeFill="background1"/>
            <w:tcMar>
              <w:top w:w="0" w:type="dxa"/>
              <w:left w:w="108" w:type="dxa"/>
              <w:bottom w:w="0" w:type="dxa"/>
              <w:right w:w="108" w:type="dxa"/>
            </w:tcMar>
            <w:vAlign w:val="center"/>
          </w:tcPr>
          <w:p w14:paraId="0E18F6FA" w14:textId="77777777" w:rsidR="00284822" w:rsidRDefault="00F77BF8">
            <w:pPr>
              <w:rPr>
                <w:rFonts w:ascii="Rockwell" w:hAnsi="Rockwell"/>
                <w:color w:val="000000"/>
                <w:sz w:val="20"/>
                <w:szCs w:val="20"/>
              </w:rPr>
            </w:pPr>
            <w:r>
              <w:rPr>
                <w:rFonts w:ascii="Rockwell" w:hAnsi="Rockwell"/>
                <w:color w:val="000000"/>
                <w:sz w:val="20"/>
                <w:szCs w:val="20"/>
              </w:rPr>
              <w:t>2,25%</w:t>
            </w:r>
          </w:p>
        </w:tc>
        <w:tc>
          <w:tcPr>
            <w:tcW w:w="626" w:type="dxa"/>
            <w:shd w:val="clear" w:color="auto" w:fill="FFFFFF" w:themeFill="background1"/>
            <w:tcMar>
              <w:top w:w="0" w:type="dxa"/>
              <w:left w:w="108" w:type="dxa"/>
              <w:bottom w:w="0" w:type="dxa"/>
              <w:right w:w="108" w:type="dxa"/>
            </w:tcMar>
            <w:vAlign w:val="center"/>
          </w:tcPr>
          <w:p w14:paraId="6EC7872B" w14:textId="77777777" w:rsidR="00284822" w:rsidRDefault="00F77BF8">
            <w:pPr>
              <w:rPr>
                <w:rFonts w:ascii="Rockwell" w:hAnsi="Rockwell"/>
                <w:color w:val="000000"/>
                <w:sz w:val="20"/>
                <w:szCs w:val="20"/>
              </w:rPr>
            </w:pPr>
            <w:r>
              <w:rPr>
                <w:rFonts w:ascii="Rockwell" w:hAnsi="Rockwell"/>
                <w:color w:val="000000"/>
                <w:sz w:val="20"/>
                <w:szCs w:val="20"/>
              </w:rPr>
              <w:t>2</w:t>
            </w:r>
          </w:p>
        </w:tc>
        <w:tc>
          <w:tcPr>
            <w:tcW w:w="1075" w:type="dxa"/>
            <w:shd w:val="clear" w:color="auto" w:fill="FFFFFF" w:themeFill="background1"/>
            <w:tcMar>
              <w:top w:w="0" w:type="dxa"/>
              <w:left w:w="108" w:type="dxa"/>
              <w:bottom w:w="0" w:type="dxa"/>
              <w:right w:w="108" w:type="dxa"/>
            </w:tcMar>
            <w:vAlign w:val="center"/>
          </w:tcPr>
          <w:p w14:paraId="77997F38" w14:textId="77777777" w:rsidR="00284822" w:rsidRDefault="00F77BF8">
            <w:pPr>
              <w:rPr>
                <w:rFonts w:ascii="Rockwell" w:hAnsi="Rockwell"/>
                <w:color w:val="000000"/>
                <w:sz w:val="20"/>
                <w:szCs w:val="20"/>
              </w:rPr>
            </w:pPr>
            <w:r>
              <w:rPr>
                <w:rFonts w:ascii="Rockwell" w:hAnsi="Rockwell"/>
                <w:color w:val="000000"/>
                <w:sz w:val="20"/>
                <w:szCs w:val="20"/>
              </w:rPr>
              <w:t>2,35%</w:t>
            </w:r>
          </w:p>
        </w:tc>
        <w:tc>
          <w:tcPr>
            <w:tcW w:w="567" w:type="dxa"/>
            <w:shd w:val="clear" w:color="auto" w:fill="FFFFFF" w:themeFill="background1"/>
            <w:tcMar>
              <w:top w:w="0" w:type="dxa"/>
              <w:left w:w="108" w:type="dxa"/>
              <w:bottom w:w="0" w:type="dxa"/>
              <w:right w:w="108" w:type="dxa"/>
            </w:tcMar>
            <w:vAlign w:val="center"/>
          </w:tcPr>
          <w:p w14:paraId="56B27842" w14:textId="77777777" w:rsidR="00284822" w:rsidRDefault="00F77BF8">
            <w:pPr>
              <w:rPr>
                <w:rFonts w:ascii="Rockwell" w:hAnsi="Rockwell"/>
                <w:color w:val="000000"/>
                <w:sz w:val="20"/>
                <w:szCs w:val="20"/>
              </w:rPr>
            </w:pPr>
            <w:proofErr w:type="gramStart"/>
            <w:r>
              <w:rPr>
                <w:rFonts w:ascii="Rockwell" w:hAnsi="Rockwell"/>
                <w:color w:val="000000"/>
                <w:sz w:val="20"/>
                <w:szCs w:val="20"/>
              </w:rPr>
              <w:t>½</w:t>
            </w:r>
            <w:proofErr w:type="gramEnd"/>
          </w:p>
        </w:tc>
        <w:tc>
          <w:tcPr>
            <w:tcW w:w="992" w:type="dxa"/>
            <w:shd w:val="clear" w:color="auto" w:fill="FFFFFF" w:themeFill="background1"/>
            <w:tcMar>
              <w:top w:w="0" w:type="dxa"/>
              <w:left w:w="108" w:type="dxa"/>
              <w:bottom w:w="0" w:type="dxa"/>
              <w:right w:w="108" w:type="dxa"/>
            </w:tcMar>
            <w:vAlign w:val="center"/>
          </w:tcPr>
          <w:p w14:paraId="17BC71FE" w14:textId="77777777" w:rsidR="00284822" w:rsidRDefault="00F77BF8">
            <w:pPr>
              <w:rPr>
                <w:rFonts w:ascii="Rockwell" w:hAnsi="Rockwell"/>
                <w:color w:val="000000"/>
                <w:sz w:val="20"/>
                <w:szCs w:val="20"/>
              </w:rPr>
            </w:pPr>
            <w:r>
              <w:rPr>
                <w:rFonts w:ascii="Rockwell" w:hAnsi="Rockwell"/>
                <w:color w:val="000000"/>
                <w:sz w:val="20"/>
                <w:szCs w:val="20"/>
              </w:rPr>
              <w:t>0,77%</w:t>
            </w:r>
          </w:p>
        </w:tc>
        <w:tc>
          <w:tcPr>
            <w:tcW w:w="709" w:type="dxa"/>
            <w:shd w:val="clear" w:color="auto" w:fill="FFFFFF" w:themeFill="background1"/>
            <w:tcMar>
              <w:top w:w="0" w:type="dxa"/>
              <w:left w:w="108" w:type="dxa"/>
              <w:bottom w:w="0" w:type="dxa"/>
              <w:right w:w="108" w:type="dxa"/>
            </w:tcMar>
            <w:vAlign w:val="center"/>
          </w:tcPr>
          <w:p w14:paraId="336DD3F9" w14:textId="77777777" w:rsidR="00284822" w:rsidRDefault="00F77BF8">
            <w:pPr>
              <w:rPr>
                <w:rFonts w:ascii="Rockwell" w:hAnsi="Rockwell"/>
                <w:color w:val="000000"/>
                <w:sz w:val="20"/>
                <w:szCs w:val="20"/>
              </w:rPr>
            </w:pPr>
            <w:r>
              <w:rPr>
                <w:rFonts w:ascii="Rockwell" w:hAnsi="Rockwell"/>
                <w:color w:val="000000"/>
                <w:sz w:val="20"/>
                <w:szCs w:val="20"/>
              </w:rPr>
              <w:t>1</w:t>
            </w:r>
          </w:p>
        </w:tc>
        <w:tc>
          <w:tcPr>
            <w:tcW w:w="992" w:type="dxa"/>
            <w:shd w:val="clear" w:color="auto" w:fill="FFFFFF" w:themeFill="background1"/>
            <w:tcMar>
              <w:top w:w="0" w:type="dxa"/>
              <w:left w:w="108" w:type="dxa"/>
              <w:bottom w:w="0" w:type="dxa"/>
              <w:right w:w="108" w:type="dxa"/>
            </w:tcMar>
            <w:vAlign w:val="center"/>
          </w:tcPr>
          <w:p w14:paraId="1769C1DD" w14:textId="77777777" w:rsidR="00284822" w:rsidRDefault="00F77BF8">
            <w:pPr>
              <w:rPr>
                <w:rFonts w:ascii="Rockwell" w:hAnsi="Rockwell"/>
                <w:color w:val="000000"/>
                <w:sz w:val="20"/>
                <w:szCs w:val="20"/>
              </w:rPr>
            </w:pPr>
            <w:r>
              <w:rPr>
                <w:rFonts w:ascii="Rockwell" w:hAnsi="Rockwell"/>
                <w:color w:val="000000"/>
                <w:sz w:val="20"/>
                <w:szCs w:val="20"/>
              </w:rPr>
              <w:t>0,86%</w:t>
            </w:r>
          </w:p>
        </w:tc>
        <w:tc>
          <w:tcPr>
            <w:tcW w:w="850" w:type="dxa"/>
            <w:shd w:val="clear" w:color="auto" w:fill="FFFFFF" w:themeFill="background1"/>
            <w:tcMar>
              <w:top w:w="0" w:type="dxa"/>
              <w:left w:w="108" w:type="dxa"/>
              <w:bottom w:w="0" w:type="dxa"/>
              <w:right w:w="108" w:type="dxa"/>
            </w:tcMar>
            <w:vAlign w:val="center"/>
          </w:tcPr>
          <w:p w14:paraId="4F3EFCEC" w14:textId="77777777" w:rsidR="00284822" w:rsidRDefault="00F77BF8">
            <w:pPr>
              <w:rPr>
                <w:rFonts w:ascii="Rockwell" w:hAnsi="Rockwell"/>
                <w:color w:val="000000"/>
                <w:sz w:val="20"/>
                <w:szCs w:val="20"/>
              </w:rPr>
            </w:pPr>
            <w:r>
              <w:rPr>
                <w:rFonts w:ascii="Rockwell" w:hAnsi="Rockwell"/>
                <w:color w:val="000000"/>
                <w:sz w:val="20"/>
                <w:szCs w:val="20"/>
              </w:rPr>
              <w:t>2/3</w:t>
            </w:r>
          </w:p>
        </w:tc>
        <w:tc>
          <w:tcPr>
            <w:tcW w:w="993" w:type="dxa"/>
            <w:shd w:val="clear" w:color="auto" w:fill="FFFFFF" w:themeFill="background1"/>
            <w:tcMar>
              <w:top w:w="0" w:type="dxa"/>
              <w:left w:w="108" w:type="dxa"/>
              <w:bottom w:w="0" w:type="dxa"/>
              <w:right w:w="108" w:type="dxa"/>
            </w:tcMar>
            <w:vAlign w:val="center"/>
          </w:tcPr>
          <w:p w14:paraId="3E79C812" w14:textId="77777777" w:rsidR="00284822" w:rsidRDefault="00F77BF8">
            <w:pPr>
              <w:rPr>
                <w:rFonts w:ascii="Rockwell" w:hAnsi="Rockwell"/>
                <w:color w:val="000000"/>
                <w:sz w:val="20"/>
                <w:szCs w:val="20"/>
              </w:rPr>
            </w:pPr>
            <w:r>
              <w:rPr>
                <w:rFonts w:ascii="Rockwell" w:hAnsi="Rockwell"/>
                <w:color w:val="000000"/>
                <w:sz w:val="20"/>
                <w:szCs w:val="20"/>
              </w:rPr>
              <w:t>2,11%</w:t>
            </w:r>
          </w:p>
        </w:tc>
        <w:tc>
          <w:tcPr>
            <w:tcW w:w="567" w:type="dxa"/>
            <w:shd w:val="clear" w:color="auto" w:fill="FFFFFF" w:themeFill="background1"/>
            <w:tcMar>
              <w:top w:w="0" w:type="dxa"/>
              <w:left w:w="108" w:type="dxa"/>
              <w:bottom w:w="0" w:type="dxa"/>
              <w:right w:w="108" w:type="dxa"/>
            </w:tcMar>
            <w:vAlign w:val="center"/>
          </w:tcPr>
          <w:p w14:paraId="60FD2850" w14:textId="77777777" w:rsidR="00284822" w:rsidRDefault="00F77BF8">
            <w:pPr>
              <w:rPr>
                <w:rFonts w:ascii="Rockwell" w:hAnsi="Rockwell"/>
                <w:color w:val="000000"/>
                <w:sz w:val="20"/>
                <w:szCs w:val="20"/>
              </w:rPr>
            </w:pPr>
            <w:r>
              <w:rPr>
                <w:rFonts w:ascii="Rockwell" w:hAnsi="Rockwell"/>
                <w:color w:val="000000"/>
                <w:sz w:val="20"/>
                <w:szCs w:val="20"/>
              </w:rPr>
              <w:t>2</w:t>
            </w:r>
          </w:p>
        </w:tc>
        <w:tc>
          <w:tcPr>
            <w:tcW w:w="850" w:type="dxa"/>
            <w:shd w:val="clear" w:color="auto" w:fill="FFFFFF" w:themeFill="background1"/>
            <w:tcMar>
              <w:top w:w="0" w:type="dxa"/>
              <w:left w:w="108" w:type="dxa"/>
              <w:bottom w:w="0" w:type="dxa"/>
              <w:right w:w="108" w:type="dxa"/>
            </w:tcMar>
            <w:vAlign w:val="center"/>
          </w:tcPr>
          <w:p w14:paraId="6B0073BB" w14:textId="77777777" w:rsidR="00284822" w:rsidRDefault="00F77BF8">
            <w:pPr>
              <w:rPr>
                <w:rFonts w:ascii="Rockwell" w:hAnsi="Rockwell"/>
                <w:color w:val="000000"/>
                <w:sz w:val="20"/>
                <w:szCs w:val="20"/>
              </w:rPr>
            </w:pPr>
            <w:r>
              <w:rPr>
                <w:rFonts w:ascii="Rockwell" w:hAnsi="Rockwell"/>
                <w:color w:val="000000"/>
                <w:sz w:val="20"/>
                <w:szCs w:val="20"/>
              </w:rPr>
              <w:t>3,23%</w:t>
            </w:r>
          </w:p>
        </w:tc>
      </w:tr>
      <w:tr w:rsidR="00284822" w14:paraId="1C89FB60" w14:textId="77777777">
        <w:trPr>
          <w:trHeight w:val="274"/>
          <w:jc w:val="center"/>
        </w:trPr>
        <w:tc>
          <w:tcPr>
            <w:tcW w:w="988" w:type="dxa"/>
            <w:shd w:val="clear" w:color="auto" w:fill="FFFFFF" w:themeFill="background1"/>
            <w:noWrap/>
            <w:tcMar>
              <w:top w:w="0" w:type="dxa"/>
              <w:left w:w="108" w:type="dxa"/>
              <w:bottom w:w="0" w:type="dxa"/>
              <w:right w:w="108" w:type="dxa"/>
            </w:tcMar>
            <w:vAlign w:val="bottom"/>
          </w:tcPr>
          <w:p w14:paraId="30FF98DA" w14:textId="77777777" w:rsidR="00284822" w:rsidRDefault="00F77BF8">
            <w:pPr>
              <w:rPr>
                <w:rFonts w:ascii="Rockwell" w:hAnsi="Rockwell"/>
                <w:bCs/>
                <w:color w:val="000000"/>
                <w:sz w:val="20"/>
                <w:szCs w:val="20"/>
              </w:rPr>
            </w:pPr>
            <w:r>
              <w:rPr>
                <w:rFonts w:ascii="Rockwell" w:hAnsi="Rockwell"/>
                <w:bCs/>
                <w:color w:val="000000"/>
                <w:sz w:val="20"/>
                <w:szCs w:val="20"/>
              </w:rPr>
              <w:t>21</w:t>
            </w:r>
          </w:p>
        </w:tc>
        <w:tc>
          <w:tcPr>
            <w:tcW w:w="1559" w:type="dxa"/>
            <w:shd w:val="clear" w:color="auto" w:fill="FFFFFF" w:themeFill="background1"/>
            <w:tcMar>
              <w:top w:w="0" w:type="dxa"/>
              <w:left w:w="108" w:type="dxa"/>
              <w:bottom w:w="0" w:type="dxa"/>
              <w:right w:w="108" w:type="dxa"/>
            </w:tcMar>
          </w:tcPr>
          <w:p w14:paraId="5897A67B" w14:textId="77777777" w:rsidR="00284822" w:rsidRDefault="00F77BF8">
            <w:pPr>
              <w:jc w:val="left"/>
              <w:rPr>
                <w:rFonts w:ascii="Rockwell" w:hAnsi="Rockwell"/>
                <w:b/>
                <w:color w:val="000000"/>
                <w:sz w:val="20"/>
                <w:szCs w:val="20"/>
              </w:rPr>
            </w:pPr>
            <w:r>
              <w:rPr>
                <w:rFonts w:ascii="Rockwell" w:hAnsi="Rockwell"/>
                <w:b/>
                <w:color w:val="000000"/>
                <w:sz w:val="20"/>
                <w:szCs w:val="20"/>
              </w:rPr>
              <w:t>MRD</w:t>
            </w:r>
          </w:p>
        </w:tc>
        <w:tc>
          <w:tcPr>
            <w:tcW w:w="850" w:type="dxa"/>
            <w:shd w:val="clear" w:color="auto" w:fill="FFFFFF" w:themeFill="background1"/>
            <w:tcMar>
              <w:top w:w="0" w:type="dxa"/>
              <w:left w:w="108" w:type="dxa"/>
              <w:bottom w:w="0" w:type="dxa"/>
              <w:right w:w="108" w:type="dxa"/>
            </w:tcMar>
            <w:vAlign w:val="center"/>
          </w:tcPr>
          <w:p w14:paraId="4CDA9ADE"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79741CD9"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57" w:type="dxa"/>
            <w:shd w:val="clear" w:color="auto" w:fill="FFFFFF" w:themeFill="background1"/>
            <w:tcMar>
              <w:top w:w="0" w:type="dxa"/>
              <w:left w:w="108" w:type="dxa"/>
              <w:bottom w:w="0" w:type="dxa"/>
              <w:right w:w="108" w:type="dxa"/>
            </w:tcMar>
            <w:vAlign w:val="center"/>
          </w:tcPr>
          <w:p w14:paraId="7683A7BD"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44" w:type="dxa"/>
            <w:shd w:val="clear" w:color="auto" w:fill="FFFFFF" w:themeFill="background1"/>
            <w:tcMar>
              <w:top w:w="0" w:type="dxa"/>
              <w:left w:w="108" w:type="dxa"/>
              <w:bottom w:w="0" w:type="dxa"/>
              <w:right w:w="108" w:type="dxa"/>
            </w:tcMar>
            <w:vAlign w:val="center"/>
          </w:tcPr>
          <w:p w14:paraId="33C7080E"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8" w:type="dxa"/>
            <w:shd w:val="clear" w:color="auto" w:fill="FFFFFF" w:themeFill="background1"/>
            <w:tcMar>
              <w:top w:w="0" w:type="dxa"/>
              <w:left w:w="108" w:type="dxa"/>
              <w:bottom w:w="0" w:type="dxa"/>
              <w:right w:w="108" w:type="dxa"/>
            </w:tcMar>
            <w:vAlign w:val="center"/>
          </w:tcPr>
          <w:p w14:paraId="758CC771"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34CC2965"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26" w:type="dxa"/>
            <w:shd w:val="clear" w:color="auto" w:fill="FFFFFF" w:themeFill="background1"/>
            <w:tcMar>
              <w:top w:w="0" w:type="dxa"/>
              <w:left w:w="108" w:type="dxa"/>
              <w:bottom w:w="0" w:type="dxa"/>
              <w:right w:w="108" w:type="dxa"/>
            </w:tcMar>
            <w:vAlign w:val="center"/>
          </w:tcPr>
          <w:p w14:paraId="175CDE89"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75" w:type="dxa"/>
            <w:shd w:val="clear" w:color="auto" w:fill="FFFFFF" w:themeFill="background1"/>
            <w:tcMar>
              <w:top w:w="0" w:type="dxa"/>
              <w:left w:w="108" w:type="dxa"/>
              <w:bottom w:w="0" w:type="dxa"/>
              <w:right w:w="108" w:type="dxa"/>
            </w:tcMar>
            <w:vAlign w:val="center"/>
          </w:tcPr>
          <w:p w14:paraId="60D1F540"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71BA7D07"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2" w:type="dxa"/>
            <w:shd w:val="clear" w:color="auto" w:fill="FFFFFF" w:themeFill="background1"/>
            <w:tcMar>
              <w:top w:w="0" w:type="dxa"/>
              <w:left w:w="108" w:type="dxa"/>
              <w:bottom w:w="0" w:type="dxa"/>
              <w:right w:w="108" w:type="dxa"/>
            </w:tcMar>
            <w:vAlign w:val="center"/>
          </w:tcPr>
          <w:p w14:paraId="1A5B5B26"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9" w:type="dxa"/>
            <w:shd w:val="clear" w:color="auto" w:fill="FFFFFF" w:themeFill="background1"/>
            <w:tcMar>
              <w:top w:w="0" w:type="dxa"/>
              <w:left w:w="108" w:type="dxa"/>
              <w:bottom w:w="0" w:type="dxa"/>
              <w:right w:w="108" w:type="dxa"/>
            </w:tcMar>
            <w:vAlign w:val="center"/>
          </w:tcPr>
          <w:p w14:paraId="3DC47FF8"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2" w:type="dxa"/>
            <w:shd w:val="clear" w:color="auto" w:fill="FFFFFF" w:themeFill="background1"/>
            <w:tcMar>
              <w:top w:w="0" w:type="dxa"/>
              <w:left w:w="108" w:type="dxa"/>
              <w:bottom w:w="0" w:type="dxa"/>
              <w:right w:w="108" w:type="dxa"/>
            </w:tcMar>
            <w:vAlign w:val="center"/>
          </w:tcPr>
          <w:p w14:paraId="366E2BA7"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850" w:type="dxa"/>
            <w:shd w:val="clear" w:color="auto" w:fill="FFFFFF" w:themeFill="background1"/>
            <w:tcMar>
              <w:top w:w="0" w:type="dxa"/>
              <w:left w:w="108" w:type="dxa"/>
              <w:bottom w:w="0" w:type="dxa"/>
              <w:right w:w="108" w:type="dxa"/>
            </w:tcMar>
            <w:vAlign w:val="center"/>
          </w:tcPr>
          <w:p w14:paraId="3B8D8859"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3FB4A0A3"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0F83730C"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850" w:type="dxa"/>
            <w:shd w:val="clear" w:color="auto" w:fill="FFFFFF" w:themeFill="background1"/>
            <w:tcMar>
              <w:top w:w="0" w:type="dxa"/>
              <w:left w:w="108" w:type="dxa"/>
              <w:bottom w:w="0" w:type="dxa"/>
              <w:right w:w="108" w:type="dxa"/>
            </w:tcMar>
            <w:vAlign w:val="center"/>
          </w:tcPr>
          <w:p w14:paraId="40E14111" w14:textId="77777777" w:rsidR="00284822" w:rsidRDefault="00F77BF8">
            <w:pPr>
              <w:rPr>
                <w:rFonts w:ascii="Rockwell" w:hAnsi="Rockwell"/>
                <w:color w:val="000000"/>
                <w:sz w:val="20"/>
                <w:szCs w:val="20"/>
              </w:rPr>
            </w:pPr>
            <w:r>
              <w:rPr>
                <w:rFonts w:ascii="Rockwell" w:hAnsi="Rockwell"/>
                <w:color w:val="000000"/>
                <w:sz w:val="20"/>
                <w:szCs w:val="20"/>
              </w:rPr>
              <w:t>0,00%</w:t>
            </w:r>
          </w:p>
        </w:tc>
      </w:tr>
      <w:tr w:rsidR="00284822" w14:paraId="3E46E517" w14:textId="77777777">
        <w:trPr>
          <w:trHeight w:val="279"/>
          <w:jc w:val="center"/>
        </w:trPr>
        <w:tc>
          <w:tcPr>
            <w:tcW w:w="988" w:type="dxa"/>
            <w:shd w:val="clear" w:color="auto" w:fill="FFFFFF" w:themeFill="background1"/>
            <w:noWrap/>
            <w:tcMar>
              <w:top w:w="0" w:type="dxa"/>
              <w:left w:w="108" w:type="dxa"/>
              <w:bottom w:w="0" w:type="dxa"/>
              <w:right w:w="108" w:type="dxa"/>
            </w:tcMar>
            <w:vAlign w:val="bottom"/>
          </w:tcPr>
          <w:p w14:paraId="747D4F50" w14:textId="77777777" w:rsidR="00284822" w:rsidRDefault="00F77BF8">
            <w:pPr>
              <w:rPr>
                <w:rFonts w:ascii="Rockwell" w:hAnsi="Rockwell"/>
                <w:bCs/>
                <w:color w:val="000000"/>
                <w:sz w:val="20"/>
                <w:szCs w:val="20"/>
              </w:rPr>
            </w:pPr>
            <w:r>
              <w:rPr>
                <w:rFonts w:ascii="Rockwell" w:hAnsi="Rockwell"/>
                <w:bCs/>
                <w:color w:val="000000"/>
                <w:sz w:val="20"/>
                <w:szCs w:val="20"/>
              </w:rPr>
              <w:t>22</w:t>
            </w:r>
          </w:p>
        </w:tc>
        <w:tc>
          <w:tcPr>
            <w:tcW w:w="1559" w:type="dxa"/>
            <w:shd w:val="clear" w:color="auto" w:fill="FFFFFF" w:themeFill="background1"/>
            <w:tcMar>
              <w:top w:w="0" w:type="dxa"/>
              <w:left w:w="108" w:type="dxa"/>
              <w:bottom w:w="0" w:type="dxa"/>
              <w:right w:w="108" w:type="dxa"/>
            </w:tcMar>
          </w:tcPr>
          <w:p w14:paraId="0658AE2C" w14:textId="77777777" w:rsidR="00284822" w:rsidRDefault="00F77BF8">
            <w:pPr>
              <w:jc w:val="left"/>
              <w:rPr>
                <w:rFonts w:ascii="Rockwell" w:hAnsi="Rockwell"/>
                <w:b/>
                <w:color w:val="000000"/>
                <w:sz w:val="20"/>
                <w:szCs w:val="20"/>
              </w:rPr>
            </w:pPr>
            <w:r>
              <w:rPr>
                <w:rFonts w:ascii="Rockwell" w:hAnsi="Rockwell"/>
                <w:b/>
                <w:color w:val="000000"/>
                <w:sz w:val="20"/>
                <w:szCs w:val="20"/>
              </w:rPr>
              <w:t>MRP</w:t>
            </w:r>
          </w:p>
        </w:tc>
        <w:tc>
          <w:tcPr>
            <w:tcW w:w="850" w:type="dxa"/>
            <w:shd w:val="clear" w:color="auto" w:fill="FFFFFF" w:themeFill="background1"/>
            <w:tcMar>
              <w:top w:w="0" w:type="dxa"/>
              <w:left w:w="108" w:type="dxa"/>
              <w:bottom w:w="0" w:type="dxa"/>
              <w:right w:w="108" w:type="dxa"/>
            </w:tcMar>
            <w:vAlign w:val="center"/>
          </w:tcPr>
          <w:p w14:paraId="131E7613"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12A47133"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57" w:type="dxa"/>
            <w:shd w:val="clear" w:color="auto" w:fill="FFFFFF" w:themeFill="background1"/>
            <w:tcMar>
              <w:top w:w="0" w:type="dxa"/>
              <w:left w:w="108" w:type="dxa"/>
              <w:bottom w:w="0" w:type="dxa"/>
              <w:right w:w="108" w:type="dxa"/>
            </w:tcMar>
            <w:vAlign w:val="center"/>
          </w:tcPr>
          <w:p w14:paraId="49977124"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44" w:type="dxa"/>
            <w:shd w:val="clear" w:color="auto" w:fill="FFFFFF" w:themeFill="background1"/>
            <w:tcMar>
              <w:top w:w="0" w:type="dxa"/>
              <w:left w:w="108" w:type="dxa"/>
              <w:bottom w:w="0" w:type="dxa"/>
              <w:right w:w="108" w:type="dxa"/>
            </w:tcMar>
            <w:vAlign w:val="center"/>
          </w:tcPr>
          <w:p w14:paraId="51DC5415"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8" w:type="dxa"/>
            <w:shd w:val="clear" w:color="auto" w:fill="FFFFFF" w:themeFill="background1"/>
            <w:tcMar>
              <w:top w:w="0" w:type="dxa"/>
              <w:left w:w="108" w:type="dxa"/>
              <w:bottom w:w="0" w:type="dxa"/>
              <w:right w:w="108" w:type="dxa"/>
            </w:tcMar>
            <w:vAlign w:val="center"/>
          </w:tcPr>
          <w:p w14:paraId="0C9299F3"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6F28BD77"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26" w:type="dxa"/>
            <w:shd w:val="clear" w:color="auto" w:fill="FFFFFF" w:themeFill="background1"/>
            <w:tcMar>
              <w:top w:w="0" w:type="dxa"/>
              <w:left w:w="108" w:type="dxa"/>
              <w:bottom w:w="0" w:type="dxa"/>
              <w:right w:w="108" w:type="dxa"/>
            </w:tcMar>
            <w:vAlign w:val="center"/>
          </w:tcPr>
          <w:p w14:paraId="08F9754C"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75" w:type="dxa"/>
            <w:shd w:val="clear" w:color="auto" w:fill="FFFFFF" w:themeFill="background1"/>
            <w:tcMar>
              <w:top w:w="0" w:type="dxa"/>
              <w:left w:w="108" w:type="dxa"/>
              <w:bottom w:w="0" w:type="dxa"/>
              <w:right w:w="108" w:type="dxa"/>
            </w:tcMar>
            <w:vAlign w:val="center"/>
          </w:tcPr>
          <w:p w14:paraId="651589D9"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06562E3D" w14:textId="77777777" w:rsidR="00284822" w:rsidRDefault="00F77BF8">
            <w:pPr>
              <w:rPr>
                <w:rFonts w:ascii="Rockwell" w:hAnsi="Rockwell"/>
                <w:color w:val="000000"/>
                <w:sz w:val="20"/>
                <w:szCs w:val="20"/>
              </w:rPr>
            </w:pPr>
            <w:r>
              <w:rPr>
                <w:rFonts w:ascii="Rockwell" w:hAnsi="Rockwell"/>
                <w:color w:val="000000"/>
                <w:sz w:val="20"/>
                <w:szCs w:val="20"/>
              </w:rPr>
              <w:t>1/3</w:t>
            </w:r>
          </w:p>
        </w:tc>
        <w:tc>
          <w:tcPr>
            <w:tcW w:w="992" w:type="dxa"/>
            <w:shd w:val="clear" w:color="auto" w:fill="FFFFFF" w:themeFill="background1"/>
            <w:tcMar>
              <w:top w:w="0" w:type="dxa"/>
              <w:left w:w="108" w:type="dxa"/>
              <w:bottom w:w="0" w:type="dxa"/>
              <w:right w:w="108" w:type="dxa"/>
            </w:tcMar>
            <w:vAlign w:val="center"/>
          </w:tcPr>
          <w:p w14:paraId="33389CEC" w14:textId="77777777" w:rsidR="00284822" w:rsidRDefault="00F77BF8">
            <w:pPr>
              <w:rPr>
                <w:rFonts w:ascii="Rockwell" w:hAnsi="Rockwell"/>
                <w:color w:val="000000"/>
                <w:sz w:val="20"/>
                <w:szCs w:val="20"/>
              </w:rPr>
            </w:pPr>
            <w:r>
              <w:rPr>
                <w:rFonts w:ascii="Rockwell" w:hAnsi="Rockwell"/>
                <w:color w:val="000000"/>
                <w:sz w:val="20"/>
                <w:szCs w:val="20"/>
              </w:rPr>
              <w:t>0,51%</w:t>
            </w:r>
          </w:p>
        </w:tc>
        <w:tc>
          <w:tcPr>
            <w:tcW w:w="709" w:type="dxa"/>
            <w:shd w:val="clear" w:color="auto" w:fill="FFFFFF" w:themeFill="background1"/>
            <w:tcMar>
              <w:top w:w="0" w:type="dxa"/>
              <w:left w:w="108" w:type="dxa"/>
              <w:bottom w:w="0" w:type="dxa"/>
              <w:right w:w="108" w:type="dxa"/>
            </w:tcMar>
            <w:vAlign w:val="center"/>
          </w:tcPr>
          <w:p w14:paraId="1DE8DD82" w14:textId="77777777" w:rsidR="00284822" w:rsidRDefault="00F77BF8">
            <w:pPr>
              <w:rPr>
                <w:rFonts w:ascii="Rockwell" w:hAnsi="Rockwell"/>
                <w:color w:val="000000"/>
                <w:sz w:val="20"/>
                <w:szCs w:val="20"/>
              </w:rPr>
            </w:pPr>
            <w:r>
              <w:rPr>
                <w:rFonts w:ascii="Rockwell" w:hAnsi="Rockwell"/>
                <w:color w:val="000000"/>
                <w:sz w:val="20"/>
                <w:szCs w:val="20"/>
              </w:rPr>
              <w:t>1</w:t>
            </w:r>
          </w:p>
        </w:tc>
        <w:tc>
          <w:tcPr>
            <w:tcW w:w="992" w:type="dxa"/>
            <w:shd w:val="clear" w:color="auto" w:fill="FFFFFF" w:themeFill="background1"/>
            <w:tcMar>
              <w:top w:w="0" w:type="dxa"/>
              <w:left w:w="108" w:type="dxa"/>
              <w:bottom w:w="0" w:type="dxa"/>
              <w:right w:w="108" w:type="dxa"/>
            </w:tcMar>
            <w:vAlign w:val="center"/>
          </w:tcPr>
          <w:p w14:paraId="09867A8E" w14:textId="77777777" w:rsidR="00284822" w:rsidRDefault="00F77BF8">
            <w:pPr>
              <w:rPr>
                <w:rFonts w:ascii="Rockwell" w:hAnsi="Rockwell"/>
                <w:color w:val="000000"/>
                <w:sz w:val="20"/>
                <w:szCs w:val="20"/>
              </w:rPr>
            </w:pPr>
            <w:r>
              <w:rPr>
                <w:rFonts w:ascii="Rockwell" w:hAnsi="Rockwell"/>
                <w:color w:val="000000"/>
                <w:sz w:val="20"/>
                <w:szCs w:val="20"/>
              </w:rPr>
              <w:t>0,86%</w:t>
            </w:r>
          </w:p>
        </w:tc>
        <w:tc>
          <w:tcPr>
            <w:tcW w:w="850" w:type="dxa"/>
            <w:shd w:val="clear" w:color="auto" w:fill="FFFFFF" w:themeFill="background1"/>
            <w:tcMar>
              <w:top w:w="0" w:type="dxa"/>
              <w:left w:w="108" w:type="dxa"/>
              <w:bottom w:w="0" w:type="dxa"/>
              <w:right w:w="108" w:type="dxa"/>
            </w:tcMar>
            <w:vAlign w:val="center"/>
          </w:tcPr>
          <w:p w14:paraId="07184127"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4888250C"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2A0219D3"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850" w:type="dxa"/>
            <w:shd w:val="clear" w:color="auto" w:fill="FFFFFF" w:themeFill="background1"/>
            <w:tcMar>
              <w:top w:w="0" w:type="dxa"/>
              <w:left w:w="108" w:type="dxa"/>
              <w:bottom w:w="0" w:type="dxa"/>
              <w:right w:w="108" w:type="dxa"/>
            </w:tcMar>
            <w:vAlign w:val="center"/>
          </w:tcPr>
          <w:p w14:paraId="2DA56CAD" w14:textId="77777777" w:rsidR="00284822" w:rsidRDefault="00F77BF8">
            <w:pPr>
              <w:rPr>
                <w:rFonts w:ascii="Rockwell" w:hAnsi="Rockwell"/>
                <w:color w:val="000000"/>
                <w:sz w:val="20"/>
                <w:szCs w:val="20"/>
              </w:rPr>
            </w:pPr>
            <w:r>
              <w:rPr>
                <w:rFonts w:ascii="Rockwell" w:hAnsi="Rockwell"/>
                <w:color w:val="000000"/>
                <w:sz w:val="20"/>
                <w:szCs w:val="20"/>
              </w:rPr>
              <w:t>0,00%</w:t>
            </w:r>
          </w:p>
        </w:tc>
      </w:tr>
      <w:tr w:rsidR="00284822" w14:paraId="0162655E" w14:textId="77777777">
        <w:trPr>
          <w:trHeight w:val="410"/>
          <w:jc w:val="center"/>
        </w:trPr>
        <w:tc>
          <w:tcPr>
            <w:tcW w:w="988" w:type="dxa"/>
            <w:shd w:val="clear" w:color="auto" w:fill="FFFFFF" w:themeFill="background1"/>
            <w:noWrap/>
            <w:tcMar>
              <w:top w:w="0" w:type="dxa"/>
              <w:left w:w="108" w:type="dxa"/>
              <w:bottom w:w="0" w:type="dxa"/>
              <w:right w:w="108" w:type="dxa"/>
            </w:tcMar>
          </w:tcPr>
          <w:p w14:paraId="40CF7EB1" w14:textId="77777777" w:rsidR="00284822" w:rsidRDefault="00F77BF8">
            <w:pPr>
              <w:jc w:val="left"/>
              <w:rPr>
                <w:rFonts w:ascii="Rockwell" w:hAnsi="Rockwell"/>
                <w:bCs/>
                <w:color w:val="000000"/>
                <w:sz w:val="20"/>
                <w:szCs w:val="20"/>
              </w:rPr>
            </w:pPr>
            <w:r>
              <w:rPr>
                <w:rFonts w:ascii="Rockwell" w:hAnsi="Rockwell"/>
                <w:bCs/>
                <w:color w:val="000000"/>
                <w:sz w:val="20"/>
                <w:szCs w:val="20"/>
              </w:rPr>
              <w:t>23</w:t>
            </w:r>
          </w:p>
        </w:tc>
        <w:tc>
          <w:tcPr>
            <w:tcW w:w="1559" w:type="dxa"/>
            <w:shd w:val="clear" w:color="auto" w:fill="FFFFFF" w:themeFill="background1"/>
            <w:tcMar>
              <w:top w:w="0" w:type="dxa"/>
              <w:left w:w="108" w:type="dxa"/>
              <w:bottom w:w="0" w:type="dxa"/>
              <w:right w:w="108" w:type="dxa"/>
            </w:tcMar>
          </w:tcPr>
          <w:p w14:paraId="733C363F" w14:textId="77777777" w:rsidR="00284822" w:rsidRDefault="00F77BF8">
            <w:pPr>
              <w:jc w:val="left"/>
              <w:rPr>
                <w:rFonts w:ascii="Rockwell" w:hAnsi="Rockwell"/>
                <w:b/>
                <w:color w:val="000000"/>
                <w:sz w:val="20"/>
                <w:szCs w:val="20"/>
              </w:rPr>
            </w:pPr>
            <w:r>
              <w:rPr>
                <w:rFonts w:ascii="Rockwell" w:hAnsi="Rockwell"/>
                <w:b/>
                <w:color w:val="000000"/>
                <w:sz w:val="20"/>
                <w:szCs w:val="20"/>
              </w:rPr>
              <w:t>NAFA</w:t>
            </w:r>
          </w:p>
        </w:tc>
        <w:tc>
          <w:tcPr>
            <w:tcW w:w="850" w:type="dxa"/>
            <w:shd w:val="clear" w:color="auto" w:fill="FFFFFF" w:themeFill="background1"/>
            <w:tcMar>
              <w:top w:w="0" w:type="dxa"/>
              <w:left w:w="108" w:type="dxa"/>
              <w:bottom w:w="0" w:type="dxa"/>
              <w:right w:w="108" w:type="dxa"/>
            </w:tcMar>
            <w:vAlign w:val="center"/>
          </w:tcPr>
          <w:p w14:paraId="67FA08F1"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7E3601B4"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57" w:type="dxa"/>
            <w:shd w:val="clear" w:color="auto" w:fill="FFFFFF" w:themeFill="background1"/>
            <w:tcMar>
              <w:top w:w="0" w:type="dxa"/>
              <w:left w:w="108" w:type="dxa"/>
              <w:bottom w:w="0" w:type="dxa"/>
              <w:right w:w="108" w:type="dxa"/>
            </w:tcMar>
            <w:vAlign w:val="center"/>
          </w:tcPr>
          <w:p w14:paraId="78EC55C4"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44" w:type="dxa"/>
            <w:shd w:val="clear" w:color="auto" w:fill="FFFFFF" w:themeFill="background1"/>
            <w:tcMar>
              <w:top w:w="0" w:type="dxa"/>
              <w:left w:w="108" w:type="dxa"/>
              <w:bottom w:w="0" w:type="dxa"/>
              <w:right w:w="108" w:type="dxa"/>
            </w:tcMar>
            <w:vAlign w:val="center"/>
          </w:tcPr>
          <w:p w14:paraId="1DA33851"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8" w:type="dxa"/>
            <w:shd w:val="clear" w:color="auto" w:fill="FFFFFF" w:themeFill="background1"/>
            <w:tcMar>
              <w:top w:w="0" w:type="dxa"/>
              <w:left w:w="108" w:type="dxa"/>
              <w:bottom w:w="0" w:type="dxa"/>
              <w:right w:w="108" w:type="dxa"/>
            </w:tcMar>
            <w:vAlign w:val="center"/>
          </w:tcPr>
          <w:p w14:paraId="19B4357F" w14:textId="77777777" w:rsidR="00284822" w:rsidRDefault="00F77BF8">
            <w:pPr>
              <w:rPr>
                <w:rFonts w:ascii="Rockwell" w:hAnsi="Rockwell"/>
                <w:color w:val="000000"/>
                <w:sz w:val="20"/>
                <w:szCs w:val="20"/>
              </w:rPr>
            </w:pPr>
            <w:r>
              <w:rPr>
                <w:rFonts w:ascii="Rockwell" w:hAnsi="Rockwell"/>
                <w:color w:val="000000"/>
                <w:sz w:val="20"/>
                <w:szCs w:val="20"/>
              </w:rPr>
              <w:t>1/6</w:t>
            </w:r>
          </w:p>
        </w:tc>
        <w:tc>
          <w:tcPr>
            <w:tcW w:w="993" w:type="dxa"/>
            <w:shd w:val="clear" w:color="auto" w:fill="FFFFFF" w:themeFill="background1"/>
            <w:tcMar>
              <w:top w:w="0" w:type="dxa"/>
              <w:left w:w="108" w:type="dxa"/>
              <w:bottom w:w="0" w:type="dxa"/>
              <w:right w:w="108" w:type="dxa"/>
            </w:tcMar>
            <w:vAlign w:val="center"/>
          </w:tcPr>
          <w:p w14:paraId="31751A36" w14:textId="77777777" w:rsidR="00284822" w:rsidRDefault="00F77BF8">
            <w:pPr>
              <w:rPr>
                <w:rFonts w:ascii="Rockwell" w:hAnsi="Rockwell"/>
                <w:color w:val="000000"/>
                <w:sz w:val="20"/>
                <w:szCs w:val="20"/>
              </w:rPr>
            </w:pPr>
            <w:r>
              <w:rPr>
                <w:rFonts w:ascii="Rockwell" w:hAnsi="Rockwell"/>
                <w:color w:val="000000"/>
                <w:sz w:val="20"/>
                <w:szCs w:val="20"/>
              </w:rPr>
              <w:t>0,37%</w:t>
            </w:r>
          </w:p>
        </w:tc>
        <w:tc>
          <w:tcPr>
            <w:tcW w:w="626" w:type="dxa"/>
            <w:shd w:val="clear" w:color="auto" w:fill="FFFFFF" w:themeFill="background1"/>
            <w:tcMar>
              <w:top w:w="0" w:type="dxa"/>
              <w:left w:w="108" w:type="dxa"/>
              <w:bottom w:w="0" w:type="dxa"/>
              <w:right w:w="108" w:type="dxa"/>
            </w:tcMar>
            <w:vAlign w:val="center"/>
          </w:tcPr>
          <w:p w14:paraId="747B519F" w14:textId="77777777" w:rsidR="00284822" w:rsidRDefault="00F77BF8">
            <w:pPr>
              <w:rPr>
                <w:rFonts w:ascii="Rockwell" w:hAnsi="Rockwell"/>
                <w:color w:val="000000"/>
                <w:sz w:val="20"/>
                <w:szCs w:val="20"/>
              </w:rPr>
            </w:pPr>
            <w:r>
              <w:rPr>
                <w:rFonts w:ascii="Rockwell" w:hAnsi="Rockwell"/>
                <w:color w:val="000000"/>
                <w:sz w:val="20"/>
                <w:szCs w:val="20"/>
              </w:rPr>
              <w:t>1</w:t>
            </w:r>
          </w:p>
        </w:tc>
        <w:tc>
          <w:tcPr>
            <w:tcW w:w="1075" w:type="dxa"/>
            <w:shd w:val="clear" w:color="auto" w:fill="FFFFFF" w:themeFill="background1"/>
            <w:tcMar>
              <w:top w:w="0" w:type="dxa"/>
              <w:left w:w="108" w:type="dxa"/>
              <w:bottom w:w="0" w:type="dxa"/>
              <w:right w:w="108" w:type="dxa"/>
            </w:tcMar>
            <w:vAlign w:val="center"/>
          </w:tcPr>
          <w:p w14:paraId="39F72FF5" w14:textId="77777777" w:rsidR="00284822" w:rsidRDefault="00F77BF8">
            <w:pPr>
              <w:rPr>
                <w:rFonts w:ascii="Rockwell" w:hAnsi="Rockwell"/>
                <w:color w:val="000000"/>
                <w:sz w:val="20"/>
                <w:szCs w:val="20"/>
              </w:rPr>
            </w:pPr>
            <w:r>
              <w:rPr>
                <w:rFonts w:ascii="Rockwell" w:hAnsi="Rockwell"/>
                <w:color w:val="000000"/>
                <w:sz w:val="20"/>
                <w:szCs w:val="20"/>
              </w:rPr>
              <w:t>1,18%</w:t>
            </w:r>
          </w:p>
        </w:tc>
        <w:tc>
          <w:tcPr>
            <w:tcW w:w="567" w:type="dxa"/>
            <w:shd w:val="clear" w:color="auto" w:fill="FFFFFF" w:themeFill="background1"/>
            <w:tcMar>
              <w:top w:w="0" w:type="dxa"/>
              <w:left w:w="108" w:type="dxa"/>
              <w:bottom w:w="0" w:type="dxa"/>
              <w:right w:w="108" w:type="dxa"/>
            </w:tcMar>
            <w:vAlign w:val="center"/>
          </w:tcPr>
          <w:p w14:paraId="5AF792C2"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2" w:type="dxa"/>
            <w:shd w:val="clear" w:color="auto" w:fill="FFFFFF" w:themeFill="background1"/>
            <w:tcMar>
              <w:top w:w="0" w:type="dxa"/>
              <w:left w:w="108" w:type="dxa"/>
              <w:bottom w:w="0" w:type="dxa"/>
              <w:right w:w="108" w:type="dxa"/>
            </w:tcMar>
            <w:vAlign w:val="center"/>
          </w:tcPr>
          <w:p w14:paraId="66C604A0"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9" w:type="dxa"/>
            <w:shd w:val="clear" w:color="auto" w:fill="FFFFFF" w:themeFill="background1"/>
            <w:tcMar>
              <w:top w:w="0" w:type="dxa"/>
              <w:left w:w="108" w:type="dxa"/>
              <w:bottom w:w="0" w:type="dxa"/>
              <w:right w:w="108" w:type="dxa"/>
            </w:tcMar>
            <w:vAlign w:val="center"/>
          </w:tcPr>
          <w:p w14:paraId="55AC5A65"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2" w:type="dxa"/>
            <w:shd w:val="clear" w:color="auto" w:fill="FFFFFF" w:themeFill="background1"/>
            <w:tcMar>
              <w:top w:w="0" w:type="dxa"/>
              <w:left w:w="108" w:type="dxa"/>
              <w:bottom w:w="0" w:type="dxa"/>
              <w:right w:w="108" w:type="dxa"/>
            </w:tcMar>
            <w:vAlign w:val="center"/>
          </w:tcPr>
          <w:p w14:paraId="5014C096"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850" w:type="dxa"/>
            <w:shd w:val="clear" w:color="auto" w:fill="FFFFFF" w:themeFill="background1"/>
            <w:tcMar>
              <w:top w:w="0" w:type="dxa"/>
              <w:left w:w="108" w:type="dxa"/>
              <w:bottom w:w="0" w:type="dxa"/>
              <w:right w:w="108" w:type="dxa"/>
            </w:tcMar>
            <w:vAlign w:val="center"/>
          </w:tcPr>
          <w:p w14:paraId="472D29E9"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2AADAD4E"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63DE651F"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850" w:type="dxa"/>
            <w:shd w:val="clear" w:color="auto" w:fill="FFFFFF" w:themeFill="background1"/>
            <w:tcMar>
              <w:top w:w="0" w:type="dxa"/>
              <w:left w:w="108" w:type="dxa"/>
              <w:bottom w:w="0" w:type="dxa"/>
              <w:right w:w="108" w:type="dxa"/>
            </w:tcMar>
            <w:vAlign w:val="center"/>
          </w:tcPr>
          <w:p w14:paraId="65DA43A8" w14:textId="77777777" w:rsidR="00284822" w:rsidRDefault="00F77BF8">
            <w:pPr>
              <w:rPr>
                <w:rFonts w:ascii="Rockwell" w:hAnsi="Rockwell"/>
                <w:color w:val="000000"/>
                <w:sz w:val="20"/>
                <w:szCs w:val="20"/>
              </w:rPr>
            </w:pPr>
            <w:r>
              <w:rPr>
                <w:rFonts w:ascii="Rockwell" w:hAnsi="Rockwell"/>
                <w:color w:val="000000"/>
                <w:sz w:val="20"/>
                <w:szCs w:val="20"/>
              </w:rPr>
              <w:t>0,00%</w:t>
            </w:r>
          </w:p>
        </w:tc>
      </w:tr>
      <w:tr w:rsidR="00284822" w14:paraId="30E31900" w14:textId="77777777">
        <w:trPr>
          <w:trHeight w:val="415"/>
          <w:jc w:val="center"/>
        </w:trPr>
        <w:tc>
          <w:tcPr>
            <w:tcW w:w="988" w:type="dxa"/>
            <w:shd w:val="clear" w:color="auto" w:fill="FFFFFF" w:themeFill="background1"/>
            <w:noWrap/>
            <w:tcMar>
              <w:top w:w="0" w:type="dxa"/>
              <w:left w:w="108" w:type="dxa"/>
              <w:bottom w:w="0" w:type="dxa"/>
              <w:right w:w="108" w:type="dxa"/>
            </w:tcMar>
          </w:tcPr>
          <w:p w14:paraId="36D778C0" w14:textId="77777777" w:rsidR="00284822" w:rsidRDefault="00F77BF8">
            <w:pPr>
              <w:jc w:val="left"/>
              <w:rPr>
                <w:rFonts w:ascii="Rockwell" w:hAnsi="Rockwell"/>
                <w:bCs/>
                <w:color w:val="000000"/>
                <w:sz w:val="20"/>
                <w:szCs w:val="20"/>
              </w:rPr>
            </w:pPr>
            <w:r>
              <w:rPr>
                <w:rFonts w:ascii="Rockwell" w:hAnsi="Rockwell"/>
                <w:bCs/>
                <w:color w:val="000000"/>
                <w:sz w:val="20"/>
                <w:szCs w:val="20"/>
              </w:rPr>
              <w:t>24</w:t>
            </w:r>
          </w:p>
        </w:tc>
        <w:tc>
          <w:tcPr>
            <w:tcW w:w="1559" w:type="dxa"/>
            <w:shd w:val="clear" w:color="auto" w:fill="FFFFFF" w:themeFill="background1"/>
            <w:tcMar>
              <w:top w:w="0" w:type="dxa"/>
              <w:left w:w="108" w:type="dxa"/>
              <w:bottom w:w="0" w:type="dxa"/>
              <w:right w:w="108" w:type="dxa"/>
            </w:tcMar>
          </w:tcPr>
          <w:p w14:paraId="03404109" w14:textId="77777777" w:rsidR="00284822" w:rsidRDefault="00F77BF8">
            <w:pPr>
              <w:jc w:val="left"/>
              <w:rPr>
                <w:rFonts w:ascii="Rockwell" w:hAnsi="Rockwell"/>
                <w:b/>
                <w:color w:val="000000"/>
                <w:sz w:val="20"/>
                <w:szCs w:val="20"/>
              </w:rPr>
            </w:pPr>
            <w:r>
              <w:rPr>
                <w:rFonts w:ascii="Rockwell" w:hAnsi="Rockwell"/>
                <w:b/>
                <w:color w:val="000000"/>
                <w:sz w:val="20"/>
                <w:szCs w:val="20"/>
              </w:rPr>
              <w:t>NEDA</w:t>
            </w:r>
          </w:p>
        </w:tc>
        <w:tc>
          <w:tcPr>
            <w:tcW w:w="850" w:type="dxa"/>
            <w:shd w:val="clear" w:color="auto" w:fill="FFFFFF" w:themeFill="background1"/>
            <w:tcMar>
              <w:top w:w="0" w:type="dxa"/>
              <w:left w:w="108" w:type="dxa"/>
              <w:bottom w:w="0" w:type="dxa"/>
              <w:right w:w="108" w:type="dxa"/>
            </w:tcMar>
            <w:vAlign w:val="center"/>
          </w:tcPr>
          <w:p w14:paraId="530BA8B2"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015397E0"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57" w:type="dxa"/>
            <w:shd w:val="clear" w:color="auto" w:fill="FFFFFF" w:themeFill="background1"/>
            <w:tcMar>
              <w:top w:w="0" w:type="dxa"/>
              <w:left w:w="108" w:type="dxa"/>
              <w:bottom w:w="0" w:type="dxa"/>
              <w:right w:w="108" w:type="dxa"/>
            </w:tcMar>
            <w:vAlign w:val="center"/>
          </w:tcPr>
          <w:p w14:paraId="7EF6235E"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44" w:type="dxa"/>
            <w:shd w:val="clear" w:color="auto" w:fill="FFFFFF" w:themeFill="background1"/>
            <w:tcMar>
              <w:top w:w="0" w:type="dxa"/>
              <w:left w:w="108" w:type="dxa"/>
              <w:bottom w:w="0" w:type="dxa"/>
              <w:right w:w="108" w:type="dxa"/>
            </w:tcMar>
            <w:vAlign w:val="center"/>
          </w:tcPr>
          <w:p w14:paraId="43B7D9CA"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8" w:type="dxa"/>
            <w:shd w:val="clear" w:color="auto" w:fill="FFFFFF" w:themeFill="background1"/>
            <w:tcMar>
              <w:top w:w="0" w:type="dxa"/>
              <w:left w:w="108" w:type="dxa"/>
              <w:bottom w:w="0" w:type="dxa"/>
              <w:right w:w="108" w:type="dxa"/>
            </w:tcMar>
            <w:vAlign w:val="center"/>
          </w:tcPr>
          <w:p w14:paraId="7F2AFD82" w14:textId="77777777" w:rsidR="00284822" w:rsidRDefault="00F77BF8">
            <w:pPr>
              <w:rPr>
                <w:rFonts w:ascii="Rockwell" w:hAnsi="Rockwell"/>
                <w:color w:val="000000"/>
                <w:sz w:val="20"/>
                <w:szCs w:val="20"/>
              </w:rPr>
            </w:pPr>
            <w:proofErr w:type="gramStart"/>
            <w:r>
              <w:rPr>
                <w:rFonts w:ascii="Rockwell" w:hAnsi="Rockwell"/>
                <w:color w:val="000000"/>
                <w:sz w:val="20"/>
                <w:szCs w:val="20"/>
              </w:rPr>
              <w:t>½</w:t>
            </w:r>
            <w:proofErr w:type="gramEnd"/>
          </w:p>
        </w:tc>
        <w:tc>
          <w:tcPr>
            <w:tcW w:w="993" w:type="dxa"/>
            <w:shd w:val="clear" w:color="auto" w:fill="FFFFFF" w:themeFill="background1"/>
            <w:tcMar>
              <w:top w:w="0" w:type="dxa"/>
              <w:left w:w="108" w:type="dxa"/>
              <w:bottom w:w="0" w:type="dxa"/>
              <w:right w:w="108" w:type="dxa"/>
            </w:tcMar>
            <w:vAlign w:val="center"/>
          </w:tcPr>
          <w:p w14:paraId="2F4C7058" w14:textId="77777777" w:rsidR="00284822" w:rsidRDefault="00F77BF8">
            <w:pPr>
              <w:rPr>
                <w:rFonts w:ascii="Rockwell" w:hAnsi="Rockwell"/>
                <w:color w:val="000000"/>
                <w:sz w:val="20"/>
                <w:szCs w:val="20"/>
              </w:rPr>
            </w:pPr>
            <w:r>
              <w:rPr>
                <w:rFonts w:ascii="Rockwell" w:hAnsi="Rockwell"/>
                <w:color w:val="000000"/>
                <w:sz w:val="20"/>
                <w:szCs w:val="20"/>
              </w:rPr>
              <w:t>1,12%</w:t>
            </w:r>
          </w:p>
        </w:tc>
        <w:tc>
          <w:tcPr>
            <w:tcW w:w="626" w:type="dxa"/>
            <w:shd w:val="clear" w:color="auto" w:fill="FFFFFF" w:themeFill="background1"/>
            <w:tcMar>
              <w:top w:w="0" w:type="dxa"/>
              <w:left w:w="108" w:type="dxa"/>
              <w:bottom w:w="0" w:type="dxa"/>
              <w:right w:w="108" w:type="dxa"/>
            </w:tcMar>
            <w:vAlign w:val="center"/>
          </w:tcPr>
          <w:p w14:paraId="227EAD39" w14:textId="77777777" w:rsidR="00284822" w:rsidRDefault="00F77BF8">
            <w:pPr>
              <w:rPr>
                <w:rFonts w:ascii="Rockwell" w:hAnsi="Rockwell"/>
                <w:color w:val="000000"/>
                <w:sz w:val="20"/>
                <w:szCs w:val="20"/>
              </w:rPr>
            </w:pPr>
            <w:r>
              <w:rPr>
                <w:rFonts w:ascii="Rockwell" w:hAnsi="Rockwell"/>
                <w:color w:val="000000"/>
                <w:sz w:val="20"/>
                <w:szCs w:val="20"/>
              </w:rPr>
              <w:t>1</w:t>
            </w:r>
          </w:p>
        </w:tc>
        <w:tc>
          <w:tcPr>
            <w:tcW w:w="1075" w:type="dxa"/>
            <w:shd w:val="clear" w:color="auto" w:fill="FFFFFF" w:themeFill="background1"/>
            <w:tcMar>
              <w:top w:w="0" w:type="dxa"/>
              <w:left w:w="108" w:type="dxa"/>
              <w:bottom w:w="0" w:type="dxa"/>
              <w:right w:w="108" w:type="dxa"/>
            </w:tcMar>
            <w:vAlign w:val="center"/>
          </w:tcPr>
          <w:p w14:paraId="70C82198" w14:textId="77777777" w:rsidR="00284822" w:rsidRDefault="00F77BF8">
            <w:pPr>
              <w:rPr>
                <w:rFonts w:ascii="Rockwell" w:hAnsi="Rockwell"/>
                <w:color w:val="000000"/>
                <w:sz w:val="20"/>
                <w:szCs w:val="20"/>
              </w:rPr>
            </w:pPr>
            <w:r>
              <w:rPr>
                <w:rFonts w:ascii="Rockwell" w:hAnsi="Rockwell"/>
                <w:color w:val="000000"/>
                <w:sz w:val="20"/>
                <w:szCs w:val="20"/>
              </w:rPr>
              <w:t>1,18%</w:t>
            </w:r>
          </w:p>
        </w:tc>
        <w:tc>
          <w:tcPr>
            <w:tcW w:w="567" w:type="dxa"/>
            <w:shd w:val="clear" w:color="auto" w:fill="FFFFFF" w:themeFill="background1"/>
            <w:tcMar>
              <w:top w:w="0" w:type="dxa"/>
              <w:left w:w="108" w:type="dxa"/>
              <w:bottom w:w="0" w:type="dxa"/>
              <w:right w:w="108" w:type="dxa"/>
            </w:tcMar>
            <w:vAlign w:val="center"/>
          </w:tcPr>
          <w:p w14:paraId="48BDC5C5"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2" w:type="dxa"/>
            <w:shd w:val="clear" w:color="auto" w:fill="FFFFFF" w:themeFill="background1"/>
            <w:tcMar>
              <w:top w:w="0" w:type="dxa"/>
              <w:left w:w="108" w:type="dxa"/>
              <w:bottom w:w="0" w:type="dxa"/>
              <w:right w:w="108" w:type="dxa"/>
            </w:tcMar>
            <w:vAlign w:val="center"/>
          </w:tcPr>
          <w:p w14:paraId="3358F2A8"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9" w:type="dxa"/>
            <w:shd w:val="clear" w:color="auto" w:fill="FFFFFF" w:themeFill="background1"/>
            <w:tcMar>
              <w:top w:w="0" w:type="dxa"/>
              <w:left w:w="108" w:type="dxa"/>
              <w:bottom w:w="0" w:type="dxa"/>
              <w:right w:w="108" w:type="dxa"/>
            </w:tcMar>
            <w:vAlign w:val="center"/>
          </w:tcPr>
          <w:p w14:paraId="7661D392"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2" w:type="dxa"/>
            <w:shd w:val="clear" w:color="auto" w:fill="FFFFFF" w:themeFill="background1"/>
            <w:tcMar>
              <w:top w:w="0" w:type="dxa"/>
              <w:left w:w="108" w:type="dxa"/>
              <w:bottom w:w="0" w:type="dxa"/>
              <w:right w:w="108" w:type="dxa"/>
            </w:tcMar>
            <w:vAlign w:val="center"/>
          </w:tcPr>
          <w:p w14:paraId="21FE7F41"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850" w:type="dxa"/>
            <w:shd w:val="clear" w:color="auto" w:fill="FFFFFF" w:themeFill="background1"/>
            <w:tcMar>
              <w:top w:w="0" w:type="dxa"/>
              <w:left w:w="108" w:type="dxa"/>
              <w:bottom w:w="0" w:type="dxa"/>
              <w:right w:w="108" w:type="dxa"/>
            </w:tcMar>
            <w:vAlign w:val="center"/>
          </w:tcPr>
          <w:p w14:paraId="3B6493CA"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1C86888C"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7031265E"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850" w:type="dxa"/>
            <w:shd w:val="clear" w:color="auto" w:fill="FFFFFF" w:themeFill="background1"/>
            <w:tcMar>
              <w:top w:w="0" w:type="dxa"/>
              <w:left w:w="108" w:type="dxa"/>
              <w:bottom w:w="0" w:type="dxa"/>
              <w:right w:w="108" w:type="dxa"/>
            </w:tcMar>
            <w:vAlign w:val="center"/>
          </w:tcPr>
          <w:p w14:paraId="2899D73D" w14:textId="77777777" w:rsidR="00284822" w:rsidRDefault="00F77BF8">
            <w:pPr>
              <w:rPr>
                <w:rFonts w:ascii="Rockwell" w:hAnsi="Rockwell"/>
                <w:color w:val="000000"/>
                <w:sz w:val="20"/>
                <w:szCs w:val="20"/>
              </w:rPr>
            </w:pPr>
            <w:r>
              <w:rPr>
                <w:rFonts w:ascii="Rockwell" w:hAnsi="Rockwell"/>
                <w:color w:val="000000"/>
                <w:sz w:val="20"/>
                <w:szCs w:val="20"/>
              </w:rPr>
              <w:t>0,00%</w:t>
            </w:r>
          </w:p>
        </w:tc>
      </w:tr>
      <w:tr w:rsidR="00284822" w14:paraId="1AA0C80C" w14:textId="77777777">
        <w:trPr>
          <w:trHeight w:val="539"/>
          <w:jc w:val="center"/>
        </w:trPr>
        <w:tc>
          <w:tcPr>
            <w:tcW w:w="988" w:type="dxa"/>
            <w:shd w:val="clear" w:color="auto" w:fill="FFFFFF" w:themeFill="background1"/>
            <w:noWrap/>
            <w:tcMar>
              <w:top w:w="0" w:type="dxa"/>
              <w:left w:w="108" w:type="dxa"/>
              <w:bottom w:w="0" w:type="dxa"/>
              <w:right w:w="108" w:type="dxa"/>
            </w:tcMar>
          </w:tcPr>
          <w:p w14:paraId="1342E6AD" w14:textId="77777777" w:rsidR="00284822" w:rsidRDefault="00F77BF8">
            <w:pPr>
              <w:jc w:val="left"/>
              <w:rPr>
                <w:rFonts w:ascii="Rockwell" w:hAnsi="Rockwell"/>
                <w:bCs/>
                <w:color w:val="000000"/>
                <w:sz w:val="20"/>
                <w:szCs w:val="20"/>
              </w:rPr>
            </w:pPr>
            <w:r>
              <w:rPr>
                <w:rFonts w:ascii="Rockwell" w:hAnsi="Rockwell"/>
                <w:bCs/>
                <w:color w:val="000000"/>
                <w:sz w:val="20"/>
                <w:szCs w:val="20"/>
              </w:rPr>
              <w:t>25</w:t>
            </w:r>
          </w:p>
        </w:tc>
        <w:tc>
          <w:tcPr>
            <w:tcW w:w="1559" w:type="dxa"/>
            <w:shd w:val="clear" w:color="auto" w:fill="FFFFFF" w:themeFill="background1"/>
            <w:tcMar>
              <w:top w:w="0" w:type="dxa"/>
              <w:left w:w="108" w:type="dxa"/>
              <w:bottom w:w="0" w:type="dxa"/>
              <w:right w:w="108" w:type="dxa"/>
            </w:tcMar>
          </w:tcPr>
          <w:p w14:paraId="08982DE1" w14:textId="77777777" w:rsidR="00284822" w:rsidRDefault="00F77BF8">
            <w:pPr>
              <w:jc w:val="left"/>
              <w:rPr>
                <w:rFonts w:ascii="Rockwell" w:hAnsi="Rockwell"/>
                <w:b/>
                <w:color w:val="000000"/>
                <w:sz w:val="20"/>
                <w:szCs w:val="20"/>
              </w:rPr>
            </w:pPr>
            <w:r>
              <w:rPr>
                <w:rFonts w:ascii="Rockwell" w:hAnsi="Rockwell"/>
                <w:b/>
                <w:color w:val="000000"/>
                <w:sz w:val="20"/>
                <w:szCs w:val="20"/>
              </w:rPr>
              <w:t>NOVI</w:t>
            </w:r>
          </w:p>
        </w:tc>
        <w:tc>
          <w:tcPr>
            <w:tcW w:w="850" w:type="dxa"/>
            <w:shd w:val="clear" w:color="auto" w:fill="FFFFFF" w:themeFill="background1"/>
            <w:tcMar>
              <w:top w:w="0" w:type="dxa"/>
              <w:left w:w="108" w:type="dxa"/>
              <w:bottom w:w="0" w:type="dxa"/>
              <w:right w:w="108" w:type="dxa"/>
            </w:tcMar>
            <w:vAlign w:val="center"/>
          </w:tcPr>
          <w:p w14:paraId="5124B899"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08CAB7B4"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57" w:type="dxa"/>
            <w:shd w:val="clear" w:color="auto" w:fill="FFFFFF" w:themeFill="background1"/>
            <w:tcMar>
              <w:top w:w="0" w:type="dxa"/>
              <w:left w:w="108" w:type="dxa"/>
              <w:bottom w:w="0" w:type="dxa"/>
              <w:right w:w="108" w:type="dxa"/>
            </w:tcMar>
            <w:vAlign w:val="center"/>
          </w:tcPr>
          <w:p w14:paraId="63F61A01"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44" w:type="dxa"/>
            <w:shd w:val="clear" w:color="auto" w:fill="FFFFFF" w:themeFill="background1"/>
            <w:tcMar>
              <w:top w:w="0" w:type="dxa"/>
              <w:left w:w="108" w:type="dxa"/>
              <w:bottom w:w="0" w:type="dxa"/>
              <w:right w:w="108" w:type="dxa"/>
            </w:tcMar>
            <w:vAlign w:val="center"/>
          </w:tcPr>
          <w:p w14:paraId="7350793E"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8" w:type="dxa"/>
            <w:shd w:val="clear" w:color="auto" w:fill="FFFFFF" w:themeFill="background1"/>
            <w:tcMar>
              <w:top w:w="0" w:type="dxa"/>
              <w:left w:w="108" w:type="dxa"/>
              <w:bottom w:w="0" w:type="dxa"/>
              <w:right w:w="108" w:type="dxa"/>
            </w:tcMar>
            <w:vAlign w:val="center"/>
          </w:tcPr>
          <w:p w14:paraId="71483A67"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3" w:type="dxa"/>
            <w:shd w:val="clear" w:color="auto" w:fill="FFFFFF" w:themeFill="background1"/>
            <w:tcMar>
              <w:top w:w="0" w:type="dxa"/>
              <w:left w:w="108" w:type="dxa"/>
              <w:bottom w:w="0" w:type="dxa"/>
              <w:right w:w="108" w:type="dxa"/>
            </w:tcMar>
            <w:vAlign w:val="center"/>
          </w:tcPr>
          <w:p w14:paraId="7AF57D6C"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626" w:type="dxa"/>
            <w:shd w:val="clear" w:color="auto" w:fill="FFFFFF" w:themeFill="background1"/>
            <w:tcMar>
              <w:top w:w="0" w:type="dxa"/>
              <w:left w:w="108" w:type="dxa"/>
              <w:bottom w:w="0" w:type="dxa"/>
              <w:right w:w="108" w:type="dxa"/>
            </w:tcMar>
            <w:vAlign w:val="center"/>
          </w:tcPr>
          <w:p w14:paraId="36D989C0"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1075" w:type="dxa"/>
            <w:shd w:val="clear" w:color="auto" w:fill="FFFFFF" w:themeFill="background1"/>
            <w:tcMar>
              <w:top w:w="0" w:type="dxa"/>
              <w:left w:w="108" w:type="dxa"/>
              <w:bottom w:w="0" w:type="dxa"/>
              <w:right w:w="108" w:type="dxa"/>
            </w:tcMar>
            <w:vAlign w:val="center"/>
          </w:tcPr>
          <w:p w14:paraId="52866BC8"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567" w:type="dxa"/>
            <w:shd w:val="clear" w:color="auto" w:fill="FFFFFF" w:themeFill="background1"/>
            <w:tcMar>
              <w:top w:w="0" w:type="dxa"/>
              <w:left w:w="108" w:type="dxa"/>
              <w:bottom w:w="0" w:type="dxa"/>
              <w:right w:w="108" w:type="dxa"/>
            </w:tcMar>
            <w:vAlign w:val="center"/>
          </w:tcPr>
          <w:p w14:paraId="09E1BA1E"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2" w:type="dxa"/>
            <w:shd w:val="clear" w:color="auto" w:fill="FFFFFF" w:themeFill="background1"/>
            <w:tcMar>
              <w:top w:w="0" w:type="dxa"/>
              <w:left w:w="108" w:type="dxa"/>
              <w:bottom w:w="0" w:type="dxa"/>
              <w:right w:w="108" w:type="dxa"/>
            </w:tcMar>
            <w:vAlign w:val="center"/>
          </w:tcPr>
          <w:p w14:paraId="33ADB7F0"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709" w:type="dxa"/>
            <w:shd w:val="clear" w:color="auto" w:fill="FFFFFF" w:themeFill="background1"/>
            <w:tcMar>
              <w:top w:w="0" w:type="dxa"/>
              <w:left w:w="108" w:type="dxa"/>
              <w:bottom w:w="0" w:type="dxa"/>
              <w:right w:w="108" w:type="dxa"/>
            </w:tcMar>
            <w:vAlign w:val="center"/>
          </w:tcPr>
          <w:p w14:paraId="2A763E04" w14:textId="77777777" w:rsidR="00284822" w:rsidRDefault="00F77BF8">
            <w:pPr>
              <w:rPr>
                <w:rFonts w:ascii="Rockwell" w:hAnsi="Rockwell"/>
                <w:color w:val="000000"/>
                <w:sz w:val="20"/>
                <w:szCs w:val="20"/>
              </w:rPr>
            </w:pPr>
            <w:r>
              <w:rPr>
                <w:rFonts w:ascii="Rockwell" w:hAnsi="Rockwell"/>
                <w:color w:val="000000"/>
                <w:sz w:val="20"/>
                <w:szCs w:val="20"/>
              </w:rPr>
              <w:t>0</w:t>
            </w:r>
          </w:p>
        </w:tc>
        <w:tc>
          <w:tcPr>
            <w:tcW w:w="992" w:type="dxa"/>
            <w:shd w:val="clear" w:color="auto" w:fill="FFFFFF" w:themeFill="background1"/>
            <w:tcMar>
              <w:top w:w="0" w:type="dxa"/>
              <w:left w:w="108" w:type="dxa"/>
              <w:bottom w:w="0" w:type="dxa"/>
              <w:right w:w="108" w:type="dxa"/>
            </w:tcMar>
            <w:vAlign w:val="center"/>
          </w:tcPr>
          <w:p w14:paraId="1535F267" w14:textId="77777777" w:rsidR="00284822" w:rsidRDefault="00F77BF8">
            <w:pPr>
              <w:rPr>
                <w:rFonts w:ascii="Rockwell" w:hAnsi="Rockwell"/>
                <w:color w:val="000000"/>
                <w:sz w:val="20"/>
                <w:szCs w:val="20"/>
              </w:rPr>
            </w:pPr>
            <w:r>
              <w:rPr>
                <w:rFonts w:ascii="Rockwell" w:hAnsi="Rockwell"/>
                <w:color w:val="000000"/>
                <w:sz w:val="20"/>
                <w:szCs w:val="20"/>
              </w:rPr>
              <w:t>0,00%</w:t>
            </w:r>
          </w:p>
        </w:tc>
        <w:tc>
          <w:tcPr>
            <w:tcW w:w="850" w:type="dxa"/>
            <w:shd w:val="clear" w:color="auto" w:fill="FFFFFF" w:themeFill="background1"/>
            <w:tcMar>
              <w:top w:w="0" w:type="dxa"/>
              <w:left w:w="108" w:type="dxa"/>
              <w:bottom w:w="0" w:type="dxa"/>
              <w:right w:w="108" w:type="dxa"/>
            </w:tcMar>
            <w:vAlign w:val="center"/>
          </w:tcPr>
          <w:p w14:paraId="51A10FD1" w14:textId="77777777" w:rsidR="00284822" w:rsidRDefault="00F77BF8">
            <w:pPr>
              <w:rPr>
                <w:rFonts w:ascii="Rockwell" w:hAnsi="Rockwell"/>
                <w:color w:val="000000"/>
                <w:sz w:val="20"/>
                <w:szCs w:val="20"/>
              </w:rPr>
            </w:pPr>
            <w:r>
              <w:rPr>
                <w:rFonts w:ascii="Rockwell" w:hAnsi="Rockwell"/>
                <w:color w:val="000000"/>
                <w:sz w:val="20"/>
                <w:szCs w:val="20"/>
              </w:rPr>
              <w:t>1/2</w:t>
            </w:r>
          </w:p>
        </w:tc>
        <w:tc>
          <w:tcPr>
            <w:tcW w:w="993" w:type="dxa"/>
            <w:shd w:val="clear" w:color="auto" w:fill="FFFFFF" w:themeFill="background1"/>
            <w:tcMar>
              <w:top w:w="0" w:type="dxa"/>
              <w:left w:w="108" w:type="dxa"/>
              <w:bottom w:w="0" w:type="dxa"/>
              <w:right w:w="108" w:type="dxa"/>
            </w:tcMar>
            <w:vAlign w:val="center"/>
          </w:tcPr>
          <w:p w14:paraId="2AE899D2" w14:textId="77777777" w:rsidR="00284822" w:rsidRDefault="00F77BF8">
            <w:pPr>
              <w:rPr>
                <w:rFonts w:ascii="Rockwell" w:hAnsi="Rockwell"/>
                <w:color w:val="000000"/>
                <w:sz w:val="20"/>
                <w:szCs w:val="20"/>
              </w:rPr>
            </w:pPr>
            <w:r>
              <w:rPr>
                <w:rFonts w:ascii="Rockwell" w:hAnsi="Rockwell"/>
                <w:color w:val="000000"/>
                <w:sz w:val="20"/>
                <w:szCs w:val="20"/>
              </w:rPr>
              <w:t>1,58%</w:t>
            </w:r>
          </w:p>
        </w:tc>
        <w:tc>
          <w:tcPr>
            <w:tcW w:w="567" w:type="dxa"/>
            <w:shd w:val="clear" w:color="auto" w:fill="FFFFFF" w:themeFill="background1"/>
            <w:tcMar>
              <w:top w:w="0" w:type="dxa"/>
              <w:left w:w="108" w:type="dxa"/>
              <w:bottom w:w="0" w:type="dxa"/>
              <w:right w:w="108" w:type="dxa"/>
            </w:tcMar>
            <w:vAlign w:val="center"/>
          </w:tcPr>
          <w:p w14:paraId="3861DF69" w14:textId="77777777" w:rsidR="00284822" w:rsidRDefault="00F77BF8">
            <w:pPr>
              <w:rPr>
                <w:rFonts w:ascii="Rockwell" w:hAnsi="Rockwell"/>
                <w:color w:val="000000"/>
                <w:sz w:val="20"/>
                <w:szCs w:val="20"/>
              </w:rPr>
            </w:pPr>
            <w:r>
              <w:rPr>
                <w:rFonts w:ascii="Rockwell" w:hAnsi="Rockwell"/>
                <w:color w:val="000000"/>
                <w:sz w:val="20"/>
                <w:szCs w:val="20"/>
              </w:rPr>
              <w:t>2</w:t>
            </w:r>
          </w:p>
        </w:tc>
        <w:tc>
          <w:tcPr>
            <w:tcW w:w="850" w:type="dxa"/>
            <w:shd w:val="clear" w:color="auto" w:fill="FFFFFF" w:themeFill="background1"/>
            <w:tcMar>
              <w:top w:w="0" w:type="dxa"/>
              <w:left w:w="108" w:type="dxa"/>
              <w:bottom w:w="0" w:type="dxa"/>
              <w:right w:w="108" w:type="dxa"/>
            </w:tcMar>
            <w:vAlign w:val="center"/>
          </w:tcPr>
          <w:p w14:paraId="1DC49BFC" w14:textId="77777777" w:rsidR="00284822" w:rsidRDefault="00F77BF8">
            <w:pPr>
              <w:rPr>
                <w:rFonts w:ascii="Rockwell" w:hAnsi="Rockwell"/>
                <w:color w:val="000000"/>
                <w:sz w:val="20"/>
                <w:szCs w:val="20"/>
              </w:rPr>
            </w:pPr>
            <w:r>
              <w:rPr>
                <w:rFonts w:ascii="Rockwell" w:hAnsi="Rockwell"/>
                <w:color w:val="000000"/>
                <w:sz w:val="20"/>
                <w:szCs w:val="20"/>
              </w:rPr>
              <w:t>3,23%</w:t>
            </w:r>
          </w:p>
        </w:tc>
      </w:tr>
    </w:tbl>
    <w:p w14:paraId="41E74D5D" w14:textId="77777777" w:rsidR="00284822" w:rsidRDefault="00284822">
      <w:pPr>
        <w:tabs>
          <w:tab w:val="left" w:pos="3191"/>
          <w:tab w:val="left" w:pos="5877"/>
        </w:tabs>
        <w:spacing w:before="120" w:after="120"/>
        <w:ind w:left="360"/>
        <w:rPr>
          <w:rFonts w:ascii="Rockwell" w:hAnsi="Rockwell"/>
          <w:szCs w:val="26"/>
        </w:rPr>
        <w:sectPr w:rsidR="00284822">
          <w:pgSz w:w="16838" w:h="11906" w:orient="landscape"/>
          <w:pgMar w:top="1418" w:right="1418" w:bottom="1418" w:left="1418" w:header="720" w:footer="720" w:gutter="0"/>
          <w:cols w:space="720"/>
        </w:sectPr>
      </w:pPr>
    </w:p>
    <w:tbl>
      <w:tblPr>
        <w:tblW w:w="1502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10" w:type="dxa"/>
          <w:right w:w="10" w:type="dxa"/>
        </w:tblCellMar>
        <w:tblLook w:val="04A0" w:firstRow="1" w:lastRow="0" w:firstColumn="1" w:lastColumn="0" w:noHBand="0" w:noVBand="1"/>
      </w:tblPr>
      <w:tblGrid>
        <w:gridCol w:w="854"/>
        <w:gridCol w:w="1245"/>
        <w:gridCol w:w="715"/>
        <w:gridCol w:w="863"/>
        <w:gridCol w:w="543"/>
        <w:gridCol w:w="863"/>
        <w:gridCol w:w="682"/>
        <w:gridCol w:w="981"/>
        <w:gridCol w:w="686"/>
        <w:gridCol w:w="863"/>
        <w:gridCol w:w="699"/>
        <w:gridCol w:w="863"/>
        <w:gridCol w:w="688"/>
        <w:gridCol w:w="863"/>
        <w:gridCol w:w="690"/>
        <w:gridCol w:w="984"/>
        <w:gridCol w:w="693"/>
        <w:gridCol w:w="1251"/>
      </w:tblGrid>
      <w:tr w:rsidR="00284822" w14:paraId="7EBF721B" w14:textId="77777777">
        <w:trPr>
          <w:trHeight w:val="386"/>
        </w:trPr>
        <w:tc>
          <w:tcPr>
            <w:tcW w:w="854" w:type="dxa"/>
            <w:vMerge w:val="restart"/>
            <w:shd w:val="clear" w:color="auto" w:fill="9CC2E5" w:themeFill="accent1" w:themeFillTint="99"/>
            <w:noWrap/>
            <w:tcMar>
              <w:top w:w="0" w:type="dxa"/>
              <w:left w:w="108" w:type="dxa"/>
              <w:bottom w:w="0" w:type="dxa"/>
              <w:right w:w="108" w:type="dxa"/>
            </w:tcMar>
            <w:vAlign w:val="center"/>
          </w:tcPr>
          <w:p w14:paraId="6E29A0A1" w14:textId="77777777" w:rsidR="00284822" w:rsidRDefault="00F77BF8" w:rsidP="00EC515D">
            <w:pPr>
              <w:spacing w:line="240" w:lineRule="auto"/>
              <w:rPr>
                <w:rFonts w:ascii="Rockwell" w:hAnsi="Rockwell"/>
                <w:sz w:val="16"/>
                <w:szCs w:val="16"/>
              </w:rPr>
            </w:pPr>
            <w:r>
              <w:rPr>
                <w:rFonts w:ascii="Rockwell" w:hAnsi="Rockwell"/>
                <w:b/>
                <w:bCs/>
                <w:sz w:val="16"/>
                <w:szCs w:val="16"/>
              </w:rPr>
              <w:lastRenderedPageBreak/>
              <w:t>RANG</w:t>
            </w:r>
          </w:p>
        </w:tc>
        <w:tc>
          <w:tcPr>
            <w:tcW w:w="1245" w:type="dxa"/>
            <w:vMerge w:val="restart"/>
            <w:shd w:val="clear" w:color="auto" w:fill="9CC2E5" w:themeFill="accent1" w:themeFillTint="99"/>
            <w:tcMar>
              <w:top w:w="0" w:type="dxa"/>
              <w:left w:w="108" w:type="dxa"/>
              <w:bottom w:w="0" w:type="dxa"/>
              <w:right w:w="108" w:type="dxa"/>
            </w:tcMar>
            <w:vAlign w:val="center"/>
          </w:tcPr>
          <w:p w14:paraId="4E043F31" w14:textId="77777777" w:rsidR="00284822" w:rsidRDefault="00F77BF8" w:rsidP="00EC515D">
            <w:pPr>
              <w:spacing w:line="240" w:lineRule="auto"/>
              <w:rPr>
                <w:rFonts w:ascii="Rockwell" w:hAnsi="Rockwell"/>
                <w:b/>
                <w:bCs/>
                <w:color w:val="000000"/>
                <w:sz w:val="16"/>
                <w:szCs w:val="16"/>
              </w:rPr>
            </w:pPr>
            <w:r>
              <w:rPr>
                <w:rFonts w:ascii="Rockwell" w:hAnsi="Rockwell"/>
                <w:b/>
                <w:bCs/>
                <w:color w:val="000000"/>
                <w:sz w:val="16"/>
                <w:szCs w:val="16"/>
              </w:rPr>
              <w:t>ACTEURS POLITIQUES</w:t>
            </w:r>
          </w:p>
        </w:tc>
        <w:tc>
          <w:tcPr>
            <w:tcW w:w="3008" w:type="dxa"/>
            <w:gridSpan w:val="4"/>
            <w:shd w:val="clear" w:color="auto" w:fill="9CC2E5" w:themeFill="accent1" w:themeFillTint="99"/>
            <w:tcMar>
              <w:top w:w="0" w:type="dxa"/>
              <w:left w:w="108" w:type="dxa"/>
              <w:bottom w:w="0" w:type="dxa"/>
              <w:right w:w="108" w:type="dxa"/>
            </w:tcMar>
            <w:vAlign w:val="center"/>
          </w:tcPr>
          <w:p w14:paraId="13F91AA3" w14:textId="77777777" w:rsidR="00284822" w:rsidRDefault="003148F1" w:rsidP="00EC515D">
            <w:pPr>
              <w:spacing w:line="240" w:lineRule="auto"/>
              <w:jc w:val="center"/>
              <w:rPr>
                <w:rFonts w:ascii="Rockwell" w:hAnsi="Rockwell"/>
                <w:sz w:val="16"/>
                <w:szCs w:val="16"/>
              </w:rPr>
            </w:pPr>
            <w:hyperlink r:id="rId303" w:history="1">
              <w:r w:rsidR="00F77BF8">
                <w:rPr>
                  <w:rFonts w:ascii="Rockwell" w:hAnsi="Rockwell"/>
                  <w:b/>
                  <w:sz w:val="16"/>
                  <w:szCs w:val="16"/>
                </w:rPr>
                <w:t>AUJOURD'HUI AU FASO</w:t>
              </w:r>
            </w:hyperlink>
          </w:p>
        </w:tc>
        <w:tc>
          <w:tcPr>
            <w:tcW w:w="3251" w:type="dxa"/>
            <w:gridSpan w:val="4"/>
            <w:shd w:val="clear" w:color="auto" w:fill="9CC2E5" w:themeFill="accent1" w:themeFillTint="99"/>
            <w:tcMar>
              <w:top w:w="0" w:type="dxa"/>
              <w:left w:w="108" w:type="dxa"/>
              <w:bottom w:w="0" w:type="dxa"/>
              <w:right w:w="108" w:type="dxa"/>
            </w:tcMar>
            <w:vAlign w:val="center"/>
          </w:tcPr>
          <w:p w14:paraId="567F9EE7" w14:textId="77777777" w:rsidR="00284822" w:rsidRDefault="00F77BF8" w:rsidP="00EC515D">
            <w:pPr>
              <w:spacing w:line="240" w:lineRule="auto"/>
              <w:jc w:val="center"/>
              <w:rPr>
                <w:rFonts w:ascii="Rockwell" w:hAnsi="Rockwell"/>
                <w:b/>
                <w:sz w:val="16"/>
                <w:szCs w:val="16"/>
              </w:rPr>
            </w:pPr>
            <w:r>
              <w:rPr>
                <w:rFonts w:ascii="Rockwell" w:hAnsi="Rockwell"/>
                <w:b/>
                <w:sz w:val="16"/>
                <w:szCs w:val="16"/>
              </w:rPr>
              <w:t>L'EXPRESS DU FASO</w:t>
            </w:r>
          </w:p>
        </w:tc>
        <w:tc>
          <w:tcPr>
            <w:tcW w:w="2987" w:type="dxa"/>
            <w:gridSpan w:val="4"/>
            <w:tcBorders>
              <w:top w:val="single" w:sz="4" w:space="0" w:color="auto"/>
            </w:tcBorders>
            <w:shd w:val="clear" w:color="auto" w:fill="9CC2E5" w:themeFill="accent1" w:themeFillTint="99"/>
            <w:tcMar>
              <w:top w:w="0" w:type="dxa"/>
              <w:left w:w="108" w:type="dxa"/>
              <w:bottom w:w="0" w:type="dxa"/>
              <w:right w:w="108" w:type="dxa"/>
            </w:tcMar>
            <w:vAlign w:val="center"/>
          </w:tcPr>
          <w:p w14:paraId="78FFECE4" w14:textId="77777777" w:rsidR="00284822" w:rsidRDefault="00F77BF8" w:rsidP="00EC515D">
            <w:pPr>
              <w:spacing w:line="240" w:lineRule="auto"/>
              <w:jc w:val="center"/>
              <w:rPr>
                <w:rFonts w:ascii="Rockwell" w:hAnsi="Rockwell"/>
                <w:b/>
                <w:sz w:val="16"/>
                <w:szCs w:val="16"/>
              </w:rPr>
            </w:pPr>
            <w:r>
              <w:rPr>
                <w:rFonts w:ascii="Rockwell" w:hAnsi="Rockwell"/>
                <w:b/>
                <w:sz w:val="16"/>
                <w:szCs w:val="16"/>
              </w:rPr>
              <w:t>L'OBSERVATEUR PAALGA</w:t>
            </w:r>
          </w:p>
        </w:tc>
        <w:tc>
          <w:tcPr>
            <w:tcW w:w="3681" w:type="dxa"/>
            <w:gridSpan w:val="4"/>
            <w:tcBorders>
              <w:top w:val="single" w:sz="4" w:space="0" w:color="auto"/>
              <w:bottom w:val="single" w:sz="4" w:space="0" w:color="auto"/>
            </w:tcBorders>
            <w:shd w:val="clear" w:color="auto" w:fill="9CC2E5" w:themeFill="accent1" w:themeFillTint="99"/>
            <w:tcMar>
              <w:top w:w="0" w:type="dxa"/>
              <w:left w:w="108" w:type="dxa"/>
              <w:bottom w:w="0" w:type="dxa"/>
              <w:right w:w="108" w:type="dxa"/>
            </w:tcMar>
            <w:vAlign w:val="center"/>
          </w:tcPr>
          <w:p w14:paraId="0D2FD307" w14:textId="77777777" w:rsidR="00284822" w:rsidRDefault="00F77BF8" w:rsidP="00EC515D">
            <w:pPr>
              <w:suppressAutoHyphens w:val="0"/>
              <w:spacing w:line="240" w:lineRule="auto"/>
              <w:jc w:val="center"/>
              <w:rPr>
                <w:rFonts w:ascii="Rockwell" w:hAnsi="Rockwell"/>
              </w:rPr>
            </w:pPr>
            <w:r>
              <w:rPr>
                <w:rFonts w:ascii="Rockwell" w:hAnsi="Rockwell"/>
                <w:b/>
                <w:sz w:val="16"/>
                <w:szCs w:val="16"/>
              </w:rPr>
              <w:t>SIDWAYA</w:t>
            </w:r>
          </w:p>
        </w:tc>
      </w:tr>
      <w:tr w:rsidR="00284822" w14:paraId="41AFF4CA" w14:textId="77777777">
        <w:trPr>
          <w:trHeight w:val="267"/>
        </w:trPr>
        <w:tc>
          <w:tcPr>
            <w:tcW w:w="854" w:type="dxa"/>
            <w:vMerge/>
            <w:shd w:val="clear" w:color="auto" w:fill="9CC2E5" w:themeFill="accent1" w:themeFillTint="99"/>
            <w:noWrap/>
            <w:tcMar>
              <w:top w:w="0" w:type="dxa"/>
              <w:left w:w="108" w:type="dxa"/>
              <w:bottom w:w="0" w:type="dxa"/>
              <w:right w:w="108" w:type="dxa"/>
            </w:tcMar>
            <w:vAlign w:val="center"/>
          </w:tcPr>
          <w:p w14:paraId="1189695A" w14:textId="77777777" w:rsidR="00284822" w:rsidRDefault="00284822" w:rsidP="00EC515D">
            <w:pPr>
              <w:spacing w:line="240" w:lineRule="auto"/>
              <w:rPr>
                <w:rFonts w:ascii="Rockwell" w:hAnsi="Rockwell"/>
                <w:b/>
                <w:bCs/>
                <w:sz w:val="16"/>
                <w:szCs w:val="16"/>
              </w:rPr>
            </w:pPr>
          </w:p>
        </w:tc>
        <w:tc>
          <w:tcPr>
            <w:tcW w:w="1245" w:type="dxa"/>
            <w:vMerge/>
            <w:shd w:val="clear" w:color="auto" w:fill="9CC2E5" w:themeFill="accent1" w:themeFillTint="99"/>
            <w:tcMar>
              <w:top w:w="0" w:type="dxa"/>
              <w:left w:w="108" w:type="dxa"/>
              <w:bottom w:w="0" w:type="dxa"/>
              <w:right w:w="108" w:type="dxa"/>
            </w:tcMar>
            <w:vAlign w:val="center"/>
          </w:tcPr>
          <w:p w14:paraId="5F9B58C4" w14:textId="77777777" w:rsidR="00284822" w:rsidRDefault="00284822" w:rsidP="00EC515D">
            <w:pPr>
              <w:spacing w:line="240" w:lineRule="auto"/>
              <w:rPr>
                <w:rFonts w:ascii="Rockwell" w:hAnsi="Rockwell"/>
                <w:sz w:val="16"/>
                <w:szCs w:val="16"/>
              </w:rPr>
            </w:pPr>
          </w:p>
        </w:tc>
        <w:tc>
          <w:tcPr>
            <w:tcW w:w="731" w:type="dxa"/>
            <w:shd w:val="clear" w:color="auto" w:fill="9CC2E5" w:themeFill="accent1" w:themeFillTint="99"/>
            <w:tcMar>
              <w:top w:w="0" w:type="dxa"/>
              <w:left w:w="108" w:type="dxa"/>
              <w:bottom w:w="0" w:type="dxa"/>
              <w:right w:w="108" w:type="dxa"/>
            </w:tcMar>
            <w:vAlign w:val="center"/>
          </w:tcPr>
          <w:p w14:paraId="65A94472"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NP</w:t>
            </w:r>
          </w:p>
        </w:tc>
        <w:tc>
          <w:tcPr>
            <w:tcW w:w="863" w:type="dxa"/>
            <w:shd w:val="clear" w:color="auto" w:fill="9CC2E5" w:themeFill="accent1" w:themeFillTint="99"/>
            <w:tcMar>
              <w:top w:w="0" w:type="dxa"/>
              <w:left w:w="108" w:type="dxa"/>
              <w:bottom w:w="0" w:type="dxa"/>
              <w:right w:w="108" w:type="dxa"/>
            </w:tcMar>
            <w:vAlign w:val="center"/>
          </w:tcPr>
          <w:p w14:paraId="29B3C32D"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 NP</w:t>
            </w:r>
          </w:p>
        </w:tc>
        <w:tc>
          <w:tcPr>
            <w:tcW w:w="551" w:type="dxa"/>
            <w:shd w:val="clear" w:color="auto" w:fill="9CC2E5" w:themeFill="accent1" w:themeFillTint="99"/>
            <w:tcMar>
              <w:top w:w="0" w:type="dxa"/>
              <w:left w:w="108" w:type="dxa"/>
              <w:bottom w:w="0" w:type="dxa"/>
              <w:right w:w="108" w:type="dxa"/>
            </w:tcMar>
            <w:vAlign w:val="center"/>
          </w:tcPr>
          <w:p w14:paraId="70534F31"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NI</w:t>
            </w:r>
          </w:p>
        </w:tc>
        <w:tc>
          <w:tcPr>
            <w:tcW w:w="863" w:type="dxa"/>
            <w:shd w:val="clear" w:color="auto" w:fill="9CC2E5" w:themeFill="accent1" w:themeFillTint="99"/>
            <w:tcMar>
              <w:top w:w="0" w:type="dxa"/>
              <w:left w:w="108" w:type="dxa"/>
              <w:bottom w:w="0" w:type="dxa"/>
              <w:right w:w="108" w:type="dxa"/>
            </w:tcMar>
            <w:vAlign w:val="center"/>
          </w:tcPr>
          <w:p w14:paraId="4711ED55"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 NI</w:t>
            </w:r>
          </w:p>
        </w:tc>
        <w:tc>
          <w:tcPr>
            <w:tcW w:w="695" w:type="dxa"/>
            <w:shd w:val="clear" w:color="auto" w:fill="9CC2E5" w:themeFill="accent1" w:themeFillTint="99"/>
            <w:tcMar>
              <w:top w:w="0" w:type="dxa"/>
              <w:left w:w="108" w:type="dxa"/>
              <w:bottom w:w="0" w:type="dxa"/>
              <w:right w:w="108" w:type="dxa"/>
            </w:tcMar>
            <w:vAlign w:val="center"/>
          </w:tcPr>
          <w:p w14:paraId="15CAAA53"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NP</w:t>
            </w:r>
          </w:p>
        </w:tc>
        <w:tc>
          <w:tcPr>
            <w:tcW w:w="989" w:type="dxa"/>
            <w:shd w:val="clear" w:color="auto" w:fill="9CC2E5" w:themeFill="accent1" w:themeFillTint="99"/>
            <w:tcMar>
              <w:top w:w="0" w:type="dxa"/>
              <w:left w:w="108" w:type="dxa"/>
              <w:bottom w:w="0" w:type="dxa"/>
              <w:right w:w="108" w:type="dxa"/>
            </w:tcMar>
            <w:vAlign w:val="center"/>
          </w:tcPr>
          <w:p w14:paraId="1AF500D4"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 NP</w:t>
            </w:r>
          </w:p>
        </w:tc>
        <w:tc>
          <w:tcPr>
            <w:tcW w:w="704" w:type="dxa"/>
            <w:shd w:val="clear" w:color="auto" w:fill="9CC2E5" w:themeFill="accent1" w:themeFillTint="99"/>
            <w:tcMar>
              <w:top w:w="0" w:type="dxa"/>
              <w:left w:w="108" w:type="dxa"/>
              <w:bottom w:w="0" w:type="dxa"/>
              <w:right w:w="108" w:type="dxa"/>
            </w:tcMar>
            <w:vAlign w:val="center"/>
          </w:tcPr>
          <w:p w14:paraId="442D9437"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NI</w:t>
            </w:r>
          </w:p>
        </w:tc>
        <w:tc>
          <w:tcPr>
            <w:tcW w:w="863" w:type="dxa"/>
            <w:shd w:val="clear" w:color="auto" w:fill="9CC2E5" w:themeFill="accent1" w:themeFillTint="99"/>
            <w:tcMar>
              <w:top w:w="0" w:type="dxa"/>
              <w:left w:w="108" w:type="dxa"/>
              <w:bottom w:w="0" w:type="dxa"/>
              <w:right w:w="108" w:type="dxa"/>
            </w:tcMar>
            <w:vAlign w:val="center"/>
          </w:tcPr>
          <w:p w14:paraId="239BDB99"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 NI</w:t>
            </w:r>
          </w:p>
        </w:tc>
        <w:tc>
          <w:tcPr>
            <w:tcW w:w="714" w:type="dxa"/>
            <w:shd w:val="clear" w:color="auto" w:fill="9CC2E5" w:themeFill="accent1" w:themeFillTint="99"/>
            <w:tcMar>
              <w:top w:w="0" w:type="dxa"/>
              <w:left w:w="108" w:type="dxa"/>
              <w:bottom w:w="0" w:type="dxa"/>
              <w:right w:w="108" w:type="dxa"/>
            </w:tcMar>
            <w:vAlign w:val="center"/>
          </w:tcPr>
          <w:p w14:paraId="2D44395A"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NP</w:t>
            </w:r>
          </w:p>
        </w:tc>
        <w:tc>
          <w:tcPr>
            <w:tcW w:w="709" w:type="dxa"/>
            <w:shd w:val="clear" w:color="auto" w:fill="9CC2E5" w:themeFill="accent1" w:themeFillTint="99"/>
            <w:tcMar>
              <w:top w:w="0" w:type="dxa"/>
              <w:left w:w="108" w:type="dxa"/>
              <w:bottom w:w="0" w:type="dxa"/>
              <w:right w:w="108" w:type="dxa"/>
            </w:tcMar>
            <w:vAlign w:val="center"/>
          </w:tcPr>
          <w:p w14:paraId="2D58F116"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 NP</w:t>
            </w:r>
          </w:p>
        </w:tc>
        <w:tc>
          <w:tcPr>
            <w:tcW w:w="701" w:type="dxa"/>
            <w:shd w:val="clear" w:color="auto" w:fill="9CC2E5" w:themeFill="accent1" w:themeFillTint="99"/>
            <w:tcMar>
              <w:top w:w="0" w:type="dxa"/>
              <w:left w:w="108" w:type="dxa"/>
              <w:bottom w:w="0" w:type="dxa"/>
              <w:right w:w="108" w:type="dxa"/>
            </w:tcMar>
            <w:vAlign w:val="center"/>
          </w:tcPr>
          <w:p w14:paraId="4825A618"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NI</w:t>
            </w:r>
          </w:p>
        </w:tc>
        <w:tc>
          <w:tcPr>
            <w:tcW w:w="863" w:type="dxa"/>
            <w:shd w:val="clear" w:color="auto" w:fill="9CC2E5" w:themeFill="accent1" w:themeFillTint="99"/>
            <w:tcMar>
              <w:top w:w="0" w:type="dxa"/>
              <w:left w:w="108" w:type="dxa"/>
              <w:bottom w:w="0" w:type="dxa"/>
              <w:right w:w="108" w:type="dxa"/>
            </w:tcMar>
            <w:vAlign w:val="center"/>
          </w:tcPr>
          <w:p w14:paraId="6761BD09"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 NI</w:t>
            </w:r>
          </w:p>
        </w:tc>
        <w:tc>
          <w:tcPr>
            <w:tcW w:w="704" w:type="dxa"/>
            <w:tcBorders>
              <w:top w:val="single" w:sz="4" w:space="0" w:color="auto"/>
            </w:tcBorders>
            <w:shd w:val="clear" w:color="auto" w:fill="9CC2E5" w:themeFill="accent1" w:themeFillTint="99"/>
            <w:tcMar>
              <w:top w:w="0" w:type="dxa"/>
              <w:left w:w="108" w:type="dxa"/>
              <w:bottom w:w="0" w:type="dxa"/>
              <w:right w:w="108" w:type="dxa"/>
            </w:tcMar>
            <w:vAlign w:val="center"/>
          </w:tcPr>
          <w:p w14:paraId="2B9DE5B3"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NP</w:t>
            </w:r>
          </w:p>
        </w:tc>
        <w:tc>
          <w:tcPr>
            <w:tcW w:w="992" w:type="dxa"/>
            <w:tcBorders>
              <w:top w:val="single" w:sz="4" w:space="0" w:color="auto"/>
            </w:tcBorders>
            <w:shd w:val="clear" w:color="auto" w:fill="9CC2E5" w:themeFill="accent1" w:themeFillTint="99"/>
            <w:tcMar>
              <w:top w:w="0" w:type="dxa"/>
              <w:left w:w="108" w:type="dxa"/>
              <w:bottom w:w="0" w:type="dxa"/>
              <w:right w:w="108" w:type="dxa"/>
            </w:tcMar>
            <w:vAlign w:val="center"/>
          </w:tcPr>
          <w:p w14:paraId="6381DF4A"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 NP</w:t>
            </w:r>
          </w:p>
        </w:tc>
        <w:tc>
          <w:tcPr>
            <w:tcW w:w="709" w:type="dxa"/>
            <w:tcBorders>
              <w:top w:val="single" w:sz="4" w:space="0" w:color="auto"/>
            </w:tcBorders>
            <w:shd w:val="clear" w:color="auto" w:fill="9CC2E5" w:themeFill="accent1" w:themeFillTint="99"/>
            <w:tcMar>
              <w:top w:w="0" w:type="dxa"/>
              <w:left w:w="108" w:type="dxa"/>
              <w:bottom w:w="0" w:type="dxa"/>
              <w:right w:w="108" w:type="dxa"/>
            </w:tcMar>
            <w:vAlign w:val="center"/>
          </w:tcPr>
          <w:p w14:paraId="085FFCDE"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NP</w:t>
            </w:r>
          </w:p>
        </w:tc>
        <w:tc>
          <w:tcPr>
            <w:tcW w:w="1276" w:type="dxa"/>
            <w:tcBorders>
              <w:top w:val="single" w:sz="4" w:space="0" w:color="auto"/>
            </w:tcBorders>
            <w:shd w:val="clear" w:color="auto" w:fill="9CC2E5" w:themeFill="accent1" w:themeFillTint="99"/>
            <w:tcMar>
              <w:top w:w="0" w:type="dxa"/>
              <w:left w:w="108" w:type="dxa"/>
              <w:bottom w:w="0" w:type="dxa"/>
              <w:right w:w="108" w:type="dxa"/>
            </w:tcMar>
            <w:vAlign w:val="center"/>
          </w:tcPr>
          <w:p w14:paraId="65748219"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 NI</w:t>
            </w:r>
          </w:p>
        </w:tc>
      </w:tr>
      <w:tr w:rsidR="00284822" w14:paraId="451B6F13" w14:textId="77777777">
        <w:trPr>
          <w:trHeight w:val="539"/>
        </w:trPr>
        <w:tc>
          <w:tcPr>
            <w:tcW w:w="854" w:type="dxa"/>
            <w:shd w:val="clear" w:color="auto" w:fill="FFFFFF" w:themeFill="background1"/>
            <w:noWrap/>
            <w:tcMar>
              <w:top w:w="0" w:type="dxa"/>
              <w:left w:w="108" w:type="dxa"/>
              <w:bottom w:w="0" w:type="dxa"/>
              <w:right w:w="108" w:type="dxa"/>
            </w:tcMar>
            <w:vAlign w:val="center"/>
          </w:tcPr>
          <w:p w14:paraId="164EBEF4" w14:textId="77777777" w:rsidR="00284822" w:rsidRDefault="00F77BF8" w:rsidP="00EC515D">
            <w:pPr>
              <w:spacing w:line="240" w:lineRule="auto"/>
              <w:rPr>
                <w:rFonts w:ascii="Rockwell" w:hAnsi="Rockwell"/>
                <w:bCs/>
                <w:color w:val="000000"/>
                <w:sz w:val="16"/>
                <w:szCs w:val="16"/>
              </w:rPr>
            </w:pPr>
            <w:r>
              <w:rPr>
                <w:rFonts w:ascii="Rockwell" w:hAnsi="Rockwell"/>
                <w:bCs/>
                <w:color w:val="000000"/>
                <w:sz w:val="16"/>
                <w:szCs w:val="16"/>
              </w:rPr>
              <w:t>26</w:t>
            </w:r>
          </w:p>
        </w:tc>
        <w:tc>
          <w:tcPr>
            <w:tcW w:w="1245" w:type="dxa"/>
            <w:shd w:val="clear" w:color="auto" w:fill="FFFFFF" w:themeFill="background1"/>
            <w:tcMar>
              <w:top w:w="0" w:type="dxa"/>
              <w:left w:w="108" w:type="dxa"/>
              <w:bottom w:w="0" w:type="dxa"/>
              <w:right w:w="108" w:type="dxa"/>
            </w:tcMar>
            <w:vAlign w:val="center"/>
          </w:tcPr>
          <w:p w14:paraId="66005AC0"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NTD</w:t>
            </w:r>
          </w:p>
        </w:tc>
        <w:tc>
          <w:tcPr>
            <w:tcW w:w="731" w:type="dxa"/>
            <w:shd w:val="clear" w:color="auto" w:fill="FFFFFF" w:themeFill="background1"/>
            <w:tcMar>
              <w:top w:w="0" w:type="dxa"/>
              <w:left w:w="108" w:type="dxa"/>
              <w:bottom w:w="0" w:type="dxa"/>
              <w:right w:w="108" w:type="dxa"/>
            </w:tcMar>
            <w:vAlign w:val="center"/>
          </w:tcPr>
          <w:p w14:paraId="36A655D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 ¼</w:t>
            </w:r>
          </w:p>
        </w:tc>
        <w:tc>
          <w:tcPr>
            <w:tcW w:w="863" w:type="dxa"/>
            <w:shd w:val="clear" w:color="auto" w:fill="FFFFFF" w:themeFill="background1"/>
            <w:tcMar>
              <w:top w:w="0" w:type="dxa"/>
              <w:left w:w="108" w:type="dxa"/>
              <w:bottom w:w="0" w:type="dxa"/>
              <w:right w:w="108" w:type="dxa"/>
            </w:tcMar>
            <w:vAlign w:val="center"/>
          </w:tcPr>
          <w:p w14:paraId="2638B82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2,21%</w:t>
            </w:r>
          </w:p>
        </w:tc>
        <w:tc>
          <w:tcPr>
            <w:tcW w:w="551" w:type="dxa"/>
            <w:shd w:val="clear" w:color="auto" w:fill="FFFFFF" w:themeFill="background1"/>
            <w:tcMar>
              <w:top w:w="0" w:type="dxa"/>
              <w:left w:w="108" w:type="dxa"/>
              <w:bottom w:w="0" w:type="dxa"/>
              <w:right w:w="108" w:type="dxa"/>
            </w:tcMar>
            <w:vAlign w:val="center"/>
          </w:tcPr>
          <w:p w14:paraId="68FDAB3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w:t>
            </w:r>
          </w:p>
        </w:tc>
        <w:tc>
          <w:tcPr>
            <w:tcW w:w="863" w:type="dxa"/>
            <w:shd w:val="clear" w:color="auto" w:fill="FFFFFF" w:themeFill="background1"/>
            <w:tcMar>
              <w:top w:w="0" w:type="dxa"/>
              <w:left w:w="108" w:type="dxa"/>
              <w:bottom w:w="0" w:type="dxa"/>
              <w:right w:w="108" w:type="dxa"/>
            </w:tcMar>
            <w:vAlign w:val="center"/>
          </w:tcPr>
          <w:p w14:paraId="669DA71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1,12%</w:t>
            </w:r>
          </w:p>
        </w:tc>
        <w:tc>
          <w:tcPr>
            <w:tcW w:w="695" w:type="dxa"/>
            <w:shd w:val="clear" w:color="auto" w:fill="FFFFFF" w:themeFill="background1"/>
            <w:tcMar>
              <w:top w:w="0" w:type="dxa"/>
              <w:left w:w="108" w:type="dxa"/>
              <w:bottom w:w="0" w:type="dxa"/>
              <w:right w:w="108" w:type="dxa"/>
            </w:tcMar>
            <w:vAlign w:val="center"/>
          </w:tcPr>
          <w:p w14:paraId="4920A00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 1/3</w:t>
            </w:r>
          </w:p>
        </w:tc>
        <w:tc>
          <w:tcPr>
            <w:tcW w:w="989" w:type="dxa"/>
            <w:shd w:val="clear" w:color="auto" w:fill="FFFFFF" w:themeFill="background1"/>
            <w:tcMar>
              <w:top w:w="0" w:type="dxa"/>
              <w:left w:w="108" w:type="dxa"/>
              <w:bottom w:w="0" w:type="dxa"/>
              <w:right w:w="108" w:type="dxa"/>
            </w:tcMar>
            <w:vAlign w:val="center"/>
          </w:tcPr>
          <w:p w14:paraId="03A7477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5,24%</w:t>
            </w:r>
          </w:p>
        </w:tc>
        <w:tc>
          <w:tcPr>
            <w:tcW w:w="704" w:type="dxa"/>
            <w:shd w:val="clear" w:color="auto" w:fill="FFFFFF" w:themeFill="background1"/>
            <w:tcMar>
              <w:top w:w="0" w:type="dxa"/>
              <w:left w:w="108" w:type="dxa"/>
              <w:bottom w:w="0" w:type="dxa"/>
              <w:right w:w="108" w:type="dxa"/>
            </w:tcMar>
            <w:vAlign w:val="center"/>
          </w:tcPr>
          <w:p w14:paraId="436D78C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w:t>
            </w:r>
          </w:p>
        </w:tc>
        <w:tc>
          <w:tcPr>
            <w:tcW w:w="863" w:type="dxa"/>
            <w:shd w:val="clear" w:color="auto" w:fill="FFFFFF" w:themeFill="background1"/>
            <w:tcMar>
              <w:top w:w="0" w:type="dxa"/>
              <w:left w:w="108" w:type="dxa"/>
              <w:bottom w:w="0" w:type="dxa"/>
              <w:right w:w="108" w:type="dxa"/>
            </w:tcMar>
            <w:vAlign w:val="center"/>
          </w:tcPr>
          <w:p w14:paraId="59BFF86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1,18%</w:t>
            </w:r>
          </w:p>
        </w:tc>
        <w:tc>
          <w:tcPr>
            <w:tcW w:w="714" w:type="dxa"/>
            <w:shd w:val="clear" w:color="auto" w:fill="FFFFFF" w:themeFill="background1"/>
            <w:tcMar>
              <w:top w:w="0" w:type="dxa"/>
              <w:left w:w="108" w:type="dxa"/>
              <w:bottom w:w="0" w:type="dxa"/>
              <w:right w:w="108" w:type="dxa"/>
            </w:tcMar>
            <w:vAlign w:val="center"/>
          </w:tcPr>
          <w:p w14:paraId="34A9A6DE"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1/3</w:t>
            </w:r>
          </w:p>
        </w:tc>
        <w:tc>
          <w:tcPr>
            <w:tcW w:w="709" w:type="dxa"/>
            <w:shd w:val="clear" w:color="auto" w:fill="FFFFFF" w:themeFill="background1"/>
            <w:tcMar>
              <w:top w:w="0" w:type="dxa"/>
              <w:left w:w="108" w:type="dxa"/>
              <w:bottom w:w="0" w:type="dxa"/>
              <w:right w:w="108" w:type="dxa"/>
            </w:tcMar>
            <w:vAlign w:val="center"/>
          </w:tcPr>
          <w:p w14:paraId="6B735A81"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0,51%</w:t>
            </w:r>
          </w:p>
        </w:tc>
        <w:tc>
          <w:tcPr>
            <w:tcW w:w="701" w:type="dxa"/>
            <w:shd w:val="clear" w:color="auto" w:fill="FFFFFF" w:themeFill="background1"/>
            <w:tcMar>
              <w:top w:w="0" w:type="dxa"/>
              <w:left w:w="108" w:type="dxa"/>
              <w:bottom w:w="0" w:type="dxa"/>
              <w:right w:w="108" w:type="dxa"/>
            </w:tcMar>
            <w:vAlign w:val="center"/>
          </w:tcPr>
          <w:p w14:paraId="4363E81F"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w:t>
            </w:r>
          </w:p>
        </w:tc>
        <w:tc>
          <w:tcPr>
            <w:tcW w:w="863" w:type="dxa"/>
            <w:shd w:val="clear" w:color="auto" w:fill="FFFFFF" w:themeFill="background1"/>
            <w:tcMar>
              <w:top w:w="0" w:type="dxa"/>
              <w:left w:w="108" w:type="dxa"/>
              <w:bottom w:w="0" w:type="dxa"/>
              <w:right w:w="108" w:type="dxa"/>
            </w:tcMar>
            <w:vAlign w:val="center"/>
          </w:tcPr>
          <w:p w14:paraId="6ACCBE6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1,72%</w:t>
            </w:r>
          </w:p>
        </w:tc>
        <w:tc>
          <w:tcPr>
            <w:tcW w:w="704" w:type="dxa"/>
            <w:shd w:val="clear" w:color="auto" w:fill="FFFFFF" w:themeFill="background1"/>
            <w:tcMar>
              <w:top w:w="0" w:type="dxa"/>
              <w:left w:w="108" w:type="dxa"/>
              <w:bottom w:w="0" w:type="dxa"/>
              <w:right w:w="108" w:type="dxa"/>
            </w:tcMar>
            <w:vAlign w:val="center"/>
          </w:tcPr>
          <w:p w14:paraId="4BB1911E"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2/3</w:t>
            </w:r>
          </w:p>
        </w:tc>
        <w:tc>
          <w:tcPr>
            <w:tcW w:w="992" w:type="dxa"/>
            <w:shd w:val="clear" w:color="auto" w:fill="FFFFFF" w:themeFill="background1"/>
            <w:tcMar>
              <w:top w:w="0" w:type="dxa"/>
              <w:left w:w="108" w:type="dxa"/>
              <w:bottom w:w="0" w:type="dxa"/>
              <w:right w:w="108" w:type="dxa"/>
            </w:tcMar>
            <w:vAlign w:val="center"/>
          </w:tcPr>
          <w:p w14:paraId="7619171E"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2,11%</w:t>
            </w:r>
          </w:p>
        </w:tc>
        <w:tc>
          <w:tcPr>
            <w:tcW w:w="709" w:type="dxa"/>
            <w:shd w:val="clear" w:color="auto" w:fill="FFFFFF" w:themeFill="background1"/>
            <w:tcMar>
              <w:top w:w="0" w:type="dxa"/>
              <w:left w:w="108" w:type="dxa"/>
              <w:bottom w:w="0" w:type="dxa"/>
              <w:right w:w="108" w:type="dxa"/>
            </w:tcMar>
            <w:vAlign w:val="center"/>
          </w:tcPr>
          <w:p w14:paraId="3B98D754"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w:t>
            </w:r>
          </w:p>
        </w:tc>
        <w:tc>
          <w:tcPr>
            <w:tcW w:w="1276" w:type="dxa"/>
            <w:shd w:val="clear" w:color="auto" w:fill="FFFFFF" w:themeFill="background1"/>
            <w:tcMar>
              <w:top w:w="0" w:type="dxa"/>
              <w:left w:w="108" w:type="dxa"/>
              <w:bottom w:w="0" w:type="dxa"/>
              <w:right w:w="108" w:type="dxa"/>
            </w:tcMar>
            <w:vAlign w:val="center"/>
          </w:tcPr>
          <w:p w14:paraId="71898E0D"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1,61%</w:t>
            </w:r>
          </w:p>
        </w:tc>
      </w:tr>
      <w:tr w:rsidR="00284822" w14:paraId="4FD65CD1" w14:textId="77777777">
        <w:trPr>
          <w:trHeight w:val="539"/>
        </w:trPr>
        <w:tc>
          <w:tcPr>
            <w:tcW w:w="854" w:type="dxa"/>
            <w:shd w:val="clear" w:color="auto" w:fill="FFFFFF" w:themeFill="background1"/>
            <w:noWrap/>
            <w:tcMar>
              <w:top w:w="0" w:type="dxa"/>
              <w:left w:w="108" w:type="dxa"/>
              <w:bottom w:w="0" w:type="dxa"/>
              <w:right w:w="108" w:type="dxa"/>
            </w:tcMar>
            <w:vAlign w:val="center"/>
          </w:tcPr>
          <w:p w14:paraId="48810A89" w14:textId="77777777" w:rsidR="00284822" w:rsidRDefault="00F77BF8" w:rsidP="00EC515D">
            <w:pPr>
              <w:spacing w:line="240" w:lineRule="auto"/>
              <w:rPr>
                <w:rFonts w:ascii="Rockwell" w:hAnsi="Rockwell"/>
                <w:bCs/>
                <w:color w:val="000000"/>
                <w:sz w:val="16"/>
                <w:szCs w:val="16"/>
              </w:rPr>
            </w:pPr>
            <w:r>
              <w:rPr>
                <w:rFonts w:ascii="Rockwell" w:hAnsi="Rockwell"/>
                <w:bCs/>
                <w:color w:val="000000"/>
                <w:sz w:val="16"/>
                <w:szCs w:val="16"/>
              </w:rPr>
              <w:t>27</w:t>
            </w:r>
          </w:p>
        </w:tc>
        <w:tc>
          <w:tcPr>
            <w:tcW w:w="1245" w:type="dxa"/>
            <w:shd w:val="clear" w:color="auto" w:fill="FFFFFF" w:themeFill="background1"/>
            <w:tcMar>
              <w:top w:w="0" w:type="dxa"/>
              <w:left w:w="108" w:type="dxa"/>
              <w:bottom w:w="0" w:type="dxa"/>
              <w:right w:w="108" w:type="dxa"/>
            </w:tcMar>
            <w:vAlign w:val="center"/>
          </w:tcPr>
          <w:p w14:paraId="197E136C"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PAREN</w:t>
            </w:r>
          </w:p>
        </w:tc>
        <w:tc>
          <w:tcPr>
            <w:tcW w:w="731" w:type="dxa"/>
            <w:shd w:val="clear" w:color="auto" w:fill="FFFFFF" w:themeFill="background1"/>
            <w:tcMar>
              <w:top w:w="0" w:type="dxa"/>
              <w:left w:w="108" w:type="dxa"/>
              <w:bottom w:w="0" w:type="dxa"/>
              <w:right w:w="108" w:type="dxa"/>
            </w:tcMar>
            <w:vAlign w:val="center"/>
          </w:tcPr>
          <w:p w14:paraId="14BBCE0F" w14:textId="77777777" w:rsidR="00284822" w:rsidRDefault="00F77BF8" w:rsidP="00EC515D">
            <w:pPr>
              <w:spacing w:line="240" w:lineRule="auto"/>
              <w:rPr>
                <w:rFonts w:ascii="Rockwell" w:hAnsi="Rockwell"/>
                <w:color w:val="000000"/>
                <w:sz w:val="16"/>
                <w:szCs w:val="16"/>
              </w:rPr>
            </w:pPr>
            <w:proofErr w:type="gramStart"/>
            <w:r>
              <w:rPr>
                <w:rFonts w:ascii="Rockwell" w:hAnsi="Rockwell"/>
                <w:color w:val="000000"/>
                <w:sz w:val="16"/>
                <w:szCs w:val="16"/>
              </w:rPr>
              <w:t>½</w:t>
            </w:r>
            <w:proofErr w:type="gramEnd"/>
          </w:p>
        </w:tc>
        <w:tc>
          <w:tcPr>
            <w:tcW w:w="863" w:type="dxa"/>
            <w:shd w:val="clear" w:color="auto" w:fill="FFFFFF" w:themeFill="background1"/>
            <w:tcMar>
              <w:top w:w="0" w:type="dxa"/>
              <w:left w:w="108" w:type="dxa"/>
              <w:bottom w:w="0" w:type="dxa"/>
              <w:right w:w="108" w:type="dxa"/>
            </w:tcMar>
            <w:vAlign w:val="center"/>
          </w:tcPr>
          <w:p w14:paraId="03DCD54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0,89%</w:t>
            </w:r>
          </w:p>
        </w:tc>
        <w:tc>
          <w:tcPr>
            <w:tcW w:w="551" w:type="dxa"/>
            <w:shd w:val="clear" w:color="auto" w:fill="FFFFFF" w:themeFill="background1"/>
            <w:tcMar>
              <w:top w:w="0" w:type="dxa"/>
              <w:left w:w="108" w:type="dxa"/>
              <w:bottom w:w="0" w:type="dxa"/>
              <w:right w:w="108" w:type="dxa"/>
            </w:tcMar>
            <w:vAlign w:val="center"/>
          </w:tcPr>
          <w:p w14:paraId="49EF486E"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w:t>
            </w:r>
          </w:p>
        </w:tc>
        <w:tc>
          <w:tcPr>
            <w:tcW w:w="863" w:type="dxa"/>
            <w:shd w:val="clear" w:color="auto" w:fill="FFFFFF" w:themeFill="background1"/>
            <w:tcMar>
              <w:top w:w="0" w:type="dxa"/>
              <w:left w:w="108" w:type="dxa"/>
              <w:bottom w:w="0" w:type="dxa"/>
              <w:right w:w="108" w:type="dxa"/>
            </w:tcMar>
            <w:vAlign w:val="center"/>
          </w:tcPr>
          <w:p w14:paraId="7BBA87E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1,12%</w:t>
            </w:r>
          </w:p>
        </w:tc>
        <w:tc>
          <w:tcPr>
            <w:tcW w:w="695" w:type="dxa"/>
            <w:shd w:val="clear" w:color="auto" w:fill="FFFFFF" w:themeFill="background1"/>
            <w:tcMar>
              <w:top w:w="0" w:type="dxa"/>
              <w:left w:w="108" w:type="dxa"/>
              <w:bottom w:w="0" w:type="dxa"/>
              <w:right w:w="108" w:type="dxa"/>
            </w:tcMar>
            <w:vAlign w:val="center"/>
          </w:tcPr>
          <w:p w14:paraId="3DFD01B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3/4</w:t>
            </w:r>
          </w:p>
        </w:tc>
        <w:tc>
          <w:tcPr>
            <w:tcW w:w="989" w:type="dxa"/>
            <w:shd w:val="clear" w:color="auto" w:fill="FFFFFF" w:themeFill="background1"/>
            <w:tcMar>
              <w:top w:w="0" w:type="dxa"/>
              <w:left w:w="108" w:type="dxa"/>
              <w:bottom w:w="0" w:type="dxa"/>
              <w:right w:w="108" w:type="dxa"/>
            </w:tcMar>
            <w:vAlign w:val="center"/>
          </w:tcPr>
          <w:p w14:paraId="2E368326"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1,69%</w:t>
            </w:r>
          </w:p>
        </w:tc>
        <w:tc>
          <w:tcPr>
            <w:tcW w:w="704" w:type="dxa"/>
            <w:shd w:val="clear" w:color="auto" w:fill="FFFFFF" w:themeFill="background1"/>
            <w:tcMar>
              <w:top w:w="0" w:type="dxa"/>
              <w:left w:w="108" w:type="dxa"/>
              <w:bottom w:w="0" w:type="dxa"/>
              <w:right w:w="108" w:type="dxa"/>
            </w:tcMar>
            <w:vAlign w:val="center"/>
          </w:tcPr>
          <w:p w14:paraId="7C5203D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w:t>
            </w:r>
          </w:p>
        </w:tc>
        <w:tc>
          <w:tcPr>
            <w:tcW w:w="863" w:type="dxa"/>
            <w:shd w:val="clear" w:color="auto" w:fill="FFFFFF" w:themeFill="background1"/>
            <w:tcMar>
              <w:top w:w="0" w:type="dxa"/>
              <w:left w:w="108" w:type="dxa"/>
              <w:bottom w:w="0" w:type="dxa"/>
              <w:right w:w="108" w:type="dxa"/>
            </w:tcMar>
            <w:vAlign w:val="center"/>
          </w:tcPr>
          <w:p w14:paraId="716A7AC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2,35%</w:t>
            </w:r>
          </w:p>
        </w:tc>
        <w:tc>
          <w:tcPr>
            <w:tcW w:w="714" w:type="dxa"/>
            <w:shd w:val="clear" w:color="auto" w:fill="FFFFFF" w:themeFill="background1"/>
            <w:tcMar>
              <w:top w:w="0" w:type="dxa"/>
              <w:left w:w="108" w:type="dxa"/>
              <w:bottom w:w="0" w:type="dxa"/>
              <w:right w:w="108" w:type="dxa"/>
            </w:tcMar>
            <w:vAlign w:val="center"/>
          </w:tcPr>
          <w:p w14:paraId="1CF49071" w14:textId="77777777" w:rsidR="00284822" w:rsidRDefault="00F77BF8" w:rsidP="00EC515D">
            <w:pPr>
              <w:spacing w:line="240" w:lineRule="auto"/>
              <w:rPr>
                <w:rFonts w:ascii="Rockwell" w:hAnsi="Rockwell"/>
                <w:color w:val="000000"/>
                <w:sz w:val="16"/>
                <w:szCs w:val="16"/>
              </w:rPr>
            </w:pPr>
            <w:proofErr w:type="gramStart"/>
            <w:r>
              <w:rPr>
                <w:rFonts w:ascii="Rockwell" w:hAnsi="Rockwell"/>
                <w:color w:val="000000"/>
                <w:sz w:val="16"/>
                <w:szCs w:val="16"/>
              </w:rPr>
              <w:t>½</w:t>
            </w:r>
            <w:proofErr w:type="gramEnd"/>
          </w:p>
        </w:tc>
        <w:tc>
          <w:tcPr>
            <w:tcW w:w="709" w:type="dxa"/>
            <w:shd w:val="clear" w:color="auto" w:fill="FFFFFF" w:themeFill="background1"/>
            <w:tcMar>
              <w:top w:w="0" w:type="dxa"/>
              <w:left w:w="108" w:type="dxa"/>
              <w:bottom w:w="0" w:type="dxa"/>
              <w:right w:w="108" w:type="dxa"/>
            </w:tcMar>
            <w:vAlign w:val="center"/>
          </w:tcPr>
          <w:p w14:paraId="6D55ED6E"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0,77%</w:t>
            </w:r>
          </w:p>
        </w:tc>
        <w:tc>
          <w:tcPr>
            <w:tcW w:w="701" w:type="dxa"/>
            <w:shd w:val="clear" w:color="auto" w:fill="FFFFFF" w:themeFill="background1"/>
            <w:tcMar>
              <w:top w:w="0" w:type="dxa"/>
              <w:left w:w="108" w:type="dxa"/>
              <w:bottom w:w="0" w:type="dxa"/>
              <w:right w:w="108" w:type="dxa"/>
            </w:tcMar>
            <w:vAlign w:val="center"/>
          </w:tcPr>
          <w:p w14:paraId="14827F8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w:t>
            </w:r>
          </w:p>
        </w:tc>
        <w:tc>
          <w:tcPr>
            <w:tcW w:w="863" w:type="dxa"/>
            <w:shd w:val="clear" w:color="auto" w:fill="FFFFFF" w:themeFill="background1"/>
            <w:tcMar>
              <w:top w:w="0" w:type="dxa"/>
              <w:left w:w="108" w:type="dxa"/>
              <w:bottom w:w="0" w:type="dxa"/>
              <w:right w:w="108" w:type="dxa"/>
            </w:tcMar>
            <w:vAlign w:val="center"/>
          </w:tcPr>
          <w:p w14:paraId="6D628374"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0,86%</w:t>
            </w:r>
          </w:p>
        </w:tc>
        <w:tc>
          <w:tcPr>
            <w:tcW w:w="704" w:type="dxa"/>
            <w:shd w:val="clear" w:color="auto" w:fill="FFFFFF" w:themeFill="background1"/>
            <w:tcMar>
              <w:top w:w="0" w:type="dxa"/>
              <w:left w:w="108" w:type="dxa"/>
              <w:bottom w:w="0" w:type="dxa"/>
              <w:right w:w="108" w:type="dxa"/>
            </w:tcMar>
            <w:vAlign w:val="center"/>
          </w:tcPr>
          <w:p w14:paraId="7759E23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w:t>
            </w:r>
          </w:p>
        </w:tc>
        <w:tc>
          <w:tcPr>
            <w:tcW w:w="992" w:type="dxa"/>
            <w:shd w:val="clear" w:color="auto" w:fill="FFFFFF" w:themeFill="background1"/>
            <w:tcMar>
              <w:top w:w="0" w:type="dxa"/>
              <w:left w:w="108" w:type="dxa"/>
              <w:bottom w:w="0" w:type="dxa"/>
              <w:right w:w="108" w:type="dxa"/>
            </w:tcMar>
            <w:vAlign w:val="center"/>
          </w:tcPr>
          <w:p w14:paraId="4E473EC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6,32%</w:t>
            </w:r>
          </w:p>
        </w:tc>
        <w:tc>
          <w:tcPr>
            <w:tcW w:w="709" w:type="dxa"/>
            <w:shd w:val="clear" w:color="auto" w:fill="FFFFFF" w:themeFill="background1"/>
            <w:tcMar>
              <w:top w:w="0" w:type="dxa"/>
              <w:left w:w="108" w:type="dxa"/>
              <w:bottom w:w="0" w:type="dxa"/>
              <w:right w:w="108" w:type="dxa"/>
            </w:tcMar>
            <w:vAlign w:val="center"/>
          </w:tcPr>
          <w:p w14:paraId="1E3F3A9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6</w:t>
            </w:r>
          </w:p>
        </w:tc>
        <w:tc>
          <w:tcPr>
            <w:tcW w:w="1276" w:type="dxa"/>
            <w:shd w:val="clear" w:color="auto" w:fill="FFFFFF" w:themeFill="background1"/>
            <w:tcMar>
              <w:top w:w="0" w:type="dxa"/>
              <w:left w:w="108" w:type="dxa"/>
              <w:bottom w:w="0" w:type="dxa"/>
              <w:right w:w="108" w:type="dxa"/>
            </w:tcMar>
            <w:vAlign w:val="center"/>
          </w:tcPr>
          <w:p w14:paraId="7AB6BF5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9,68%</w:t>
            </w:r>
          </w:p>
        </w:tc>
      </w:tr>
      <w:tr w:rsidR="00284822" w14:paraId="3C0F2D32" w14:textId="77777777">
        <w:trPr>
          <w:trHeight w:val="539"/>
        </w:trPr>
        <w:tc>
          <w:tcPr>
            <w:tcW w:w="854" w:type="dxa"/>
            <w:shd w:val="clear" w:color="auto" w:fill="FFFFFF" w:themeFill="background1"/>
            <w:noWrap/>
            <w:tcMar>
              <w:top w:w="0" w:type="dxa"/>
              <w:left w:w="108" w:type="dxa"/>
              <w:bottom w:w="0" w:type="dxa"/>
              <w:right w:w="108" w:type="dxa"/>
            </w:tcMar>
            <w:vAlign w:val="center"/>
          </w:tcPr>
          <w:p w14:paraId="6DB3A865" w14:textId="77777777" w:rsidR="00284822" w:rsidRDefault="00F77BF8" w:rsidP="00EC515D">
            <w:pPr>
              <w:spacing w:line="240" w:lineRule="auto"/>
              <w:rPr>
                <w:rFonts w:ascii="Rockwell" w:hAnsi="Rockwell"/>
                <w:bCs/>
                <w:color w:val="000000"/>
                <w:sz w:val="16"/>
                <w:szCs w:val="16"/>
              </w:rPr>
            </w:pPr>
            <w:r>
              <w:rPr>
                <w:rFonts w:ascii="Rockwell" w:hAnsi="Rockwell"/>
                <w:bCs/>
                <w:color w:val="000000"/>
                <w:sz w:val="16"/>
                <w:szCs w:val="16"/>
              </w:rPr>
              <w:t>28</w:t>
            </w:r>
          </w:p>
        </w:tc>
        <w:tc>
          <w:tcPr>
            <w:tcW w:w="1245" w:type="dxa"/>
            <w:shd w:val="clear" w:color="auto" w:fill="FFFFFF" w:themeFill="background1"/>
            <w:tcMar>
              <w:top w:w="0" w:type="dxa"/>
              <w:left w:w="108" w:type="dxa"/>
              <w:bottom w:w="0" w:type="dxa"/>
              <w:right w:w="108" w:type="dxa"/>
            </w:tcMar>
            <w:vAlign w:val="center"/>
          </w:tcPr>
          <w:p w14:paraId="20502F2B"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PDC</w:t>
            </w:r>
          </w:p>
        </w:tc>
        <w:tc>
          <w:tcPr>
            <w:tcW w:w="731" w:type="dxa"/>
            <w:shd w:val="clear" w:color="auto" w:fill="FFFFFF" w:themeFill="background1"/>
            <w:tcMar>
              <w:top w:w="0" w:type="dxa"/>
              <w:left w:w="108" w:type="dxa"/>
              <w:bottom w:w="0" w:type="dxa"/>
              <w:right w:w="108" w:type="dxa"/>
            </w:tcMar>
            <w:vAlign w:val="center"/>
          </w:tcPr>
          <w:p w14:paraId="3F2E3D7E"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1/6</w:t>
            </w:r>
          </w:p>
        </w:tc>
        <w:tc>
          <w:tcPr>
            <w:tcW w:w="863" w:type="dxa"/>
            <w:shd w:val="clear" w:color="auto" w:fill="FFFFFF" w:themeFill="background1"/>
            <w:tcMar>
              <w:top w:w="0" w:type="dxa"/>
              <w:left w:w="108" w:type="dxa"/>
              <w:bottom w:w="0" w:type="dxa"/>
              <w:right w:w="108" w:type="dxa"/>
            </w:tcMar>
            <w:vAlign w:val="center"/>
          </w:tcPr>
          <w:p w14:paraId="6BF9DF71"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0,30%</w:t>
            </w:r>
          </w:p>
        </w:tc>
        <w:tc>
          <w:tcPr>
            <w:tcW w:w="551" w:type="dxa"/>
            <w:shd w:val="clear" w:color="auto" w:fill="FFFFFF" w:themeFill="background1"/>
            <w:tcMar>
              <w:top w:w="0" w:type="dxa"/>
              <w:left w:w="108" w:type="dxa"/>
              <w:bottom w:w="0" w:type="dxa"/>
              <w:right w:w="108" w:type="dxa"/>
            </w:tcMar>
            <w:vAlign w:val="center"/>
          </w:tcPr>
          <w:p w14:paraId="6BFDD5A1"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w:t>
            </w:r>
          </w:p>
        </w:tc>
        <w:tc>
          <w:tcPr>
            <w:tcW w:w="863" w:type="dxa"/>
            <w:shd w:val="clear" w:color="auto" w:fill="FFFFFF" w:themeFill="background1"/>
            <w:tcMar>
              <w:top w:w="0" w:type="dxa"/>
              <w:left w:w="108" w:type="dxa"/>
              <w:bottom w:w="0" w:type="dxa"/>
              <w:right w:w="108" w:type="dxa"/>
            </w:tcMar>
            <w:vAlign w:val="center"/>
          </w:tcPr>
          <w:p w14:paraId="03F96AC4"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1,12%</w:t>
            </w:r>
          </w:p>
        </w:tc>
        <w:tc>
          <w:tcPr>
            <w:tcW w:w="695" w:type="dxa"/>
            <w:shd w:val="clear" w:color="auto" w:fill="FFFFFF" w:themeFill="background1"/>
            <w:tcMar>
              <w:top w:w="0" w:type="dxa"/>
              <w:left w:w="108" w:type="dxa"/>
              <w:bottom w:w="0" w:type="dxa"/>
              <w:right w:w="108" w:type="dxa"/>
            </w:tcMar>
            <w:vAlign w:val="center"/>
          </w:tcPr>
          <w:p w14:paraId="12819CA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89" w:type="dxa"/>
            <w:shd w:val="clear" w:color="auto" w:fill="FFFFFF" w:themeFill="background1"/>
            <w:tcMar>
              <w:top w:w="0" w:type="dxa"/>
              <w:left w:w="108" w:type="dxa"/>
              <w:bottom w:w="0" w:type="dxa"/>
              <w:right w:w="108" w:type="dxa"/>
            </w:tcMar>
            <w:vAlign w:val="center"/>
          </w:tcPr>
          <w:p w14:paraId="11625B2D"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055097E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7FE0487D"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14" w:type="dxa"/>
            <w:shd w:val="clear" w:color="auto" w:fill="FFFFFF" w:themeFill="background1"/>
            <w:tcMar>
              <w:top w:w="0" w:type="dxa"/>
              <w:left w:w="108" w:type="dxa"/>
              <w:bottom w:w="0" w:type="dxa"/>
              <w:right w:w="108" w:type="dxa"/>
            </w:tcMar>
            <w:vAlign w:val="center"/>
          </w:tcPr>
          <w:p w14:paraId="5A49DFDD"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1/3</w:t>
            </w:r>
          </w:p>
        </w:tc>
        <w:tc>
          <w:tcPr>
            <w:tcW w:w="709" w:type="dxa"/>
            <w:shd w:val="clear" w:color="auto" w:fill="FFFFFF" w:themeFill="background1"/>
            <w:tcMar>
              <w:top w:w="0" w:type="dxa"/>
              <w:left w:w="108" w:type="dxa"/>
              <w:bottom w:w="0" w:type="dxa"/>
              <w:right w:w="108" w:type="dxa"/>
            </w:tcMar>
            <w:vAlign w:val="center"/>
          </w:tcPr>
          <w:p w14:paraId="5F1E163F"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0,51%</w:t>
            </w:r>
          </w:p>
        </w:tc>
        <w:tc>
          <w:tcPr>
            <w:tcW w:w="701" w:type="dxa"/>
            <w:shd w:val="clear" w:color="auto" w:fill="FFFFFF" w:themeFill="background1"/>
            <w:tcMar>
              <w:top w:w="0" w:type="dxa"/>
              <w:left w:w="108" w:type="dxa"/>
              <w:bottom w:w="0" w:type="dxa"/>
              <w:right w:w="108" w:type="dxa"/>
            </w:tcMar>
            <w:vAlign w:val="center"/>
          </w:tcPr>
          <w:p w14:paraId="20485D7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w:t>
            </w:r>
          </w:p>
        </w:tc>
        <w:tc>
          <w:tcPr>
            <w:tcW w:w="863" w:type="dxa"/>
            <w:shd w:val="clear" w:color="auto" w:fill="FFFFFF" w:themeFill="background1"/>
            <w:tcMar>
              <w:top w:w="0" w:type="dxa"/>
              <w:left w:w="108" w:type="dxa"/>
              <w:bottom w:w="0" w:type="dxa"/>
              <w:right w:w="108" w:type="dxa"/>
            </w:tcMar>
            <w:vAlign w:val="center"/>
          </w:tcPr>
          <w:p w14:paraId="1337156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0,86%</w:t>
            </w:r>
          </w:p>
        </w:tc>
        <w:tc>
          <w:tcPr>
            <w:tcW w:w="704" w:type="dxa"/>
            <w:shd w:val="clear" w:color="auto" w:fill="FFFFFF" w:themeFill="background1"/>
            <w:tcMar>
              <w:top w:w="0" w:type="dxa"/>
              <w:left w:w="108" w:type="dxa"/>
              <w:bottom w:w="0" w:type="dxa"/>
              <w:right w:w="108" w:type="dxa"/>
            </w:tcMar>
            <w:vAlign w:val="center"/>
          </w:tcPr>
          <w:p w14:paraId="433D8CA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1/2</w:t>
            </w:r>
          </w:p>
        </w:tc>
        <w:tc>
          <w:tcPr>
            <w:tcW w:w="992" w:type="dxa"/>
            <w:shd w:val="clear" w:color="auto" w:fill="FFFFFF" w:themeFill="background1"/>
            <w:tcMar>
              <w:top w:w="0" w:type="dxa"/>
              <w:left w:w="108" w:type="dxa"/>
              <w:bottom w:w="0" w:type="dxa"/>
              <w:right w:w="108" w:type="dxa"/>
            </w:tcMar>
            <w:vAlign w:val="center"/>
          </w:tcPr>
          <w:p w14:paraId="2B48BF6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1,58%</w:t>
            </w:r>
          </w:p>
        </w:tc>
        <w:tc>
          <w:tcPr>
            <w:tcW w:w="709" w:type="dxa"/>
            <w:shd w:val="clear" w:color="auto" w:fill="FFFFFF" w:themeFill="background1"/>
            <w:tcMar>
              <w:top w:w="0" w:type="dxa"/>
              <w:left w:w="108" w:type="dxa"/>
              <w:bottom w:w="0" w:type="dxa"/>
              <w:right w:w="108" w:type="dxa"/>
            </w:tcMar>
            <w:vAlign w:val="center"/>
          </w:tcPr>
          <w:p w14:paraId="20E38DC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1276" w:type="dxa"/>
            <w:shd w:val="clear" w:color="auto" w:fill="FFFFFF" w:themeFill="background1"/>
            <w:tcMar>
              <w:top w:w="0" w:type="dxa"/>
              <w:left w:w="108" w:type="dxa"/>
              <w:bottom w:w="0" w:type="dxa"/>
              <w:right w:w="108" w:type="dxa"/>
            </w:tcMar>
            <w:vAlign w:val="center"/>
          </w:tcPr>
          <w:p w14:paraId="54C2464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r>
      <w:tr w:rsidR="00284822" w14:paraId="426F98CD" w14:textId="77777777">
        <w:trPr>
          <w:trHeight w:val="539"/>
        </w:trPr>
        <w:tc>
          <w:tcPr>
            <w:tcW w:w="854" w:type="dxa"/>
            <w:shd w:val="clear" w:color="auto" w:fill="FFFFFF" w:themeFill="background1"/>
            <w:noWrap/>
            <w:tcMar>
              <w:top w:w="0" w:type="dxa"/>
              <w:left w:w="108" w:type="dxa"/>
              <w:bottom w:w="0" w:type="dxa"/>
              <w:right w:w="108" w:type="dxa"/>
            </w:tcMar>
            <w:vAlign w:val="center"/>
          </w:tcPr>
          <w:p w14:paraId="2D45A65D" w14:textId="77777777" w:rsidR="00284822" w:rsidRDefault="00F77BF8" w:rsidP="00EC515D">
            <w:pPr>
              <w:spacing w:line="240" w:lineRule="auto"/>
              <w:rPr>
                <w:rFonts w:ascii="Rockwell" w:hAnsi="Rockwell"/>
                <w:bCs/>
                <w:color w:val="000000"/>
                <w:sz w:val="16"/>
                <w:szCs w:val="16"/>
              </w:rPr>
            </w:pPr>
            <w:r>
              <w:rPr>
                <w:rFonts w:ascii="Rockwell" w:hAnsi="Rockwell"/>
                <w:bCs/>
                <w:color w:val="000000"/>
                <w:sz w:val="16"/>
                <w:szCs w:val="16"/>
              </w:rPr>
              <w:t>29</w:t>
            </w:r>
          </w:p>
        </w:tc>
        <w:tc>
          <w:tcPr>
            <w:tcW w:w="1245" w:type="dxa"/>
            <w:shd w:val="clear" w:color="auto" w:fill="FFFFFF" w:themeFill="background1"/>
            <w:tcMar>
              <w:top w:w="0" w:type="dxa"/>
              <w:left w:w="108" w:type="dxa"/>
              <w:bottom w:w="0" w:type="dxa"/>
              <w:right w:w="108" w:type="dxa"/>
            </w:tcMar>
            <w:vAlign w:val="center"/>
          </w:tcPr>
          <w:p w14:paraId="640C1766"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PDIS LAFIA</w:t>
            </w:r>
          </w:p>
        </w:tc>
        <w:tc>
          <w:tcPr>
            <w:tcW w:w="731" w:type="dxa"/>
            <w:shd w:val="clear" w:color="auto" w:fill="FFFFFF" w:themeFill="background1"/>
            <w:tcMar>
              <w:top w:w="0" w:type="dxa"/>
              <w:left w:w="108" w:type="dxa"/>
              <w:bottom w:w="0" w:type="dxa"/>
              <w:right w:w="108" w:type="dxa"/>
            </w:tcMar>
            <w:vAlign w:val="center"/>
          </w:tcPr>
          <w:p w14:paraId="3EEA872F" w14:textId="77777777" w:rsidR="00284822" w:rsidRDefault="00F77BF8" w:rsidP="00EC515D">
            <w:pPr>
              <w:spacing w:line="240" w:lineRule="auto"/>
              <w:rPr>
                <w:rFonts w:ascii="Rockwell" w:hAnsi="Rockwell"/>
                <w:color w:val="000000"/>
                <w:sz w:val="16"/>
                <w:szCs w:val="16"/>
              </w:rPr>
            </w:pPr>
            <w:proofErr w:type="gramStart"/>
            <w:r>
              <w:rPr>
                <w:rFonts w:ascii="Rockwell" w:hAnsi="Rockwell"/>
                <w:color w:val="000000"/>
                <w:sz w:val="16"/>
                <w:szCs w:val="16"/>
              </w:rPr>
              <w:t>½</w:t>
            </w:r>
            <w:proofErr w:type="gramEnd"/>
          </w:p>
        </w:tc>
        <w:tc>
          <w:tcPr>
            <w:tcW w:w="863" w:type="dxa"/>
            <w:shd w:val="clear" w:color="auto" w:fill="FFFFFF" w:themeFill="background1"/>
            <w:tcMar>
              <w:top w:w="0" w:type="dxa"/>
              <w:left w:w="108" w:type="dxa"/>
              <w:bottom w:w="0" w:type="dxa"/>
              <w:right w:w="108" w:type="dxa"/>
            </w:tcMar>
            <w:vAlign w:val="center"/>
          </w:tcPr>
          <w:p w14:paraId="4650FBD4"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0,89%</w:t>
            </w:r>
          </w:p>
        </w:tc>
        <w:tc>
          <w:tcPr>
            <w:tcW w:w="551" w:type="dxa"/>
            <w:shd w:val="clear" w:color="auto" w:fill="FFFFFF" w:themeFill="background1"/>
            <w:tcMar>
              <w:top w:w="0" w:type="dxa"/>
              <w:left w:w="108" w:type="dxa"/>
              <w:bottom w:w="0" w:type="dxa"/>
              <w:right w:w="108" w:type="dxa"/>
            </w:tcMar>
            <w:vAlign w:val="center"/>
          </w:tcPr>
          <w:p w14:paraId="2BD9C11E"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w:t>
            </w:r>
          </w:p>
        </w:tc>
        <w:tc>
          <w:tcPr>
            <w:tcW w:w="863" w:type="dxa"/>
            <w:shd w:val="clear" w:color="auto" w:fill="FFFFFF" w:themeFill="background1"/>
            <w:tcMar>
              <w:top w:w="0" w:type="dxa"/>
              <w:left w:w="108" w:type="dxa"/>
              <w:bottom w:w="0" w:type="dxa"/>
              <w:right w:w="108" w:type="dxa"/>
            </w:tcMar>
            <w:vAlign w:val="center"/>
          </w:tcPr>
          <w:p w14:paraId="5BD2723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1,12%</w:t>
            </w:r>
          </w:p>
        </w:tc>
        <w:tc>
          <w:tcPr>
            <w:tcW w:w="695" w:type="dxa"/>
            <w:shd w:val="clear" w:color="auto" w:fill="FFFFFF" w:themeFill="background1"/>
            <w:tcMar>
              <w:top w:w="0" w:type="dxa"/>
              <w:left w:w="108" w:type="dxa"/>
              <w:bottom w:w="0" w:type="dxa"/>
              <w:right w:w="108" w:type="dxa"/>
            </w:tcMar>
            <w:vAlign w:val="center"/>
          </w:tcPr>
          <w:p w14:paraId="33748B6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 1/4</w:t>
            </w:r>
          </w:p>
        </w:tc>
        <w:tc>
          <w:tcPr>
            <w:tcW w:w="989" w:type="dxa"/>
            <w:shd w:val="clear" w:color="auto" w:fill="FFFFFF" w:themeFill="background1"/>
            <w:tcMar>
              <w:top w:w="0" w:type="dxa"/>
              <w:left w:w="108" w:type="dxa"/>
              <w:bottom w:w="0" w:type="dxa"/>
              <w:right w:w="108" w:type="dxa"/>
            </w:tcMar>
            <w:vAlign w:val="center"/>
          </w:tcPr>
          <w:p w14:paraId="1915166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2,81%</w:t>
            </w:r>
          </w:p>
        </w:tc>
        <w:tc>
          <w:tcPr>
            <w:tcW w:w="704" w:type="dxa"/>
            <w:shd w:val="clear" w:color="auto" w:fill="FFFFFF" w:themeFill="background1"/>
            <w:tcMar>
              <w:top w:w="0" w:type="dxa"/>
              <w:left w:w="108" w:type="dxa"/>
              <w:bottom w:w="0" w:type="dxa"/>
              <w:right w:w="108" w:type="dxa"/>
            </w:tcMar>
            <w:vAlign w:val="center"/>
          </w:tcPr>
          <w:p w14:paraId="590976C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w:t>
            </w:r>
          </w:p>
        </w:tc>
        <w:tc>
          <w:tcPr>
            <w:tcW w:w="863" w:type="dxa"/>
            <w:shd w:val="clear" w:color="auto" w:fill="FFFFFF" w:themeFill="background1"/>
            <w:tcMar>
              <w:top w:w="0" w:type="dxa"/>
              <w:left w:w="108" w:type="dxa"/>
              <w:bottom w:w="0" w:type="dxa"/>
              <w:right w:w="108" w:type="dxa"/>
            </w:tcMar>
            <w:vAlign w:val="center"/>
          </w:tcPr>
          <w:p w14:paraId="5B1DEEA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2,35%</w:t>
            </w:r>
          </w:p>
        </w:tc>
        <w:tc>
          <w:tcPr>
            <w:tcW w:w="714" w:type="dxa"/>
            <w:shd w:val="clear" w:color="auto" w:fill="FFFFFF" w:themeFill="background1"/>
            <w:tcMar>
              <w:top w:w="0" w:type="dxa"/>
              <w:left w:w="108" w:type="dxa"/>
              <w:bottom w:w="0" w:type="dxa"/>
              <w:right w:w="108" w:type="dxa"/>
            </w:tcMar>
            <w:vAlign w:val="center"/>
          </w:tcPr>
          <w:p w14:paraId="2659786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709" w:type="dxa"/>
            <w:shd w:val="clear" w:color="auto" w:fill="FFFFFF" w:themeFill="background1"/>
            <w:tcMar>
              <w:top w:w="0" w:type="dxa"/>
              <w:left w:w="108" w:type="dxa"/>
              <w:bottom w:w="0" w:type="dxa"/>
              <w:right w:w="108" w:type="dxa"/>
            </w:tcMar>
            <w:vAlign w:val="center"/>
          </w:tcPr>
          <w:p w14:paraId="516BD071"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1" w:type="dxa"/>
            <w:shd w:val="clear" w:color="auto" w:fill="FFFFFF" w:themeFill="background1"/>
            <w:tcMar>
              <w:top w:w="0" w:type="dxa"/>
              <w:left w:w="108" w:type="dxa"/>
              <w:bottom w:w="0" w:type="dxa"/>
              <w:right w:w="108" w:type="dxa"/>
            </w:tcMar>
            <w:vAlign w:val="center"/>
          </w:tcPr>
          <w:p w14:paraId="30286986"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196517C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564E7F9E"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92" w:type="dxa"/>
            <w:shd w:val="clear" w:color="auto" w:fill="FFFFFF" w:themeFill="background1"/>
            <w:tcMar>
              <w:top w:w="0" w:type="dxa"/>
              <w:left w:w="108" w:type="dxa"/>
              <w:bottom w:w="0" w:type="dxa"/>
              <w:right w:w="108" w:type="dxa"/>
            </w:tcMar>
            <w:vAlign w:val="center"/>
          </w:tcPr>
          <w:p w14:paraId="1C82A51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9" w:type="dxa"/>
            <w:shd w:val="clear" w:color="auto" w:fill="FFFFFF" w:themeFill="background1"/>
            <w:tcMar>
              <w:top w:w="0" w:type="dxa"/>
              <w:left w:w="108" w:type="dxa"/>
              <w:bottom w:w="0" w:type="dxa"/>
              <w:right w:w="108" w:type="dxa"/>
            </w:tcMar>
            <w:vAlign w:val="center"/>
          </w:tcPr>
          <w:p w14:paraId="5B0360C1"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1276" w:type="dxa"/>
            <w:shd w:val="clear" w:color="auto" w:fill="FFFFFF" w:themeFill="background1"/>
            <w:tcMar>
              <w:top w:w="0" w:type="dxa"/>
              <w:left w:w="108" w:type="dxa"/>
              <w:bottom w:w="0" w:type="dxa"/>
              <w:right w:w="108" w:type="dxa"/>
            </w:tcMar>
            <w:vAlign w:val="center"/>
          </w:tcPr>
          <w:p w14:paraId="2BA3B55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r>
      <w:tr w:rsidR="00284822" w14:paraId="72C1EB16" w14:textId="77777777">
        <w:trPr>
          <w:trHeight w:val="539"/>
        </w:trPr>
        <w:tc>
          <w:tcPr>
            <w:tcW w:w="854" w:type="dxa"/>
            <w:shd w:val="clear" w:color="auto" w:fill="FFFFFF" w:themeFill="background1"/>
            <w:noWrap/>
            <w:tcMar>
              <w:top w:w="0" w:type="dxa"/>
              <w:left w:w="108" w:type="dxa"/>
              <w:bottom w:w="0" w:type="dxa"/>
              <w:right w:w="108" w:type="dxa"/>
            </w:tcMar>
            <w:vAlign w:val="center"/>
          </w:tcPr>
          <w:p w14:paraId="4E45C90A" w14:textId="77777777" w:rsidR="00284822" w:rsidRDefault="00F77BF8" w:rsidP="00EC515D">
            <w:pPr>
              <w:spacing w:line="240" w:lineRule="auto"/>
              <w:rPr>
                <w:rFonts w:ascii="Rockwell" w:hAnsi="Rockwell"/>
                <w:bCs/>
                <w:color w:val="000000"/>
                <w:sz w:val="16"/>
                <w:szCs w:val="16"/>
              </w:rPr>
            </w:pPr>
            <w:r>
              <w:rPr>
                <w:rFonts w:ascii="Rockwell" w:hAnsi="Rockwell"/>
                <w:bCs/>
                <w:color w:val="000000"/>
                <w:sz w:val="16"/>
                <w:szCs w:val="16"/>
              </w:rPr>
              <w:t>30</w:t>
            </w:r>
          </w:p>
        </w:tc>
        <w:tc>
          <w:tcPr>
            <w:tcW w:w="1245" w:type="dxa"/>
            <w:shd w:val="clear" w:color="auto" w:fill="FFFFFF" w:themeFill="background1"/>
            <w:tcMar>
              <w:top w:w="0" w:type="dxa"/>
              <w:left w:w="108" w:type="dxa"/>
              <w:bottom w:w="0" w:type="dxa"/>
              <w:right w:w="108" w:type="dxa"/>
            </w:tcMar>
            <w:vAlign w:val="center"/>
          </w:tcPr>
          <w:p w14:paraId="663E52EE"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PDJ</w:t>
            </w:r>
          </w:p>
        </w:tc>
        <w:tc>
          <w:tcPr>
            <w:tcW w:w="731" w:type="dxa"/>
            <w:shd w:val="clear" w:color="auto" w:fill="FFFFFF" w:themeFill="background1"/>
            <w:tcMar>
              <w:top w:w="0" w:type="dxa"/>
              <w:left w:w="108" w:type="dxa"/>
              <w:bottom w:w="0" w:type="dxa"/>
              <w:right w:w="108" w:type="dxa"/>
            </w:tcMar>
            <w:vAlign w:val="center"/>
          </w:tcPr>
          <w:p w14:paraId="00006D8D"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2B775BB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551" w:type="dxa"/>
            <w:shd w:val="clear" w:color="auto" w:fill="FFFFFF" w:themeFill="background1"/>
            <w:tcMar>
              <w:top w:w="0" w:type="dxa"/>
              <w:left w:w="108" w:type="dxa"/>
              <w:bottom w:w="0" w:type="dxa"/>
              <w:right w:w="108" w:type="dxa"/>
            </w:tcMar>
            <w:vAlign w:val="center"/>
          </w:tcPr>
          <w:p w14:paraId="1D065CBE"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18209D7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695" w:type="dxa"/>
            <w:shd w:val="clear" w:color="auto" w:fill="FFFFFF" w:themeFill="background1"/>
            <w:tcMar>
              <w:top w:w="0" w:type="dxa"/>
              <w:left w:w="108" w:type="dxa"/>
              <w:bottom w:w="0" w:type="dxa"/>
              <w:right w:w="108" w:type="dxa"/>
            </w:tcMar>
            <w:vAlign w:val="center"/>
          </w:tcPr>
          <w:p w14:paraId="3644EFA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89" w:type="dxa"/>
            <w:shd w:val="clear" w:color="auto" w:fill="FFFFFF" w:themeFill="background1"/>
            <w:tcMar>
              <w:top w:w="0" w:type="dxa"/>
              <w:left w:w="108" w:type="dxa"/>
              <w:bottom w:w="0" w:type="dxa"/>
              <w:right w:w="108" w:type="dxa"/>
            </w:tcMar>
            <w:vAlign w:val="center"/>
          </w:tcPr>
          <w:p w14:paraId="0DAA162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5120E37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75C3D58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14" w:type="dxa"/>
            <w:shd w:val="clear" w:color="auto" w:fill="FFFFFF" w:themeFill="background1"/>
            <w:tcMar>
              <w:top w:w="0" w:type="dxa"/>
              <w:left w:w="108" w:type="dxa"/>
              <w:bottom w:w="0" w:type="dxa"/>
              <w:right w:w="108" w:type="dxa"/>
            </w:tcMar>
            <w:vAlign w:val="center"/>
          </w:tcPr>
          <w:p w14:paraId="74E46354"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709" w:type="dxa"/>
            <w:shd w:val="clear" w:color="auto" w:fill="FFFFFF" w:themeFill="background1"/>
            <w:tcMar>
              <w:top w:w="0" w:type="dxa"/>
              <w:left w:w="108" w:type="dxa"/>
              <w:bottom w:w="0" w:type="dxa"/>
              <w:right w:w="108" w:type="dxa"/>
            </w:tcMar>
            <w:vAlign w:val="center"/>
          </w:tcPr>
          <w:p w14:paraId="78C376F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1" w:type="dxa"/>
            <w:shd w:val="clear" w:color="auto" w:fill="FFFFFF" w:themeFill="background1"/>
            <w:tcMar>
              <w:top w:w="0" w:type="dxa"/>
              <w:left w:w="108" w:type="dxa"/>
              <w:bottom w:w="0" w:type="dxa"/>
              <w:right w:w="108" w:type="dxa"/>
            </w:tcMar>
            <w:vAlign w:val="center"/>
          </w:tcPr>
          <w:p w14:paraId="7DB6C4E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67ACCB86"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6B08CC6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92" w:type="dxa"/>
            <w:shd w:val="clear" w:color="auto" w:fill="FFFFFF" w:themeFill="background1"/>
            <w:tcMar>
              <w:top w:w="0" w:type="dxa"/>
              <w:left w:w="108" w:type="dxa"/>
              <w:bottom w:w="0" w:type="dxa"/>
              <w:right w:w="108" w:type="dxa"/>
            </w:tcMar>
            <w:vAlign w:val="center"/>
          </w:tcPr>
          <w:p w14:paraId="4B95E3B5"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9" w:type="dxa"/>
            <w:shd w:val="clear" w:color="auto" w:fill="FFFFFF" w:themeFill="background1"/>
            <w:tcMar>
              <w:top w:w="0" w:type="dxa"/>
              <w:left w:w="108" w:type="dxa"/>
              <w:bottom w:w="0" w:type="dxa"/>
              <w:right w:w="108" w:type="dxa"/>
            </w:tcMar>
            <w:vAlign w:val="center"/>
          </w:tcPr>
          <w:p w14:paraId="504D666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1276" w:type="dxa"/>
            <w:shd w:val="clear" w:color="auto" w:fill="FFFFFF" w:themeFill="background1"/>
            <w:tcMar>
              <w:top w:w="0" w:type="dxa"/>
              <w:left w:w="108" w:type="dxa"/>
              <w:bottom w:w="0" w:type="dxa"/>
              <w:right w:w="108" w:type="dxa"/>
            </w:tcMar>
            <w:vAlign w:val="center"/>
          </w:tcPr>
          <w:p w14:paraId="445E5A7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r>
      <w:tr w:rsidR="00284822" w14:paraId="468CA15C" w14:textId="77777777">
        <w:trPr>
          <w:trHeight w:val="539"/>
        </w:trPr>
        <w:tc>
          <w:tcPr>
            <w:tcW w:w="854" w:type="dxa"/>
            <w:shd w:val="clear" w:color="auto" w:fill="FFFFFF" w:themeFill="background1"/>
            <w:noWrap/>
            <w:tcMar>
              <w:top w:w="0" w:type="dxa"/>
              <w:left w:w="108" w:type="dxa"/>
              <w:bottom w:w="0" w:type="dxa"/>
              <w:right w:w="108" w:type="dxa"/>
            </w:tcMar>
            <w:vAlign w:val="center"/>
          </w:tcPr>
          <w:p w14:paraId="146492FF" w14:textId="77777777" w:rsidR="00284822" w:rsidRDefault="00F77BF8" w:rsidP="00EC515D">
            <w:pPr>
              <w:spacing w:line="240" w:lineRule="auto"/>
              <w:rPr>
                <w:rFonts w:ascii="Rockwell" w:hAnsi="Rockwell"/>
                <w:bCs/>
                <w:color w:val="000000"/>
                <w:sz w:val="16"/>
                <w:szCs w:val="16"/>
              </w:rPr>
            </w:pPr>
            <w:r>
              <w:rPr>
                <w:rFonts w:ascii="Rockwell" w:hAnsi="Rockwell"/>
                <w:bCs/>
                <w:color w:val="000000"/>
                <w:sz w:val="16"/>
                <w:szCs w:val="16"/>
              </w:rPr>
              <w:t>31</w:t>
            </w:r>
          </w:p>
        </w:tc>
        <w:tc>
          <w:tcPr>
            <w:tcW w:w="1245" w:type="dxa"/>
            <w:shd w:val="clear" w:color="auto" w:fill="FFFFFF" w:themeFill="background1"/>
            <w:tcMar>
              <w:top w:w="0" w:type="dxa"/>
              <w:left w:w="108" w:type="dxa"/>
              <w:bottom w:w="0" w:type="dxa"/>
              <w:right w:w="108" w:type="dxa"/>
            </w:tcMar>
            <w:vAlign w:val="center"/>
          </w:tcPr>
          <w:p w14:paraId="7167F89B"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PDP-PS</w:t>
            </w:r>
          </w:p>
        </w:tc>
        <w:tc>
          <w:tcPr>
            <w:tcW w:w="731" w:type="dxa"/>
            <w:shd w:val="clear" w:color="auto" w:fill="FFFFFF" w:themeFill="background1"/>
            <w:tcMar>
              <w:top w:w="0" w:type="dxa"/>
              <w:left w:w="108" w:type="dxa"/>
              <w:bottom w:w="0" w:type="dxa"/>
              <w:right w:w="108" w:type="dxa"/>
            </w:tcMar>
            <w:vAlign w:val="center"/>
          </w:tcPr>
          <w:p w14:paraId="3CB9467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1/3</w:t>
            </w:r>
          </w:p>
        </w:tc>
        <w:tc>
          <w:tcPr>
            <w:tcW w:w="863" w:type="dxa"/>
            <w:shd w:val="clear" w:color="auto" w:fill="FFFFFF" w:themeFill="background1"/>
            <w:tcMar>
              <w:top w:w="0" w:type="dxa"/>
              <w:left w:w="108" w:type="dxa"/>
              <w:bottom w:w="0" w:type="dxa"/>
              <w:right w:w="108" w:type="dxa"/>
            </w:tcMar>
            <w:vAlign w:val="center"/>
          </w:tcPr>
          <w:p w14:paraId="2AD0723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0,59%</w:t>
            </w:r>
          </w:p>
        </w:tc>
        <w:tc>
          <w:tcPr>
            <w:tcW w:w="551" w:type="dxa"/>
            <w:shd w:val="clear" w:color="auto" w:fill="FFFFFF" w:themeFill="background1"/>
            <w:tcMar>
              <w:top w:w="0" w:type="dxa"/>
              <w:left w:w="108" w:type="dxa"/>
              <w:bottom w:w="0" w:type="dxa"/>
              <w:right w:w="108" w:type="dxa"/>
            </w:tcMar>
            <w:vAlign w:val="center"/>
          </w:tcPr>
          <w:p w14:paraId="19BB3414"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3</w:t>
            </w:r>
          </w:p>
        </w:tc>
        <w:tc>
          <w:tcPr>
            <w:tcW w:w="863" w:type="dxa"/>
            <w:shd w:val="clear" w:color="auto" w:fill="FFFFFF" w:themeFill="background1"/>
            <w:tcMar>
              <w:top w:w="0" w:type="dxa"/>
              <w:left w:w="108" w:type="dxa"/>
              <w:bottom w:w="0" w:type="dxa"/>
              <w:right w:w="108" w:type="dxa"/>
            </w:tcMar>
            <w:vAlign w:val="center"/>
          </w:tcPr>
          <w:p w14:paraId="3DC9934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3,37%</w:t>
            </w:r>
          </w:p>
        </w:tc>
        <w:tc>
          <w:tcPr>
            <w:tcW w:w="695" w:type="dxa"/>
            <w:shd w:val="clear" w:color="auto" w:fill="FFFFFF" w:themeFill="background1"/>
            <w:tcMar>
              <w:top w:w="0" w:type="dxa"/>
              <w:left w:w="108" w:type="dxa"/>
              <w:bottom w:w="0" w:type="dxa"/>
              <w:right w:w="108" w:type="dxa"/>
            </w:tcMar>
            <w:vAlign w:val="center"/>
          </w:tcPr>
          <w:p w14:paraId="79248EA4"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1/2</w:t>
            </w:r>
          </w:p>
        </w:tc>
        <w:tc>
          <w:tcPr>
            <w:tcW w:w="989" w:type="dxa"/>
            <w:shd w:val="clear" w:color="auto" w:fill="FFFFFF" w:themeFill="background1"/>
            <w:tcMar>
              <w:top w:w="0" w:type="dxa"/>
              <w:left w:w="108" w:type="dxa"/>
              <w:bottom w:w="0" w:type="dxa"/>
              <w:right w:w="108" w:type="dxa"/>
            </w:tcMar>
            <w:vAlign w:val="center"/>
          </w:tcPr>
          <w:p w14:paraId="0A812716"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1,12%</w:t>
            </w:r>
          </w:p>
        </w:tc>
        <w:tc>
          <w:tcPr>
            <w:tcW w:w="704" w:type="dxa"/>
            <w:shd w:val="clear" w:color="auto" w:fill="FFFFFF" w:themeFill="background1"/>
            <w:tcMar>
              <w:top w:w="0" w:type="dxa"/>
              <w:left w:w="108" w:type="dxa"/>
              <w:bottom w:w="0" w:type="dxa"/>
              <w:right w:w="108" w:type="dxa"/>
            </w:tcMar>
            <w:vAlign w:val="center"/>
          </w:tcPr>
          <w:p w14:paraId="17C5341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w:t>
            </w:r>
          </w:p>
        </w:tc>
        <w:tc>
          <w:tcPr>
            <w:tcW w:w="863" w:type="dxa"/>
            <w:shd w:val="clear" w:color="auto" w:fill="FFFFFF" w:themeFill="background1"/>
            <w:tcMar>
              <w:top w:w="0" w:type="dxa"/>
              <w:left w:w="108" w:type="dxa"/>
              <w:bottom w:w="0" w:type="dxa"/>
              <w:right w:w="108" w:type="dxa"/>
            </w:tcMar>
            <w:vAlign w:val="center"/>
          </w:tcPr>
          <w:p w14:paraId="036AFEB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2,35%</w:t>
            </w:r>
          </w:p>
        </w:tc>
        <w:tc>
          <w:tcPr>
            <w:tcW w:w="714" w:type="dxa"/>
            <w:shd w:val="clear" w:color="auto" w:fill="FFFFFF" w:themeFill="background1"/>
            <w:tcMar>
              <w:top w:w="0" w:type="dxa"/>
              <w:left w:w="108" w:type="dxa"/>
              <w:bottom w:w="0" w:type="dxa"/>
              <w:right w:w="108" w:type="dxa"/>
            </w:tcMar>
            <w:vAlign w:val="center"/>
          </w:tcPr>
          <w:p w14:paraId="3ABA6F1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w:t>
            </w:r>
          </w:p>
        </w:tc>
        <w:tc>
          <w:tcPr>
            <w:tcW w:w="709" w:type="dxa"/>
            <w:shd w:val="clear" w:color="auto" w:fill="FFFFFF" w:themeFill="background1"/>
            <w:tcMar>
              <w:top w:w="0" w:type="dxa"/>
              <w:left w:w="108" w:type="dxa"/>
              <w:bottom w:w="0" w:type="dxa"/>
              <w:right w:w="108" w:type="dxa"/>
            </w:tcMar>
            <w:vAlign w:val="center"/>
          </w:tcPr>
          <w:p w14:paraId="1D44E9E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1,53%</w:t>
            </w:r>
          </w:p>
        </w:tc>
        <w:tc>
          <w:tcPr>
            <w:tcW w:w="701" w:type="dxa"/>
            <w:shd w:val="clear" w:color="auto" w:fill="FFFFFF" w:themeFill="background1"/>
            <w:tcMar>
              <w:top w:w="0" w:type="dxa"/>
              <w:left w:w="108" w:type="dxa"/>
              <w:bottom w:w="0" w:type="dxa"/>
              <w:right w:w="108" w:type="dxa"/>
            </w:tcMar>
            <w:vAlign w:val="center"/>
          </w:tcPr>
          <w:p w14:paraId="77CDF1E5"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w:t>
            </w:r>
          </w:p>
        </w:tc>
        <w:tc>
          <w:tcPr>
            <w:tcW w:w="863" w:type="dxa"/>
            <w:shd w:val="clear" w:color="auto" w:fill="FFFFFF" w:themeFill="background1"/>
            <w:tcMar>
              <w:top w:w="0" w:type="dxa"/>
              <w:left w:w="108" w:type="dxa"/>
              <w:bottom w:w="0" w:type="dxa"/>
              <w:right w:w="108" w:type="dxa"/>
            </w:tcMar>
            <w:vAlign w:val="center"/>
          </w:tcPr>
          <w:p w14:paraId="32C5DA2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1,72%</w:t>
            </w:r>
          </w:p>
        </w:tc>
        <w:tc>
          <w:tcPr>
            <w:tcW w:w="704" w:type="dxa"/>
            <w:shd w:val="clear" w:color="auto" w:fill="FFFFFF" w:themeFill="background1"/>
            <w:tcMar>
              <w:top w:w="0" w:type="dxa"/>
              <w:left w:w="108" w:type="dxa"/>
              <w:bottom w:w="0" w:type="dxa"/>
              <w:right w:w="108" w:type="dxa"/>
            </w:tcMar>
            <w:vAlign w:val="center"/>
          </w:tcPr>
          <w:p w14:paraId="6B4DC1E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 2/5</w:t>
            </w:r>
          </w:p>
        </w:tc>
        <w:tc>
          <w:tcPr>
            <w:tcW w:w="992" w:type="dxa"/>
            <w:shd w:val="clear" w:color="auto" w:fill="FFFFFF" w:themeFill="background1"/>
            <w:tcMar>
              <w:top w:w="0" w:type="dxa"/>
              <w:left w:w="108" w:type="dxa"/>
              <w:bottom w:w="0" w:type="dxa"/>
              <w:right w:w="108" w:type="dxa"/>
            </w:tcMar>
            <w:vAlign w:val="center"/>
          </w:tcPr>
          <w:p w14:paraId="2113E726"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4,42%</w:t>
            </w:r>
          </w:p>
        </w:tc>
        <w:tc>
          <w:tcPr>
            <w:tcW w:w="709" w:type="dxa"/>
            <w:shd w:val="clear" w:color="auto" w:fill="FFFFFF" w:themeFill="background1"/>
            <w:tcMar>
              <w:top w:w="0" w:type="dxa"/>
              <w:left w:w="108" w:type="dxa"/>
              <w:bottom w:w="0" w:type="dxa"/>
              <w:right w:w="108" w:type="dxa"/>
            </w:tcMar>
            <w:vAlign w:val="center"/>
          </w:tcPr>
          <w:p w14:paraId="139773F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3</w:t>
            </w:r>
          </w:p>
        </w:tc>
        <w:tc>
          <w:tcPr>
            <w:tcW w:w="1276" w:type="dxa"/>
            <w:shd w:val="clear" w:color="auto" w:fill="FFFFFF" w:themeFill="background1"/>
            <w:tcMar>
              <w:top w:w="0" w:type="dxa"/>
              <w:left w:w="108" w:type="dxa"/>
              <w:bottom w:w="0" w:type="dxa"/>
              <w:right w:w="108" w:type="dxa"/>
            </w:tcMar>
            <w:vAlign w:val="center"/>
          </w:tcPr>
          <w:p w14:paraId="3447EE45"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4,84%</w:t>
            </w:r>
          </w:p>
        </w:tc>
      </w:tr>
      <w:tr w:rsidR="00284822" w14:paraId="0B754587" w14:textId="77777777">
        <w:trPr>
          <w:trHeight w:val="539"/>
        </w:trPr>
        <w:tc>
          <w:tcPr>
            <w:tcW w:w="854" w:type="dxa"/>
            <w:shd w:val="clear" w:color="auto" w:fill="FFFFFF" w:themeFill="background1"/>
            <w:noWrap/>
            <w:tcMar>
              <w:top w:w="0" w:type="dxa"/>
              <w:left w:w="108" w:type="dxa"/>
              <w:bottom w:w="0" w:type="dxa"/>
              <w:right w:w="108" w:type="dxa"/>
            </w:tcMar>
            <w:vAlign w:val="center"/>
          </w:tcPr>
          <w:p w14:paraId="1C172D87" w14:textId="77777777" w:rsidR="00284822" w:rsidRDefault="00F77BF8" w:rsidP="00EC515D">
            <w:pPr>
              <w:spacing w:line="240" w:lineRule="auto"/>
              <w:rPr>
                <w:rFonts w:ascii="Rockwell" w:hAnsi="Rockwell"/>
                <w:bCs/>
                <w:color w:val="000000"/>
                <w:sz w:val="16"/>
                <w:szCs w:val="16"/>
              </w:rPr>
            </w:pPr>
            <w:r>
              <w:rPr>
                <w:rFonts w:ascii="Rockwell" w:hAnsi="Rockwell"/>
                <w:bCs/>
                <w:color w:val="000000"/>
                <w:sz w:val="16"/>
                <w:szCs w:val="16"/>
              </w:rPr>
              <w:t>32</w:t>
            </w:r>
          </w:p>
        </w:tc>
        <w:tc>
          <w:tcPr>
            <w:tcW w:w="1245" w:type="dxa"/>
            <w:shd w:val="clear" w:color="auto" w:fill="FFFFFF" w:themeFill="background1"/>
            <w:tcMar>
              <w:top w:w="0" w:type="dxa"/>
              <w:left w:w="108" w:type="dxa"/>
              <w:bottom w:w="0" w:type="dxa"/>
              <w:right w:w="108" w:type="dxa"/>
            </w:tcMar>
            <w:vAlign w:val="center"/>
          </w:tcPr>
          <w:p w14:paraId="403A451F"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PDS</w:t>
            </w:r>
          </w:p>
        </w:tc>
        <w:tc>
          <w:tcPr>
            <w:tcW w:w="731" w:type="dxa"/>
            <w:shd w:val="clear" w:color="auto" w:fill="FFFFFF" w:themeFill="background1"/>
            <w:tcMar>
              <w:top w:w="0" w:type="dxa"/>
              <w:left w:w="108" w:type="dxa"/>
              <w:bottom w:w="0" w:type="dxa"/>
              <w:right w:w="108" w:type="dxa"/>
            </w:tcMar>
            <w:vAlign w:val="center"/>
          </w:tcPr>
          <w:p w14:paraId="167A8F21"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76D1A8C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551" w:type="dxa"/>
            <w:shd w:val="clear" w:color="auto" w:fill="FFFFFF" w:themeFill="background1"/>
            <w:tcMar>
              <w:top w:w="0" w:type="dxa"/>
              <w:left w:w="108" w:type="dxa"/>
              <w:bottom w:w="0" w:type="dxa"/>
              <w:right w:w="108" w:type="dxa"/>
            </w:tcMar>
            <w:vAlign w:val="center"/>
          </w:tcPr>
          <w:p w14:paraId="644582B5"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59B4497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695" w:type="dxa"/>
            <w:shd w:val="clear" w:color="auto" w:fill="FFFFFF" w:themeFill="background1"/>
            <w:tcMar>
              <w:top w:w="0" w:type="dxa"/>
              <w:left w:w="108" w:type="dxa"/>
              <w:bottom w:w="0" w:type="dxa"/>
              <w:right w:w="108" w:type="dxa"/>
            </w:tcMar>
            <w:vAlign w:val="center"/>
          </w:tcPr>
          <w:p w14:paraId="74737A2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1/2</w:t>
            </w:r>
          </w:p>
        </w:tc>
        <w:tc>
          <w:tcPr>
            <w:tcW w:w="989" w:type="dxa"/>
            <w:shd w:val="clear" w:color="auto" w:fill="FFFFFF" w:themeFill="background1"/>
            <w:tcMar>
              <w:top w:w="0" w:type="dxa"/>
              <w:left w:w="108" w:type="dxa"/>
              <w:bottom w:w="0" w:type="dxa"/>
              <w:right w:w="108" w:type="dxa"/>
            </w:tcMar>
            <w:vAlign w:val="center"/>
          </w:tcPr>
          <w:p w14:paraId="0D210F4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1,12%</w:t>
            </w:r>
          </w:p>
        </w:tc>
        <w:tc>
          <w:tcPr>
            <w:tcW w:w="704" w:type="dxa"/>
            <w:shd w:val="clear" w:color="auto" w:fill="FFFFFF" w:themeFill="background1"/>
            <w:tcMar>
              <w:top w:w="0" w:type="dxa"/>
              <w:left w:w="108" w:type="dxa"/>
              <w:bottom w:w="0" w:type="dxa"/>
              <w:right w:w="108" w:type="dxa"/>
            </w:tcMar>
            <w:vAlign w:val="center"/>
          </w:tcPr>
          <w:p w14:paraId="485478DA"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w:t>
            </w:r>
          </w:p>
        </w:tc>
        <w:tc>
          <w:tcPr>
            <w:tcW w:w="863" w:type="dxa"/>
            <w:shd w:val="clear" w:color="auto" w:fill="FFFFFF" w:themeFill="background1"/>
            <w:tcMar>
              <w:top w:w="0" w:type="dxa"/>
              <w:left w:w="108" w:type="dxa"/>
              <w:bottom w:w="0" w:type="dxa"/>
              <w:right w:w="108" w:type="dxa"/>
            </w:tcMar>
            <w:vAlign w:val="center"/>
          </w:tcPr>
          <w:p w14:paraId="6BAD1D6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2,35%</w:t>
            </w:r>
          </w:p>
        </w:tc>
        <w:tc>
          <w:tcPr>
            <w:tcW w:w="714" w:type="dxa"/>
            <w:shd w:val="clear" w:color="auto" w:fill="FFFFFF" w:themeFill="background1"/>
            <w:tcMar>
              <w:top w:w="0" w:type="dxa"/>
              <w:left w:w="108" w:type="dxa"/>
              <w:bottom w:w="0" w:type="dxa"/>
              <w:right w:w="108" w:type="dxa"/>
            </w:tcMar>
            <w:vAlign w:val="center"/>
          </w:tcPr>
          <w:p w14:paraId="6B4E134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709" w:type="dxa"/>
            <w:shd w:val="clear" w:color="auto" w:fill="FFFFFF" w:themeFill="background1"/>
            <w:tcMar>
              <w:top w:w="0" w:type="dxa"/>
              <w:left w:w="108" w:type="dxa"/>
              <w:bottom w:w="0" w:type="dxa"/>
              <w:right w:w="108" w:type="dxa"/>
            </w:tcMar>
            <w:vAlign w:val="center"/>
          </w:tcPr>
          <w:p w14:paraId="2D470F7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1" w:type="dxa"/>
            <w:shd w:val="clear" w:color="auto" w:fill="FFFFFF" w:themeFill="background1"/>
            <w:tcMar>
              <w:top w:w="0" w:type="dxa"/>
              <w:left w:w="108" w:type="dxa"/>
              <w:bottom w:w="0" w:type="dxa"/>
              <w:right w:w="108" w:type="dxa"/>
            </w:tcMar>
            <w:vAlign w:val="center"/>
          </w:tcPr>
          <w:p w14:paraId="1A2945BD"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3C6520A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0EA27AF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92" w:type="dxa"/>
            <w:shd w:val="clear" w:color="auto" w:fill="FFFFFF" w:themeFill="background1"/>
            <w:tcMar>
              <w:top w:w="0" w:type="dxa"/>
              <w:left w:w="108" w:type="dxa"/>
              <w:bottom w:w="0" w:type="dxa"/>
              <w:right w:w="108" w:type="dxa"/>
            </w:tcMar>
            <w:vAlign w:val="center"/>
          </w:tcPr>
          <w:p w14:paraId="0A54167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9" w:type="dxa"/>
            <w:shd w:val="clear" w:color="auto" w:fill="FFFFFF" w:themeFill="background1"/>
            <w:tcMar>
              <w:top w:w="0" w:type="dxa"/>
              <w:left w:w="108" w:type="dxa"/>
              <w:bottom w:w="0" w:type="dxa"/>
              <w:right w:w="108" w:type="dxa"/>
            </w:tcMar>
            <w:vAlign w:val="center"/>
          </w:tcPr>
          <w:p w14:paraId="56EED10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1276" w:type="dxa"/>
            <w:shd w:val="clear" w:color="auto" w:fill="FFFFFF" w:themeFill="background1"/>
            <w:tcMar>
              <w:top w:w="0" w:type="dxa"/>
              <w:left w:w="108" w:type="dxa"/>
              <w:bottom w:w="0" w:type="dxa"/>
              <w:right w:w="108" w:type="dxa"/>
            </w:tcMar>
            <w:vAlign w:val="center"/>
          </w:tcPr>
          <w:p w14:paraId="22D61F2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r>
      <w:tr w:rsidR="00284822" w14:paraId="24818A86" w14:textId="77777777">
        <w:trPr>
          <w:trHeight w:val="539"/>
        </w:trPr>
        <w:tc>
          <w:tcPr>
            <w:tcW w:w="854" w:type="dxa"/>
            <w:shd w:val="clear" w:color="auto" w:fill="FFFFFF" w:themeFill="background1"/>
            <w:noWrap/>
            <w:tcMar>
              <w:top w:w="0" w:type="dxa"/>
              <w:left w:w="108" w:type="dxa"/>
              <w:bottom w:w="0" w:type="dxa"/>
              <w:right w:w="108" w:type="dxa"/>
            </w:tcMar>
            <w:vAlign w:val="center"/>
          </w:tcPr>
          <w:p w14:paraId="2CF90E48" w14:textId="77777777" w:rsidR="00284822" w:rsidRDefault="00F77BF8" w:rsidP="00EC515D">
            <w:pPr>
              <w:spacing w:line="240" w:lineRule="auto"/>
              <w:rPr>
                <w:rFonts w:ascii="Rockwell" w:hAnsi="Rockwell"/>
                <w:bCs/>
                <w:color w:val="000000"/>
                <w:sz w:val="16"/>
                <w:szCs w:val="16"/>
              </w:rPr>
            </w:pPr>
            <w:r>
              <w:rPr>
                <w:rFonts w:ascii="Rockwell" w:hAnsi="Rockwell"/>
                <w:bCs/>
                <w:color w:val="000000"/>
                <w:sz w:val="16"/>
                <w:szCs w:val="16"/>
              </w:rPr>
              <w:t>33</w:t>
            </w:r>
          </w:p>
        </w:tc>
        <w:tc>
          <w:tcPr>
            <w:tcW w:w="1245" w:type="dxa"/>
            <w:shd w:val="clear" w:color="auto" w:fill="FFFFFF" w:themeFill="background1"/>
            <w:tcMar>
              <w:top w:w="0" w:type="dxa"/>
              <w:left w:w="108" w:type="dxa"/>
              <w:bottom w:w="0" w:type="dxa"/>
              <w:right w:w="108" w:type="dxa"/>
            </w:tcMar>
            <w:vAlign w:val="center"/>
          </w:tcPr>
          <w:p w14:paraId="69A5A982"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PIB</w:t>
            </w:r>
          </w:p>
        </w:tc>
        <w:tc>
          <w:tcPr>
            <w:tcW w:w="731" w:type="dxa"/>
            <w:shd w:val="clear" w:color="auto" w:fill="FFFFFF" w:themeFill="background1"/>
            <w:tcMar>
              <w:top w:w="0" w:type="dxa"/>
              <w:left w:w="108" w:type="dxa"/>
              <w:bottom w:w="0" w:type="dxa"/>
              <w:right w:w="108" w:type="dxa"/>
            </w:tcMar>
            <w:vAlign w:val="center"/>
          </w:tcPr>
          <w:p w14:paraId="1364D9C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1F02D925"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551" w:type="dxa"/>
            <w:shd w:val="clear" w:color="auto" w:fill="FFFFFF" w:themeFill="background1"/>
            <w:tcMar>
              <w:top w:w="0" w:type="dxa"/>
              <w:left w:w="108" w:type="dxa"/>
              <w:bottom w:w="0" w:type="dxa"/>
              <w:right w:w="108" w:type="dxa"/>
            </w:tcMar>
            <w:vAlign w:val="center"/>
          </w:tcPr>
          <w:p w14:paraId="4B5128F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039DABB5"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695" w:type="dxa"/>
            <w:shd w:val="clear" w:color="auto" w:fill="FFFFFF" w:themeFill="background1"/>
            <w:tcMar>
              <w:top w:w="0" w:type="dxa"/>
              <w:left w:w="108" w:type="dxa"/>
              <w:bottom w:w="0" w:type="dxa"/>
              <w:right w:w="108" w:type="dxa"/>
            </w:tcMar>
            <w:vAlign w:val="center"/>
          </w:tcPr>
          <w:p w14:paraId="52D0EAA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89" w:type="dxa"/>
            <w:shd w:val="clear" w:color="auto" w:fill="FFFFFF" w:themeFill="background1"/>
            <w:tcMar>
              <w:top w:w="0" w:type="dxa"/>
              <w:left w:w="108" w:type="dxa"/>
              <w:bottom w:w="0" w:type="dxa"/>
              <w:right w:w="108" w:type="dxa"/>
            </w:tcMar>
            <w:vAlign w:val="center"/>
          </w:tcPr>
          <w:p w14:paraId="33C7402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7DF5853D"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4F056A46"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14" w:type="dxa"/>
            <w:shd w:val="clear" w:color="auto" w:fill="FFFFFF" w:themeFill="background1"/>
            <w:tcMar>
              <w:top w:w="0" w:type="dxa"/>
              <w:left w:w="108" w:type="dxa"/>
              <w:bottom w:w="0" w:type="dxa"/>
              <w:right w:w="108" w:type="dxa"/>
            </w:tcMar>
            <w:vAlign w:val="center"/>
          </w:tcPr>
          <w:p w14:paraId="1DCAD5AD" w14:textId="77777777" w:rsidR="00284822" w:rsidRDefault="00F77BF8" w:rsidP="00EC515D">
            <w:pPr>
              <w:spacing w:line="240" w:lineRule="auto"/>
              <w:rPr>
                <w:rFonts w:ascii="Rockwell" w:hAnsi="Rockwell"/>
                <w:color w:val="000000"/>
                <w:sz w:val="16"/>
                <w:szCs w:val="16"/>
              </w:rPr>
            </w:pPr>
            <w:proofErr w:type="gramStart"/>
            <w:r>
              <w:rPr>
                <w:rFonts w:ascii="Rockwell" w:hAnsi="Rockwell"/>
                <w:color w:val="000000"/>
                <w:sz w:val="16"/>
                <w:szCs w:val="16"/>
              </w:rPr>
              <w:t>½</w:t>
            </w:r>
            <w:proofErr w:type="gramEnd"/>
          </w:p>
        </w:tc>
        <w:tc>
          <w:tcPr>
            <w:tcW w:w="709" w:type="dxa"/>
            <w:shd w:val="clear" w:color="auto" w:fill="FFFFFF" w:themeFill="background1"/>
            <w:tcMar>
              <w:top w:w="0" w:type="dxa"/>
              <w:left w:w="108" w:type="dxa"/>
              <w:bottom w:w="0" w:type="dxa"/>
              <w:right w:w="108" w:type="dxa"/>
            </w:tcMar>
            <w:vAlign w:val="center"/>
          </w:tcPr>
          <w:p w14:paraId="097403F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0,77%</w:t>
            </w:r>
          </w:p>
        </w:tc>
        <w:tc>
          <w:tcPr>
            <w:tcW w:w="701" w:type="dxa"/>
            <w:shd w:val="clear" w:color="auto" w:fill="FFFFFF" w:themeFill="background1"/>
            <w:tcMar>
              <w:top w:w="0" w:type="dxa"/>
              <w:left w:w="108" w:type="dxa"/>
              <w:bottom w:w="0" w:type="dxa"/>
              <w:right w:w="108" w:type="dxa"/>
            </w:tcMar>
            <w:vAlign w:val="center"/>
          </w:tcPr>
          <w:p w14:paraId="42C83A4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w:t>
            </w:r>
          </w:p>
        </w:tc>
        <w:tc>
          <w:tcPr>
            <w:tcW w:w="863" w:type="dxa"/>
            <w:shd w:val="clear" w:color="auto" w:fill="FFFFFF" w:themeFill="background1"/>
            <w:tcMar>
              <w:top w:w="0" w:type="dxa"/>
              <w:left w:w="108" w:type="dxa"/>
              <w:bottom w:w="0" w:type="dxa"/>
              <w:right w:w="108" w:type="dxa"/>
            </w:tcMar>
            <w:vAlign w:val="center"/>
          </w:tcPr>
          <w:p w14:paraId="1671583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0,86%</w:t>
            </w:r>
          </w:p>
        </w:tc>
        <w:tc>
          <w:tcPr>
            <w:tcW w:w="704" w:type="dxa"/>
            <w:shd w:val="clear" w:color="auto" w:fill="FFFFFF" w:themeFill="background1"/>
            <w:tcMar>
              <w:top w:w="0" w:type="dxa"/>
              <w:left w:w="108" w:type="dxa"/>
              <w:bottom w:w="0" w:type="dxa"/>
              <w:right w:w="108" w:type="dxa"/>
            </w:tcMar>
            <w:vAlign w:val="center"/>
          </w:tcPr>
          <w:p w14:paraId="1552115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92" w:type="dxa"/>
            <w:shd w:val="clear" w:color="auto" w:fill="FFFFFF" w:themeFill="background1"/>
            <w:tcMar>
              <w:top w:w="0" w:type="dxa"/>
              <w:left w:w="108" w:type="dxa"/>
              <w:bottom w:w="0" w:type="dxa"/>
              <w:right w:w="108" w:type="dxa"/>
            </w:tcMar>
            <w:vAlign w:val="center"/>
          </w:tcPr>
          <w:p w14:paraId="086F3A61"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9" w:type="dxa"/>
            <w:shd w:val="clear" w:color="auto" w:fill="FFFFFF" w:themeFill="background1"/>
            <w:tcMar>
              <w:top w:w="0" w:type="dxa"/>
              <w:left w:w="108" w:type="dxa"/>
              <w:bottom w:w="0" w:type="dxa"/>
              <w:right w:w="108" w:type="dxa"/>
            </w:tcMar>
            <w:vAlign w:val="center"/>
          </w:tcPr>
          <w:p w14:paraId="2E1F489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1276" w:type="dxa"/>
            <w:shd w:val="clear" w:color="auto" w:fill="FFFFFF" w:themeFill="background1"/>
            <w:tcMar>
              <w:top w:w="0" w:type="dxa"/>
              <w:left w:w="108" w:type="dxa"/>
              <w:bottom w:w="0" w:type="dxa"/>
              <w:right w:w="108" w:type="dxa"/>
            </w:tcMar>
            <w:vAlign w:val="center"/>
          </w:tcPr>
          <w:p w14:paraId="012FDEC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r>
      <w:tr w:rsidR="00284822" w14:paraId="3F8AD4AC" w14:textId="77777777">
        <w:trPr>
          <w:trHeight w:val="539"/>
        </w:trPr>
        <w:tc>
          <w:tcPr>
            <w:tcW w:w="854" w:type="dxa"/>
            <w:shd w:val="clear" w:color="auto" w:fill="FFFFFF" w:themeFill="background1"/>
            <w:noWrap/>
            <w:tcMar>
              <w:top w:w="0" w:type="dxa"/>
              <w:left w:w="108" w:type="dxa"/>
              <w:bottom w:w="0" w:type="dxa"/>
              <w:right w:w="108" w:type="dxa"/>
            </w:tcMar>
            <w:vAlign w:val="center"/>
          </w:tcPr>
          <w:p w14:paraId="18AC0C8D" w14:textId="77777777" w:rsidR="00284822" w:rsidRDefault="00F77BF8" w:rsidP="00EC515D">
            <w:pPr>
              <w:spacing w:line="240" w:lineRule="auto"/>
              <w:rPr>
                <w:rFonts w:ascii="Rockwell" w:hAnsi="Rockwell"/>
                <w:bCs/>
                <w:color w:val="000000"/>
                <w:sz w:val="16"/>
                <w:szCs w:val="16"/>
              </w:rPr>
            </w:pPr>
            <w:r>
              <w:rPr>
                <w:rFonts w:ascii="Rockwell" w:hAnsi="Rockwell"/>
                <w:bCs/>
                <w:color w:val="000000"/>
                <w:sz w:val="16"/>
                <w:szCs w:val="16"/>
              </w:rPr>
              <w:t>35</w:t>
            </w:r>
          </w:p>
        </w:tc>
        <w:tc>
          <w:tcPr>
            <w:tcW w:w="1245" w:type="dxa"/>
            <w:shd w:val="clear" w:color="auto" w:fill="FFFFFF" w:themeFill="background1"/>
            <w:tcMar>
              <w:top w:w="0" w:type="dxa"/>
              <w:left w:w="108" w:type="dxa"/>
              <w:bottom w:w="0" w:type="dxa"/>
              <w:right w:w="108" w:type="dxa"/>
            </w:tcMar>
            <w:vAlign w:val="center"/>
          </w:tcPr>
          <w:p w14:paraId="1B6A4259"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PPR</w:t>
            </w:r>
          </w:p>
        </w:tc>
        <w:tc>
          <w:tcPr>
            <w:tcW w:w="731" w:type="dxa"/>
            <w:shd w:val="clear" w:color="auto" w:fill="FFFFFF" w:themeFill="background1"/>
            <w:tcMar>
              <w:top w:w="0" w:type="dxa"/>
              <w:left w:w="108" w:type="dxa"/>
              <w:bottom w:w="0" w:type="dxa"/>
              <w:right w:w="108" w:type="dxa"/>
            </w:tcMar>
            <w:vAlign w:val="center"/>
          </w:tcPr>
          <w:p w14:paraId="5680063E"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087C59A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551" w:type="dxa"/>
            <w:shd w:val="clear" w:color="auto" w:fill="FFFFFF" w:themeFill="background1"/>
            <w:tcMar>
              <w:top w:w="0" w:type="dxa"/>
              <w:left w:w="108" w:type="dxa"/>
              <w:bottom w:w="0" w:type="dxa"/>
              <w:right w:w="108" w:type="dxa"/>
            </w:tcMar>
            <w:vAlign w:val="center"/>
          </w:tcPr>
          <w:p w14:paraId="2588CEE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0C75A52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695" w:type="dxa"/>
            <w:shd w:val="clear" w:color="auto" w:fill="FFFFFF" w:themeFill="background1"/>
            <w:tcMar>
              <w:top w:w="0" w:type="dxa"/>
              <w:left w:w="108" w:type="dxa"/>
              <w:bottom w:w="0" w:type="dxa"/>
              <w:right w:w="108" w:type="dxa"/>
            </w:tcMar>
            <w:vAlign w:val="center"/>
          </w:tcPr>
          <w:p w14:paraId="184E402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89" w:type="dxa"/>
            <w:shd w:val="clear" w:color="auto" w:fill="FFFFFF" w:themeFill="background1"/>
            <w:tcMar>
              <w:top w:w="0" w:type="dxa"/>
              <w:left w:w="108" w:type="dxa"/>
              <w:bottom w:w="0" w:type="dxa"/>
              <w:right w:w="108" w:type="dxa"/>
            </w:tcMar>
            <w:vAlign w:val="center"/>
          </w:tcPr>
          <w:p w14:paraId="0CFF2635"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3369682A"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6DCDF3D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14" w:type="dxa"/>
            <w:shd w:val="clear" w:color="auto" w:fill="FFFFFF" w:themeFill="background1"/>
            <w:tcMar>
              <w:top w:w="0" w:type="dxa"/>
              <w:left w:w="108" w:type="dxa"/>
              <w:bottom w:w="0" w:type="dxa"/>
              <w:right w:w="108" w:type="dxa"/>
            </w:tcMar>
            <w:vAlign w:val="center"/>
          </w:tcPr>
          <w:p w14:paraId="11105E1E"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709" w:type="dxa"/>
            <w:shd w:val="clear" w:color="auto" w:fill="FFFFFF" w:themeFill="background1"/>
            <w:tcMar>
              <w:top w:w="0" w:type="dxa"/>
              <w:left w:w="108" w:type="dxa"/>
              <w:bottom w:w="0" w:type="dxa"/>
              <w:right w:w="108" w:type="dxa"/>
            </w:tcMar>
            <w:vAlign w:val="center"/>
          </w:tcPr>
          <w:p w14:paraId="3BF764AA"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1" w:type="dxa"/>
            <w:shd w:val="clear" w:color="auto" w:fill="FFFFFF" w:themeFill="background1"/>
            <w:tcMar>
              <w:top w:w="0" w:type="dxa"/>
              <w:left w:w="108" w:type="dxa"/>
              <w:bottom w:w="0" w:type="dxa"/>
              <w:right w:w="108" w:type="dxa"/>
            </w:tcMar>
            <w:vAlign w:val="center"/>
          </w:tcPr>
          <w:p w14:paraId="1CDD975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7C03A65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331056B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92" w:type="dxa"/>
            <w:shd w:val="clear" w:color="auto" w:fill="FFFFFF" w:themeFill="background1"/>
            <w:tcMar>
              <w:top w:w="0" w:type="dxa"/>
              <w:left w:w="108" w:type="dxa"/>
              <w:bottom w:w="0" w:type="dxa"/>
              <w:right w:w="108" w:type="dxa"/>
            </w:tcMar>
            <w:vAlign w:val="center"/>
          </w:tcPr>
          <w:p w14:paraId="14DC0D9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9" w:type="dxa"/>
            <w:shd w:val="clear" w:color="auto" w:fill="FFFFFF" w:themeFill="background1"/>
            <w:tcMar>
              <w:top w:w="0" w:type="dxa"/>
              <w:left w:w="108" w:type="dxa"/>
              <w:bottom w:w="0" w:type="dxa"/>
              <w:right w:w="108" w:type="dxa"/>
            </w:tcMar>
            <w:vAlign w:val="center"/>
          </w:tcPr>
          <w:p w14:paraId="5902228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1276" w:type="dxa"/>
            <w:shd w:val="clear" w:color="auto" w:fill="FFFFFF" w:themeFill="background1"/>
            <w:tcMar>
              <w:top w:w="0" w:type="dxa"/>
              <w:left w:w="108" w:type="dxa"/>
              <w:bottom w:w="0" w:type="dxa"/>
              <w:right w:w="108" w:type="dxa"/>
            </w:tcMar>
            <w:vAlign w:val="center"/>
          </w:tcPr>
          <w:p w14:paraId="41F3C2F4"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r>
      <w:tr w:rsidR="00284822" w14:paraId="7AD9B2C5" w14:textId="77777777">
        <w:trPr>
          <w:trHeight w:val="539"/>
        </w:trPr>
        <w:tc>
          <w:tcPr>
            <w:tcW w:w="854" w:type="dxa"/>
            <w:shd w:val="clear" w:color="auto" w:fill="FFFFFF" w:themeFill="background1"/>
            <w:noWrap/>
            <w:tcMar>
              <w:top w:w="0" w:type="dxa"/>
              <w:left w:w="108" w:type="dxa"/>
              <w:bottom w:w="0" w:type="dxa"/>
              <w:right w:w="108" w:type="dxa"/>
            </w:tcMar>
            <w:vAlign w:val="center"/>
          </w:tcPr>
          <w:p w14:paraId="4C0D8FA5" w14:textId="77777777" w:rsidR="00284822" w:rsidRDefault="00F77BF8" w:rsidP="00EC515D">
            <w:pPr>
              <w:spacing w:line="240" w:lineRule="auto"/>
              <w:rPr>
                <w:rFonts w:ascii="Rockwell" w:hAnsi="Rockwell"/>
                <w:bCs/>
                <w:color w:val="000000"/>
                <w:sz w:val="16"/>
                <w:szCs w:val="16"/>
              </w:rPr>
            </w:pPr>
            <w:r>
              <w:rPr>
                <w:rFonts w:ascii="Rockwell" w:hAnsi="Rockwell"/>
                <w:bCs/>
                <w:color w:val="000000"/>
                <w:sz w:val="16"/>
                <w:szCs w:val="16"/>
              </w:rPr>
              <w:t>36</w:t>
            </w:r>
          </w:p>
        </w:tc>
        <w:tc>
          <w:tcPr>
            <w:tcW w:w="1245" w:type="dxa"/>
            <w:shd w:val="clear" w:color="auto" w:fill="FFFFFF" w:themeFill="background1"/>
            <w:tcMar>
              <w:top w:w="0" w:type="dxa"/>
              <w:left w:w="108" w:type="dxa"/>
              <w:bottom w:w="0" w:type="dxa"/>
              <w:right w:w="108" w:type="dxa"/>
            </w:tcMar>
            <w:vAlign w:val="center"/>
          </w:tcPr>
          <w:p w14:paraId="3F4C7985"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PPS</w:t>
            </w:r>
          </w:p>
        </w:tc>
        <w:tc>
          <w:tcPr>
            <w:tcW w:w="731" w:type="dxa"/>
            <w:shd w:val="clear" w:color="auto" w:fill="FFFFFF" w:themeFill="background1"/>
            <w:tcMar>
              <w:top w:w="0" w:type="dxa"/>
              <w:left w:w="108" w:type="dxa"/>
              <w:bottom w:w="0" w:type="dxa"/>
              <w:right w:w="108" w:type="dxa"/>
            </w:tcMar>
            <w:vAlign w:val="center"/>
          </w:tcPr>
          <w:p w14:paraId="73DEAF3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4 5/6</w:t>
            </w:r>
          </w:p>
        </w:tc>
        <w:tc>
          <w:tcPr>
            <w:tcW w:w="863" w:type="dxa"/>
            <w:shd w:val="clear" w:color="auto" w:fill="FFFFFF" w:themeFill="background1"/>
            <w:tcMar>
              <w:top w:w="0" w:type="dxa"/>
              <w:left w:w="108" w:type="dxa"/>
              <w:bottom w:w="0" w:type="dxa"/>
              <w:right w:w="108" w:type="dxa"/>
            </w:tcMar>
            <w:vAlign w:val="center"/>
          </w:tcPr>
          <w:p w14:paraId="40F4D14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8,56%</w:t>
            </w:r>
          </w:p>
        </w:tc>
        <w:tc>
          <w:tcPr>
            <w:tcW w:w="551" w:type="dxa"/>
            <w:shd w:val="clear" w:color="auto" w:fill="FFFFFF" w:themeFill="background1"/>
            <w:tcMar>
              <w:top w:w="0" w:type="dxa"/>
              <w:left w:w="108" w:type="dxa"/>
              <w:bottom w:w="0" w:type="dxa"/>
              <w:right w:w="108" w:type="dxa"/>
            </w:tcMar>
            <w:vAlign w:val="center"/>
          </w:tcPr>
          <w:p w14:paraId="0B0CA99F"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9</w:t>
            </w:r>
          </w:p>
        </w:tc>
        <w:tc>
          <w:tcPr>
            <w:tcW w:w="863" w:type="dxa"/>
            <w:shd w:val="clear" w:color="auto" w:fill="FFFFFF" w:themeFill="background1"/>
            <w:tcMar>
              <w:top w:w="0" w:type="dxa"/>
              <w:left w:w="108" w:type="dxa"/>
              <w:bottom w:w="0" w:type="dxa"/>
              <w:right w:w="108" w:type="dxa"/>
            </w:tcMar>
            <w:vAlign w:val="center"/>
          </w:tcPr>
          <w:p w14:paraId="7FD3E7AA"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10,11%</w:t>
            </w:r>
          </w:p>
        </w:tc>
        <w:tc>
          <w:tcPr>
            <w:tcW w:w="695" w:type="dxa"/>
            <w:shd w:val="clear" w:color="auto" w:fill="FFFFFF" w:themeFill="background1"/>
            <w:tcMar>
              <w:top w:w="0" w:type="dxa"/>
              <w:left w:w="108" w:type="dxa"/>
              <w:bottom w:w="0" w:type="dxa"/>
              <w:right w:w="108" w:type="dxa"/>
            </w:tcMar>
            <w:vAlign w:val="center"/>
          </w:tcPr>
          <w:p w14:paraId="7F6B59B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5 1/2</w:t>
            </w:r>
          </w:p>
        </w:tc>
        <w:tc>
          <w:tcPr>
            <w:tcW w:w="989" w:type="dxa"/>
            <w:shd w:val="clear" w:color="auto" w:fill="FFFFFF" w:themeFill="background1"/>
            <w:tcMar>
              <w:top w:w="0" w:type="dxa"/>
              <w:left w:w="108" w:type="dxa"/>
              <w:bottom w:w="0" w:type="dxa"/>
              <w:right w:w="108" w:type="dxa"/>
            </w:tcMar>
            <w:vAlign w:val="center"/>
          </w:tcPr>
          <w:p w14:paraId="545DD68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12,36%</w:t>
            </w:r>
          </w:p>
        </w:tc>
        <w:tc>
          <w:tcPr>
            <w:tcW w:w="704" w:type="dxa"/>
            <w:shd w:val="clear" w:color="auto" w:fill="FFFFFF" w:themeFill="background1"/>
            <w:tcMar>
              <w:top w:w="0" w:type="dxa"/>
              <w:left w:w="108" w:type="dxa"/>
              <w:bottom w:w="0" w:type="dxa"/>
              <w:right w:w="108" w:type="dxa"/>
            </w:tcMar>
            <w:vAlign w:val="center"/>
          </w:tcPr>
          <w:p w14:paraId="2EFB445F"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11</w:t>
            </w:r>
          </w:p>
        </w:tc>
        <w:tc>
          <w:tcPr>
            <w:tcW w:w="863" w:type="dxa"/>
            <w:shd w:val="clear" w:color="auto" w:fill="FFFFFF" w:themeFill="background1"/>
            <w:tcMar>
              <w:top w:w="0" w:type="dxa"/>
              <w:left w:w="108" w:type="dxa"/>
              <w:bottom w:w="0" w:type="dxa"/>
              <w:right w:w="108" w:type="dxa"/>
            </w:tcMar>
            <w:vAlign w:val="center"/>
          </w:tcPr>
          <w:p w14:paraId="787AAFC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12,94%</w:t>
            </w:r>
          </w:p>
        </w:tc>
        <w:tc>
          <w:tcPr>
            <w:tcW w:w="714" w:type="dxa"/>
            <w:shd w:val="clear" w:color="auto" w:fill="FFFFFF" w:themeFill="background1"/>
            <w:tcMar>
              <w:top w:w="0" w:type="dxa"/>
              <w:left w:w="108" w:type="dxa"/>
              <w:bottom w:w="0" w:type="dxa"/>
              <w:right w:w="108" w:type="dxa"/>
            </w:tcMar>
            <w:vAlign w:val="center"/>
          </w:tcPr>
          <w:p w14:paraId="15B53E4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 1/4</w:t>
            </w:r>
          </w:p>
        </w:tc>
        <w:tc>
          <w:tcPr>
            <w:tcW w:w="709" w:type="dxa"/>
            <w:shd w:val="clear" w:color="auto" w:fill="FFFFFF" w:themeFill="background1"/>
            <w:tcMar>
              <w:top w:w="0" w:type="dxa"/>
              <w:left w:w="108" w:type="dxa"/>
              <w:bottom w:w="0" w:type="dxa"/>
              <w:right w:w="108" w:type="dxa"/>
            </w:tcMar>
            <w:vAlign w:val="center"/>
          </w:tcPr>
          <w:p w14:paraId="6523086D"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3,45%</w:t>
            </w:r>
          </w:p>
        </w:tc>
        <w:tc>
          <w:tcPr>
            <w:tcW w:w="701" w:type="dxa"/>
            <w:shd w:val="clear" w:color="auto" w:fill="FFFFFF" w:themeFill="background1"/>
            <w:tcMar>
              <w:top w:w="0" w:type="dxa"/>
              <w:left w:w="108" w:type="dxa"/>
              <w:bottom w:w="0" w:type="dxa"/>
              <w:right w:w="108" w:type="dxa"/>
            </w:tcMar>
            <w:vAlign w:val="center"/>
          </w:tcPr>
          <w:p w14:paraId="0C07274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3</w:t>
            </w:r>
          </w:p>
        </w:tc>
        <w:tc>
          <w:tcPr>
            <w:tcW w:w="863" w:type="dxa"/>
            <w:shd w:val="clear" w:color="auto" w:fill="FFFFFF" w:themeFill="background1"/>
            <w:tcMar>
              <w:top w:w="0" w:type="dxa"/>
              <w:left w:w="108" w:type="dxa"/>
              <w:bottom w:w="0" w:type="dxa"/>
              <w:right w:w="108" w:type="dxa"/>
            </w:tcMar>
            <w:vAlign w:val="center"/>
          </w:tcPr>
          <w:p w14:paraId="09797A1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2,59%</w:t>
            </w:r>
          </w:p>
        </w:tc>
        <w:tc>
          <w:tcPr>
            <w:tcW w:w="704" w:type="dxa"/>
            <w:shd w:val="clear" w:color="auto" w:fill="FFFFFF" w:themeFill="background1"/>
            <w:tcMar>
              <w:top w:w="0" w:type="dxa"/>
              <w:left w:w="108" w:type="dxa"/>
              <w:bottom w:w="0" w:type="dxa"/>
              <w:right w:w="108" w:type="dxa"/>
            </w:tcMar>
            <w:vAlign w:val="center"/>
          </w:tcPr>
          <w:p w14:paraId="144CEABF"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4 3/7</w:t>
            </w:r>
          </w:p>
        </w:tc>
        <w:tc>
          <w:tcPr>
            <w:tcW w:w="992" w:type="dxa"/>
            <w:shd w:val="clear" w:color="auto" w:fill="FFFFFF" w:themeFill="background1"/>
            <w:tcMar>
              <w:top w:w="0" w:type="dxa"/>
              <w:left w:w="108" w:type="dxa"/>
              <w:bottom w:w="0" w:type="dxa"/>
              <w:right w:w="108" w:type="dxa"/>
            </w:tcMar>
            <w:vAlign w:val="center"/>
          </w:tcPr>
          <w:p w14:paraId="65D64B9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13,95%</w:t>
            </w:r>
          </w:p>
        </w:tc>
        <w:tc>
          <w:tcPr>
            <w:tcW w:w="709" w:type="dxa"/>
            <w:shd w:val="clear" w:color="auto" w:fill="FFFFFF" w:themeFill="background1"/>
            <w:tcMar>
              <w:top w:w="0" w:type="dxa"/>
              <w:left w:w="108" w:type="dxa"/>
              <w:bottom w:w="0" w:type="dxa"/>
              <w:right w:w="108" w:type="dxa"/>
            </w:tcMar>
            <w:vAlign w:val="center"/>
          </w:tcPr>
          <w:p w14:paraId="691E03FE"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12</w:t>
            </w:r>
          </w:p>
        </w:tc>
        <w:tc>
          <w:tcPr>
            <w:tcW w:w="1276" w:type="dxa"/>
            <w:shd w:val="clear" w:color="auto" w:fill="FFFFFF" w:themeFill="background1"/>
            <w:tcMar>
              <w:top w:w="0" w:type="dxa"/>
              <w:left w:w="108" w:type="dxa"/>
              <w:bottom w:w="0" w:type="dxa"/>
              <w:right w:w="108" w:type="dxa"/>
            </w:tcMar>
            <w:vAlign w:val="center"/>
          </w:tcPr>
          <w:p w14:paraId="3F8C0CF4"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19,35%</w:t>
            </w:r>
          </w:p>
        </w:tc>
      </w:tr>
      <w:tr w:rsidR="00284822" w14:paraId="563641C1" w14:textId="77777777">
        <w:trPr>
          <w:trHeight w:val="539"/>
        </w:trPr>
        <w:tc>
          <w:tcPr>
            <w:tcW w:w="854" w:type="dxa"/>
            <w:shd w:val="clear" w:color="auto" w:fill="FFFFFF" w:themeFill="background1"/>
            <w:noWrap/>
            <w:tcMar>
              <w:top w:w="0" w:type="dxa"/>
              <w:left w:w="108" w:type="dxa"/>
              <w:bottom w:w="0" w:type="dxa"/>
              <w:right w:w="108" w:type="dxa"/>
            </w:tcMar>
            <w:vAlign w:val="center"/>
          </w:tcPr>
          <w:p w14:paraId="0CAC305F" w14:textId="77777777" w:rsidR="00284822" w:rsidRDefault="00F77BF8" w:rsidP="00EC515D">
            <w:pPr>
              <w:spacing w:line="240" w:lineRule="auto"/>
              <w:rPr>
                <w:rFonts w:ascii="Rockwell" w:hAnsi="Rockwell"/>
                <w:bCs/>
                <w:color w:val="000000"/>
                <w:sz w:val="16"/>
                <w:szCs w:val="16"/>
              </w:rPr>
            </w:pPr>
            <w:r>
              <w:rPr>
                <w:rFonts w:ascii="Rockwell" w:hAnsi="Rockwell"/>
                <w:bCs/>
                <w:color w:val="000000"/>
                <w:sz w:val="16"/>
                <w:szCs w:val="16"/>
              </w:rPr>
              <w:t>37</w:t>
            </w:r>
          </w:p>
        </w:tc>
        <w:tc>
          <w:tcPr>
            <w:tcW w:w="1245" w:type="dxa"/>
            <w:shd w:val="clear" w:color="auto" w:fill="FFFFFF" w:themeFill="background1"/>
            <w:tcMar>
              <w:top w:w="0" w:type="dxa"/>
              <w:left w:w="108" w:type="dxa"/>
              <w:bottom w:w="0" w:type="dxa"/>
              <w:right w:w="108" w:type="dxa"/>
            </w:tcMar>
            <w:vAlign w:val="center"/>
          </w:tcPr>
          <w:p w14:paraId="44C86947"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PRD</w:t>
            </w:r>
          </w:p>
        </w:tc>
        <w:tc>
          <w:tcPr>
            <w:tcW w:w="731" w:type="dxa"/>
            <w:shd w:val="clear" w:color="auto" w:fill="FFFFFF" w:themeFill="background1"/>
            <w:tcMar>
              <w:top w:w="0" w:type="dxa"/>
              <w:left w:w="108" w:type="dxa"/>
              <w:bottom w:w="0" w:type="dxa"/>
              <w:right w:w="108" w:type="dxa"/>
            </w:tcMar>
            <w:vAlign w:val="center"/>
          </w:tcPr>
          <w:p w14:paraId="577BAE8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3EE3FDF6"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551" w:type="dxa"/>
            <w:shd w:val="clear" w:color="auto" w:fill="FFFFFF" w:themeFill="background1"/>
            <w:tcMar>
              <w:top w:w="0" w:type="dxa"/>
              <w:left w:w="108" w:type="dxa"/>
              <w:bottom w:w="0" w:type="dxa"/>
              <w:right w:w="108" w:type="dxa"/>
            </w:tcMar>
            <w:vAlign w:val="center"/>
          </w:tcPr>
          <w:p w14:paraId="4B929CAF"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5291C901"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695" w:type="dxa"/>
            <w:shd w:val="clear" w:color="auto" w:fill="FFFFFF" w:themeFill="background1"/>
            <w:tcMar>
              <w:top w:w="0" w:type="dxa"/>
              <w:left w:w="108" w:type="dxa"/>
              <w:bottom w:w="0" w:type="dxa"/>
              <w:right w:w="108" w:type="dxa"/>
            </w:tcMar>
            <w:vAlign w:val="center"/>
          </w:tcPr>
          <w:p w14:paraId="3DD906A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w:t>
            </w:r>
          </w:p>
        </w:tc>
        <w:tc>
          <w:tcPr>
            <w:tcW w:w="989" w:type="dxa"/>
            <w:shd w:val="clear" w:color="auto" w:fill="FFFFFF" w:themeFill="background1"/>
            <w:tcMar>
              <w:top w:w="0" w:type="dxa"/>
              <w:left w:w="108" w:type="dxa"/>
              <w:bottom w:w="0" w:type="dxa"/>
              <w:right w:w="108" w:type="dxa"/>
            </w:tcMar>
            <w:vAlign w:val="center"/>
          </w:tcPr>
          <w:p w14:paraId="49E00B1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2,25%</w:t>
            </w:r>
          </w:p>
        </w:tc>
        <w:tc>
          <w:tcPr>
            <w:tcW w:w="704" w:type="dxa"/>
            <w:shd w:val="clear" w:color="auto" w:fill="FFFFFF" w:themeFill="background1"/>
            <w:tcMar>
              <w:top w:w="0" w:type="dxa"/>
              <w:left w:w="108" w:type="dxa"/>
              <w:bottom w:w="0" w:type="dxa"/>
              <w:right w:w="108" w:type="dxa"/>
            </w:tcMar>
            <w:vAlign w:val="center"/>
          </w:tcPr>
          <w:p w14:paraId="3316E2A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w:t>
            </w:r>
          </w:p>
        </w:tc>
        <w:tc>
          <w:tcPr>
            <w:tcW w:w="863" w:type="dxa"/>
            <w:shd w:val="clear" w:color="auto" w:fill="FFFFFF" w:themeFill="background1"/>
            <w:tcMar>
              <w:top w:w="0" w:type="dxa"/>
              <w:left w:w="108" w:type="dxa"/>
              <w:bottom w:w="0" w:type="dxa"/>
              <w:right w:w="108" w:type="dxa"/>
            </w:tcMar>
            <w:vAlign w:val="center"/>
          </w:tcPr>
          <w:p w14:paraId="1000E97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1,18%</w:t>
            </w:r>
          </w:p>
        </w:tc>
        <w:tc>
          <w:tcPr>
            <w:tcW w:w="714" w:type="dxa"/>
            <w:shd w:val="clear" w:color="auto" w:fill="FFFFFF" w:themeFill="background1"/>
            <w:tcMar>
              <w:top w:w="0" w:type="dxa"/>
              <w:left w:w="108" w:type="dxa"/>
              <w:bottom w:w="0" w:type="dxa"/>
              <w:right w:w="108" w:type="dxa"/>
            </w:tcMar>
            <w:vAlign w:val="center"/>
          </w:tcPr>
          <w:p w14:paraId="0E09762A"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709" w:type="dxa"/>
            <w:shd w:val="clear" w:color="auto" w:fill="FFFFFF" w:themeFill="background1"/>
            <w:tcMar>
              <w:top w:w="0" w:type="dxa"/>
              <w:left w:w="108" w:type="dxa"/>
              <w:bottom w:w="0" w:type="dxa"/>
              <w:right w:w="108" w:type="dxa"/>
            </w:tcMar>
            <w:vAlign w:val="center"/>
          </w:tcPr>
          <w:p w14:paraId="1C06ED5F"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1" w:type="dxa"/>
            <w:shd w:val="clear" w:color="auto" w:fill="FFFFFF" w:themeFill="background1"/>
            <w:tcMar>
              <w:top w:w="0" w:type="dxa"/>
              <w:left w:w="108" w:type="dxa"/>
              <w:bottom w:w="0" w:type="dxa"/>
              <w:right w:w="108" w:type="dxa"/>
            </w:tcMar>
            <w:vAlign w:val="center"/>
          </w:tcPr>
          <w:p w14:paraId="50CD0D4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65827C35"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59E3F84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1/3</w:t>
            </w:r>
          </w:p>
        </w:tc>
        <w:tc>
          <w:tcPr>
            <w:tcW w:w="992" w:type="dxa"/>
            <w:shd w:val="clear" w:color="auto" w:fill="FFFFFF" w:themeFill="background1"/>
            <w:tcMar>
              <w:top w:w="0" w:type="dxa"/>
              <w:left w:w="108" w:type="dxa"/>
              <w:bottom w:w="0" w:type="dxa"/>
              <w:right w:w="108" w:type="dxa"/>
            </w:tcMar>
            <w:vAlign w:val="center"/>
          </w:tcPr>
          <w:p w14:paraId="19B8EC1A"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1,05%</w:t>
            </w:r>
          </w:p>
        </w:tc>
        <w:tc>
          <w:tcPr>
            <w:tcW w:w="709" w:type="dxa"/>
            <w:shd w:val="clear" w:color="auto" w:fill="FFFFFF" w:themeFill="background1"/>
            <w:tcMar>
              <w:top w:w="0" w:type="dxa"/>
              <w:left w:w="108" w:type="dxa"/>
              <w:bottom w:w="0" w:type="dxa"/>
              <w:right w:w="108" w:type="dxa"/>
            </w:tcMar>
            <w:vAlign w:val="center"/>
          </w:tcPr>
          <w:p w14:paraId="6646644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1276" w:type="dxa"/>
            <w:shd w:val="clear" w:color="auto" w:fill="FFFFFF" w:themeFill="background1"/>
            <w:tcMar>
              <w:top w:w="0" w:type="dxa"/>
              <w:left w:w="108" w:type="dxa"/>
              <w:bottom w:w="0" w:type="dxa"/>
              <w:right w:w="108" w:type="dxa"/>
            </w:tcMar>
            <w:vAlign w:val="center"/>
          </w:tcPr>
          <w:p w14:paraId="3581F8E5"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r>
      <w:tr w:rsidR="00284822" w14:paraId="55384C5A" w14:textId="77777777">
        <w:trPr>
          <w:trHeight w:val="539"/>
        </w:trPr>
        <w:tc>
          <w:tcPr>
            <w:tcW w:w="854" w:type="dxa"/>
            <w:shd w:val="clear" w:color="auto" w:fill="FFFFFF" w:themeFill="background1"/>
            <w:noWrap/>
            <w:tcMar>
              <w:top w:w="0" w:type="dxa"/>
              <w:left w:w="108" w:type="dxa"/>
              <w:bottom w:w="0" w:type="dxa"/>
              <w:right w:w="108" w:type="dxa"/>
            </w:tcMar>
            <w:vAlign w:val="center"/>
          </w:tcPr>
          <w:p w14:paraId="7A857DC6" w14:textId="77777777" w:rsidR="00284822" w:rsidRDefault="00F77BF8" w:rsidP="00EC515D">
            <w:pPr>
              <w:spacing w:line="240" w:lineRule="auto"/>
              <w:rPr>
                <w:rFonts w:ascii="Rockwell" w:hAnsi="Rockwell"/>
                <w:bCs/>
                <w:color w:val="000000"/>
                <w:sz w:val="16"/>
                <w:szCs w:val="16"/>
              </w:rPr>
            </w:pPr>
            <w:r>
              <w:rPr>
                <w:rFonts w:ascii="Rockwell" w:hAnsi="Rockwell"/>
                <w:bCs/>
                <w:color w:val="000000"/>
                <w:sz w:val="16"/>
                <w:szCs w:val="16"/>
              </w:rPr>
              <w:t>38</w:t>
            </w:r>
          </w:p>
        </w:tc>
        <w:tc>
          <w:tcPr>
            <w:tcW w:w="1245" w:type="dxa"/>
            <w:shd w:val="clear" w:color="auto" w:fill="FFFFFF" w:themeFill="background1"/>
            <w:tcMar>
              <w:top w:w="0" w:type="dxa"/>
              <w:left w:w="108" w:type="dxa"/>
              <w:bottom w:w="0" w:type="dxa"/>
              <w:right w:w="108" w:type="dxa"/>
            </w:tcMar>
            <w:vAlign w:val="center"/>
          </w:tcPr>
          <w:p w14:paraId="6E370E03"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PRIT LANAY</w:t>
            </w:r>
          </w:p>
        </w:tc>
        <w:tc>
          <w:tcPr>
            <w:tcW w:w="731" w:type="dxa"/>
            <w:shd w:val="clear" w:color="auto" w:fill="FFFFFF" w:themeFill="background1"/>
            <w:tcMar>
              <w:top w:w="0" w:type="dxa"/>
              <w:left w:w="108" w:type="dxa"/>
              <w:bottom w:w="0" w:type="dxa"/>
              <w:right w:w="108" w:type="dxa"/>
            </w:tcMar>
            <w:vAlign w:val="center"/>
          </w:tcPr>
          <w:p w14:paraId="5121774F"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0BEAF30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551" w:type="dxa"/>
            <w:shd w:val="clear" w:color="auto" w:fill="FFFFFF" w:themeFill="background1"/>
            <w:tcMar>
              <w:top w:w="0" w:type="dxa"/>
              <w:left w:w="108" w:type="dxa"/>
              <w:bottom w:w="0" w:type="dxa"/>
              <w:right w:w="108" w:type="dxa"/>
            </w:tcMar>
            <w:vAlign w:val="center"/>
          </w:tcPr>
          <w:p w14:paraId="4F7A51DF"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22A3BB4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695" w:type="dxa"/>
            <w:shd w:val="clear" w:color="auto" w:fill="FFFFFF" w:themeFill="background1"/>
            <w:tcMar>
              <w:top w:w="0" w:type="dxa"/>
              <w:left w:w="108" w:type="dxa"/>
              <w:bottom w:w="0" w:type="dxa"/>
              <w:right w:w="108" w:type="dxa"/>
            </w:tcMar>
            <w:vAlign w:val="center"/>
          </w:tcPr>
          <w:p w14:paraId="7E54F99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89" w:type="dxa"/>
            <w:shd w:val="clear" w:color="auto" w:fill="FFFFFF" w:themeFill="background1"/>
            <w:tcMar>
              <w:top w:w="0" w:type="dxa"/>
              <w:left w:w="108" w:type="dxa"/>
              <w:bottom w:w="0" w:type="dxa"/>
              <w:right w:w="108" w:type="dxa"/>
            </w:tcMar>
            <w:vAlign w:val="center"/>
          </w:tcPr>
          <w:p w14:paraId="1CF74144"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548F7E7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1FF4180A"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14" w:type="dxa"/>
            <w:shd w:val="clear" w:color="auto" w:fill="FFFFFF" w:themeFill="background1"/>
            <w:tcMar>
              <w:top w:w="0" w:type="dxa"/>
              <w:left w:w="108" w:type="dxa"/>
              <w:bottom w:w="0" w:type="dxa"/>
              <w:right w:w="108" w:type="dxa"/>
            </w:tcMar>
            <w:vAlign w:val="center"/>
          </w:tcPr>
          <w:p w14:paraId="724B0BED"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1/6</w:t>
            </w:r>
          </w:p>
        </w:tc>
        <w:tc>
          <w:tcPr>
            <w:tcW w:w="709" w:type="dxa"/>
            <w:shd w:val="clear" w:color="auto" w:fill="FFFFFF" w:themeFill="background1"/>
            <w:tcMar>
              <w:top w:w="0" w:type="dxa"/>
              <w:left w:w="108" w:type="dxa"/>
              <w:bottom w:w="0" w:type="dxa"/>
              <w:right w:w="108" w:type="dxa"/>
            </w:tcMar>
            <w:vAlign w:val="center"/>
          </w:tcPr>
          <w:p w14:paraId="44156A3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0,26%</w:t>
            </w:r>
          </w:p>
        </w:tc>
        <w:tc>
          <w:tcPr>
            <w:tcW w:w="701" w:type="dxa"/>
            <w:shd w:val="clear" w:color="auto" w:fill="FFFFFF" w:themeFill="background1"/>
            <w:tcMar>
              <w:top w:w="0" w:type="dxa"/>
              <w:left w:w="108" w:type="dxa"/>
              <w:bottom w:w="0" w:type="dxa"/>
              <w:right w:w="108" w:type="dxa"/>
            </w:tcMar>
            <w:vAlign w:val="center"/>
          </w:tcPr>
          <w:p w14:paraId="0497FDF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55F6EBF5"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7CC7002D"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92" w:type="dxa"/>
            <w:shd w:val="clear" w:color="auto" w:fill="FFFFFF" w:themeFill="background1"/>
            <w:tcMar>
              <w:top w:w="0" w:type="dxa"/>
              <w:left w:w="108" w:type="dxa"/>
              <w:bottom w:w="0" w:type="dxa"/>
              <w:right w:w="108" w:type="dxa"/>
            </w:tcMar>
            <w:vAlign w:val="center"/>
          </w:tcPr>
          <w:p w14:paraId="795EA6F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9" w:type="dxa"/>
            <w:shd w:val="clear" w:color="auto" w:fill="FFFFFF" w:themeFill="background1"/>
            <w:tcMar>
              <w:top w:w="0" w:type="dxa"/>
              <w:left w:w="108" w:type="dxa"/>
              <w:bottom w:w="0" w:type="dxa"/>
              <w:right w:w="108" w:type="dxa"/>
            </w:tcMar>
            <w:vAlign w:val="center"/>
          </w:tcPr>
          <w:p w14:paraId="3F3781A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1276" w:type="dxa"/>
            <w:shd w:val="clear" w:color="auto" w:fill="FFFFFF" w:themeFill="background1"/>
            <w:tcMar>
              <w:top w:w="0" w:type="dxa"/>
              <w:left w:w="108" w:type="dxa"/>
              <w:bottom w:w="0" w:type="dxa"/>
              <w:right w:w="108" w:type="dxa"/>
            </w:tcMar>
            <w:vAlign w:val="center"/>
          </w:tcPr>
          <w:p w14:paraId="4F74F71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r>
      <w:tr w:rsidR="00284822" w14:paraId="0DC099E9" w14:textId="77777777">
        <w:trPr>
          <w:trHeight w:val="539"/>
        </w:trPr>
        <w:tc>
          <w:tcPr>
            <w:tcW w:w="854" w:type="dxa"/>
            <w:shd w:val="clear" w:color="auto" w:fill="FFFFFF" w:themeFill="background1"/>
            <w:noWrap/>
            <w:tcMar>
              <w:top w:w="0" w:type="dxa"/>
              <w:left w:w="108" w:type="dxa"/>
              <w:bottom w:w="0" w:type="dxa"/>
              <w:right w:w="108" w:type="dxa"/>
            </w:tcMar>
            <w:vAlign w:val="center"/>
          </w:tcPr>
          <w:p w14:paraId="6BD60377" w14:textId="77777777" w:rsidR="00284822" w:rsidRDefault="00F77BF8" w:rsidP="00EC515D">
            <w:pPr>
              <w:spacing w:line="240" w:lineRule="auto"/>
              <w:rPr>
                <w:rFonts w:ascii="Rockwell" w:hAnsi="Rockwell"/>
                <w:bCs/>
                <w:color w:val="000000"/>
                <w:sz w:val="16"/>
                <w:szCs w:val="16"/>
              </w:rPr>
            </w:pPr>
            <w:r>
              <w:rPr>
                <w:rFonts w:ascii="Rockwell" w:hAnsi="Rockwell"/>
                <w:bCs/>
                <w:color w:val="000000"/>
                <w:sz w:val="16"/>
                <w:szCs w:val="16"/>
              </w:rPr>
              <w:t>40</w:t>
            </w:r>
          </w:p>
        </w:tc>
        <w:tc>
          <w:tcPr>
            <w:tcW w:w="1245" w:type="dxa"/>
            <w:shd w:val="clear" w:color="auto" w:fill="FFFFFF" w:themeFill="background1"/>
            <w:tcMar>
              <w:top w:w="0" w:type="dxa"/>
              <w:left w:w="108" w:type="dxa"/>
              <w:bottom w:w="0" w:type="dxa"/>
              <w:right w:w="108" w:type="dxa"/>
            </w:tcMar>
            <w:vAlign w:val="center"/>
          </w:tcPr>
          <w:p w14:paraId="0C4FE638"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PUR</w:t>
            </w:r>
          </w:p>
        </w:tc>
        <w:tc>
          <w:tcPr>
            <w:tcW w:w="731" w:type="dxa"/>
            <w:shd w:val="clear" w:color="auto" w:fill="FFFFFF" w:themeFill="background1"/>
            <w:tcMar>
              <w:top w:w="0" w:type="dxa"/>
              <w:left w:w="108" w:type="dxa"/>
              <w:bottom w:w="0" w:type="dxa"/>
              <w:right w:w="108" w:type="dxa"/>
            </w:tcMar>
            <w:vAlign w:val="center"/>
          </w:tcPr>
          <w:p w14:paraId="703F9ABA"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w:t>
            </w:r>
          </w:p>
        </w:tc>
        <w:tc>
          <w:tcPr>
            <w:tcW w:w="863" w:type="dxa"/>
            <w:shd w:val="clear" w:color="auto" w:fill="FFFFFF" w:themeFill="background1"/>
            <w:tcMar>
              <w:top w:w="0" w:type="dxa"/>
              <w:left w:w="108" w:type="dxa"/>
              <w:bottom w:w="0" w:type="dxa"/>
              <w:right w:w="108" w:type="dxa"/>
            </w:tcMar>
            <w:vAlign w:val="center"/>
          </w:tcPr>
          <w:p w14:paraId="531FCE1A"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1,77%</w:t>
            </w:r>
          </w:p>
        </w:tc>
        <w:tc>
          <w:tcPr>
            <w:tcW w:w="551" w:type="dxa"/>
            <w:shd w:val="clear" w:color="auto" w:fill="FFFFFF" w:themeFill="background1"/>
            <w:tcMar>
              <w:top w:w="0" w:type="dxa"/>
              <w:left w:w="108" w:type="dxa"/>
              <w:bottom w:w="0" w:type="dxa"/>
              <w:right w:w="108" w:type="dxa"/>
            </w:tcMar>
            <w:vAlign w:val="center"/>
          </w:tcPr>
          <w:p w14:paraId="0632911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5CF4EA6F"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695" w:type="dxa"/>
            <w:shd w:val="clear" w:color="auto" w:fill="FFFFFF" w:themeFill="background1"/>
            <w:tcMar>
              <w:top w:w="0" w:type="dxa"/>
              <w:left w:w="108" w:type="dxa"/>
              <w:bottom w:w="0" w:type="dxa"/>
              <w:right w:w="108" w:type="dxa"/>
            </w:tcMar>
            <w:vAlign w:val="center"/>
          </w:tcPr>
          <w:p w14:paraId="3AD27E5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89" w:type="dxa"/>
            <w:shd w:val="clear" w:color="auto" w:fill="FFFFFF" w:themeFill="background1"/>
            <w:tcMar>
              <w:top w:w="0" w:type="dxa"/>
              <w:left w:w="108" w:type="dxa"/>
              <w:bottom w:w="0" w:type="dxa"/>
              <w:right w:w="108" w:type="dxa"/>
            </w:tcMar>
            <w:vAlign w:val="center"/>
          </w:tcPr>
          <w:p w14:paraId="3844A2A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3C2171A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6A1122D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14" w:type="dxa"/>
            <w:shd w:val="clear" w:color="auto" w:fill="FFFFFF" w:themeFill="background1"/>
            <w:tcMar>
              <w:top w:w="0" w:type="dxa"/>
              <w:left w:w="108" w:type="dxa"/>
              <w:bottom w:w="0" w:type="dxa"/>
              <w:right w:w="108" w:type="dxa"/>
            </w:tcMar>
            <w:vAlign w:val="center"/>
          </w:tcPr>
          <w:p w14:paraId="2E71E3BA"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3/5</w:t>
            </w:r>
          </w:p>
        </w:tc>
        <w:tc>
          <w:tcPr>
            <w:tcW w:w="709" w:type="dxa"/>
            <w:shd w:val="clear" w:color="auto" w:fill="FFFFFF" w:themeFill="background1"/>
            <w:tcMar>
              <w:top w:w="0" w:type="dxa"/>
              <w:left w:w="108" w:type="dxa"/>
              <w:bottom w:w="0" w:type="dxa"/>
              <w:right w:w="108" w:type="dxa"/>
            </w:tcMar>
            <w:vAlign w:val="center"/>
          </w:tcPr>
          <w:p w14:paraId="623A1FB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0,90%</w:t>
            </w:r>
          </w:p>
        </w:tc>
        <w:tc>
          <w:tcPr>
            <w:tcW w:w="701" w:type="dxa"/>
            <w:shd w:val="clear" w:color="auto" w:fill="FFFFFF" w:themeFill="background1"/>
            <w:tcMar>
              <w:top w:w="0" w:type="dxa"/>
              <w:left w:w="108" w:type="dxa"/>
              <w:bottom w:w="0" w:type="dxa"/>
              <w:right w:w="108" w:type="dxa"/>
            </w:tcMar>
            <w:vAlign w:val="center"/>
          </w:tcPr>
          <w:p w14:paraId="6ADEFAA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3</w:t>
            </w:r>
          </w:p>
        </w:tc>
        <w:tc>
          <w:tcPr>
            <w:tcW w:w="863" w:type="dxa"/>
            <w:shd w:val="clear" w:color="auto" w:fill="FFFFFF" w:themeFill="background1"/>
            <w:tcMar>
              <w:top w:w="0" w:type="dxa"/>
              <w:left w:w="108" w:type="dxa"/>
              <w:bottom w:w="0" w:type="dxa"/>
              <w:right w:w="108" w:type="dxa"/>
            </w:tcMar>
            <w:vAlign w:val="center"/>
          </w:tcPr>
          <w:p w14:paraId="0742D6B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2,59%</w:t>
            </w:r>
          </w:p>
        </w:tc>
        <w:tc>
          <w:tcPr>
            <w:tcW w:w="704" w:type="dxa"/>
            <w:shd w:val="clear" w:color="auto" w:fill="FFFFFF" w:themeFill="background1"/>
            <w:tcMar>
              <w:top w:w="0" w:type="dxa"/>
              <w:left w:w="108" w:type="dxa"/>
              <w:bottom w:w="0" w:type="dxa"/>
              <w:right w:w="108" w:type="dxa"/>
            </w:tcMar>
            <w:vAlign w:val="center"/>
          </w:tcPr>
          <w:p w14:paraId="2A335896"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92" w:type="dxa"/>
            <w:shd w:val="clear" w:color="auto" w:fill="FFFFFF" w:themeFill="background1"/>
            <w:tcMar>
              <w:top w:w="0" w:type="dxa"/>
              <w:left w:w="108" w:type="dxa"/>
              <w:bottom w:w="0" w:type="dxa"/>
              <w:right w:w="108" w:type="dxa"/>
            </w:tcMar>
            <w:vAlign w:val="center"/>
          </w:tcPr>
          <w:p w14:paraId="0EDA37E1"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9" w:type="dxa"/>
            <w:shd w:val="clear" w:color="auto" w:fill="FFFFFF" w:themeFill="background1"/>
            <w:tcMar>
              <w:top w:w="0" w:type="dxa"/>
              <w:left w:w="108" w:type="dxa"/>
              <w:bottom w:w="0" w:type="dxa"/>
              <w:right w:w="108" w:type="dxa"/>
            </w:tcMar>
            <w:vAlign w:val="center"/>
          </w:tcPr>
          <w:p w14:paraId="649E6DD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1276" w:type="dxa"/>
            <w:shd w:val="clear" w:color="auto" w:fill="FFFFFF" w:themeFill="background1"/>
            <w:tcMar>
              <w:top w:w="0" w:type="dxa"/>
              <w:left w:w="108" w:type="dxa"/>
              <w:bottom w:w="0" w:type="dxa"/>
              <w:right w:w="108" w:type="dxa"/>
            </w:tcMar>
            <w:vAlign w:val="center"/>
          </w:tcPr>
          <w:p w14:paraId="2CE95076"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r>
      <w:tr w:rsidR="00284822" w14:paraId="03147421" w14:textId="77777777">
        <w:trPr>
          <w:trHeight w:val="539"/>
        </w:trPr>
        <w:tc>
          <w:tcPr>
            <w:tcW w:w="854" w:type="dxa"/>
            <w:shd w:val="clear" w:color="auto" w:fill="FFFFFF" w:themeFill="background1"/>
            <w:noWrap/>
            <w:tcMar>
              <w:top w:w="0" w:type="dxa"/>
              <w:left w:w="108" w:type="dxa"/>
              <w:bottom w:w="0" w:type="dxa"/>
              <w:right w:w="108" w:type="dxa"/>
            </w:tcMar>
            <w:vAlign w:val="center"/>
          </w:tcPr>
          <w:p w14:paraId="30DD275C" w14:textId="77777777" w:rsidR="00284822" w:rsidRDefault="00F77BF8" w:rsidP="00EC515D">
            <w:pPr>
              <w:spacing w:line="240" w:lineRule="auto"/>
              <w:rPr>
                <w:rFonts w:ascii="Rockwell" w:hAnsi="Rockwell"/>
                <w:bCs/>
                <w:color w:val="000000"/>
                <w:sz w:val="16"/>
                <w:szCs w:val="16"/>
              </w:rPr>
            </w:pPr>
            <w:r>
              <w:rPr>
                <w:rFonts w:ascii="Rockwell" w:hAnsi="Rockwell"/>
                <w:bCs/>
                <w:color w:val="000000"/>
                <w:sz w:val="16"/>
                <w:szCs w:val="16"/>
              </w:rPr>
              <w:t>41</w:t>
            </w:r>
          </w:p>
        </w:tc>
        <w:tc>
          <w:tcPr>
            <w:tcW w:w="1245" w:type="dxa"/>
            <w:shd w:val="clear" w:color="auto" w:fill="FFFFFF" w:themeFill="background1"/>
            <w:tcMar>
              <w:top w:w="0" w:type="dxa"/>
              <w:left w:w="108" w:type="dxa"/>
              <w:bottom w:w="0" w:type="dxa"/>
              <w:right w:w="108" w:type="dxa"/>
            </w:tcMar>
            <w:vAlign w:val="center"/>
          </w:tcPr>
          <w:p w14:paraId="2F3BB23D"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RDEBF</w:t>
            </w:r>
          </w:p>
        </w:tc>
        <w:tc>
          <w:tcPr>
            <w:tcW w:w="731" w:type="dxa"/>
            <w:shd w:val="clear" w:color="auto" w:fill="FFFFFF" w:themeFill="background1"/>
            <w:tcMar>
              <w:top w:w="0" w:type="dxa"/>
              <w:left w:w="108" w:type="dxa"/>
              <w:bottom w:w="0" w:type="dxa"/>
              <w:right w:w="108" w:type="dxa"/>
            </w:tcMar>
            <w:vAlign w:val="center"/>
          </w:tcPr>
          <w:p w14:paraId="2031A26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2B2F435F"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551" w:type="dxa"/>
            <w:shd w:val="clear" w:color="auto" w:fill="FFFFFF" w:themeFill="background1"/>
            <w:tcMar>
              <w:top w:w="0" w:type="dxa"/>
              <w:left w:w="108" w:type="dxa"/>
              <w:bottom w:w="0" w:type="dxa"/>
              <w:right w:w="108" w:type="dxa"/>
            </w:tcMar>
            <w:vAlign w:val="center"/>
          </w:tcPr>
          <w:p w14:paraId="4F386F1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430A0465"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695" w:type="dxa"/>
            <w:shd w:val="clear" w:color="auto" w:fill="FFFFFF" w:themeFill="background1"/>
            <w:tcMar>
              <w:top w:w="0" w:type="dxa"/>
              <w:left w:w="108" w:type="dxa"/>
              <w:bottom w:w="0" w:type="dxa"/>
              <w:right w:w="108" w:type="dxa"/>
            </w:tcMar>
            <w:vAlign w:val="center"/>
          </w:tcPr>
          <w:p w14:paraId="72575E05"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89" w:type="dxa"/>
            <w:shd w:val="clear" w:color="auto" w:fill="FFFFFF" w:themeFill="background1"/>
            <w:tcMar>
              <w:top w:w="0" w:type="dxa"/>
              <w:left w:w="108" w:type="dxa"/>
              <w:bottom w:w="0" w:type="dxa"/>
              <w:right w:w="108" w:type="dxa"/>
            </w:tcMar>
            <w:vAlign w:val="center"/>
          </w:tcPr>
          <w:p w14:paraId="1CBEE306"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621824B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53462C0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14" w:type="dxa"/>
            <w:shd w:val="clear" w:color="auto" w:fill="FFFFFF" w:themeFill="background1"/>
            <w:tcMar>
              <w:top w:w="0" w:type="dxa"/>
              <w:left w:w="108" w:type="dxa"/>
              <w:bottom w:w="0" w:type="dxa"/>
              <w:right w:w="108" w:type="dxa"/>
            </w:tcMar>
            <w:vAlign w:val="center"/>
          </w:tcPr>
          <w:p w14:paraId="4614837A"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709" w:type="dxa"/>
            <w:shd w:val="clear" w:color="auto" w:fill="FFFFFF" w:themeFill="background1"/>
            <w:tcMar>
              <w:top w:w="0" w:type="dxa"/>
              <w:left w:w="108" w:type="dxa"/>
              <w:bottom w:w="0" w:type="dxa"/>
              <w:right w:w="108" w:type="dxa"/>
            </w:tcMar>
            <w:vAlign w:val="center"/>
          </w:tcPr>
          <w:p w14:paraId="1C04C53A"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1" w:type="dxa"/>
            <w:shd w:val="clear" w:color="auto" w:fill="FFFFFF" w:themeFill="background1"/>
            <w:tcMar>
              <w:top w:w="0" w:type="dxa"/>
              <w:left w:w="108" w:type="dxa"/>
              <w:bottom w:w="0" w:type="dxa"/>
              <w:right w:w="108" w:type="dxa"/>
            </w:tcMar>
            <w:vAlign w:val="center"/>
          </w:tcPr>
          <w:p w14:paraId="7E0EF6BE"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1F1CCB7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2EB6523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92" w:type="dxa"/>
            <w:shd w:val="clear" w:color="auto" w:fill="FFFFFF" w:themeFill="background1"/>
            <w:tcMar>
              <w:top w:w="0" w:type="dxa"/>
              <w:left w:w="108" w:type="dxa"/>
              <w:bottom w:w="0" w:type="dxa"/>
              <w:right w:w="108" w:type="dxa"/>
            </w:tcMar>
            <w:vAlign w:val="center"/>
          </w:tcPr>
          <w:p w14:paraId="237C2A5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9" w:type="dxa"/>
            <w:shd w:val="clear" w:color="auto" w:fill="FFFFFF" w:themeFill="background1"/>
            <w:tcMar>
              <w:top w:w="0" w:type="dxa"/>
              <w:left w:w="108" w:type="dxa"/>
              <w:bottom w:w="0" w:type="dxa"/>
              <w:right w:w="108" w:type="dxa"/>
            </w:tcMar>
            <w:vAlign w:val="center"/>
          </w:tcPr>
          <w:p w14:paraId="6D7063AD"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1276" w:type="dxa"/>
            <w:shd w:val="clear" w:color="auto" w:fill="FFFFFF" w:themeFill="background1"/>
            <w:tcMar>
              <w:top w:w="0" w:type="dxa"/>
              <w:left w:w="108" w:type="dxa"/>
              <w:bottom w:w="0" w:type="dxa"/>
              <w:right w:w="108" w:type="dxa"/>
            </w:tcMar>
            <w:vAlign w:val="center"/>
          </w:tcPr>
          <w:p w14:paraId="0BACE68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r>
      <w:tr w:rsidR="00284822" w14:paraId="068D383A" w14:textId="77777777">
        <w:trPr>
          <w:trHeight w:val="539"/>
        </w:trPr>
        <w:tc>
          <w:tcPr>
            <w:tcW w:w="854" w:type="dxa"/>
            <w:shd w:val="clear" w:color="auto" w:fill="FFFFFF" w:themeFill="background1"/>
            <w:noWrap/>
            <w:tcMar>
              <w:top w:w="0" w:type="dxa"/>
              <w:left w:w="108" w:type="dxa"/>
              <w:bottom w:w="0" w:type="dxa"/>
              <w:right w:w="108" w:type="dxa"/>
            </w:tcMar>
            <w:vAlign w:val="center"/>
          </w:tcPr>
          <w:p w14:paraId="42B7DA79" w14:textId="77777777" w:rsidR="00284822" w:rsidRDefault="00F77BF8" w:rsidP="00EC515D">
            <w:pPr>
              <w:spacing w:line="240" w:lineRule="auto"/>
              <w:rPr>
                <w:rFonts w:ascii="Rockwell" w:hAnsi="Rockwell"/>
                <w:bCs/>
                <w:color w:val="000000"/>
                <w:sz w:val="16"/>
                <w:szCs w:val="16"/>
              </w:rPr>
            </w:pPr>
            <w:r>
              <w:rPr>
                <w:rFonts w:ascii="Rockwell" w:hAnsi="Rockwell"/>
                <w:bCs/>
                <w:color w:val="000000"/>
                <w:sz w:val="16"/>
                <w:szCs w:val="16"/>
              </w:rPr>
              <w:lastRenderedPageBreak/>
              <w:t>42</w:t>
            </w:r>
          </w:p>
        </w:tc>
        <w:tc>
          <w:tcPr>
            <w:tcW w:w="1245" w:type="dxa"/>
            <w:shd w:val="clear" w:color="auto" w:fill="FFFFFF" w:themeFill="background1"/>
            <w:tcMar>
              <w:top w:w="0" w:type="dxa"/>
              <w:left w:w="108" w:type="dxa"/>
              <w:bottom w:w="0" w:type="dxa"/>
              <w:right w:w="108" w:type="dxa"/>
            </w:tcMar>
            <w:vAlign w:val="center"/>
          </w:tcPr>
          <w:p w14:paraId="22452E8D"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RDF</w:t>
            </w:r>
          </w:p>
        </w:tc>
        <w:tc>
          <w:tcPr>
            <w:tcW w:w="731" w:type="dxa"/>
            <w:shd w:val="clear" w:color="auto" w:fill="FFFFFF" w:themeFill="background1"/>
            <w:tcMar>
              <w:top w:w="0" w:type="dxa"/>
              <w:left w:w="108" w:type="dxa"/>
              <w:bottom w:w="0" w:type="dxa"/>
              <w:right w:w="108" w:type="dxa"/>
            </w:tcMar>
            <w:vAlign w:val="center"/>
          </w:tcPr>
          <w:p w14:paraId="5317927D"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4A5BB94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551" w:type="dxa"/>
            <w:shd w:val="clear" w:color="auto" w:fill="FFFFFF" w:themeFill="background1"/>
            <w:tcMar>
              <w:top w:w="0" w:type="dxa"/>
              <w:left w:w="108" w:type="dxa"/>
              <w:bottom w:w="0" w:type="dxa"/>
              <w:right w:w="108" w:type="dxa"/>
            </w:tcMar>
            <w:vAlign w:val="center"/>
          </w:tcPr>
          <w:p w14:paraId="3BDE9F0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66885E2F"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695" w:type="dxa"/>
            <w:shd w:val="clear" w:color="auto" w:fill="FFFFFF" w:themeFill="background1"/>
            <w:tcMar>
              <w:top w:w="0" w:type="dxa"/>
              <w:left w:w="108" w:type="dxa"/>
              <w:bottom w:w="0" w:type="dxa"/>
              <w:right w:w="108" w:type="dxa"/>
            </w:tcMar>
            <w:vAlign w:val="center"/>
          </w:tcPr>
          <w:p w14:paraId="18920E36"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89" w:type="dxa"/>
            <w:shd w:val="clear" w:color="auto" w:fill="FFFFFF" w:themeFill="background1"/>
            <w:tcMar>
              <w:top w:w="0" w:type="dxa"/>
              <w:left w:w="108" w:type="dxa"/>
              <w:bottom w:w="0" w:type="dxa"/>
              <w:right w:w="108" w:type="dxa"/>
            </w:tcMar>
            <w:vAlign w:val="center"/>
          </w:tcPr>
          <w:p w14:paraId="3637FEFE"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1D3E13C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718A0B1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14" w:type="dxa"/>
            <w:shd w:val="clear" w:color="auto" w:fill="FFFFFF" w:themeFill="background1"/>
            <w:tcMar>
              <w:top w:w="0" w:type="dxa"/>
              <w:left w:w="108" w:type="dxa"/>
              <w:bottom w:w="0" w:type="dxa"/>
              <w:right w:w="108" w:type="dxa"/>
            </w:tcMar>
            <w:vAlign w:val="center"/>
          </w:tcPr>
          <w:p w14:paraId="57D861F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709" w:type="dxa"/>
            <w:shd w:val="clear" w:color="auto" w:fill="FFFFFF" w:themeFill="background1"/>
            <w:tcMar>
              <w:top w:w="0" w:type="dxa"/>
              <w:left w:w="108" w:type="dxa"/>
              <w:bottom w:w="0" w:type="dxa"/>
              <w:right w:w="108" w:type="dxa"/>
            </w:tcMar>
            <w:vAlign w:val="center"/>
          </w:tcPr>
          <w:p w14:paraId="2333679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1" w:type="dxa"/>
            <w:shd w:val="clear" w:color="auto" w:fill="FFFFFF" w:themeFill="background1"/>
            <w:tcMar>
              <w:top w:w="0" w:type="dxa"/>
              <w:left w:w="108" w:type="dxa"/>
              <w:bottom w:w="0" w:type="dxa"/>
              <w:right w:w="108" w:type="dxa"/>
            </w:tcMar>
            <w:vAlign w:val="center"/>
          </w:tcPr>
          <w:p w14:paraId="061A1FC5"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33416B1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6FB6E0E5"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92" w:type="dxa"/>
            <w:shd w:val="clear" w:color="auto" w:fill="FFFFFF" w:themeFill="background1"/>
            <w:tcMar>
              <w:top w:w="0" w:type="dxa"/>
              <w:left w:w="108" w:type="dxa"/>
              <w:bottom w:w="0" w:type="dxa"/>
              <w:right w:w="108" w:type="dxa"/>
            </w:tcMar>
            <w:vAlign w:val="center"/>
          </w:tcPr>
          <w:p w14:paraId="55DE953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9" w:type="dxa"/>
            <w:shd w:val="clear" w:color="auto" w:fill="FFFFFF" w:themeFill="background1"/>
            <w:tcMar>
              <w:top w:w="0" w:type="dxa"/>
              <w:left w:w="108" w:type="dxa"/>
              <w:bottom w:w="0" w:type="dxa"/>
              <w:right w:w="108" w:type="dxa"/>
            </w:tcMar>
            <w:vAlign w:val="center"/>
          </w:tcPr>
          <w:p w14:paraId="570F721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1276" w:type="dxa"/>
            <w:shd w:val="clear" w:color="auto" w:fill="FFFFFF" w:themeFill="background1"/>
            <w:tcMar>
              <w:top w:w="0" w:type="dxa"/>
              <w:left w:w="108" w:type="dxa"/>
              <w:bottom w:w="0" w:type="dxa"/>
              <w:right w:w="108" w:type="dxa"/>
            </w:tcMar>
            <w:vAlign w:val="center"/>
          </w:tcPr>
          <w:p w14:paraId="0697BF2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r>
      <w:tr w:rsidR="00284822" w14:paraId="1F36D9A1" w14:textId="77777777">
        <w:trPr>
          <w:trHeight w:val="539"/>
        </w:trPr>
        <w:tc>
          <w:tcPr>
            <w:tcW w:w="854" w:type="dxa"/>
            <w:shd w:val="clear" w:color="auto" w:fill="FFFFFF" w:themeFill="background1"/>
            <w:noWrap/>
            <w:tcMar>
              <w:top w:w="0" w:type="dxa"/>
              <w:left w:w="108" w:type="dxa"/>
              <w:bottom w:w="0" w:type="dxa"/>
              <w:right w:w="108" w:type="dxa"/>
            </w:tcMar>
            <w:vAlign w:val="center"/>
          </w:tcPr>
          <w:p w14:paraId="72B2C29D" w14:textId="77777777" w:rsidR="00284822" w:rsidRDefault="00F77BF8" w:rsidP="00EC515D">
            <w:pPr>
              <w:spacing w:line="240" w:lineRule="auto"/>
              <w:rPr>
                <w:rFonts w:ascii="Rockwell" w:hAnsi="Rockwell"/>
                <w:bCs/>
                <w:color w:val="000000"/>
                <w:sz w:val="16"/>
                <w:szCs w:val="16"/>
              </w:rPr>
            </w:pPr>
            <w:r>
              <w:rPr>
                <w:rFonts w:ascii="Rockwell" w:hAnsi="Rockwell"/>
                <w:bCs/>
                <w:color w:val="000000"/>
                <w:sz w:val="16"/>
                <w:szCs w:val="16"/>
              </w:rPr>
              <w:t>43</w:t>
            </w:r>
          </w:p>
        </w:tc>
        <w:tc>
          <w:tcPr>
            <w:tcW w:w="1245" w:type="dxa"/>
            <w:shd w:val="clear" w:color="auto" w:fill="FFFFFF" w:themeFill="background1"/>
            <w:tcMar>
              <w:top w:w="0" w:type="dxa"/>
              <w:left w:w="108" w:type="dxa"/>
              <w:bottom w:w="0" w:type="dxa"/>
              <w:right w:w="108" w:type="dxa"/>
            </w:tcMar>
            <w:vAlign w:val="center"/>
          </w:tcPr>
          <w:p w14:paraId="4EE0EE0E"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RDJ</w:t>
            </w:r>
          </w:p>
        </w:tc>
        <w:tc>
          <w:tcPr>
            <w:tcW w:w="731" w:type="dxa"/>
            <w:shd w:val="clear" w:color="auto" w:fill="FFFFFF" w:themeFill="background1"/>
            <w:tcMar>
              <w:top w:w="0" w:type="dxa"/>
              <w:left w:w="108" w:type="dxa"/>
              <w:bottom w:w="0" w:type="dxa"/>
              <w:right w:w="108" w:type="dxa"/>
            </w:tcMar>
            <w:vAlign w:val="center"/>
          </w:tcPr>
          <w:p w14:paraId="26197404"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39848AA1"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551" w:type="dxa"/>
            <w:shd w:val="clear" w:color="auto" w:fill="FFFFFF" w:themeFill="background1"/>
            <w:tcMar>
              <w:top w:w="0" w:type="dxa"/>
              <w:left w:w="108" w:type="dxa"/>
              <w:bottom w:w="0" w:type="dxa"/>
              <w:right w:w="108" w:type="dxa"/>
            </w:tcMar>
            <w:vAlign w:val="center"/>
          </w:tcPr>
          <w:p w14:paraId="2CC71FC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6E1ACE3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695" w:type="dxa"/>
            <w:shd w:val="clear" w:color="auto" w:fill="FFFFFF" w:themeFill="background1"/>
            <w:tcMar>
              <w:top w:w="0" w:type="dxa"/>
              <w:left w:w="108" w:type="dxa"/>
              <w:bottom w:w="0" w:type="dxa"/>
              <w:right w:w="108" w:type="dxa"/>
            </w:tcMar>
            <w:vAlign w:val="center"/>
          </w:tcPr>
          <w:p w14:paraId="1566D5CD"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89" w:type="dxa"/>
            <w:shd w:val="clear" w:color="auto" w:fill="FFFFFF" w:themeFill="background1"/>
            <w:tcMar>
              <w:top w:w="0" w:type="dxa"/>
              <w:left w:w="108" w:type="dxa"/>
              <w:bottom w:w="0" w:type="dxa"/>
              <w:right w:w="108" w:type="dxa"/>
            </w:tcMar>
            <w:vAlign w:val="center"/>
          </w:tcPr>
          <w:p w14:paraId="2524D2A5"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10B1CE2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103D4E5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14" w:type="dxa"/>
            <w:shd w:val="clear" w:color="auto" w:fill="FFFFFF" w:themeFill="background1"/>
            <w:tcMar>
              <w:top w:w="0" w:type="dxa"/>
              <w:left w:w="108" w:type="dxa"/>
              <w:bottom w:w="0" w:type="dxa"/>
              <w:right w:w="108" w:type="dxa"/>
            </w:tcMar>
            <w:vAlign w:val="center"/>
          </w:tcPr>
          <w:p w14:paraId="1AF3E3C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2/3</w:t>
            </w:r>
          </w:p>
        </w:tc>
        <w:tc>
          <w:tcPr>
            <w:tcW w:w="709" w:type="dxa"/>
            <w:shd w:val="clear" w:color="auto" w:fill="FFFFFF" w:themeFill="background1"/>
            <w:tcMar>
              <w:top w:w="0" w:type="dxa"/>
              <w:left w:w="108" w:type="dxa"/>
              <w:bottom w:w="0" w:type="dxa"/>
              <w:right w:w="108" w:type="dxa"/>
            </w:tcMar>
            <w:vAlign w:val="center"/>
          </w:tcPr>
          <w:p w14:paraId="1975562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1,02%</w:t>
            </w:r>
          </w:p>
        </w:tc>
        <w:tc>
          <w:tcPr>
            <w:tcW w:w="701" w:type="dxa"/>
            <w:shd w:val="clear" w:color="auto" w:fill="FFFFFF" w:themeFill="background1"/>
            <w:tcMar>
              <w:top w:w="0" w:type="dxa"/>
              <w:left w:w="108" w:type="dxa"/>
              <w:bottom w:w="0" w:type="dxa"/>
              <w:right w:w="108" w:type="dxa"/>
            </w:tcMar>
            <w:vAlign w:val="center"/>
          </w:tcPr>
          <w:p w14:paraId="457602D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w:t>
            </w:r>
          </w:p>
        </w:tc>
        <w:tc>
          <w:tcPr>
            <w:tcW w:w="863" w:type="dxa"/>
            <w:shd w:val="clear" w:color="auto" w:fill="FFFFFF" w:themeFill="background1"/>
            <w:tcMar>
              <w:top w:w="0" w:type="dxa"/>
              <w:left w:w="108" w:type="dxa"/>
              <w:bottom w:w="0" w:type="dxa"/>
              <w:right w:w="108" w:type="dxa"/>
            </w:tcMar>
            <w:vAlign w:val="center"/>
          </w:tcPr>
          <w:p w14:paraId="5B5887B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0,86%</w:t>
            </w:r>
          </w:p>
        </w:tc>
        <w:tc>
          <w:tcPr>
            <w:tcW w:w="704" w:type="dxa"/>
            <w:shd w:val="clear" w:color="auto" w:fill="FFFFFF" w:themeFill="background1"/>
            <w:tcMar>
              <w:top w:w="0" w:type="dxa"/>
              <w:left w:w="108" w:type="dxa"/>
              <w:bottom w:w="0" w:type="dxa"/>
              <w:right w:w="108" w:type="dxa"/>
            </w:tcMar>
            <w:vAlign w:val="center"/>
          </w:tcPr>
          <w:p w14:paraId="6E5B507E"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1/6</w:t>
            </w:r>
          </w:p>
        </w:tc>
        <w:tc>
          <w:tcPr>
            <w:tcW w:w="992" w:type="dxa"/>
            <w:shd w:val="clear" w:color="auto" w:fill="FFFFFF" w:themeFill="background1"/>
            <w:tcMar>
              <w:top w:w="0" w:type="dxa"/>
              <w:left w:w="108" w:type="dxa"/>
              <w:bottom w:w="0" w:type="dxa"/>
              <w:right w:w="108" w:type="dxa"/>
            </w:tcMar>
            <w:vAlign w:val="center"/>
          </w:tcPr>
          <w:p w14:paraId="402BE9E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0,53%</w:t>
            </w:r>
          </w:p>
        </w:tc>
        <w:tc>
          <w:tcPr>
            <w:tcW w:w="709" w:type="dxa"/>
            <w:shd w:val="clear" w:color="auto" w:fill="FFFFFF" w:themeFill="background1"/>
            <w:tcMar>
              <w:top w:w="0" w:type="dxa"/>
              <w:left w:w="108" w:type="dxa"/>
              <w:bottom w:w="0" w:type="dxa"/>
              <w:right w:w="108" w:type="dxa"/>
            </w:tcMar>
            <w:vAlign w:val="center"/>
          </w:tcPr>
          <w:p w14:paraId="6FB8638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w:t>
            </w:r>
          </w:p>
        </w:tc>
        <w:tc>
          <w:tcPr>
            <w:tcW w:w="1276" w:type="dxa"/>
            <w:shd w:val="clear" w:color="auto" w:fill="FFFFFF" w:themeFill="background1"/>
            <w:tcMar>
              <w:top w:w="0" w:type="dxa"/>
              <w:left w:w="108" w:type="dxa"/>
              <w:bottom w:w="0" w:type="dxa"/>
              <w:right w:w="108" w:type="dxa"/>
            </w:tcMar>
            <w:vAlign w:val="center"/>
          </w:tcPr>
          <w:p w14:paraId="0FCF4FD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1,61%</w:t>
            </w:r>
          </w:p>
        </w:tc>
      </w:tr>
      <w:tr w:rsidR="00284822" w14:paraId="759CA097" w14:textId="77777777">
        <w:trPr>
          <w:trHeight w:val="539"/>
        </w:trPr>
        <w:tc>
          <w:tcPr>
            <w:tcW w:w="854" w:type="dxa"/>
            <w:shd w:val="clear" w:color="auto" w:fill="FFFFFF" w:themeFill="background1"/>
            <w:noWrap/>
            <w:tcMar>
              <w:top w:w="0" w:type="dxa"/>
              <w:left w:w="108" w:type="dxa"/>
              <w:bottom w:w="0" w:type="dxa"/>
              <w:right w:w="108" w:type="dxa"/>
            </w:tcMar>
            <w:vAlign w:val="center"/>
          </w:tcPr>
          <w:p w14:paraId="1647A5E5" w14:textId="77777777" w:rsidR="00284822" w:rsidRDefault="00F77BF8" w:rsidP="00EC515D">
            <w:pPr>
              <w:spacing w:line="240" w:lineRule="auto"/>
              <w:rPr>
                <w:rFonts w:ascii="Rockwell" w:hAnsi="Rockwell"/>
                <w:bCs/>
                <w:color w:val="000000"/>
                <w:sz w:val="16"/>
                <w:szCs w:val="16"/>
              </w:rPr>
            </w:pPr>
            <w:r>
              <w:rPr>
                <w:rFonts w:ascii="Rockwell" w:hAnsi="Rockwell"/>
                <w:bCs/>
                <w:color w:val="000000"/>
                <w:sz w:val="16"/>
                <w:szCs w:val="16"/>
              </w:rPr>
              <w:t>44</w:t>
            </w:r>
          </w:p>
        </w:tc>
        <w:tc>
          <w:tcPr>
            <w:tcW w:w="1245" w:type="dxa"/>
            <w:shd w:val="clear" w:color="auto" w:fill="FFFFFF" w:themeFill="background1"/>
            <w:tcMar>
              <w:top w:w="0" w:type="dxa"/>
              <w:left w:w="108" w:type="dxa"/>
              <w:bottom w:w="0" w:type="dxa"/>
              <w:right w:w="108" w:type="dxa"/>
            </w:tcMar>
            <w:vAlign w:val="center"/>
          </w:tcPr>
          <w:p w14:paraId="55B402B4"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RDN</w:t>
            </w:r>
          </w:p>
        </w:tc>
        <w:tc>
          <w:tcPr>
            <w:tcW w:w="731" w:type="dxa"/>
            <w:shd w:val="clear" w:color="auto" w:fill="FFFFFF" w:themeFill="background1"/>
            <w:tcMar>
              <w:top w:w="0" w:type="dxa"/>
              <w:left w:w="108" w:type="dxa"/>
              <w:bottom w:w="0" w:type="dxa"/>
              <w:right w:w="108" w:type="dxa"/>
            </w:tcMar>
            <w:vAlign w:val="center"/>
          </w:tcPr>
          <w:p w14:paraId="75D89C4A"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11F0A81D"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551" w:type="dxa"/>
            <w:shd w:val="clear" w:color="auto" w:fill="FFFFFF" w:themeFill="background1"/>
            <w:tcMar>
              <w:top w:w="0" w:type="dxa"/>
              <w:left w:w="108" w:type="dxa"/>
              <w:bottom w:w="0" w:type="dxa"/>
              <w:right w:w="108" w:type="dxa"/>
            </w:tcMar>
            <w:vAlign w:val="center"/>
          </w:tcPr>
          <w:p w14:paraId="586E234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144CEE6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695" w:type="dxa"/>
            <w:shd w:val="clear" w:color="auto" w:fill="FFFFFF" w:themeFill="background1"/>
            <w:tcMar>
              <w:top w:w="0" w:type="dxa"/>
              <w:left w:w="108" w:type="dxa"/>
              <w:bottom w:w="0" w:type="dxa"/>
              <w:right w:w="108" w:type="dxa"/>
            </w:tcMar>
            <w:vAlign w:val="center"/>
          </w:tcPr>
          <w:p w14:paraId="6661DBE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89" w:type="dxa"/>
            <w:shd w:val="clear" w:color="auto" w:fill="FFFFFF" w:themeFill="background1"/>
            <w:tcMar>
              <w:top w:w="0" w:type="dxa"/>
              <w:left w:w="108" w:type="dxa"/>
              <w:bottom w:w="0" w:type="dxa"/>
              <w:right w:w="108" w:type="dxa"/>
            </w:tcMar>
            <w:vAlign w:val="center"/>
          </w:tcPr>
          <w:p w14:paraId="533EE106"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2E4B796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207E00B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14" w:type="dxa"/>
            <w:shd w:val="clear" w:color="auto" w:fill="FFFFFF" w:themeFill="background1"/>
            <w:tcMar>
              <w:top w:w="0" w:type="dxa"/>
              <w:left w:w="108" w:type="dxa"/>
              <w:bottom w:w="0" w:type="dxa"/>
              <w:right w:w="108" w:type="dxa"/>
            </w:tcMar>
            <w:vAlign w:val="center"/>
          </w:tcPr>
          <w:p w14:paraId="1CED8C0D"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709" w:type="dxa"/>
            <w:shd w:val="clear" w:color="auto" w:fill="FFFFFF" w:themeFill="background1"/>
            <w:tcMar>
              <w:top w:w="0" w:type="dxa"/>
              <w:left w:w="108" w:type="dxa"/>
              <w:bottom w:w="0" w:type="dxa"/>
              <w:right w:w="108" w:type="dxa"/>
            </w:tcMar>
            <w:vAlign w:val="center"/>
          </w:tcPr>
          <w:p w14:paraId="60228AF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1" w:type="dxa"/>
            <w:shd w:val="clear" w:color="auto" w:fill="FFFFFF" w:themeFill="background1"/>
            <w:tcMar>
              <w:top w:w="0" w:type="dxa"/>
              <w:left w:w="108" w:type="dxa"/>
              <w:bottom w:w="0" w:type="dxa"/>
              <w:right w:w="108" w:type="dxa"/>
            </w:tcMar>
            <w:vAlign w:val="center"/>
          </w:tcPr>
          <w:p w14:paraId="283A011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5447D32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627B4651"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92" w:type="dxa"/>
            <w:shd w:val="clear" w:color="auto" w:fill="FFFFFF" w:themeFill="background1"/>
            <w:tcMar>
              <w:top w:w="0" w:type="dxa"/>
              <w:left w:w="108" w:type="dxa"/>
              <w:bottom w:w="0" w:type="dxa"/>
              <w:right w:w="108" w:type="dxa"/>
            </w:tcMar>
            <w:vAlign w:val="center"/>
          </w:tcPr>
          <w:p w14:paraId="2E458D8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9" w:type="dxa"/>
            <w:shd w:val="clear" w:color="auto" w:fill="FFFFFF" w:themeFill="background1"/>
            <w:tcMar>
              <w:top w:w="0" w:type="dxa"/>
              <w:left w:w="108" w:type="dxa"/>
              <w:bottom w:w="0" w:type="dxa"/>
              <w:right w:w="108" w:type="dxa"/>
            </w:tcMar>
            <w:vAlign w:val="center"/>
          </w:tcPr>
          <w:p w14:paraId="3D528646"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1276" w:type="dxa"/>
            <w:shd w:val="clear" w:color="auto" w:fill="FFFFFF" w:themeFill="background1"/>
            <w:tcMar>
              <w:top w:w="0" w:type="dxa"/>
              <w:left w:w="108" w:type="dxa"/>
              <w:bottom w:w="0" w:type="dxa"/>
              <w:right w:w="108" w:type="dxa"/>
            </w:tcMar>
            <w:vAlign w:val="center"/>
          </w:tcPr>
          <w:p w14:paraId="21F6014D"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r>
      <w:tr w:rsidR="00284822" w14:paraId="671B420B" w14:textId="77777777">
        <w:trPr>
          <w:trHeight w:val="539"/>
        </w:trPr>
        <w:tc>
          <w:tcPr>
            <w:tcW w:w="854" w:type="dxa"/>
            <w:shd w:val="clear" w:color="auto" w:fill="FFFFFF" w:themeFill="background1"/>
            <w:noWrap/>
            <w:tcMar>
              <w:top w:w="0" w:type="dxa"/>
              <w:left w:w="108" w:type="dxa"/>
              <w:bottom w:w="0" w:type="dxa"/>
              <w:right w:w="108" w:type="dxa"/>
            </w:tcMar>
            <w:vAlign w:val="center"/>
          </w:tcPr>
          <w:p w14:paraId="14C9B4D9" w14:textId="77777777" w:rsidR="00284822" w:rsidRDefault="00F77BF8" w:rsidP="00EC515D">
            <w:pPr>
              <w:spacing w:line="240" w:lineRule="auto"/>
              <w:rPr>
                <w:rFonts w:ascii="Rockwell" w:hAnsi="Rockwell"/>
                <w:bCs/>
                <w:color w:val="000000"/>
                <w:sz w:val="16"/>
                <w:szCs w:val="16"/>
              </w:rPr>
            </w:pPr>
            <w:r>
              <w:rPr>
                <w:rFonts w:ascii="Rockwell" w:hAnsi="Rockwell"/>
                <w:bCs/>
                <w:color w:val="000000"/>
                <w:sz w:val="16"/>
                <w:szCs w:val="16"/>
              </w:rPr>
              <w:t>45</w:t>
            </w:r>
          </w:p>
        </w:tc>
        <w:tc>
          <w:tcPr>
            <w:tcW w:w="1245" w:type="dxa"/>
            <w:shd w:val="clear" w:color="auto" w:fill="FFFFFF" w:themeFill="background1"/>
            <w:tcMar>
              <w:top w:w="0" w:type="dxa"/>
              <w:left w:w="108" w:type="dxa"/>
              <w:bottom w:w="0" w:type="dxa"/>
              <w:right w:w="108" w:type="dxa"/>
            </w:tcMar>
            <w:vAlign w:val="center"/>
          </w:tcPr>
          <w:p w14:paraId="192BA334"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RDR</w:t>
            </w:r>
          </w:p>
        </w:tc>
        <w:tc>
          <w:tcPr>
            <w:tcW w:w="731" w:type="dxa"/>
            <w:shd w:val="clear" w:color="auto" w:fill="FFFFFF" w:themeFill="background1"/>
            <w:tcMar>
              <w:top w:w="0" w:type="dxa"/>
              <w:left w:w="108" w:type="dxa"/>
              <w:bottom w:w="0" w:type="dxa"/>
              <w:right w:w="108" w:type="dxa"/>
            </w:tcMar>
            <w:vAlign w:val="center"/>
          </w:tcPr>
          <w:p w14:paraId="3A20C87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16B7A7D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551" w:type="dxa"/>
            <w:shd w:val="clear" w:color="auto" w:fill="FFFFFF" w:themeFill="background1"/>
            <w:tcMar>
              <w:top w:w="0" w:type="dxa"/>
              <w:left w:w="108" w:type="dxa"/>
              <w:bottom w:w="0" w:type="dxa"/>
              <w:right w:w="108" w:type="dxa"/>
            </w:tcMar>
            <w:vAlign w:val="center"/>
          </w:tcPr>
          <w:p w14:paraId="1EAED3CD"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34001A24"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695" w:type="dxa"/>
            <w:shd w:val="clear" w:color="auto" w:fill="FFFFFF" w:themeFill="background1"/>
            <w:tcMar>
              <w:top w:w="0" w:type="dxa"/>
              <w:left w:w="108" w:type="dxa"/>
              <w:bottom w:w="0" w:type="dxa"/>
              <w:right w:w="108" w:type="dxa"/>
            </w:tcMar>
            <w:vAlign w:val="center"/>
          </w:tcPr>
          <w:p w14:paraId="02F7B98A"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89" w:type="dxa"/>
            <w:shd w:val="clear" w:color="auto" w:fill="FFFFFF" w:themeFill="background1"/>
            <w:tcMar>
              <w:top w:w="0" w:type="dxa"/>
              <w:left w:w="108" w:type="dxa"/>
              <w:bottom w:w="0" w:type="dxa"/>
              <w:right w:w="108" w:type="dxa"/>
            </w:tcMar>
            <w:vAlign w:val="center"/>
          </w:tcPr>
          <w:p w14:paraId="74958A2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27E285D1"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38346696"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14" w:type="dxa"/>
            <w:shd w:val="clear" w:color="auto" w:fill="FFFFFF" w:themeFill="background1"/>
            <w:tcMar>
              <w:top w:w="0" w:type="dxa"/>
              <w:left w:w="108" w:type="dxa"/>
              <w:bottom w:w="0" w:type="dxa"/>
              <w:right w:w="108" w:type="dxa"/>
            </w:tcMar>
            <w:vAlign w:val="center"/>
          </w:tcPr>
          <w:p w14:paraId="4D50632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w:t>
            </w:r>
          </w:p>
        </w:tc>
        <w:tc>
          <w:tcPr>
            <w:tcW w:w="709" w:type="dxa"/>
            <w:shd w:val="clear" w:color="auto" w:fill="FFFFFF" w:themeFill="background1"/>
            <w:tcMar>
              <w:top w:w="0" w:type="dxa"/>
              <w:left w:w="108" w:type="dxa"/>
              <w:bottom w:w="0" w:type="dxa"/>
              <w:right w:w="108" w:type="dxa"/>
            </w:tcMar>
            <w:vAlign w:val="center"/>
          </w:tcPr>
          <w:p w14:paraId="1FF8C721"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3,07%</w:t>
            </w:r>
          </w:p>
        </w:tc>
        <w:tc>
          <w:tcPr>
            <w:tcW w:w="701" w:type="dxa"/>
            <w:shd w:val="clear" w:color="auto" w:fill="FFFFFF" w:themeFill="background1"/>
            <w:tcMar>
              <w:top w:w="0" w:type="dxa"/>
              <w:left w:w="108" w:type="dxa"/>
              <w:bottom w:w="0" w:type="dxa"/>
              <w:right w:w="108" w:type="dxa"/>
            </w:tcMar>
            <w:vAlign w:val="center"/>
          </w:tcPr>
          <w:p w14:paraId="25FC0F6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3</w:t>
            </w:r>
          </w:p>
        </w:tc>
        <w:tc>
          <w:tcPr>
            <w:tcW w:w="863" w:type="dxa"/>
            <w:shd w:val="clear" w:color="auto" w:fill="FFFFFF" w:themeFill="background1"/>
            <w:tcMar>
              <w:top w:w="0" w:type="dxa"/>
              <w:left w:w="108" w:type="dxa"/>
              <w:bottom w:w="0" w:type="dxa"/>
              <w:right w:w="108" w:type="dxa"/>
            </w:tcMar>
            <w:vAlign w:val="center"/>
          </w:tcPr>
          <w:p w14:paraId="51E8017D"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2,59%</w:t>
            </w:r>
          </w:p>
        </w:tc>
        <w:tc>
          <w:tcPr>
            <w:tcW w:w="704" w:type="dxa"/>
            <w:shd w:val="clear" w:color="auto" w:fill="FFFFFF" w:themeFill="background1"/>
            <w:tcMar>
              <w:top w:w="0" w:type="dxa"/>
              <w:left w:w="108" w:type="dxa"/>
              <w:bottom w:w="0" w:type="dxa"/>
              <w:right w:w="108" w:type="dxa"/>
            </w:tcMar>
            <w:vAlign w:val="center"/>
          </w:tcPr>
          <w:p w14:paraId="4C8E0A2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92" w:type="dxa"/>
            <w:shd w:val="clear" w:color="auto" w:fill="FFFFFF" w:themeFill="background1"/>
            <w:tcMar>
              <w:top w:w="0" w:type="dxa"/>
              <w:left w:w="108" w:type="dxa"/>
              <w:bottom w:w="0" w:type="dxa"/>
              <w:right w:w="108" w:type="dxa"/>
            </w:tcMar>
            <w:vAlign w:val="center"/>
          </w:tcPr>
          <w:p w14:paraId="002849A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9" w:type="dxa"/>
            <w:shd w:val="clear" w:color="auto" w:fill="FFFFFF" w:themeFill="background1"/>
            <w:tcMar>
              <w:top w:w="0" w:type="dxa"/>
              <w:left w:w="108" w:type="dxa"/>
              <w:bottom w:w="0" w:type="dxa"/>
              <w:right w:w="108" w:type="dxa"/>
            </w:tcMar>
            <w:vAlign w:val="center"/>
          </w:tcPr>
          <w:p w14:paraId="249EF43F"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1276" w:type="dxa"/>
            <w:shd w:val="clear" w:color="auto" w:fill="FFFFFF" w:themeFill="background1"/>
            <w:tcMar>
              <w:top w:w="0" w:type="dxa"/>
              <w:left w:w="108" w:type="dxa"/>
              <w:bottom w:w="0" w:type="dxa"/>
              <w:right w:w="108" w:type="dxa"/>
            </w:tcMar>
            <w:vAlign w:val="center"/>
          </w:tcPr>
          <w:p w14:paraId="010CE78A"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r>
      <w:tr w:rsidR="00284822" w14:paraId="03D3548F" w14:textId="77777777">
        <w:trPr>
          <w:trHeight w:val="539"/>
        </w:trPr>
        <w:tc>
          <w:tcPr>
            <w:tcW w:w="854" w:type="dxa"/>
            <w:shd w:val="clear" w:color="auto" w:fill="FFFFFF" w:themeFill="background1"/>
            <w:noWrap/>
            <w:tcMar>
              <w:top w:w="0" w:type="dxa"/>
              <w:left w:w="108" w:type="dxa"/>
              <w:bottom w:w="0" w:type="dxa"/>
              <w:right w:w="108" w:type="dxa"/>
            </w:tcMar>
            <w:vAlign w:val="center"/>
          </w:tcPr>
          <w:p w14:paraId="1BC18095" w14:textId="77777777" w:rsidR="00284822" w:rsidRDefault="00F77BF8" w:rsidP="00EC515D">
            <w:pPr>
              <w:spacing w:line="240" w:lineRule="auto"/>
              <w:rPr>
                <w:rFonts w:ascii="Rockwell" w:hAnsi="Rockwell"/>
                <w:bCs/>
                <w:color w:val="000000"/>
                <w:sz w:val="16"/>
                <w:szCs w:val="16"/>
              </w:rPr>
            </w:pPr>
            <w:r>
              <w:rPr>
                <w:rFonts w:ascii="Rockwell" w:hAnsi="Rockwell"/>
                <w:bCs/>
                <w:color w:val="000000"/>
                <w:sz w:val="16"/>
                <w:szCs w:val="16"/>
              </w:rPr>
              <w:t>46</w:t>
            </w:r>
          </w:p>
        </w:tc>
        <w:tc>
          <w:tcPr>
            <w:tcW w:w="1245" w:type="dxa"/>
            <w:shd w:val="clear" w:color="auto" w:fill="FFFFFF" w:themeFill="background1"/>
            <w:tcMar>
              <w:top w:w="0" w:type="dxa"/>
              <w:left w:w="108" w:type="dxa"/>
              <w:bottom w:w="0" w:type="dxa"/>
              <w:right w:w="108" w:type="dxa"/>
            </w:tcMar>
            <w:vAlign w:val="center"/>
          </w:tcPr>
          <w:p w14:paraId="696E983D"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RPD</w:t>
            </w:r>
          </w:p>
        </w:tc>
        <w:tc>
          <w:tcPr>
            <w:tcW w:w="731" w:type="dxa"/>
            <w:shd w:val="clear" w:color="auto" w:fill="FFFFFF" w:themeFill="background1"/>
            <w:tcMar>
              <w:top w:w="0" w:type="dxa"/>
              <w:left w:w="108" w:type="dxa"/>
              <w:bottom w:w="0" w:type="dxa"/>
              <w:right w:w="108" w:type="dxa"/>
            </w:tcMar>
            <w:vAlign w:val="center"/>
          </w:tcPr>
          <w:p w14:paraId="52D33A45"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w:t>
            </w:r>
          </w:p>
        </w:tc>
        <w:tc>
          <w:tcPr>
            <w:tcW w:w="863" w:type="dxa"/>
            <w:shd w:val="clear" w:color="auto" w:fill="FFFFFF" w:themeFill="background1"/>
            <w:tcMar>
              <w:top w:w="0" w:type="dxa"/>
              <w:left w:w="108" w:type="dxa"/>
              <w:bottom w:w="0" w:type="dxa"/>
              <w:right w:w="108" w:type="dxa"/>
            </w:tcMar>
            <w:vAlign w:val="center"/>
          </w:tcPr>
          <w:p w14:paraId="0C6F484E"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3,54%</w:t>
            </w:r>
          </w:p>
        </w:tc>
        <w:tc>
          <w:tcPr>
            <w:tcW w:w="551" w:type="dxa"/>
            <w:shd w:val="clear" w:color="auto" w:fill="FFFFFF" w:themeFill="background1"/>
            <w:tcMar>
              <w:top w:w="0" w:type="dxa"/>
              <w:left w:w="108" w:type="dxa"/>
              <w:bottom w:w="0" w:type="dxa"/>
              <w:right w:w="108" w:type="dxa"/>
            </w:tcMar>
            <w:vAlign w:val="center"/>
          </w:tcPr>
          <w:p w14:paraId="243586A5"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w:t>
            </w:r>
          </w:p>
        </w:tc>
        <w:tc>
          <w:tcPr>
            <w:tcW w:w="863" w:type="dxa"/>
            <w:shd w:val="clear" w:color="auto" w:fill="FFFFFF" w:themeFill="background1"/>
            <w:tcMar>
              <w:top w:w="0" w:type="dxa"/>
              <w:left w:w="108" w:type="dxa"/>
              <w:bottom w:w="0" w:type="dxa"/>
              <w:right w:w="108" w:type="dxa"/>
            </w:tcMar>
            <w:vAlign w:val="center"/>
          </w:tcPr>
          <w:p w14:paraId="347B252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2,25%</w:t>
            </w:r>
          </w:p>
        </w:tc>
        <w:tc>
          <w:tcPr>
            <w:tcW w:w="695" w:type="dxa"/>
            <w:shd w:val="clear" w:color="auto" w:fill="FFFFFF" w:themeFill="background1"/>
            <w:tcMar>
              <w:top w:w="0" w:type="dxa"/>
              <w:left w:w="108" w:type="dxa"/>
              <w:bottom w:w="0" w:type="dxa"/>
              <w:right w:w="108" w:type="dxa"/>
            </w:tcMar>
            <w:vAlign w:val="center"/>
          </w:tcPr>
          <w:p w14:paraId="734D58BA"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89" w:type="dxa"/>
            <w:shd w:val="clear" w:color="auto" w:fill="FFFFFF" w:themeFill="background1"/>
            <w:tcMar>
              <w:top w:w="0" w:type="dxa"/>
              <w:left w:w="108" w:type="dxa"/>
              <w:bottom w:w="0" w:type="dxa"/>
              <w:right w:w="108" w:type="dxa"/>
            </w:tcMar>
            <w:vAlign w:val="center"/>
          </w:tcPr>
          <w:p w14:paraId="7951D8A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53F2172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096DFBF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14" w:type="dxa"/>
            <w:shd w:val="clear" w:color="auto" w:fill="FFFFFF" w:themeFill="background1"/>
            <w:tcMar>
              <w:top w:w="0" w:type="dxa"/>
              <w:left w:w="108" w:type="dxa"/>
              <w:bottom w:w="0" w:type="dxa"/>
              <w:right w:w="108" w:type="dxa"/>
            </w:tcMar>
            <w:vAlign w:val="center"/>
          </w:tcPr>
          <w:p w14:paraId="5B682EA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w:t>
            </w:r>
          </w:p>
        </w:tc>
        <w:tc>
          <w:tcPr>
            <w:tcW w:w="709" w:type="dxa"/>
            <w:shd w:val="clear" w:color="auto" w:fill="FFFFFF" w:themeFill="background1"/>
            <w:tcMar>
              <w:top w:w="0" w:type="dxa"/>
              <w:left w:w="108" w:type="dxa"/>
              <w:bottom w:w="0" w:type="dxa"/>
              <w:right w:w="108" w:type="dxa"/>
            </w:tcMar>
            <w:vAlign w:val="center"/>
          </w:tcPr>
          <w:p w14:paraId="46D2F3DE"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1,53%</w:t>
            </w:r>
          </w:p>
        </w:tc>
        <w:tc>
          <w:tcPr>
            <w:tcW w:w="701" w:type="dxa"/>
            <w:shd w:val="clear" w:color="auto" w:fill="FFFFFF" w:themeFill="background1"/>
            <w:tcMar>
              <w:top w:w="0" w:type="dxa"/>
              <w:left w:w="108" w:type="dxa"/>
              <w:bottom w:w="0" w:type="dxa"/>
              <w:right w:w="108" w:type="dxa"/>
            </w:tcMar>
            <w:vAlign w:val="center"/>
          </w:tcPr>
          <w:p w14:paraId="25E269C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w:t>
            </w:r>
          </w:p>
        </w:tc>
        <w:tc>
          <w:tcPr>
            <w:tcW w:w="863" w:type="dxa"/>
            <w:shd w:val="clear" w:color="auto" w:fill="FFFFFF" w:themeFill="background1"/>
            <w:tcMar>
              <w:top w:w="0" w:type="dxa"/>
              <w:left w:w="108" w:type="dxa"/>
              <w:bottom w:w="0" w:type="dxa"/>
              <w:right w:w="108" w:type="dxa"/>
            </w:tcMar>
            <w:vAlign w:val="center"/>
          </w:tcPr>
          <w:p w14:paraId="7A0016B5"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0,86%</w:t>
            </w:r>
          </w:p>
        </w:tc>
        <w:tc>
          <w:tcPr>
            <w:tcW w:w="704" w:type="dxa"/>
            <w:shd w:val="clear" w:color="auto" w:fill="FFFFFF" w:themeFill="background1"/>
            <w:tcMar>
              <w:top w:w="0" w:type="dxa"/>
              <w:left w:w="108" w:type="dxa"/>
              <w:bottom w:w="0" w:type="dxa"/>
              <w:right w:w="108" w:type="dxa"/>
            </w:tcMar>
            <w:vAlign w:val="center"/>
          </w:tcPr>
          <w:p w14:paraId="707418C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w:t>
            </w:r>
          </w:p>
        </w:tc>
        <w:tc>
          <w:tcPr>
            <w:tcW w:w="992" w:type="dxa"/>
            <w:shd w:val="clear" w:color="auto" w:fill="FFFFFF" w:themeFill="background1"/>
            <w:tcMar>
              <w:top w:w="0" w:type="dxa"/>
              <w:left w:w="108" w:type="dxa"/>
              <w:bottom w:w="0" w:type="dxa"/>
              <w:right w:w="108" w:type="dxa"/>
            </w:tcMar>
            <w:vAlign w:val="center"/>
          </w:tcPr>
          <w:p w14:paraId="30E7BAC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3,16%</w:t>
            </w:r>
          </w:p>
        </w:tc>
        <w:tc>
          <w:tcPr>
            <w:tcW w:w="709" w:type="dxa"/>
            <w:shd w:val="clear" w:color="auto" w:fill="FFFFFF" w:themeFill="background1"/>
            <w:tcMar>
              <w:top w:w="0" w:type="dxa"/>
              <w:left w:w="108" w:type="dxa"/>
              <w:bottom w:w="0" w:type="dxa"/>
              <w:right w:w="108" w:type="dxa"/>
            </w:tcMar>
            <w:vAlign w:val="center"/>
          </w:tcPr>
          <w:p w14:paraId="44F4289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1276" w:type="dxa"/>
            <w:shd w:val="clear" w:color="auto" w:fill="FFFFFF" w:themeFill="background1"/>
            <w:tcMar>
              <w:top w:w="0" w:type="dxa"/>
              <w:left w:w="108" w:type="dxa"/>
              <w:bottom w:w="0" w:type="dxa"/>
              <w:right w:w="108" w:type="dxa"/>
            </w:tcMar>
            <w:vAlign w:val="center"/>
          </w:tcPr>
          <w:p w14:paraId="65C64F0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r>
      <w:tr w:rsidR="00284822" w14:paraId="6746F860" w14:textId="77777777">
        <w:trPr>
          <w:trHeight w:val="539"/>
        </w:trPr>
        <w:tc>
          <w:tcPr>
            <w:tcW w:w="854" w:type="dxa"/>
            <w:shd w:val="clear" w:color="auto" w:fill="FFFFFF" w:themeFill="background1"/>
            <w:noWrap/>
            <w:tcMar>
              <w:top w:w="0" w:type="dxa"/>
              <w:left w:w="108" w:type="dxa"/>
              <w:bottom w:w="0" w:type="dxa"/>
              <w:right w:w="108" w:type="dxa"/>
            </w:tcMar>
            <w:vAlign w:val="center"/>
          </w:tcPr>
          <w:p w14:paraId="5D5F9337" w14:textId="77777777" w:rsidR="00284822" w:rsidRDefault="00F77BF8" w:rsidP="00EC515D">
            <w:pPr>
              <w:spacing w:line="240" w:lineRule="auto"/>
              <w:rPr>
                <w:rFonts w:ascii="Rockwell" w:hAnsi="Rockwell"/>
                <w:bCs/>
                <w:color w:val="000000"/>
                <w:sz w:val="16"/>
                <w:szCs w:val="16"/>
              </w:rPr>
            </w:pPr>
            <w:r>
              <w:rPr>
                <w:rFonts w:ascii="Rockwell" w:hAnsi="Rockwell"/>
                <w:bCs/>
                <w:color w:val="000000"/>
                <w:sz w:val="16"/>
                <w:szCs w:val="16"/>
              </w:rPr>
              <w:t>47</w:t>
            </w:r>
          </w:p>
        </w:tc>
        <w:tc>
          <w:tcPr>
            <w:tcW w:w="1245" w:type="dxa"/>
            <w:shd w:val="clear" w:color="auto" w:fill="FFFFFF" w:themeFill="background1"/>
            <w:tcMar>
              <w:top w:w="0" w:type="dxa"/>
              <w:left w:w="108" w:type="dxa"/>
              <w:bottom w:w="0" w:type="dxa"/>
              <w:right w:w="108" w:type="dxa"/>
            </w:tcMar>
            <w:vAlign w:val="center"/>
          </w:tcPr>
          <w:p w14:paraId="369F97B2"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RPF</w:t>
            </w:r>
          </w:p>
        </w:tc>
        <w:tc>
          <w:tcPr>
            <w:tcW w:w="731" w:type="dxa"/>
            <w:shd w:val="clear" w:color="auto" w:fill="FFFFFF" w:themeFill="background1"/>
            <w:tcMar>
              <w:top w:w="0" w:type="dxa"/>
              <w:left w:w="108" w:type="dxa"/>
              <w:bottom w:w="0" w:type="dxa"/>
              <w:right w:w="108" w:type="dxa"/>
            </w:tcMar>
            <w:vAlign w:val="center"/>
          </w:tcPr>
          <w:p w14:paraId="238B650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35AF7D75"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551" w:type="dxa"/>
            <w:shd w:val="clear" w:color="auto" w:fill="FFFFFF" w:themeFill="background1"/>
            <w:tcMar>
              <w:top w:w="0" w:type="dxa"/>
              <w:left w:w="108" w:type="dxa"/>
              <w:bottom w:w="0" w:type="dxa"/>
              <w:right w:w="108" w:type="dxa"/>
            </w:tcMar>
            <w:vAlign w:val="center"/>
          </w:tcPr>
          <w:p w14:paraId="286CC906"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7068A4A6"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695" w:type="dxa"/>
            <w:shd w:val="clear" w:color="auto" w:fill="FFFFFF" w:themeFill="background1"/>
            <w:tcMar>
              <w:top w:w="0" w:type="dxa"/>
              <w:left w:w="108" w:type="dxa"/>
              <w:bottom w:w="0" w:type="dxa"/>
              <w:right w:w="108" w:type="dxa"/>
            </w:tcMar>
            <w:vAlign w:val="center"/>
          </w:tcPr>
          <w:p w14:paraId="79815A5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89" w:type="dxa"/>
            <w:shd w:val="clear" w:color="auto" w:fill="FFFFFF" w:themeFill="background1"/>
            <w:tcMar>
              <w:top w:w="0" w:type="dxa"/>
              <w:left w:w="108" w:type="dxa"/>
              <w:bottom w:w="0" w:type="dxa"/>
              <w:right w:w="108" w:type="dxa"/>
            </w:tcMar>
            <w:vAlign w:val="center"/>
          </w:tcPr>
          <w:p w14:paraId="72743E2E"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708264E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55666F1A"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14" w:type="dxa"/>
            <w:shd w:val="clear" w:color="auto" w:fill="FFFFFF" w:themeFill="background1"/>
            <w:tcMar>
              <w:top w:w="0" w:type="dxa"/>
              <w:left w:w="108" w:type="dxa"/>
              <w:bottom w:w="0" w:type="dxa"/>
              <w:right w:w="108" w:type="dxa"/>
            </w:tcMar>
            <w:vAlign w:val="center"/>
          </w:tcPr>
          <w:p w14:paraId="55C1094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709" w:type="dxa"/>
            <w:shd w:val="clear" w:color="auto" w:fill="FFFFFF" w:themeFill="background1"/>
            <w:tcMar>
              <w:top w:w="0" w:type="dxa"/>
              <w:left w:w="108" w:type="dxa"/>
              <w:bottom w:w="0" w:type="dxa"/>
              <w:right w:w="108" w:type="dxa"/>
            </w:tcMar>
            <w:vAlign w:val="center"/>
          </w:tcPr>
          <w:p w14:paraId="698E5BB5"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1" w:type="dxa"/>
            <w:shd w:val="clear" w:color="auto" w:fill="FFFFFF" w:themeFill="background1"/>
            <w:tcMar>
              <w:top w:w="0" w:type="dxa"/>
              <w:left w:w="108" w:type="dxa"/>
              <w:bottom w:w="0" w:type="dxa"/>
              <w:right w:w="108" w:type="dxa"/>
            </w:tcMar>
            <w:vAlign w:val="center"/>
          </w:tcPr>
          <w:p w14:paraId="15612A5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4BA106B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7B8AA70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92" w:type="dxa"/>
            <w:shd w:val="clear" w:color="auto" w:fill="FFFFFF" w:themeFill="background1"/>
            <w:tcMar>
              <w:top w:w="0" w:type="dxa"/>
              <w:left w:w="108" w:type="dxa"/>
              <w:bottom w:w="0" w:type="dxa"/>
              <w:right w:w="108" w:type="dxa"/>
            </w:tcMar>
            <w:vAlign w:val="center"/>
          </w:tcPr>
          <w:p w14:paraId="113621D1"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9" w:type="dxa"/>
            <w:shd w:val="clear" w:color="auto" w:fill="FFFFFF" w:themeFill="background1"/>
            <w:tcMar>
              <w:top w:w="0" w:type="dxa"/>
              <w:left w:w="108" w:type="dxa"/>
              <w:bottom w:w="0" w:type="dxa"/>
              <w:right w:w="108" w:type="dxa"/>
            </w:tcMar>
            <w:vAlign w:val="center"/>
          </w:tcPr>
          <w:p w14:paraId="64BC0EFD"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1276" w:type="dxa"/>
            <w:shd w:val="clear" w:color="auto" w:fill="FFFFFF" w:themeFill="background1"/>
            <w:tcMar>
              <w:top w:w="0" w:type="dxa"/>
              <w:left w:w="108" w:type="dxa"/>
              <w:bottom w:w="0" w:type="dxa"/>
              <w:right w:w="108" w:type="dxa"/>
            </w:tcMar>
            <w:vAlign w:val="center"/>
          </w:tcPr>
          <w:p w14:paraId="1D97E55E"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r>
      <w:tr w:rsidR="00284822" w14:paraId="6C7A068C" w14:textId="77777777">
        <w:trPr>
          <w:trHeight w:val="539"/>
        </w:trPr>
        <w:tc>
          <w:tcPr>
            <w:tcW w:w="854" w:type="dxa"/>
            <w:shd w:val="clear" w:color="auto" w:fill="FFFFFF" w:themeFill="background1"/>
            <w:noWrap/>
            <w:tcMar>
              <w:top w:w="0" w:type="dxa"/>
              <w:left w:w="108" w:type="dxa"/>
              <w:bottom w:w="0" w:type="dxa"/>
              <w:right w:w="108" w:type="dxa"/>
            </w:tcMar>
            <w:vAlign w:val="center"/>
          </w:tcPr>
          <w:p w14:paraId="28B361AE" w14:textId="77777777" w:rsidR="00284822" w:rsidRDefault="00F77BF8" w:rsidP="00EC515D">
            <w:pPr>
              <w:spacing w:line="240" w:lineRule="auto"/>
              <w:rPr>
                <w:rFonts w:ascii="Rockwell" w:hAnsi="Rockwell"/>
                <w:bCs/>
                <w:color w:val="000000"/>
                <w:sz w:val="16"/>
                <w:szCs w:val="16"/>
              </w:rPr>
            </w:pPr>
            <w:r>
              <w:rPr>
                <w:rFonts w:ascii="Rockwell" w:hAnsi="Rockwell"/>
                <w:bCs/>
                <w:color w:val="000000"/>
                <w:sz w:val="16"/>
                <w:szCs w:val="16"/>
              </w:rPr>
              <w:t>48</w:t>
            </w:r>
          </w:p>
        </w:tc>
        <w:tc>
          <w:tcPr>
            <w:tcW w:w="1245" w:type="dxa"/>
            <w:shd w:val="clear" w:color="auto" w:fill="FFFFFF" w:themeFill="background1"/>
            <w:tcMar>
              <w:top w:w="0" w:type="dxa"/>
              <w:left w:w="108" w:type="dxa"/>
              <w:bottom w:w="0" w:type="dxa"/>
              <w:right w:w="108" w:type="dxa"/>
            </w:tcMar>
            <w:vAlign w:val="center"/>
          </w:tcPr>
          <w:p w14:paraId="04B70BC8"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RPI</w:t>
            </w:r>
          </w:p>
        </w:tc>
        <w:tc>
          <w:tcPr>
            <w:tcW w:w="731" w:type="dxa"/>
            <w:shd w:val="clear" w:color="auto" w:fill="FFFFFF" w:themeFill="background1"/>
            <w:tcMar>
              <w:top w:w="0" w:type="dxa"/>
              <w:left w:w="108" w:type="dxa"/>
              <w:bottom w:w="0" w:type="dxa"/>
              <w:right w:w="108" w:type="dxa"/>
            </w:tcMar>
            <w:vAlign w:val="center"/>
          </w:tcPr>
          <w:p w14:paraId="7D4BBAA4" w14:textId="77777777" w:rsidR="00284822" w:rsidRDefault="00F77BF8" w:rsidP="00EC515D">
            <w:pPr>
              <w:spacing w:line="240" w:lineRule="auto"/>
              <w:rPr>
                <w:rFonts w:ascii="Rockwell" w:hAnsi="Rockwell"/>
                <w:color w:val="000000"/>
                <w:sz w:val="16"/>
                <w:szCs w:val="16"/>
              </w:rPr>
            </w:pPr>
            <w:proofErr w:type="gramStart"/>
            <w:r>
              <w:rPr>
                <w:rFonts w:ascii="Rockwell" w:hAnsi="Rockwell"/>
                <w:color w:val="000000"/>
                <w:sz w:val="16"/>
                <w:szCs w:val="16"/>
              </w:rPr>
              <w:t>½</w:t>
            </w:r>
            <w:proofErr w:type="gramEnd"/>
          </w:p>
        </w:tc>
        <w:tc>
          <w:tcPr>
            <w:tcW w:w="863" w:type="dxa"/>
            <w:shd w:val="clear" w:color="auto" w:fill="FFFFFF" w:themeFill="background1"/>
            <w:tcMar>
              <w:top w:w="0" w:type="dxa"/>
              <w:left w:w="108" w:type="dxa"/>
              <w:bottom w:w="0" w:type="dxa"/>
              <w:right w:w="108" w:type="dxa"/>
            </w:tcMar>
            <w:vAlign w:val="center"/>
          </w:tcPr>
          <w:p w14:paraId="5D440E4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0,89%</w:t>
            </w:r>
          </w:p>
        </w:tc>
        <w:tc>
          <w:tcPr>
            <w:tcW w:w="551" w:type="dxa"/>
            <w:shd w:val="clear" w:color="auto" w:fill="FFFFFF" w:themeFill="background1"/>
            <w:tcMar>
              <w:top w:w="0" w:type="dxa"/>
              <w:left w:w="108" w:type="dxa"/>
              <w:bottom w:w="0" w:type="dxa"/>
              <w:right w:w="108" w:type="dxa"/>
            </w:tcMar>
            <w:vAlign w:val="center"/>
          </w:tcPr>
          <w:p w14:paraId="16E3A404"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w:t>
            </w:r>
          </w:p>
        </w:tc>
        <w:tc>
          <w:tcPr>
            <w:tcW w:w="863" w:type="dxa"/>
            <w:shd w:val="clear" w:color="auto" w:fill="FFFFFF" w:themeFill="background1"/>
            <w:tcMar>
              <w:top w:w="0" w:type="dxa"/>
              <w:left w:w="108" w:type="dxa"/>
              <w:bottom w:w="0" w:type="dxa"/>
              <w:right w:w="108" w:type="dxa"/>
            </w:tcMar>
            <w:vAlign w:val="center"/>
          </w:tcPr>
          <w:p w14:paraId="3617DD1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1,12%</w:t>
            </w:r>
          </w:p>
        </w:tc>
        <w:tc>
          <w:tcPr>
            <w:tcW w:w="695" w:type="dxa"/>
            <w:shd w:val="clear" w:color="auto" w:fill="FFFFFF" w:themeFill="background1"/>
            <w:tcMar>
              <w:top w:w="0" w:type="dxa"/>
              <w:left w:w="108" w:type="dxa"/>
              <w:bottom w:w="0" w:type="dxa"/>
              <w:right w:w="108" w:type="dxa"/>
            </w:tcMar>
            <w:vAlign w:val="center"/>
          </w:tcPr>
          <w:p w14:paraId="4C8A42BA"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 1/6</w:t>
            </w:r>
          </w:p>
        </w:tc>
        <w:tc>
          <w:tcPr>
            <w:tcW w:w="989" w:type="dxa"/>
            <w:shd w:val="clear" w:color="auto" w:fill="FFFFFF" w:themeFill="background1"/>
            <w:tcMar>
              <w:top w:w="0" w:type="dxa"/>
              <w:left w:w="108" w:type="dxa"/>
              <w:bottom w:w="0" w:type="dxa"/>
              <w:right w:w="108" w:type="dxa"/>
            </w:tcMar>
            <w:vAlign w:val="center"/>
          </w:tcPr>
          <w:p w14:paraId="6F2EC551"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4,87%</w:t>
            </w:r>
          </w:p>
        </w:tc>
        <w:tc>
          <w:tcPr>
            <w:tcW w:w="704" w:type="dxa"/>
            <w:shd w:val="clear" w:color="auto" w:fill="FFFFFF" w:themeFill="background1"/>
            <w:tcMar>
              <w:top w:w="0" w:type="dxa"/>
              <w:left w:w="108" w:type="dxa"/>
              <w:bottom w:w="0" w:type="dxa"/>
              <w:right w:w="108" w:type="dxa"/>
            </w:tcMar>
            <w:vAlign w:val="center"/>
          </w:tcPr>
          <w:p w14:paraId="705495E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5</w:t>
            </w:r>
          </w:p>
        </w:tc>
        <w:tc>
          <w:tcPr>
            <w:tcW w:w="863" w:type="dxa"/>
            <w:shd w:val="clear" w:color="auto" w:fill="FFFFFF" w:themeFill="background1"/>
            <w:tcMar>
              <w:top w:w="0" w:type="dxa"/>
              <w:left w:w="108" w:type="dxa"/>
              <w:bottom w:w="0" w:type="dxa"/>
              <w:right w:w="108" w:type="dxa"/>
            </w:tcMar>
            <w:vAlign w:val="center"/>
          </w:tcPr>
          <w:p w14:paraId="7807CB41"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5,88%</w:t>
            </w:r>
          </w:p>
        </w:tc>
        <w:tc>
          <w:tcPr>
            <w:tcW w:w="714" w:type="dxa"/>
            <w:shd w:val="clear" w:color="auto" w:fill="FFFFFF" w:themeFill="background1"/>
            <w:tcMar>
              <w:top w:w="0" w:type="dxa"/>
              <w:left w:w="108" w:type="dxa"/>
              <w:bottom w:w="0" w:type="dxa"/>
              <w:right w:w="108" w:type="dxa"/>
            </w:tcMar>
            <w:vAlign w:val="center"/>
          </w:tcPr>
          <w:p w14:paraId="5E0D850E"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709" w:type="dxa"/>
            <w:shd w:val="clear" w:color="auto" w:fill="FFFFFF" w:themeFill="background1"/>
            <w:tcMar>
              <w:top w:w="0" w:type="dxa"/>
              <w:left w:w="108" w:type="dxa"/>
              <w:bottom w:w="0" w:type="dxa"/>
              <w:right w:w="108" w:type="dxa"/>
            </w:tcMar>
            <w:vAlign w:val="center"/>
          </w:tcPr>
          <w:p w14:paraId="47B6617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1" w:type="dxa"/>
            <w:shd w:val="clear" w:color="auto" w:fill="FFFFFF" w:themeFill="background1"/>
            <w:tcMar>
              <w:top w:w="0" w:type="dxa"/>
              <w:left w:w="108" w:type="dxa"/>
              <w:bottom w:w="0" w:type="dxa"/>
              <w:right w:w="108" w:type="dxa"/>
            </w:tcMar>
            <w:vAlign w:val="center"/>
          </w:tcPr>
          <w:p w14:paraId="3AC539D1"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3B47D3E1"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4D98271E"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92" w:type="dxa"/>
            <w:shd w:val="clear" w:color="auto" w:fill="FFFFFF" w:themeFill="background1"/>
            <w:tcMar>
              <w:top w:w="0" w:type="dxa"/>
              <w:left w:w="108" w:type="dxa"/>
              <w:bottom w:w="0" w:type="dxa"/>
              <w:right w:w="108" w:type="dxa"/>
            </w:tcMar>
            <w:vAlign w:val="center"/>
          </w:tcPr>
          <w:p w14:paraId="6121959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9" w:type="dxa"/>
            <w:shd w:val="clear" w:color="auto" w:fill="FFFFFF" w:themeFill="background1"/>
            <w:tcMar>
              <w:top w:w="0" w:type="dxa"/>
              <w:left w:w="108" w:type="dxa"/>
              <w:bottom w:w="0" w:type="dxa"/>
              <w:right w:w="108" w:type="dxa"/>
            </w:tcMar>
            <w:vAlign w:val="center"/>
          </w:tcPr>
          <w:p w14:paraId="6073DC8D"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1276" w:type="dxa"/>
            <w:shd w:val="clear" w:color="auto" w:fill="FFFFFF" w:themeFill="background1"/>
            <w:tcMar>
              <w:top w:w="0" w:type="dxa"/>
              <w:left w:w="108" w:type="dxa"/>
              <w:bottom w:w="0" w:type="dxa"/>
              <w:right w:w="108" w:type="dxa"/>
            </w:tcMar>
            <w:vAlign w:val="center"/>
          </w:tcPr>
          <w:p w14:paraId="57E0F73F"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r>
      <w:tr w:rsidR="00284822" w14:paraId="65436AB2" w14:textId="77777777">
        <w:trPr>
          <w:trHeight w:val="539"/>
        </w:trPr>
        <w:tc>
          <w:tcPr>
            <w:tcW w:w="854" w:type="dxa"/>
            <w:shd w:val="clear" w:color="auto" w:fill="FFFFFF" w:themeFill="background1"/>
            <w:noWrap/>
            <w:tcMar>
              <w:top w:w="0" w:type="dxa"/>
              <w:left w:w="108" w:type="dxa"/>
              <w:bottom w:w="0" w:type="dxa"/>
              <w:right w:w="108" w:type="dxa"/>
            </w:tcMar>
            <w:vAlign w:val="center"/>
          </w:tcPr>
          <w:p w14:paraId="205A20D2" w14:textId="77777777" w:rsidR="00284822" w:rsidRDefault="00F77BF8" w:rsidP="00EC515D">
            <w:pPr>
              <w:spacing w:line="240" w:lineRule="auto"/>
              <w:rPr>
                <w:rFonts w:ascii="Rockwell" w:hAnsi="Rockwell"/>
                <w:bCs/>
                <w:color w:val="000000"/>
                <w:sz w:val="16"/>
                <w:szCs w:val="16"/>
              </w:rPr>
            </w:pPr>
            <w:r>
              <w:rPr>
                <w:rFonts w:ascii="Rockwell" w:hAnsi="Rockwell"/>
                <w:bCs/>
                <w:color w:val="000000"/>
                <w:sz w:val="16"/>
                <w:szCs w:val="16"/>
              </w:rPr>
              <w:t>50</w:t>
            </w:r>
          </w:p>
        </w:tc>
        <w:tc>
          <w:tcPr>
            <w:tcW w:w="1245" w:type="dxa"/>
            <w:shd w:val="clear" w:color="auto" w:fill="FFFFFF" w:themeFill="background1"/>
            <w:tcMar>
              <w:top w:w="0" w:type="dxa"/>
              <w:left w:w="108" w:type="dxa"/>
              <w:bottom w:w="0" w:type="dxa"/>
              <w:right w:w="108" w:type="dxa"/>
            </w:tcMar>
            <w:vAlign w:val="center"/>
          </w:tcPr>
          <w:p w14:paraId="3CA9EAC9"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SA</w:t>
            </w:r>
          </w:p>
        </w:tc>
        <w:tc>
          <w:tcPr>
            <w:tcW w:w="731" w:type="dxa"/>
            <w:shd w:val="clear" w:color="auto" w:fill="FFFFFF" w:themeFill="background1"/>
            <w:tcMar>
              <w:top w:w="0" w:type="dxa"/>
              <w:left w:w="108" w:type="dxa"/>
              <w:bottom w:w="0" w:type="dxa"/>
              <w:right w:w="108" w:type="dxa"/>
            </w:tcMar>
            <w:vAlign w:val="center"/>
          </w:tcPr>
          <w:p w14:paraId="5DA0FA55"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1/3</w:t>
            </w:r>
          </w:p>
        </w:tc>
        <w:tc>
          <w:tcPr>
            <w:tcW w:w="863" w:type="dxa"/>
            <w:shd w:val="clear" w:color="auto" w:fill="FFFFFF" w:themeFill="background1"/>
            <w:tcMar>
              <w:top w:w="0" w:type="dxa"/>
              <w:left w:w="108" w:type="dxa"/>
              <w:bottom w:w="0" w:type="dxa"/>
              <w:right w:w="108" w:type="dxa"/>
            </w:tcMar>
            <w:vAlign w:val="center"/>
          </w:tcPr>
          <w:p w14:paraId="03B07C81"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0,59%</w:t>
            </w:r>
          </w:p>
        </w:tc>
        <w:tc>
          <w:tcPr>
            <w:tcW w:w="551" w:type="dxa"/>
            <w:shd w:val="clear" w:color="auto" w:fill="FFFFFF" w:themeFill="background1"/>
            <w:tcMar>
              <w:top w:w="0" w:type="dxa"/>
              <w:left w:w="108" w:type="dxa"/>
              <w:bottom w:w="0" w:type="dxa"/>
              <w:right w:w="108" w:type="dxa"/>
            </w:tcMar>
            <w:vAlign w:val="center"/>
          </w:tcPr>
          <w:p w14:paraId="24A50A6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w:t>
            </w:r>
          </w:p>
        </w:tc>
        <w:tc>
          <w:tcPr>
            <w:tcW w:w="863" w:type="dxa"/>
            <w:shd w:val="clear" w:color="auto" w:fill="FFFFFF" w:themeFill="background1"/>
            <w:tcMar>
              <w:top w:w="0" w:type="dxa"/>
              <w:left w:w="108" w:type="dxa"/>
              <w:bottom w:w="0" w:type="dxa"/>
              <w:right w:w="108" w:type="dxa"/>
            </w:tcMar>
            <w:vAlign w:val="center"/>
          </w:tcPr>
          <w:p w14:paraId="6A8BD07A"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1,12%</w:t>
            </w:r>
          </w:p>
        </w:tc>
        <w:tc>
          <w:tcPr>
            <w:tcW w:w="695" w:type="dxa"/>
            <w:shd w:val="clear" w:color="auto" w:fill="FFFFFF" w:themeFill="background1"/>
            <w:tcMar>
              <w:top w:w="0" w:type="dxa"/>
              <w:left w:w="108" w:type="dxa"/>
              <w:bottom w:w="0" w:type="dxa"/>
              <w:right w:w="108" w:type="dxa"/>
            </w:tcMar>
            <w:vAlign w:val="center"/>
          </w:tcPr>
          <w:p w14:paraId="10C9BCBA"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1/2</w:t>
            </w:r>
          </w:p>
        </w:tc>
        <w:tc>
          <w:tcPr>
            <w:tcW w:w="989" w:type="dxa"/>
            <w:shd w:val="clear" w:color="auto" w:fill="FFFFFF" w:themeFill="background1"/>
            <w:tcMar>
              <w:top w:w="0" w:type="dxa"/>
              <w:left w:w="108" w:type="dxa"/>
              <w:bottom w:w="0" w:type="dxa"/>
              <w:right w:w="108" w:type="dxa"/>
            </w:tcMar>
            <w:vAlign w:val="center"/>
          </w:tcPr>
          <w:p w14:paraId="2659EE55"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1,12%</w:t>
            </w:r>
          </w:p>
        </w:tc>
        <w:tc>
          <w:tcPr>
            <w:tcW w:w="704" w:type="dxa"/>
            <w:shd w:val="clear" w:color="auto" w:fill="FFFFFF" w:themeFill="background1"/>
            <w:tcMar>
              <w:top w:w="0" w:type="dxa"/>
              <w:left w:w="108" w:type="dxa"/>
              <w:bottom w:w="0" w:type="dxa"/>
              <w:right w:w="108" w:type="dxa"/>
            </w:tcMar>
            <w:vAlign w:val="center"/>
          </w:tcPr>
          <w:p w14:paraId="631906A6"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5220EAFD"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14" w:type="dxa"/>
            <w:shd w:val="clear" w:color="auto" w:fill="FFFFFF" w:themeFill="background1"/>
            <w:tcMar>
              <w:top w:w="0" w:type="dxa"/>
              <w:left w:w="108" w:type="dxa"/>
              <w:bottom w:w="0" w:type="dxa"/>
              <w:right w:w="108" w:type="dxa"/>
            </w:tcMar>
            <w:vAlign w:val="center"/>
          </w:tcPr>
          <w:p w14:paraId="53E3E03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4</w:t>
            </w:r>
          </w:p>
        </w:tc>
        <w:tc>
          <w:tcPr>
            <w:tcW w:w="709" w:type="dxa"/>
            <w:shd w:val="clear" w:color="auto" w:fill="FFFFFF" w:themeFill="background1"/>
            <w:tcMar>
              <w:top w:w="0" w:type="dxa"/>
              <w:left w:w="108" w:type="dxa"/>
              <w:bottom w:w="0" w:type="dxa"/>
              <w:right w:w="108" w:type="dxa"/>
            </w:tcMar>
            <w:vAlign w:val="center"/>
          </w:tcPr>
          <w:p w14:paraId="681CDAC5"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6,14%</w:t>
            </w:r>
          </w:p>
        </w:tc>
        <w:tc>
          <w:tcPr>
            <w:tcW w:w="701" w:type="dxa"/>
            <w:shd w:val="clear" w:color="auto" w:fill="FFFFFF" w:themeFill="background1"/>
            <w:tcMar>
              <w:top w:w="0" w:type="dxa"/>
              <w:left w:w="108" w:type="dxa"/>
              <w:bottom w:w="0" w:type="dxa"/>
              <w:right w:w="108" w:type="dxa"/>
            </w:tcMar>
            <w:vAlign w:val="center"/>
          </w:tcPr>
          <w:p w14:paraId="3601940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8</w:t>
            </w:r>
          </w:p>
        </w:tc>
        <w:tc>
          <w:tcPr>
            <w:tcW w:w="863" w:type="dxa"/>
            <w:shd w:val="clear" w:color="auto" w:fill="FFFFFF" w:themeFill="background1"/>
            <w:tcMar>
              <w:top w:w="0" w:type="dxa"/>
              <w:left w:w="108" w:type="dxa"/>
              <w:bottom w:w="0" w:type="dxa"/>
              <w:right w:w="108" w:type="dxa"/>
            </w:tcMar>
            <w:vAlign w:val="center"/>
          </w:tcPr>
          <w:p w14:paraId="7598AFE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6,90%</w:t>
            </w:r>
          </w:p>
        </w:tc>
        <w:tc>
          <w:tcPr>
            <w:tcW w:w="704" w:type="dxa"/>
            <w:shd w:val="clear" w:color="auto" w:fill="FFFFFF" w:themeFill="background1"/>
            <w:tcMar>
              <w:top w:w="0" w:type="dxa"/>
              <w:left w:w="108" w:type="dxa"/>
              <w:bottom w:w="0" w:type="dxa"/>
              <w:right w:w="108" w:type="dxa"/>
            </w:tcMar>
            <w:vAlign w:val="center"/>
          </w:tcPr>
          <w:p w14:paraId="7DA1F9B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92" w:type="dxa"/>
            <w:shd w:val="clear" w:color="auto" w:fill="FFFFFF" w:themeFill="background1"/>
            <w:tcMar>
              <w:top w:w="0" w:type="dxa"/>
              <w:left w:w="108" w:type="dxa"/>
              <w:bottom w:w="0" w:type="dxa"/>
              <w:right w:w="108" w:type="dxa"/>
            </w:tcMar>
            <w:vAlign w:val="center"/>
          </w:tcPr>
          <w:p w14:paraId="49F549BA"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9" w:type="dxa"/>
            <w:shd w:val="clear" w:color="auto" w:fill="FFFFFF" w:themeFill="background1"/>
            <w:tcMar>
              <w:top w:w="0" w:type="dxa"/>
              <w:left w:w="108" w:type="dxa"/>
              <w:bottom w:w="0" w:type="dxa"/>
              <w:right w:w="108" w:type="dxa"/>
            </w:tcMar>
            <w:vAlign w:val="center"/>
          </w:tcPr>
          <w:p w14:paraId="621A4E9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1276" w:type="dxa"/>
            <w:shd w:val="clear" w:color="auto" w:fill="FFFFFF" w:themeFill="background1"/>
            <w:tcMar>
              <w:top w:w="0" w:type="dxa"/>
              <w:left w:w="108" w:type="dxa"/>
              <w:bottom w:w="0" w:type="dxa"/>
              <w:right w:w="108" w:type="dxa"/>
            </w:tcMar>
            <w:vAlign w:val="center"/>
          </w:tcPr>
          <w:p w14:paraId="2645F7E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r>
      <w:tr w:rsidR="00284822" w14:paraId="2A4596D2" w14:textId="77777777">
        <w:trPr>
          <w:trHeight w:val="510"/>
        </w:trPr>
        <w:tc>
          <w:tcPr>
            <w:tcW w:w="854" w:type="dxa"/>
            <w:shd w:val="clear" w:color="auto" w:fill="FFFFFF" w:themeFill="background1"/>
            <w:noWrap/>
            <w:tcMar>
              <w:top w:w="0" w:type="dxa"/>
              <w:left w:w="108" w:type="dxa"/>
              <w:bottom w:w="0" w:type="dxa"/>
              <w:right w:w="108" w:type="dxa"/>
            </w:tcMar>
            <w:vAlign w:val="center"/>
          </w:tcPr>
          <w:p w14:paraId="66612772" w14:textId="77777777" w:rsidR="00284822" w:rsidRDefault="00F77BF8" w:rsidP="00EC515D">
            <w:pPr>
              <w:spacing w:line="240" w:lineRule="auto"/>
              <w:rPr>
                <w:rFonts w:ascii="Rockwell" w:hAnsi="Rockwell"/>
                <w:bCs/>
                <w:color w:val="000000"/>
                <w:sz w:val="16"/>
                <w:szCs w:val="16"/>
              </w:rPr>
            </w:pPr>
            <w:r>
              <w:rPr>
                <w:rFonts w:ascii="Rockwell" w:hAnsi="Rockwell"/>
                <w:bCs/>
                <w:color w:val="000000"/>
                <w:sz w:val="16"/>
                <w:szCs w:val="16"/>
              </w:rPr>
              <w:t>51</w:t>
            </w:r>
          </w:p>
        </w:tc>
        <w:tc>
          <w:tcPr>
            <w:tcW w:w="1245" w:type="dxa"/>
            <w:shd w:val="clear" w:color="auto" w:fill="FFFFFF" w:themeFill="background1"/>
            <w:tcMar>
              <w:top w:w="0" w:type="dxa"/>
              <w:left w:w="108" w:type="dxa"/>
              <w:bottom w:w="0" w:type="dxa"/>
              <w:right w:w="108" w:type="dxa"/>
            </w:tcMar>
            <w:vAlign w:val="center"/>
          </w:tcPr>
          <w:p w14:paraId="38333920"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SENS</w:t>
            </w:r>
          </w:p>
        </w:tc>
        <w:tc>
          <w:tcPr>
            <w:tcW w:w="731" w:type="dxa"/>
            <w:shd w:val="clear" w:color="auto" w:fill="FFFFFF" w:themeFill="background1"/>
            <w:tcMar>
              <w:top w:w="0" w:type="dxa"/>
              <w:left w:w="108" w:type="dxa"/>
              <w:bottom w:w="0" w:type="dxa"/>
              <w:right w:w="108" w:type="dxa"/>
            </w:tcMar>
            <w:vAlign w:val="center"/>
          </w:tcPr>
          <w:p w14:paraId="20234C01"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w:t>
            </w:r>
          </w:p>
        </w:tc>
        <w:tc>
          <w:tcPr>
            <w:tcW w:w="863" w:type="dxa"/>
            <w:shd w:val="clear" w:color="auto" w:fill="FFFFFF" w:themeFill="background1"/>
            <w:tcMar>
              <w:top w:w="0" w:type="dxa"/>
              <w:left w:w="108" w:type="dxa"/>
              <w:bottom w:w="0" w:type="dxa"/>
              <w:right w:w="108" w:type="dxa"/>
            </w:tcMar>
            <w:vAlign w:val="center"/>
          </w:tcPr>
          <w:p w14:paraId="052791DE"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1,77%</w:t>
            </w:r>
          </w:p>
        </w:tc>
        <w:tc>
          <w:tcPr>
            <w:tcW w:w="551" w:type="dxa"/>
            <w:shd w:val="clear" w:color="auto" w:fill="FFFFFF" w:themeFill="background1"/>
            <w:tcMar>
              <w:top w:w="0" w:type="dxa"/>
              <w:left w:w="108" w:type="dxa"/>
              <w:bottom w:w="0" w:type="dxa"/>
              <w:right w:w="108" w:type="dxa"/>
            </w:tcMar>
            <w:vAlign w:val="center"/>
          </w:tcPr>
          <w:p w14:paraId="5A139A6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w:t>
            </w:r>
          </w:p>
        </w:tc>
        <w:tc>
          <w:tcPr>
            <w:tcW w:w="863" w:type="dxa"/>
            <w:shd w:val="clear" w:color="auto" w:fill="FFFFFF" w:themeFill="background1"/>
            <w:tcMar>
              <w:top w:w="0" w:type="dxa"/>
              <w:left w:w="108" w:type="dxa"/>
              <w:bottom w:w="0" w:type="dxa"/>
              <w:right w:w="108" w:type="dxa"/>
            </w:tcMar>
            <w:vAlign w:val="center"/>
          </w:tcPr>
          <w:p w14:paraId="3D1780CA"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1,12%</w:t>
            </w:r>
          </w:p>
        </w:tc>
        <w:tc>
          <w:tcPr>
            <w:tcW w:w="695" w:type="dxa"/>
            <w:shd w:val="clear" w:color="auto" w:fill="FFFFFF" w:themeFill="background1"/>
            <w:tcMar>
              <w:top w:w="0" w:type="dxa"/>
              <w:left w:w="108" w:type="dxa"/>
              <w:bottom w:w="0" w:type="dxa"/>
              <w:right w:w="108" w:type="dxa"/>
            </w:tcMar>
            <w:vAlign w:val="center"/>
          </w:tcPr>
          <w:p w14:paraId="49B4ACA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89" w:type="dxa"/>
            <w:shd w:val="clear" w:color="auto" w:fill="FFFFFF" w:themeFill="background1"/>
            <w:tcMar>
              <w:top w:w="0" w:type="dxa"/>
              <w:left w:w="108" w:type="dxa"/>
              <w:bottom w:w="0" w:type="dxa"/>
              <w:right w:w="108" w:type="dxa"/>
            </w:tcMar>
            <w:vAlign w:val="center"/>
          </w:tcPr>
          <w:p w14:paraId="334FA83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11F5B00F"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196FF40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14" w:type="dxa"/>
            <w:shd w:val="clear" w:color="auto" w:fill="FFFFFF" w:themeFill="background1"/>
            <w:tcMar>
              <w:top w:w="0" w:type="dxa"/>
              <w:left w:w="108" w:type="dxa"/>
              <w:bottom w:w="0" w:type="dxa"/>
              <w:right w:w="108" w:type="dxa"/>
            </w:tcMar>
            <w:vAlign w:val="center"/>
          </w:tcPr>
          <w:p w14:paraId="76F0D24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709" w:type="dxa"/>
            <w:shd w:val="clear" w:color="auto" w:fill="FFFFFF" w:themeFill="background1"/>
            <w:tcMar>
              <w:top w:w="0" w:type="dxa"/>
              <w:left w:w="108" w:type="dxa"/>
              <w:bottom w:w="0" w:type="dxa"/>
              <w:right w:w="108" w:type="dxa"/>
            </w:tcMar>
            <w:vAlign w:val="center"/>
          </w:tcPr>
          <w:p w14:paraId="0FC0010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1" w:type="dxa"/>
            <w:shd w:val="clear" w:color="auto" w:fill="FFFFFF" w:themeFill="background1"/>
            <w:tcMar>
              <w:top w:w="0" w:type="dxa"/>
              <w:left w:w="108" w:type="dxa"/>
              <w:bottom w:w="0" w:type="dxa"/>
              <w:right w:w="108" w:type="dxa"/>
            </w:tcMar>
            <w:vAlign w:val="center"/>
          </w:tcPr>
          <w:p w14:paraId="53F4408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5C5C9D3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680716F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92" w:type="dxa"/>
            <w:shd w:val="clear" w:color="auto" w:fill="FFFFFF" w:themeFill="background1"/>
            <w:tcMar>
              <w:top w:w="0" w:type="dxa"/>
              <w:left w:w="108" w:type="dxa"/>
              <w:bottom w:w="0" w:type="dxa"/>
              <w:right w:w="108" w:type="dxa"/>
            </w:tcMar>
            <w:vAlign w:val="center"/>
          </w:tcPr>
          <w:p w14:paraId="730934CE"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9" w:type="dxa"/>
            <w:shd w:val="clear" w:color="auto" w:fill="FFFFFF" w:themeFill="background1"/>
            <w:tcMar>
              <w:top w:w="0" w:type="dxa"/>
              <w:left w:w="108" w:type="dxa"/>
              <w:bottom w:w="0" w:type="dxa"/>
              <w:right w:w="108" w:type="dxa"/>
            </w:tcMar>
            <w:vAlign w:val="center"/>
          </w:tcPr>
          <w:p w14:paraId="433BC7AF"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1276" w:type="dxa"/>
            <w:shd w:val="clear" w:color="auto" w:fill="FFFFFF" w:themeFill="background1"/>
            <w:tcMar>
              <w:top w:w="0" w:type="dxa"/>
              <w:left w:w="108" w:type="dxa"/>
              <w:bottom w:w="0" w:type="dxa"/>
              <w:right w:w="108" w:type="dxa"/>
            </w:tcMar>
            <w:vAlign w:val="center"/>
          </w:tcPr>
          <w:p w14:paraId="6768605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r>
      <w:tr w:rsidR="00284822" w14:paraId="32D5053B" w14:textId="77777777">
        <w:trPr>
          <w:trHeight w:val="510"/>
        </w:trPr>
        <w:tc>
          <w:tcPr>
            <w:tcW w:w="854" w:type="dxa"/>
            <w:shd w:val="clear" w:color="auto" w:fill="FFFFFF" w:themeFill="background1"/>
            <w:noWrap/>
            <w:tcMar>
              <w:top w:w="0" w:type="dxa"/>
              <w:left w:w="108" w:type="dxa"/>
              <w:bottom w:w="0" w:type="dxa"/>
              <w:right w:w="108" w:type="dxa"/>
            </w:tcMar>
            <w:vAlign w:val="center"/>
          </w:tcPr>
          <w:p w14:paraId="4AB7B142" w14:textId="77777777" w:rsidR="00284822" w:rsidRDefault="00F77BF8" w:rsidP="00EC515D">
            <w:pPr>
              <w:spacing w:line="240" w:lineRule="auto"/>
              <w:rPr>
                <w:rFonts w:ascii="Rockwell" w:hAnsi="Rockwell"/>
                <w:bCs/>
                <w:color w:val="000000"/>
                <w:sz w:val="16"/>
                <w:szCs w:val="16"/>
              </w:rPr>
            </w:pPr>
            <w:r>
              <w:rPr>
                <w:rFonts w:ascii="Rockwell" w:hAnsi="Rockwell"/>
                <w:bCs/>
                <w:color w:val="000000"/>
                <w:sz w:val="16"/>
                <w:szCs w:val="16"/>
              </w:rPr>
              <w:t>52</w:t>
            </w:r>
          </w:p>
        </w:tc>
        <w:tc>
          <w:tcPr>
            <w:tcW w:w="1245" w:type="dxa"/>
            <w:shd w:val="clear" w:color="auto" w:fill="FFFFFF" w:themeFill="background1"/>
            <w:tcMar>
              <w:top w:w="0" w:type="dxa"/>
              <w:left w:w="108" w:type="dxa"/>
              <w:bottom w:w="0" w:type="dxa"/>
              <w:right w:w="108" w:type="dxa"/>
            </w:tcMar>
            <w:vAlign w:val="center"/>
          </w:tcPr>
          <w:p w14:paraId="041808F2"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SOCL</w:t>
            </w:r>
          </w:p>
        </w:tc>
        <w:tc>
          <w:tcPr>
            <w:tcW w:w="731" w:type="dxa"/>
            <w:shd w:val="clear" w:color="auto" w:fill="FFFFFF" w:themeFill="background1"/>
            <w:tcMar>
              <w:top w:w="0" w:type="dxa"/>
              <w:left w:w="108" w:type="dxa"/>
              <w:bottom w:w="0" w:type="dxa"/>
              <w:right w:w="108" w:type="dxa"/>
            </w:tcMar>
            <w:vAlign w:val="center"/>
          </w:tcPr>
          <w:p w14:paraId="291BE8D5"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2EC000B5"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551" w:type="dxa"/>
            <w:shd w:val="clear" w:color="auto" w:fill="FFFFFF" w:themeFill="background1"/>
            <w:tcMar>
              <w:top w:w="0" w:type="dxa"/>
              <w:left w:w="108" w:type="dxa"/>
              <w:bottom w:w="0" w:type="dxa"/>
              <w:right w:w="108" w:type="dxa"/>
            </w:tcMar>
            <w:vAlign w:val="center"/>
          </w:tcPr>
          <w:p w14:paraId="16E7E49E"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593A321A"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695" w:type="dxa"/>
            <w:shd w:val="clear" w:color="auto" w:fill="FFFFFF" w:themeFill="background1"/>
            <w:tcMar>
              <w:top w:w="0" w:type="dxa"/>
              <w:left w:w="108" w:type="dxa"/>
              <w:bottom w:w="0" w:type="dxa"/>
              <w:right w:w="108" w:type="dxa"/>
            </w:tcMar>
            <w:vAlign w:val="center"/>
          </w:tcPr>
          <w:p w14:paraId="28A0EBD5"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89" w:type="dxa"/>
            <w:shd w:val="clear" w:color="auto" w:fill="FFFFFF" w:themeFill="background1"/>
            <w:tcMar>
              <w:top w:w="0" w:type="dxa"/>
              <w:left w:w="108" w:type="dxa"/>
              <w:bottom w:w="0" w:type="dxa"/>
              <w:right w:w="108" w:type="dxa"/>
            </w:tcMar>
            <w:vAlign w:val="center"/>
          </w:tcPr>
          <w:p w14:paraId="408422C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2837AC7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7AE078E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14" w:type="dxa"/>
            <w:shd w:val="clear" w:color="auto" w:fill="FFFFFF" w:themeFill="background1"/>
            <w:tcMar>
              <w:top w:w="0" w:type="dxa"/>
              <w:left w:w="108" w:type="dxa"/>
              <w:bottom w:w="0" w:type="dxa"/>
              <w:right w:w="108" w:type="dxa"/>
            </w:tcMar>
            <w:vAlign w:val="center"/>
          </w:tcPr>
          <w:p w14:paraId="108BBCD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709" w:type="dxa"/>
            <w:shd w:val="clear" w:color="auto" w:fill="FFFFFF" w:themeFill="background1"/>
            <w:tcMar>
              <w:top w:w="0" w:type="dxa"/>
              <w:left w:w="108" w:type="dxa"/>
              <w:bottom w:w="0" w:type="dxa"/>
              <w:right w:w="108" w:type="dxa"/>
            </w:tcMar>
            <w:vAlign w:val="center"/>
          </w:tcPr>
          <w:p w14:paraId="5BD86C7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1" w:type="dxa"/>
            <w:shd w:val="clear" w:color="auto" w:fill="FFFFFF" w:themeFill="background1"/>
            <w:tcMar>
              <w:top w:w="0" w:type="dxa"/>
              <w:left w:w="108" w:type="dxa"/>
              <w:bottom w:w="0" w:type="dxa"/>
              <w:right w:w="108" w:type="dxa"/>
            </w:tcMar>
            <w:vAlign w:val="center"/>
          </w:tcPr>
          <w:p w14:paraId="18C6858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12FC38A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7116E8A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92" w:type="dxa"/>
            <w:shd w:val="clear" w:color="auto" w:fill="FFFFFF" w:themeFill="background1"/>
            <w:tcMar>
              <w:top w:w="0" w:type="dxa"/>
              <w:left w:w="108" w:type="dxa"/>
              <w:bottom w:w="0" w:type="dxa"/>
              <w:right w:w="108" w:type="dxa"/>
            </w:tcMar>
            <w:vAlign w:val="center"/>
          </w:tcPr>
          <w:p w14:paraId="16E894D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9" w:type="dxa"/>
            <w:shd w:val="clear" w:color="auto" w:fill="FFFFFF" w:themeFill="background1"/>
            <w:tcMar>
              <w:top w:w="0" w:type="dxa"/>
              <w:left w:w="108" w:type="dxa"/>
              <w:bottom w:w="0" w:type="dxa"/>
              <w:right w:w="108" w:type="dxa"/>
            </w:tcMar>
            <w:vAlign w:val="center"/>
          </w:tcPr>
          <w:p w14:paraId="73A359F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1276" w:type="dxa"/>
            <w:shd w:val="clear" w:color="auto" w:fill="FFFFFF" w:themeFill="background1"/>
            <w:tcMar>
              <w:top w:w="0" w:type="dxa"/>
              <w:left w:w="108" w:type="dxa"/>
              <w:bottom w:w="0" w:type="dxa"/>
              <w:right w:w="108" w:type="dxa"/>
            </w:tcMar>
            <w:vAlign w:val="center"/>
          </w:tcPr>
          <w:p w14:paraId="5CBF52B6"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r>
      <w:tr w:rsidR="00284822" w14:paraId="075CA320" w14:textId="77777777">
        <w:trPr>
          <w:trHeight w:val="510"/>
        </w:trPr>
        <w:tc>
          <w:tcPr>
            <w:tcW w:w="854" w:type="dxa"/>
            <w:shd w:val="clear" w:color="auto" w:fill="FFFFFF" w:themeFill="background1"/>
            <w:noWrap/>
            <w:tcMar>
              <w:top w:w="0" w:type="dxa"/>
              <w:left w:w="108" w:type="dxa"/>
              <w:bottom w:w="0" w:type="dxa"/>
              <w:right w:w="108" w:type="dxa"/>
            </w:tcMar>
            <w:vAlign w:val="center"/>
          </w:tcPr>
          <w:p w14:paraId="31367E9A" w14:textId="77777777" w:rsidR="00284822" w:rsidRDefault="00F77BF8" w:rsidP="00EC515D">
            <w:pPr>
              <w:spacing w:line="240" w:lineRule="auto"/>
              <w:rPr>
                <w:rFonts w:ascii="Rockwell" w:hAnsi="Rockwell"/>
                <w:bCs/>
                <w:color w:val="000000"/>
                <w:sz w:val="16"/>
                <w:szCs w:val="16"/>
              </w:rPr>
            </w:pPr>
            <w:r>
              <w:rPr>
                <w:rFonts w:ascii="Rockwell" w:hAnsi="Rockwell"/>
                <w:bCs/>
                <w:color w:val="000000"/>
                <w:sz w:val="16"/>
                <w:szCs w:val="16"/>
              </w:rPr>
              <w:t>53</w:t>
            </w:r>
          </w:p>
        </w:tc>
        <w:tc>
          <w:tcPr>
            <w:tcW w:w="1245" w:type="dxa"/>
            <w:shd w:val="clear" w:color="auto" w:fill="FFFFFF" w:themeFill="background1"/>
            <w:tcMar>
              <w:top w:w="0" w:type="dxa"/>
              <w:left w:w="108" w:type="dxa"/>
              <w:bottom w:w="0" w:type="dxa"/>
              <w:right w:w="108" w:type="dxa"/>
            </w:tcMar>
            <w:vAlign w:val="center"/>
          </w:tcPr>
          <w:p w14:paraId="12A3AF71"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UDB/R</w:t>
            </w:r>
          </w:p>
        </w:tc>
        <w:tc>
          <w:tcPr>
            <w:tcW w:w="731" w:type="dxa"/>
            <w:shd w:val="clear" w:color="auto" w:fill="FFFFFF" w:themeFill="background1"/>
            <w:tcMar>
              <w:top w:w="0" w:type="dxa"/>
              <w:left w:w="108" w:type="dxa"/>
              <w:bottom w:w="0" w:type="dxa"/>
              <w:right w:w="108" w:type="dxa"/>
            </w:tcMar>
            <w:vAlign w:val="center"/>
          </w:tcPr>
          <w:p w14:paraId="2C8E3F3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681B1D0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551" w:type="dxa"/>
            <w:shd w:val="clear" w:color="auto" w:fill="FFFFFF" w:themeFill="background1"/>
            <w:tcMar>
              <w:top w:w="0" w:type="dxa"/>
              <w:left w:w="108" w:type="dxa"/>
              <w:bottom w:w="0" w:type="dxa"/>
              <w:right w:w="108" w:type="dxa"/>
            </w:tcMar>
            <w:vAlign w:val="center"/>
          </w:tcPr>
          <w:p w14:paraId="73359AC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6A7F2964"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695" w:type="dxa"/>
            <w:shd w:val="clear" w:color="auto" w:fill="FFFFFF" w:themeFill="background1"/>
            <w:tcMar>
              <w:top w:w="0" w:type="dxa"/>
              <w:left w:w="108" w:type="dxa"/>
              <w:bottom w:w="0" w:type="dxa"/>
              <w:right w:w="108" w:type="dxa"/>
            </w:tcMar>
            <w:vAlign w:val="center"/>
          </w:tcPr>
          <w:p w14:paraId="2B63D99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89" w:type="dxa"/>
            <w:shd w:val="clear" w:color="auto" w:fill="FFFFFF" w:themeFill="background1"/>
            <w:tcMar>
              <w:top w:w="0" w:type="dxa"/>
              <w:left w:w="108" w:type="dxa"/>
              <w:bottom w:w="0" w:type="dxa"/>
              <w:right w:w="108" w:type="dxa"/>
            </w:tcMar>
            <w:vAlign w:val="center"/>
          </w:tcPr>
          <w:p w14:paraId="309F3DCA"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6812303E"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1CD1ADC4"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14" w:type="dxa"/>
            <w:shd w:val="clear" w:color="auto" w:fill="FFFFFF" w:themeFill="background1"/>
            <w:tcMar>
              <w:top w:w="0" w:type="dxa"/>
              <w:left w:w="108" w:type="dxa"/>
              <w:bottom w:w="0" w:type="dxa"/>
              <w:right w:w="108" w:type="dxa"/>
            </w:tcMar>
            <w:vAlign w:val="center"/>
          </w:tcPr>
          <w:p w14:paraId="3303F99E"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709" w:type="dxa"/>
            <w:shd w:val="clear" w:color="auto" w:fill="FFFFFF" w:themeFill="background1"/>
            <w:tcMar>
              <w:top w:w="0" w:type="dxa"/>
              <w:left w:w="108" w:type="dxa"/>
              <w:bottom w:w="0" w:type="dxa"/>
              <w:right w:w="108" w:type="dxa"/>
            </w:tcMar>
            <w:vAlign w:val="center"/>
          </w:tcPr>
          <w:p w14:paraId="3A8BEBD4"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1" w:type="dxa"/>
            <w:shd w:val="clear" w:color="auto" w:fill="FFFFFF" w:themeFill="background1"/>
            <w:tcMar>
              <w:top w:w="0" w:type="dxa"/>
              <w:left w:w="108" w:type="dxa"/>
              <w:bottom w:w="0" w:type="dxa"/>
              <w:right w:w="108" w:type="dxa"/>
            </w:tcMar>
            <w:vAlign w:val="center"/>
          </w:tcPr>
          <w:p w14:paraId="24E2FE2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333D0BB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47F7346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92" w:type="dxa"/>
            <w:shd w:val="clear" w:color="auto" w:fill="FFFFFF" w:themeFill="background1"/>
            <w:tcMar>
              <w:top w:w="0" w:type="dxa"/>
              <w:left w:w="108" w:type="dxa"/>
              <w:bottom w:w="0" w:type="dxa"/>
              <w:right w:w="108" w:type="dxa"/>
            </w:tcMar>
            <w:vAlign w:val="center"/>
          </w:tcPr>
          <w:p w14:paraId="71A189B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9" w:type="dxa"/>
            <w:shd w:val="clear" w:color="auto" w:fill="FFFFFF" w:themeFill="background1"/>
            <w:tcMar>
              <w:top w:w="0" w:type="dxa"/>
              <w:left w:w="108" w:type="dxa"/>
              <w:bottom w:w="0" w:type="dxa"/>
              <w:right w:w="108" w:type="dxa"/>
            </w:tcMar>
            <w:vAlign w:val="center"/>
          </w:tcPr>
          <w:p w14:paraId="5D2C08F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1276" w:type="dxa"/>
            <w:shd w:val="clear" w:color="auto" w:fill="FFFFFF" w:themeFill="background1"/>
            <w:tcMar>
              <w:top w:w="0" w:type="dxa"/>
              <w:left w:w="108" w:type="dxa"/>
              <w:bottom w:w="0" w:type="dxa"/>
              <w:right w:w="108" w:type="dxa"/>
            </w:tcMar>
            <w:vAlign w:val="center"/>
          </w:tcPr>
          <w:p w14:paraId="7D60D87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r>
      <w:tr w:rsidR="00284822" w14:paraId="01B9842D" w14:textId="77777777">
        <w:trPr>
          <w:trHeight w:val="454"/>
        </w:trPr>
        <w:tc>
          <w:tcPr>
            <w:tcW w:w="854" w:type="dxa"/>
            <w:shd w:val="clear" w:color="auto" w:fill="FFFFFF" w:themeFill="background1"/>
            <w:noWrap/>
            <w:tcMar>
              <w:top w:w="0" w:type="dxa"/>
              <w:left w:w="108" w:type="dxa"/>
              <w:bottom w:w="0" w:type="dxa"/>
              <w:right w:w="108" w:type="dxa"/>
            </w:tcMar>
            <w:vAlign w:val="center"/>
          </w:tcPr>
          <w:p w14:paraId="07EAB31B" w14:textId="77777777" w:rsidR="00284822" w:rsidRDefault="00F77BF8" w:rsidP="00EC515D">
            <w:pPr>
              <w:spacing w:line="240" w:lineRule="auto"/>
              <w:rPr>
                <w:rFonts w:ascii="Rockwell" w:hAnsi="Rockwell"/>
                <w:bCs/>
                <w:color w:val="000000"/>
                <w:sz w:val="16"/>
                <w:szCs w:val="16"/>
              </w:rPr>
            </w:pPr>
            <w:r>
              <w:rPr>
                <w:rFonts w:ascii="Rockwell" w:hAnsi="Rockwell"/>
                <w:bCs/>
                <w:color w:val="000000"/>
                <w:sz w:val="16"/>
                <w:szCs w:val="16"/>
              </w:rPr>
              <w:t>54</w:t>
            </w:r>
          </w:p>
        </w:tc>
        <w:tc>
          <w:tcPr>
            <w:tcW w:w="1245" w:type="dxa"/>
            <w:shd w:val="clear" w:color="auto" w:fill="FFFFFF" w:themeFill="background1"/>
            <w:tcMar>
              <w:top w:w="0" w:type="dxa"/>
              <w:left w:w="108" w:type="dxa"/>
              <w:bottom w:w="0" w:type="dxa"/>
              <w:right w:w="108" w:type="dxa"/>
            </w:tcMar>
            <w:vAlign w:val="center"/>
          </w:tcPr>
          <w:p w14:paraId="51E5DA4A"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UFP</w:t>
            </w:r>
          </w:p>
        </w:tc>
        <w:tc>
          <w:tcPr>
            <w:tcW w:w="731" w:type="dxa"/>
            <w:shd w:val="clear" w:color="auto" w:fill="FFFFFF" w:themeFill="background1"/>
            <w:tcMar>
              <w:top w:w="0" w:type="dxa"/>
              <w:left w:w="108" w:type="dxa"/>
              <w:bottom w:w="0" w:type="dxa"/>
              <w:right w:w="108" w:type="dxa"/>
            </w:tcMar>
            <w:vAlign w:val="center"/>
          </w:tcPr>
          <w:p w14:paraId="79F42DA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2788920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551" w:type="dxa"/>
            <w:shd w:val="clear" w:color="auto" w:fill="FFFFFF" w:themeFill="background1"/>
            <w:tcMar>
              <w:top w:w="0" w:type="dxa"/>
              <w:left w:w="108" w:type="dxa"/>
              <w:bottom w:w="0" w:type="dxa"/>
              <w:right w:w="108" w:type="dxa"/>
            </w:tcMar>
            <w:vAlign w:val="center"/>
          </w:tcPr>
          <w:p w14:paraId="3D55C92A"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1F132ED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695" w:type="dxa"/>
            <w:shd w:val="clear" w:color="auto" w:fill="FFFFFF" w:themeFill="background1"/>
            <w:tcMar>
              <w:top w:w="0" w:type="dxa"/>
              <w:left w:w="108" w:type="dxa"/>
              <w:bottom w:w="0" w:type="dxa"/>
              <w:right w:w="108" w:type="dxa"/>
            </w:tcMar>
            <w:vAlign w:val="center"/>
          </w:tcPr>
          <w:p w14:paraId="3DF7EA9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89" w:type="dxa"/>
            <w:shd w:val="clear" w:color="auto" w:fill="FFFFFF" w:themeFill="background1"/>
            <w:tcMar>
              <w:top w:w="0" w:type="dxa"/>
              <w:left w:w="108" w:type="dxa"/>
              <w:bottom w:w="0" w:type="dxa"/>
              <w:right w:w="108" w:type="dxa"/>
            </w:tcMar>
            <w:vAlign w:val="center"/>
          </w:tcPr>
          <w:p w14:paraId="6AF01E9D"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18D352DE"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7E1EBC6D"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14" w:type="dxa"/>
            <w:shd w:val="clear" w:color="auto" w:fill="FFFFFF" w:themeFill="background1"/>
            <w:tcMar>
              <w:top w:w="0" w:type="dxa"/>
              <w:left w:w="108" w:type="dxa"/>
              <w:bottom w:w="0" w:type="dxa"/>
              <w:right w:w="108" w:type="dxa"/>
            </w:tcMar>
            <w:vAlign w:val="center"/>
          </w:tcPr>
          <w:p w14:paraId="7C2FA11F"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709" w:type="dxa"/>
            <w:shd w:val="clear" w:color="auto" w:fill="FFFFFF" w:themeFill="background1"/>
            <w:tcMar>
              <w:top w:w="0" w:type="dxa"/>
              <w:left w:w="108" w:type="dxa"/>
              <w:bottom w:w="0" w:type="dxa"/>
              <w:right w:w="108" w:type="dxa"/>
            </w:tcMar>
            <w:vAlign w:val="center"/>
          </w:tcPr>
          <w:p w14:paraId="4A452875"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1" w:type="dxa"/>
            <w:shd w:val="clear" w:color="auto" w:fill="FFFFFF" w:themeFill="background1"/>
            <w:tcMar>
              <w:top w:w="0" w:type="dxa"/>
              <w:left w:w="108" w:type="dxa"/>
              <w:bottom w:w="0" w:type="dxa"/>
              <w:right w:w="108" w:type="dxa"/>
            </w:tcMar>
            <w:vAlign w:val="center"/>
          </w:tcPr>
          <w:p w14:paraId="5A2DF6A1"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305B6E6F"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4" w:type="dxa"/>
            <w:shd w:val="clear" w:color="auto" w:fill="FFFFFF" w:themeFill="background1"/>
            <w:tcMar>
              <w:top w:w="0" w:type="dxa"/>
              <w:left w:w="108" w:type="dxa"/>
              <w:bottom w:w="0" w:type="dxa"/>
              <w:right w:w="108" w:type="dxa"/>
            </w:tcMar>
            <w:vAlign w:val="center"/>
          </w:tcPr>
          <w:p w14:paraId="3EA85A0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1/3</w:t>
            </w:r>
          </w:p>
        </w:tc>
        <w:tc>
          <w:tcPr>
            <w:tcW w:w="992" w:type="dxa"/>
            <w:shd w:val="clear" w:color="auto" w:fill="FFFFFF" w:themeFill="background1"/>
            <w:tcMar>
              <w:top w:w="0" w:type="dxa"/>
              <w:left w:w="108" w:type="dxa"/>
              <w:bottom w:w="0" w:type="dxa"/>
              <w:right w:w="108" w:type="dxa"/>
            </w:tcMar>
            <w:vAlign w:val="center"/>
          </w:tcPr>
          <w:p w14:paraId="5B92F09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1,05%</w:t>
            </w:r>
          </w:p>
        </w:tc>
        <w:tc>
          <w:tcPr>
            <w:tcW w:w="709" w:type="dxa"/>
            <w:shd w:val="clear" w:color="auto" w:fill="FFFFFF" w:themeFill="background1"/>
            <w:tcMar>
              <w:top w:w="0" w:type="dxa"/>
              <w:left w:w="108" w:type="dxa"/>
              <w:bottom w:w="0" w:type="dxa"/>
              <w:right w:w="108" w:type="dxa"/>
            </w:tcMar>
            <w:vAlign w:val="center"/>
          </w:tcPr>
          <w:p w14:paraId="2F24010F"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1276" w:type="dxa"/>
            <w:shd w:val="clear" w:color="auto" w:fill="FFFFFF" w:themeFill="background1"/>
            <w:tcMar>
              <w:top w:w="0" w:type="dxa"/>
              <w:left w:w="108" w:type="dxa"/>
              <w:bottom w:w="0" w:type="dxa"/>
              <w:right w:w="108" w:type="dxa"/>
            </w:tcMar>
            <w:vAlign w:val="center"/>
          </w:tcPr>
          <w:p w14:paraId="1349652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r>
      <w:tr w:rsidR="00284822" w14:paraId="0157B11A" w14:textId="77777777">
        <w:trPr>
          <w:trHeight w:val="454"/>
        </w:trPr>
        <w:tc>
          <w:tcPr>
            <w:tcW w:w="854" w:type="dxa"/>
            <w:shd w:val="clear" w:color="auto" w:fill="FFFFFF" w:themeFill="background1"/>
            <w:noWrap/>
            <w:tcMar>
              <w:top w:w="0" w:type="dxa"/>
              <w:left w:w="108" w:type="dxa"/>
              <w:bottom w:w="0" w:type="dxa"/>
              <w:right w:w="108" w:type="dxa"/>
            </w:tcMar>
            <w:vAlign w:val="center"/>
          </w:tcPr>
          <w:p w14:paraId="45105603" w14:textId="77777777" w:rsidR="00284822" w:rsidRDefault="00F77BF8" w:rsidP="00EC515D">
            <w:pPr>
              <w:spacing w:line="240" w:lineRule="auto"/>
              <w:rPr>
                <w:rFonts w:ascii="Rockwell" w:hAnsi="Rockwell"/>
                <w:bCs/>
                <w:color w:val="000000"/>
                <w:sz w:val="16"/>
                <w:szCs w:val="16"/>
              </w:rPr>
            </w:pPr>
            <w:r>
              <w:rPr>
                <w:rFonts w:ascii="Rockwell" w:hAnsi="Rockwell"/>
                <w:bCs/>
                <w:color w:val="000000"/>
                <w:sz w:val="16"/>
                <w:szCs w:val="16"/>
              </w:rPr>
              <w:t>55</w:t>
            </w:r>
          </w:p>
        </w:tc>
        <w:tc>
          <w:tcPr>
            <w:tcW w:w="1245" w:type="dxa"/>
            <w:shd w:val="clear" w:color="auto" w:fill="FFFFFF" w:themeFill="background1"/>
            <w:tcMar>
              <w:top w:w="0" w:type="dxa"/>
              <w:left w:w="108" w:type="dxa"/>
              <w:bottom w:w="0" w:type="dxa"/>
              <w:right w:w="108" w:type="dxa"/>
            </w:tcMar>
            <w:vAlign w:val="center"/>
          </w:tcPr>
          <w:p w14:paraId="1EC09C9E"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UNDD</w:t>
            </w:r>
          </w:p>
        </w:tc>
        <w:tc>
          <w:tcPr>
            <w:tcW w:w="731" w:type="dxa"/>
            <w:shd w:val="clear" w:color="auto" w:fill="FFFFFF" w:themeFill="background1"/>
            <w:tcMar>
              <w:top w:w="0" w:type="dxa"/>
              <w:left w:w="108" w:type="dxa"/>
              <w:bottom w:w="0" w:type="dxa"/>
              <w:right w:w="108" w:type="dxa"/>
            </w:tcMar>
            <w:vAlign w:val="center"/>
          </w:tcPr>
          <w:p w14:paraId="5E45169D"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w:t>
            </w:r>
          </w:p>
        </w:tc>
        <w:tc>
          <w:tcPr>
            <w:tcW w:w="863" w:type="dxa"/>
            <w:shd w:val="clear" w:color="auto" w:fill="FFFFFF" w:themeFill="background1"/>
            <w:tcMar>
              <w:top w:w="0" w:type="dxa"/>
              <w:left w:w="108" w:type="dxa"/>
              <w:bottom w:w="0" w:type="dxa"/>
              <w:right w:w="108" w:type="dxa"/>
            </w:tcMar>
            <w:vAlign w:val="center"/>
          </w:tcPr>
          <w:p w14:paraId="1B816E3D"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3,54%</w:t>
            </w:r>
          </w:p>
        </w:tc>
        <w:tc>
          <w:tcPr>
            <w:tcW w:w="551" w:type="dxa"/>
            <w:shd w:val="clear" w:color="auto" w:fill="FFFFFF" w:themeFill="background1"/>
            <w:tcMar>
              <w:top w:w="0" w:type="dxa"/>
              <w:left w:w="108" w:type="dxa"/>
              <w:bottom w:w="0" w:type="dxa"/>
              <w:right w:w="108" w:type="dxa"/>
            </w:tcMar>
            <w:vAlign w:val="center"/>
          </w:tcPr>
          <w:p w14:paraId="4F6ECE8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w:t>
            </w:r>
          </w:p>
        </w:tc>
        <w:tc>
          <w:tcPr>
            <w:tcW w:w="863" w:type="dxa"/>
            <w:shd w:val="clear" w:color="auto" w:fill="FFFFFF" w:themeFill="background1"/>
            <w:tcMar>
              <w:top w:w="0" w:type="dxa"/>
              <w:left w:w="108" w:type="dxa"/>
              <w:bottom w:w="0" w:type="dxa"/>
              <w:right w:w="108" w:type="dxa"/>
            </w:tcMar>
            <w:vAlign w:val="center"/>
          </w:tcPr>
          <w:p w14:paraId="68F63655"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2,25%</w:t>
            </w:r>
          </w:p>
        </w:tc>
        <w:tc>
          <w:tcPr>
            <w:tcW w:w="695" w:type="dxa"/>
            <w:shd w:val="clear" w:color="auto" w:fill="FFFFFF" w:themeFill="background1"/>
            <w:tcMar>
              <w:top w:w="0" w:type="dxa"/>
              <w:left w:w="108" w:type="dxa"/>
              <w:bottom w:w="0" w:type="dxa"/>
              <w:right w:w="108" w:type="dxa"/>
            </w:tcMar>
            <w:vAlign w:val="center"/>
          </w:tcPr>
          <w:p w14:paraId="488F4F8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 1/2</w:t>
            </w:r>
          </w:p>
        </w:tc>
        <w:tc>
          <w:tcPr>
            <w:tcW w:w="989" w:type="dxa"/>
            <w:shd w:val="clear" w:color="auto" w:fill="FFFFFF" w:themeFill="background1"/>
            <w:tcMar>
              <w:top w:w="0" w:type="dxa"/>
              <w:left w:w="108" w:type="dxa"/>
              <w:bottom w:w="0" w:type="dxa"/>
              <w:right w:w="108" w:type="dxa"/>
            </w:tcMar>
            <w:vAlign w:val="center"/>
          </w:tcPr>
          <w:p w14:paraId="3CEB5A3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3,37%</w:t>
            </w:r>
          </w:p>
        </w:tc>
        <w:tc>
          <w:tcPr>
            <w:tcW w:w="704" w:type="dxa"/>
            <w:shd w:val="clear" w:color="auto" w:fill="FFFFFF" w:themeFill="background1"/>
            <w:tcMar>
              <w:top w:w="0" w:type="dxa"/>
              <w:left w:w="108" w:type="dxa"/>
              <w:bottom w:w="0" w:type="dxa"/>
              <w:right w:w="108" w:type="dxa"/>
            </w:tcMar>
            <w:vAlign w:val="center"/>
          </w:tcPr>
          <w:p w14:paraId="2BF0DE34"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3</w:t>
            </w:r>
          </w:p>
        </w:tc>
        <w:tc>
          <w:tcPr>
            <w:tcW w:w="863" w:type="dxa"/>
            <w:shd w:val="clear" w:color="auto" w:fill="FFFFFF" w:themeFill="background1"/>
            <w:tcMar>
              <w:top w:w="0" w:type="dxa"/>
              <w:left w:w="108" w:type="dxa"/>
              <w:bottom w:w="0" w:type="dxa"/>
              <w:right w:w="108" w:type="dxa"/>
            </w:tcMar>
            <w:vAlign w:val="center"/>
          </w:tcPr>
          <w:p w14:paraId="52892BC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3,53%</w:t>
            </w:r>
          </w:p>
        </w:tc>
        <w:tc>
          <w:tcPr>
            <w:tcW w:w="714" w:type="dxa"/>
            <w:shd w:val="clear" w:color="auto" w:fill="FFFFFF" w:themeFill="background1"/>
            <w:tcMar>
              <w:top w:w="0" w:type="dxa"/>
              <w:left w:w="108" w:type="dxa"/>
              <w:bottom w:w="0" w:type="dxa"/>
              <w:right w:w="108" w:type="dxa"/>
            </w:tcMar>
            <w:vAlign w:val="center"/>
          </w:tcPr>
          <w:p w14:paraId="73618F04"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w:t>
            </w:r>
          </w:p>
        </w:tc>
        <w:tc>
          <w:tcPr>
            <w:tcW w:w="709" w:type="dxa"/>
            <w:shd w:val="clear" w:color="auto" w:fill="FFFFFF" w:themeFill="background1"/>
            <w:tcMar>
              <w:top w:w="0" w:type="dxa"/>
              <w:left w:w="108" w:type="dxa"/>
              <w:bottom w:w="0" w:type="dxa"/>
              <w:right w:w="108" w:type="dxa"/>
            </w:tcMar>
            <w:vAlign w:val="center"/>
          </w:tcPr>
          <w:p w14:paraId="00B873D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3,07%</w:t>
            </w:r>
          </w:p>
        </w:tc>
        <w:tc>
          <w:tcPr>
            <w:tcW w:w="701" w:type="dxa"/>
            <w:shd w:val="clear" w:color="auto" w:fill="FFFFFF" w:themeFill="background1"/>
            <w:tcMar>
              <w:top w:w="0" w:type="dxa"/>
              <w:left w:w="108" w:type="dxa"/>
              <w:bottom w:w="0" w:type="dxa"/>
              <w:right w:w="108" w:type="dxa"/>
            </w:tcMar>
            <w:vAlign w:val="center"/>
          </w:tcPr>
          <w:p w14:paraId="3F41658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6</w:t>
            </w:r>
          </w:p>
        </w:tc>
        <w:tc>
          <w:tcPr>
            <w:tcW w:w="863" w:type="dxa"/>
            <w:shd w:val="clear" w:color="auto" w:fill="FFFFFF" w:themeFill="background1"/>
            <w:tcMar>
              <w:top w:w="0" w:type="dxa"/>
              <w:left w:w="108" w:type="dxa"/>
              <w:bottom w:w="0" w:type="dxa"/>
              <w:right w:w="108" w:type="dxa"/>
            </w:tcMar>
            <w:vAlign w:val="center"/>
          </w:tcPr>
          <w:p w14:paraId="4AE01AF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5,17%</w:t>
            </w:r>
          </w:p>
        </w:tc>
        <w:tc>
          <w:tcPr>
            <w:tcW w:w="704" w:type="dxa"/>
            <w:shd w:val="clear" w:color="auto" w:fill="FFFFFF" w:themeFill="background1"/>
            <w:tcMar>
              <w:top w:w="0" w:type="dxa"/>
              <w:left w:w="108" w:type="dxa"/>
              <w:bottom w:w="0" w:type="dxa"/>
              <w:right w:w="108" w:type="dxa"/>
            </w:tcMar>
            <w:vAlign w:val="center"/>
          </w:tcPr>
          <w:p w14:paraId="1277933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92" w:type="dxa"/>
            <w:shd w:val="clear" w:color="auto" w:fill="FFFFFF" w:themeFill="background1"/>
            <w:tcMar>
              <w:top w:w="0" w:type="dxa"/>
              <w:left w:w="108" w:type="dxa"/>
              <w:bottom w:w="0" w:type="dxa"/>
              <w:right w:w="108" w:type="dxa"/>
            </w:tcMar>
            <w:vAlign w:val="center"/>
          </w:tcPr>
          <w:p w14:paraId="105810EF"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9" w:type="dxa"/>
            <w:shd w:val="clear" w:color="auto" w:fill="FFFFFF" w:themeFill="background1"/>
            <w:tcMar>
              <w:top w:w="0" w:type="dxa"/>
              <w:left w:w="108" w:type="dxa"/>
              <w:bottom w:w="0" w:type="dxa"/>
              <w:right w:w="108" w:type="dxa"/>
            </w:tcMar>
            <w:vAlign w:val="center"/>
          </w:tcPr>
          <w:p w14:paraId="1D8E53C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1276" w:type="dxa"/>
            <w:shd w:val="clear" w:color="auto" w:fill="FFFFFF" w:themeFill="background1"/>
            <w:tcMar>
              <w:top w:w="0" w:type="dxa"/>
              <w:left w:w="108" w:type="dxa"/>
              <w:bottom w:w="0" w:type="dxa"/>
              <w:right w:w="108" w:type="dxa"/>
            </w:tcMar>
            <w:vAlign w:val="center"/>
          </w:tcPr>
          <w:p w14:paraId="7830C08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r>
      <w:tr w:rsidR="00284822" w14:paraId="4F690F0D" w14:textId="77777777">
        <w:trPr>
          <w:trHeight w:val="454"/>
        </w:trPr>
        <w:tc>
          <w:tcPr>
            <w:tcW w:w="854" w:type="dxa"/>
            <w:shd w:val="clear" w:color="auto" w:fill="FFFFFF" w:themeFill="background1"/>
            <w:noWrap/>
            <w:tcMar>
              <w:top w:w="0" w:type="dxa"/>
              <w:left w:w="108" w:type="dxa"/>
              <w:bottom w:w="0" w:type="dxa"/>
              <w:right w:w="108" w:type="dxa"/>
            </w:tcMar>
            <w:vAlign w:val="center"/>
          </w:tcPr>
          <w:p w14:paraId="1C31D7D6" w14:textId="77777777" w:rsidR="00284822" w:rsidRDefault="00F77BF8" w:rsidP="00EC515D">
            <w:pPr>
              <w:spacing w:line="240" w:lineRule="auto"/>
              <w:rPr>
                <w:rFonts w:ascii="Rockwell" w:hAnsi="Rockwell"/>
                <w:bCs/>
                <w:color w:val="000000"/>
                <w:sz w:val="16"/>
                <w:szCs w:val="16"/>
              </w:rPr>
            </w:pPr>
            <w:r>
              <w:rPr>
                <w:rFonts w:ascii="Rockwell" w:hAnsi="Rockwell"/>
                <w:bCs/>
                <w:color w:val="000000"/>
                <w:sz w:val="16"/>
                <w:szCs w:val="16"/>
              </w:rPr>
              <w:t>56</w:t>
            </w:r>
          </w:p>
        </w:tc>
        <w:tc>
          <w:tcPr>
            <w:tcW w:w="1245" w:type="dxa"/>
            <w:shd w:val="clear" w:color="auto" w:fill="FFFFFF" w:themeFill="background1"/>
            <w:tcMar>
              <w:top w:w="0" w:type="dxa"/>
              <w:left w:w="108" w:type="dxa"/>
              <w:bottom w:w="0" w:type="dxa"/>
              <w:right w:w="108" w:type="dxa"/>
            </w:tcMar>
            <w:vAlign w:val="center"/>
          </w:tcPr>
          <w:p w14:paraId="3F31F8B9"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UNIR/MPS</w:t>
            </w:r>
          </w:p>
        </w:tc>
        <w:tc>
          <w:tcPr>
            <w:tcW w:w="731" w:type="dxa"/>
            <w:shd w:val="clear" w:color="auto" w:fill="FFFFFF" w:themeFill="background1"/>
            <w:tcMar>
              <w:top w:w="0" w:type="dxa"/>
              <w:left w:w="108" w:type="dxa"/>
              <w:bottom w:w="0" w:type="dxa"/>
              <w:right w:w="108" w:type="dxa"/>
            </w:tcMar>
            <w:vAlign w:val="center"/>
          </w:tcPr>
          <w:p w14:paraId="7B1F973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 1/3</w:t>
            </w:r>
          </w:p>
        </w:tc>
        <w:tc>
          <w:tcPr>
            <w:tcW w:w="863" w:type="dxa"/>
            <w:shd w:val="clear" w:color="auto" w:fill="FFFFFF" w:themeFill="background1"/>
            <w:tcMar>
              <w:top w:w="0" w:type="dxa"/>
              <w:left w:w="108" w:type="dxa"/>
              <w:bottom w:w="0" w:type="dxa"/>
              <w:right w:w="108" w:type="dxa"/>
            </w:tcMar>
            <w:vAlign w:val="center"/>
          </w:tcPr>
          <w:p w14:paraId="05F96F4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4,13%</w:t>
            </w:r>
          </w:p>
        </w:tc>
        <w:tc>
          <w:tcPr>
            <w:tcW w:w="551" w:type="dxa"/>
            <w:shd w:val="clear" w:color="auto" w:fill="FFFFFF" w:themeFill="background1"/>
            <w:tcMar>
              <w:top w:w="0" w:type="dxa"/>
              <w:left w:w="108" w:type="dxa"/>
              <w:bottom w:w="0" w:type="dxa"/>
              <w:right w:w="108" w:type="dxa"/>
            </w:tcMar>
            <w:vAlign w:val="center"/>
          </w:tcPr>
          <w:p w14:paraId="4D2EBD26"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6</w:t>
            </w:r>
          </w:p>
        </w:tc>
        <w:tc>
          <w:tcPr>
            <w:tcW w:w="863" w:type="dxa"/>
            <w:shd w:val="clear" w:color="auto" w:fill="FFFFFF" w:themeFill="background1"/>
            <w:tcMar>
              <w:top w:w="0" w:type="dxa"/>
              <w:left w:w="108" w:type="dxa"/>
              <w:bottom w:w="0" w:type="dxa"/>
              <w:right w:w="108" w:type="dxa"/>
            </w:tcMar>
            <w:vAlign w:val="center"/>
          </w:tcPr>
          <w:p w14:paraId="151B4A2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6,74%</w:t>
            </w:r>
          </w:p>
        </w:tc>
        <w:tc>
          <w:tcPr>
            <w:tcW w:w="695" w:type="dxa"/>
            <w:shd w:val="clear" w:color="auto" w:fill="FFFFFF" w:themeFill="background1"/>
            <w:tcMar>
              <w:top w:w="0" w:type="dxa"/>
              <w:left w:w="108" w:type="dxa"/>
              <w:bottom w:w="0" w:type="dxa"/>
              <w:right w:w="108" w:type="dxa"/>
            </w:tcMar>
            <w:vAlign w:val="center"/>
          </w:tcPr>
          <w:p w14:paraId="52F86A7F"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3/4</w:t>
            </w:r>
          </w:p>
        </w:tc>
        <w:tc>
          <w:tcPr>
            <w:tcW w:w="989" w:type="dxa"/>
            <w:shd w:val="clear" w:color="auto" w:fill="FFFFFF" w:themeFill="background1"/>
            <w:tcMar>
              <w:top w:w="0" w:type="dxa"/>
              <w:left w:w="108" w:type="dxa"/>
              <w:bottom w:w="0" w:type="dxa"/>
              <w:right w:w="108" w:type="dxa"/>
            </w:tcMar>
            <w:vAlign w:val="center"/>
          </w:tcPr>
          <w:p w14:paraId="1F1A6A0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1,69%</w:t>
            </w:r>
          </w:p>
        </w:tc>
        <w:tc>
          <w:tcPr>
            <w:tcW w:w="704" w:type="dxa"/>
            <w:shd w:val="clear" w:color="auto" w:fill="FFFFFF" w:themeFill="background1"/>
            <w:tcMar>
              <w:top w:w="0" w:type="dxa"/>
              <w:left w:w="108" w:type="dxa"/>
              <w:bottom w:w="0" w:type="dxa"/>
              <w:right w:w="108" w:type="dxa"/>
            </w:tcMar>
            <w:vAlign w:val="center"/>
          </w:tcPr>
          <w:p w14:paraId="53631504"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w:t>
            </w:r>
          </w:p>
        </w:tc>
        <w:tc>
          <w:tcPr>
            <w:tcW w:w="863" w:type="dxa"/>
            <w:shd w:val="clear" w:color="auto" w:fill="FFFFFF" w:themeFill="background1"/>
            <w:tcMar>
              <w:top w:w="0" w:type="dxa"/>
              <w:left w:w="108" w:type="dxa"/>
              <w:bottom w:w="0" w:type="dxa"/>
              <w:right w:w="108" w:type="dxa"/>
            </w:tcMar>
            <w:vAlign w:val="center"/>
          </w:tcPr>
          <w:p w14:paraId="1B2A1F4F"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2,35%</w:t>
            </w:r>
          </w:p>
        </w:tc>
        <w:tc>
          <w:tcPr>
            <w:tcW w:w="714" w:type="dxa"/>
            <w:shd w:val="clear" w:color="auto" w:fill="FFFFFF" w:themeFill="background1"/>
            <w:tcMar>
              <w:top w:w="0" w:type="dxa"/>
              <w:left w:w="108" w:type="dxa"/>
              <w:bottom w:w="0" w:type="dxa"/>
              <w:right w:w="108" w:type="dxa"/>
            </w:tcMar>
            <w:vAlign w:val="center"/>
          </w:tcPr>
          <w:p w14:paraId="39FFDFE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8</w:t>
            </w:r>
          </w:p>
        </w:tc>
        <w:tc>
          <w:tcPr>
            <w:tcW w:w="709" w:type="dxa"/>
            <w:shd w:val="clear" w:color="auto" w:fill="FFFFFF" w:themeFill="background1"/>
            <w:tcMar>
              <w:top w:w="0" w:type="dxa"/>
              <w:left w:w="108" w:type="dxa"/>
              <w:bottom w:w="0" w:type="dxa"/>
              <w:right w:w="108" w:type="dxa"/>
            </w:tcMar>
            <w:vAlign w:val="center"/>
          </w:tcPr>
          <w:p w14:paraId="283DA8B1"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12,15%</w:t>
            </w:r>
          </w:p>
        </w:tc>
        <w:tc>
          <w:tcPr>
            <w:tcW w:w="701" w:type="dxa"/>
            <w:shd w:val="clear" w:color="auto" w:fill="FFFFFF" w:themeFill="background1"/>
            <w:tcMar>
              <w:top w:w="0" w:type="dxa"/>
              <w:left w:w="108" w:type="dxa"/>
              <w:bottom w:w="0" w:type="dxa"/>
              <w:right w:w="108" w:type="dxa"/>
            </w:tcMar>
            <w:vAlign w:val="center"/>
          </w:tcPr>
          <w:p w14:paraId="607D46DF"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8</w:t>
            </w:r>
          </w:p>
        </w:tc>
        <w:tc>
          <w:tcPr>
            <w:tcW w:w="863" w:type="dxa"/>
            <w:shd w:val="clear" w:color="auto" w:fill="FFFFFF" w:themeFill="background1"/>
            <w:tcMar>
              <w:top w:w="0" w:type="dxa"/>
              <w:left w:w="108" w:type="dxa"/>
              <w:bottom w:w="0" w:type="dxa"/>
              <w:right w:w="108" w:type="dxa"/>
            </w:tcMar>
            <w:vAlign w:val="center"/>
          </w:tcPr>
          <w:p w14:paraId="4114B82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6,90%</w:t>
            </w:r>
          </w:p>
        </w:tc>
        <w:tc>
          <w:tcPr>
            <w:tcW w:w="704" w:type="dxa"/>
            <w:shd w:val="clear" w:color="auto" w:fill="FFFFFF" w:themeFill="background1"/>
            <w:tcMar>
              <w:top w:w="0" w:type="dxa"/>
              <w:left w:w="108" w:type="dxa"/>
              <w:bottom w:w="0" w:type="dxa"/>
              <w:right w:w="108" w:type="dxa"/>
            </w:tcMar>
            <w:vAlign w:val="center"/>
          </w:tcPr>
          <w:p w14:paraId="52EA3DAF"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1/2</w:t>
            </w:r>
          </w:p>
        </w:tc>
        <w:tc>
          <w:tcPr>
            <w:tcW w:w="992" w:type="dxa"/>
            <w:shd w:val="clear" w:color="auto" w:fill="FFFFFF" w:themeFill="background1"/>
            <w:tcMar>
              <w:top w:w="0" w:type="dxa"/>
              <w:left w:w="108" w:type="dxa"/>
              <w:bottom w:w="0" w:type="dxa"/>
              <w:right w:w="108" w:type="dxa"/>
            </w:tcMar>
            <w:vAlign w:val="center"/>
          </w:tcPr>
          <w:p w14:paraId="7F4D4A45"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1,58%</w:t>
            </w:r>
          </w:p>
        </w:tc>
        <w:tc>
          <w:tcPr>
            <w:tcW w:w="709" w:type="dxa"/>
            <w:shd w:val="clear" w:color="auto" w:fill="FFFFFF" w:themeFill="background1"/>
            <w:tcMar>
              <w:top w:w="0" w:type="dxa"/>
              <w:left w:w="108" w:type="dxa"/>
              <w:bottom w:w="0" w:type="dxa"/>
              <w:right w:w="108" w:type="dxa"/>
            </w:tcMar>
            <w:vAlign w:val="center"/>
          </w:tcPr>
          <w:p w14:paraId="53274841"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1276" w:type="dxa"/>
            <w:shd w:val="clear" w:color="auto" w:fill="FFFFFF" w:themeFill="background1"/>
            <w:tcMar>
              <w:top w:w="0" w:type="dxa"/>
              <w:left w:w="108" w:type="dxa"/>
              <w:bottom w:w="0" w:type="dxa"/>
              <w:right w:w="108" w:type="dxa"/>
            </w:tcMar>
            <w:vAlign w:val="center"/>
          </w:tcPr>
          <w:p w14:paraId="250BC3F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r>
      <w:tr w:rsidR="00284822" w14:paraId="678F5880" w14:textId="77777777">
        <w:trPr>
          <w:trHeight w:val="454"/>
        </w:trPr>
        <w:tc>
          <w:tcPr>
            <w:tcW w:w="854" w:type="dxa"/>
            <w:shd w:val="clear" w:color="auto" w:fill="FFFFFF" w:themeFill="background1"/>
            <w:noWrap/>
            <w:tcMar>
              <w:top w:w="0" w:type="dxa"/>
              <w:left w:w="108" w:type="dxa"/>
              <w:bottom w:w="0" w:type="dxa"/>
              <w:right w:w="108" w:type="dxa"/>
            </w:tcMar>
            <w:vAlign w:val="center"/>
          </w:tcPr>
          <w:p w14:paraId="0C735465" w14:textId="77777777" w:rsidR="00284822" w:rsidRDefault="00F77BF8" w:rsidP="00EC515D">
            <w:pPr>
              <w:spacing w:line="240" w:lineRule="auto"/>
              <w:rPr>
                <w:rFonts w:ascii="Rockwell" w:hAnsi="Rockwell"/>
                <w:bCs/>
                <w:color w:val="000000"/>
                <w:sz w:val="16"/>
                <w:szCs w:val="16"/>
              </w:rPr>
            </w:pPr>
            <w:r>
              <w:rPr>
                <w:rFonts w:ascii="Rockwell" w:hAnsi="Rockwell"/>
                <w:bCs/>
                <w:color w:val="000000"/>
                <w:sz w:val="16"/>
                <w:szCs w:val="16"/>
              </w:rPr>
              <w:t>57</w:t>
            </w:r>
          </w:p>
        </w:tc>
        <w:tc>
          <w:tcPr>
            <w:tcW w:w="1245" w:type="dxa"/>
            <w:shd w:val="clear" w:color="auto" w:fill="FFFFFF" w:themeFill="background1"/>
            <w:tcMar>
              <w:top w:w="0" w:type="dxa"/>
              <w:left w:w="108" w:type="dxa"/>
              <w:bottom w:w="0" w:type="dxa"/>
              <w:right w:w="108" w:type="dxa"/>
            </w:tcMar>
            <w:vAlign w:val="center"/>
          </w:tcPr>
          <w:p w14:paraId="3F796508"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UPC</w:t>
            </w:r>
          </w:p>
        </w:tc>
        <w:tc>
          <w:tcPr>
            <w:tcW w:w="731" w:type="dxa"/>
            <w:shd w:val="clear" w:color="auto" w:fill="FFFFFF" w:themeFill="background1"/>
            <w:tcMar>
              <w:top w:w="0" w:type="dxa"/>
              <w:left w:w="108" w:type="dxa"/>
              <w:bottom w:w="0" w:type="dxa"/>
              <w:right w:w="108" w:type="dxa"/>
            </w:tcMar>
            <w:vAlign w:val="center"/>
          </w:tcPr>
          <w:p w14:paraId="2F25C28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3 ½</w:t>
            </w:r>
          </w:p>
        </w:tc>
        <w:tc>
          <w:tcPr>
            <w:tcW w:w="863" w:type="dxa"/>
            <w:shd w:val="clear" w:color="auto" w:fill="FFFFFF" w:themeFill="background1"/>
            <w:tcMar>
              <w:top w:w="0" w:type="dxa"/>
              <w:left w:w="108" w:type="dxa"/>
              <w:bottom w:w="0" w:type="dxa"/>
              <w:right w:w="108" w:type="dxa"/>
            </w:tcMar>
            <w:vAlign w:val="center"/>
          </w:tcPr>
          <w:p w14:paraId="56A511C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6,20%</w:t>
            </w:r>
          </w:p>
        </w:tc>
        <w:tc>
          <w:tcPr>
            <w:tcW w:w="551" w:type="dxa"/>
            <w:shd w:val="clear" w:color="auto" w:fill="FFFFFF" w:themeFill="background1"/>
            <w:tcMar>
              <w:top w:w="0" w:type="dxa"/>
              <w:left w:w="108" w:type="dxa"/>
              <w:bottom w:w="0" w:type="dxa"/>
              <w:right w:w="108" w:type="dxa"/>
            </w:tcMar>
            <w:vAlign w:val="center"/>
          </w:tcPr>
          <w:p w14:paraId="15A803D8"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5</w:t>
            </w:r>
          </w:p>
        </w:tc>
        <w:tc>
          <w:tcPr>
            <w:tcW w:w="863" w:type="dxa"/>
            <w:shd w:val="clear" w:color="auto" w:fill="FFFFFF" w:themeFill="background1"/>
            <w:tcMar>
              <w:top w:w="0" w:type="dxa"/>
              <w:left w:w="108" w:type="dxa"/>
              <w:bottom w:w="0" w:type="dxa"/>
              <w:right w:w="108" w:type="dxa"/>
            </w:tcMar>
            <w:vAlign w:val="center"/>
          </w:tcPr>
          <w:p w14:paraId="69A8354E"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5,62%</w:t>
            </w:r>
          </w:p>
        </w:tc>
        <w:tc>
          <w:tcPr>
            <w:tcW w:w="695" w:type="dxa"/>
            <w:shd w:val="clear" w:color="auto" w:fill="FFFFFF" w:themeFill="background1"/>
            <w:tcMar>
              <w:top w:w="0" w:type="dxa"/>
              <w:left w:w="108" w:type="dxa"/>
              <w:bottom w:w="0" w:type="dxa"/>
              <w:right w:w="108" w:type="dxa"/>
            </w:tcMar>
            <w:vAlign w:val="center"/>
          </w:tcPr>
          <w:p w14:paraId="7511E83F"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 1/2</w:t>
            </w:r>
          </w:p>
        </w:tc>
        <w:tc>
          <w:tcPr>
            <w:tcW w:w="989" w:type="dxa"/>
            <w:shd w:val="clear" w:color="auto" w:fill="FFFFFF" w:themeFill="background1"/>
            <w:tcMar>
              <w:top w:w="0" w:type="dxa"/>
              <w:left w:w="108" w:type="dxa"/>
              <w:bottom w:w="0" w:type="dxa"/>
              <w:right w:w="108" w:type="dxa"/>
            </w:tcMar>
            <w:vAlign w:val="center"/>
          </w:tcPr>
          <w:p w14:paraId="4B079CD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3,37%</w:t>
            </w:r>
          </w:p>
        </w:tc>
        <w:tc>
          <w:tcPr>
            <w:tcW w:w="704" w:type="dxa"/>
            <w:shd w:val="clear" w:color="auto" w:fill="FFFFFF" w:themeFill="background1"/>
            <w:tcMar>
              <w:top w:w="0" w:type="dxa"/>
              <w:left w:w="108" w:type="dxa"/>
              <w:bottom w:w="0" w:type="dxa"/>
              <w:right w:w="108" w:type="dxa"/>
            </w:tcMar>
            <w:vAlign w:val="center"/>
          </w:tcPr>
          <w:p w14:paraId="7E18C9EE"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3</w:t>
            </w:r>
          </w:p>
        </w:tc>
        <w:tc>
          <w:tcPr>
            <w:tcW w:w="863" w:type="dxa"/>
            <w:shd w:val="clear" w:color="auto" w:fill="FFFFFF" w:themeFill="background1"/>
            <w:tcMar>
              <w:top w:w="0" w:type="dxa"/>
              <w:left w:w="108" w:type="dxa"/>
              <w:bottom w:w="0" w:type="dxa"/>
              <w:right w:w="108" w:type="dxa"/>
            </w:tcMar>
            <w:vAlign w:val="center"/>
          </w:tcPr>
          <w:p w14:paraId="1807A9E6"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3,53%</w:t>
            </w:r>
          </w:p>
        </w:tc>
        <w:tc>
          <w:tcPr>
            <w:tcW w:w="714" w:type="dxa"/>
            <w:shd w:val="clear" w:color="auto" w:fill="FFFFFF" w:themeFill="background1"/>
            <w:tcMar>
              <w:top w:w="0" w:type="dxa"/>
              <w:left w:w="108" w:type="dxa"/>
              <w:bottom w:w="0" w:type="dxa"/>
              <w:right w:w="108" w:type="dxa"/>
            </w:tcMar>
            <w:vAlign w:val="center"/>
          </w:tcPr>
          <w:p w14:paraId="790D888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3 3/5</w:t>
            </w:r>
          </w:p>
        </w:tc>
        <w:tc>
          <w:tcPr>
            <w:tcW w:w="709" w:type="dxa"/>
            <w:shd w:val="clear" w:color="auto" w:fill="FFFFFF" w:themeFill="background1"/>
            <w:tcMar>
              <w:top w:w="0" w:type="dxa"/>
              <w:left w:w="108" w:type="dxa"/>
              <w:bottom w:w="0" w:type="dxa"/>
              <w:right w:w="108" w:type="dxa"/>
            </w:tcMar>
            <w:vAlign w:val="center"/>
          </w:tcPr>
          <w:p w14:paraId="173BE183"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5,50%</w:t>
            </w:r>
          </w:p>
        </w:tc>
        <w:tc>
          <w:tcPr>
            <w:tcW w:w="701" w:type="dxa"/>
            <w:shd w:val="clear" w:color="auto" w:fill="FFFFFF" w:themeFill="background1"/>
            <w:tcMar>
              <w:top w:w="0" w:type="dxa"/>
              <w:left w:w="108" w:type="dxa"/>
              <w:bottom w:w="0" w:type="dxa"/>
              <w:right w:w="108" w:type="dxa"/>
            </w:tcMar>
            <w:vAlign w:val="center"/>
          </w:tcPr>
          <w:p w14:paraId="6F472E3C"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7</w:t>
            </w:r>
          </w:p>
        </w:tc>
        <w:tc>
          <w:tcPr>
            <w:tcW w:w="863" w:type="dxa"/>
            <w:shd w:val="clear" w:color="auto" w:fill="FFFFFF" w:themeFill="background1"/>
            <w:tcMar>
              <w:top w:w="0" w:type="dxa"/>
              <w:left w:w="108" w:type="dxa"/>
              <w:bottom w:w="0" w:type="dxa"/>
              <w:right w:w="108" w:type="dxa"/>
            </w:tcMar>
            <w:vAlign w:val="center"/>
          </w:tcPr>
          <w:p w14:paraId="18C5B73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6,03%</w:t>
            </w:r>
          </w:p>
        </w:tc>
        <w:tc>
          <w:tcPr>
            <w:tcW w:w="704" w:type="dxa"/>
            <w:shd w:val="clear" w:color="auto" w:fill="FFFFFF" w:themeFill="background1"/>
            <w:tcMar>
              <w:top w:w="0" w:type="dxa"/>
              <w:left w:w="108" w:type="dxa"/>
              <w:bottom w:w="0" w:type="dxa"/>
              <w:right w:w="108" w:type="dxa"/>
            </w:tcMar>
            <w:vAlign w:val="center"/>
          </w:tcPr>
          <w:p w14:paraId="7412D04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 5/6</w:t>
            </w:r>
          </w:p>
        </w:tc>
        <w:tc>
          <w:tcPr>
            <w:tcW w:w="992" w:type="dxa"/>
            <w:shd w:val="clear" w:color="auto" w:fill="FFFFFF" w:themeFill="background1"/>
            <w:tcMar>
              <w:top w:w="0" w:type="dxa"/>
              <w:left w:w="108" w:type="dxa"/>
              <w:bottom w:w="0" w:type="dxa"/>
              <w:right w:w="108" w:type="dxa"/>
            </w:tcMar>
            <w:vAlign w:val="center"/>
          </w:tcPr>
          <w:p w14:paraId="10CC69E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5,79%</w:t>
            </w:r>
          </w:p>
        </w:tc>
        <w:tc>
          <w:tcPr>
            <w:tcW w:w="709" w:type="dxa"/>
            <w:shd w:val="clear" w:color="auto" w:fill="FFFFFF" w:themeFill="background1"/>
            <w:tcMar>
              <w:top w:w="0" w:type="dxa"/>
              <w:left w:w="108" w:type="dxa"/>
              <w:bottom w:w="0" w:type="dxa"/>
              <w:right w:w="108" w:type="dxa"/>
            </w:tcMar>
            <w:vAlign w:val="center"/>
          </w:tcPr>
          <w:p w14:paraId="0D080C41"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5</w:t>
            </w:r>
          </w:p>
        </w:tc>
        <w:tc>
          <w:tcPr>
            <w:tcW w:w="1276" w:type="dxa"/>
            <w:shd w:val="clear" w:color="auto" w:fill="FFFFFF" w:themeFill="background1"/>
            <w:tcMar>
              <w:top w:w="0" w:type="dxa"/>
              <w:left w:w="108" w:type="dxa"/>
              <w:bottom w:w="0" w:type="dxa"/>
              <w:right w:w="108" w:type="dxa"/>
            </w:tcMar>
            <w:vAlign w:val="center"/>
          </w:tcPr>
          <w:p w14:paraId="08CACFB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8,06%</w:t>
            </w:r>
          </w:p>
        </w:tc>
      </w:tr>
      <w:tr w:rsidR="00284822" w14:paraId="699CDA7B" w14:textId="77777777">
        <w:trPr>
          <w:trHeight w:val="454"/>
        </w:trPr>
        <w:tc>
          <w:tcPr>
            <w:tcW w:w="854" w:type="dxa"/>
            <w:shd w:val="clear" w:color="auto" w:fill="FFFFFF" w:themeFill="background1"/>
            <w:noWrap/>
            <w:tcMar>
              <w:top w:w="0" w:type="dxa"/>
              <w:left w:w="108" w:type="dxa"/>
              <w:bottom w:w="0" w:type="dxa"/>
              <w:right w:w="108" w:type="dxa"/>
            </w:tcMar>
            <w:vAlign w:val="center"/>
          </w:tcPr>
          <w:p w14:paraId="0143091C" w14:textId="77777777" w:rsidR="00284822" w:rsidRDefault="00F77BF8" w:rsidP="00EC515D">
            <w:pPr>
              <w:spacing w:line="240" w:lineRule="auto"/>
              <w:rPr>
                <w:rFonts w:ascii="Rockwell" w:hAnsi="Rockwell"/>
                <w:bCs/>
                <w:color w:val="000000"/>
                <w:sz w:val="16"/>
                <w:szCs w:val="16"/>
              </w:rPr>
            </w:pPr>
            <w:r>
              <w:rPr>
                <w:rFonts w:ascii="Rockwell" w:hAnsi="Rockwell"/>
                <w:bCs/>
                <w:color w:val="000000"/>
                <w:sz w:val="16"/>
                <w:szCs w:val="16"/>
              </w:rPr>
              <w:t>58</w:t>
            </w:r>
          </w:p>
        </w:tc>
        <w:tc>
          <w:tcPr>
            <w:tcW w:w="1245" w:type="dxa"/>
            <w:shd w:val="clear" w:color="auto" w:fill="FFFFFF" w:themeFill="background1"/>
            <w:tcMar>
              <w:top w:w="0" w:type="dxa"/>
              <w:left w:w="108" w:type="dxa"/>
              <w:bottom w:w="0" w:type="dxa"/>
              <w:right w:w="108" w:type="dxa"/>
            </w:tcMar>
            <w:vAlign w:val="center"/>
          </w:tcPr>
          <w:p w14:paraId="03C12C26" w14:textId="77777777" w:rsidR="00284822" w:rsidRDefault="00F77BF8" w:rsidP="00EC515D">
            <w:pPr>
              <w:spacing w:line="240" w:lineRule="auto"/>
              <w:rPr>
                <w:rFonts w:ascii="Rockwell" w:hAnsi="Rockwell"/>
                <w:b/>
                <w:color w:val="000000"/>
                <w:sz w:val="16"/>
                <w:szCs w:val="16"/>
              </w:rPr>
            </w:pPr>
            <w:r>
              <w:rPr>
                <w:rFonts w:ascii="Rockwell" w:hAnsi="Rockwell"/>
                <w:b/>
                <w:color w:val="000000"/>
                <w:sz w:val="16"/>
                <w:szCs w:val="16"/>
              </w:rPr>
              <w:t>VB</w:t>
            </w:r>
          </w:p>
        </w:tc>
        <w:tc>
          <w:tcPr>
            <w:tcW w:w="731" w:type="dxa"/>
            <w:shd w:val="clear" w:color="auto" w:fill="FFFFFF" w:themeFill="background1"/>
            <w:tcMar>
              <w:top w:w="0" w:type="dxa"/>
              <w:left w:w="108" w:type="dxa"/>
              <w:bottom w:w="0" w:type="dxa"/>
              <w:right w:w="108" w:type="dxa"/>
            </w:tcMar>
            <w:vAlign w:val="center"/>
          </w:tcPr>
          <w:p w14:paraId="24C77165"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1255E886"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551" w:type="dxa"/>
            <w:shd w:val="clear" w:color="auto" w:fill="FFFFFF" w:themeFill="background1"/>
            <w:tcMar>
              <w:top w:w="0" w:type="dxa"/>
              <w:left w:w="108" w:type="dxa"/>
              <w:bottom w:w="0" w:type="dxa"/>
              <w:right w:w="108" w:type="dxa"/>
            </w:tcMar>
            <w:vAlign w:val="center"/>
          </w:tcPr>
          <w:p w14:paraId="04C6130B"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863" w:type="dxa"/>
            <w:shd w:val="clear" w:color="auto" w:fill="FFFFFF" w:themeFill="background1"/>
            <w:tcMar>
              <w:top w:w="0" w:type="dxa"/>
              <w:left w:w="108" w:type="dxa"/>
              <w:bottom w:w="0" w:type="dxa"/>
              <w:right w:w="108" w:type="dxa"/>
            </w:tcMar>
            <w:vAlign w:val="center"/>
          </w:tcPr>
          <w:p w14:paraId="3DD54B3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695" w:type="dxa"/>
            <w:shd w:val="clear" w:color="auto" w:fill="FFFFFF" w:themeFill="background1"/>
            <w:tcMar>
              <w:top w:w="0" w:type="dxa"/>
              <w:left w:w="108" w:type="dxa"/>
              <w:bottom w:w="0" w:type="dxa"/>
              <w:right w:w="108" w:type="dxa"/>
            </w:tcMar>
            <w:vAlign w:val="center"/>
          </w:tcPr>
          <w:p w14:paraId="3AB3B11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1/2</w:t>
            </w:r>
          </w:p>
        </w:tc>
        <w:tc>
          <w:tcPr>
            <w:tcW w:w="989" w:type="dxa"/>
            <w:shd w:val="clear" w:color="auto" w:fill="FFFFFF" w:themeFill="background1"/>
            <w:tcMar>
              <w:top w:w="0" w:type="dxa"/>
              <w:left w:w="108" w:type="dxa"/>
              <w:bottom w:w="0" w:type="dxa"/>
              <w:right w:w="108" w:type="dxa"/>
            </w:tcMar>
            <w:vAlign w:val="center"/>
          </w:tcPr>
          <w:p w14:paraId="1A9CDC27"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1,12%</w:t>
            </w:r>
          </w:p>
        </w:tc>
        <w:tc>
          <w:tcPr>
            <w:tcW w:w="704" w:type="dxa"/>
            <w:shd w:val="clear" w:color="auto" w:fill="FFFFFF" w:themeFill="background1"/>
            <w:tcMar>
              <w:top w:w="0" w:type="dxa"/>
              <w:left w:w="108" w:type="dxa"/>
              <w:bottom w:w="0" w:type="dxa"/>
              <w:right w:w="108" w:type="dxa"/>
            </w:tcMar>
            <w:vAlign w:val="center"/>
          </w:tcPr>
          <w:p w14:paraId="0EB68B21"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w:t>
            </w:r>
          </w:p>
        </w:tc>
        <w:tc>
          <w:tcPr>
            <w:tcW w:w="863" w:type="dxa"/>
            <w:shd w:val="clear" w:color="auto" w:fill="FFFFFF" w:themeFill="background1"/>
            <w:tcMar>
              <w:top w:w="0" w:type="dxa"/>
              <w:left w:w="108" w:type="dxa"/>
              <w:bottom w:w="0" w:type="dxa"/>
              <w:right w:w="108" w:type="dxa"/>
            </w:tcMar>
            <w:vAlign w:val="center"/>
          </w:tcPr>
          <w:p w14:paraId="0C0424FE"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1,18%</w:t>
            </w:r>
          </w:p>
        </w:tc>
        <w:tc>
          <w:tcPr>
            <w:tcW w:w="714" w:type="dxa"/>
            <w:shd w:val="clear" w:color="auto" w:fill="FFFFFF" w:themeFill="background1"/>
            <w:tcMar>
              <w:top w:w="0" w:type="dxa"/>
              <w:left w:w="108" w:type="dxa"/>
              <w:bottom w:w="0" w:type="dxa"/>
              <w:right w:w="108" w:type="dxa"/>
            </w:tcMar>
            <w:vAlign w:val="center"/>
          </w:tcPr>
          <w:p w14:paraId="160BDA00"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1/6</w:t>
            </w:r>
          </w:p>
        </w:tc>
        <w:tc>
          <w:tcPr>
            <w:tcW w:w="709" w:type="dxa"/>
            <w:shd w:val="clear" w:color="auto" w:fill="FFFFFF" w:themeFill="background1"/>
            <w:tcMar>
              <w:top w:w="0" w:type="dxa"/>
              <w:left w:w="108" w:type="dxa"/>
              <w:bottom w:w="0" w:type="dxa"/>
              <w:right w:w="108" w:type="dxa"/>
            </w:tcMar>
            <w:vAlign w:val="center"/>
          </w:tcPr>
          <w:p w14:paraId="5FB6EE8A"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0,26%</w:t>
            </w:r>
          </w:p>
        </w:tc>
        <w:tc>
          <w:tcPr>
            <w:tcW w:w="701" w:type="dxa"/>
            <w:shd w:val="clear" w:color="auto" w:fill="FFFFFF" w:themeFill="background1"/>
            <w:tcMar>
              <w:top w:w="0" w:type="dxa"/>
              <w:left w:w="108" w:type="dxa"/>
              <w:bottom w:w="0" w:type="dxa"/>
              <w:right w:w="108" w:type="dxa"/>
            </w:tcMar>
            <w:vAlign w:val="center"/>
          </w:tcPr>
          <w:p w14:paraId="07EA1B59"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1</w:t>
            </w:r>
          </w:p>
        </w:tc>
        <w:tc>
          <w:tcPr>
            <w:tcW w:w="863" w:type="dxa"/>
            <w:shd w:val="clear" w:color="auto" w:fill="FFFFFF" w:themeFill="background1"/>
            <w:tcMar>
              <w:top w:w="0" w:type="dxa"/>
              <w:left w:w="108" w:type="dxa"/>
              <w:bottom w:w="0" w:type="dxa"/>
              <w:right w:w="108" w:type="dxa"/>
            </w:tcMar>
            <w:vAlign w:val="center"/>
          </w:tcPr>
          <w:p w14:paraId="3B27D86F"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0,86%</w:t>
            </w:r>
          </w:p>
        </w:tc>
        <w:tc>
          <w:tcPr>
            <w:tcW w:w="704" w:type="dxa"/>
            <w:shd w:val="clear" w:color="auto" w:fill="FFFFFF" w:themeFill="background1"/>
            <w:tcMar>
              <w:top w:w="0" w:type="dxa"/>
              <w:left w:w="108" w:type="dxa"/>
              <w:bottom w:w="0" w:type="dxa"/>
              <w:right w:w="108" w:type="dxa"/>
            </w:tcMar>
            <w:vAlign w:val="center"/>
          </w:tcPr>
          <w:p w14:paraId="02A6EF86"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992" w:type="dxa"/>
            <w:shd w:val="clear" w:color="auto" w:fill="FFFFFF" w:themeFill="background1"/>
            <w:tcMar>
              <w:top w:w="0" w:type="dxa"/>
              <w:left w:w="108" w:type="dxa"/>
              <w:bottom w:w="0" w:type="dxa"/>
              <w:right w:w="108" w:type="dxa"/>
            </w:tcMar>
            <w:vAlign w:val="center"/>
          </w:tcPr>
          <w:p w14:paraId="593F88F2"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c>
          <w:tcPr>
            <w:tcW w:w="709" w:type="dxa"/>
            <w:shd w:val="clear" w:color="auto" w:fill="FFFFFF" w:themeFill="background1"/>
            <w:tcMar>
              <w:top w:w="0" w:type="dxa"/>
              <w:left w:w="108" w:type="dxa"/>
              <w:bottom w:w="0" w:type="dxa"/>
              <w:right w:w="108" w:type="dxa"/>
            </w:tcMar>
            <w:vAlign w:val="center"/>
          </w:tcPr>
          <w:p w14:paraId="75759EA1"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w:t>
            </w:r>
          </w:p>
        </w:tc>
        <w:tc>
          <w:tcPr>
            <w:tcW w:w="1276" w:type="dxa"/>
            <w:shd w:val="clear" w:color="auto" w:fill="FFFFFF" w:themeFill="background1"/>
            <w:tcMar>
              <w:top w:w="0" w:type="dxa"/>
              <w:left w:w="108" w:type="dxa"/>
              <w:bottom w:w="0" w:type="dxa"/>
              <w:right w:w="108" w:type="dxa"/>
            </w:tcMar>
            <w:vAlign w:val="center"/>
          </w:tcPr>
          <w:p w14:paraId="3C537ADA" w14:textId="77777777" w:rsidR="00284822" w:rsidRDefault="00F77BF8" w:rsidP="00EC515D">
            <w:pPr>
              <w:spacing w:line="240" w:lineRule="auto"/>
              <w:rPr>
                <w:rFonts w:ascii="Rockwell" w:hAnsi="Rockwell"/>
                <w:color w:val="000000"/>
                <w:sz w:val="16"/>
                <w:szCs w:val="16"/>
              </w:rPr>
            </w:pPr>
            <w:r>
              <w:rPr>
                <w:rFonts w:ascii="Rockwell" w:hAnsi="Rockwell"/>
                <w:color w:val="000000"/>
                <w:sz w:val="16"/>
                <w:szCs w:val="16"/>
              </w:rPr>
              <w:t>0,00%</w:t>
            </w:r>
          </w:p>
        </w:tc>
      </w:tr>
      <w:tr w:rsidR="00284822" w14:paraId="0F8017DE" w14:textId="77777777">
        <w:trPr>
          <w:trHeight w:val="539"/>
        </w:trPr>
        <w:tc>
          <w:tcPr>
            <w:tcW w:w="2099" w:type="dxa"/>
            <w:gridSpan w:val="2"/>
            <w:shd w:val="clear" w:color="auto" w:fill="FFFFFF" w:themeFill="background1"/>
            <w:noWrap/>
            <w:tcMar>
              <w:top w:w="0" w:type="dxa"/>
              <w:left w:w="108" w:type="dxa"/>
              <w:bottom w:w="0" w:type="dxa"/>
              <w:right w:w="108" w:type="dxa"/>
            </w:tcMar>
            <w:vAlign w:val="center"/>
          </w:tcPr>
          <w:p w14:paraId="41767FFE" w14:textId="77777777" w:rsidR="00284822" w:rsidRDefault="00F77BF8" w:rsidP="00EC515D">
            <w:pPr>
              <w:spacing w:line="240" w:lineRule="auto"/>
              <w:rPr>
                <w:rFonts w:ascii="Rockwell" w:hAnsi="Rockwell"/>
                <w:sz w:val="16"/>
                <w:szCs w:val="16"/>
              </w:rPr>
            </w:pPr>
            <w:r>
              <w:rPr>
                <w:rFonts w:ascii="Rockwell" w:hAnsi="Rockwell"/>
                <w:b/>
                <w:bCs/>
                <w:color w:val="000000"/>
                <w:sz w:val="16"/>
                <w:szCs w:val="16"/>
              </w:rPr>
              <w:t>TOTAL</w:t>
            </w:r>
          </w:p>
        </w:tc>
        <w:tc>
          <w:tcPr>
            <w:tcW w:w="731" w:type="dxa"/>
            <w:shd w:val="clear" w:color="auto" w:fill="FFFFFF" w:themeFill="background1"/>
            <w:tcMar>
              <w:top w:w="0" w:type="dxa"/>
              <w:left w:w="108" w:type="dxa"/>
              <w:bottom w:w="0" w:type="dxa"/>
              <w:right w:w="108" w:type="dxa"/>
            </w:tcMar>
          </w:tcPr>
          <w:p w14:paraId="7A190EE8" w14:textId="77777777" w:rsidR="00284822" w:rsidRDefault="00F77BF8" w:rsidP="00EC515D">
            <w:pPr>
              <w:spacing w:line="240" w:lineRule="auto"/>
              <w:rPr>
                <w:rFonts w:ascii="Rockwell" w:hAnsi="Rockwell"/>
                <w:sz w:val="16"/>
                <w:szCs w:val="16"/>
              </w:rPr>
            </w:pPr>
            <w:r>
              <w:rPr>
                <w:rFonts w:ascii="Rockwell" w:hAnsi="Rockwell"/>
                <w:b/>
                <w:color w:val="000000"/>
                <w:sz w:val="16"/>
                <w:szCs w:val="16"/>
              </w:rPr>
              <w:t>56 ½</w:t>
            </w:r>
          </w:p>
        </w:tc>
        <w:tc>
          <w:tcPr>
            <w:tcW w:w="863" w:type="dxa"/>
            <w:shd w:val="clear" w:color="auto" w:fill="FFFFFF" w:themeFill="background1"/>
            <w:tcMar>
              <w:top w:w="0" w:type="dxa"/>
              <w:left w:w="108" w:type="dxa"/>
              <w:bottom w:w="0" w:type="dxa"/>
              <w:right w:w="108" w:type="dxa"/>
            </w:tcMar>
          </w:tcPr>
          <w:p w14:paraId="2E5DE01B" w14:textId="77777777" w:rsidR="00284822" w:rsidRDefault="00F77BF8" w:rsidP="00EC515D">
            <w:pPr>
              <w:spacing w:line="240" w:lineRule="auto"/>
              <w:rPr>
                <w:rFonts w:ascii="Rockwell" w:hAnsi="Rockwell"/>
                <w:sz w:val="16"/>
                <w:szCs w:val="16"/>
              </w:rPr>
            </w:pPr>
            <w:r>
              <w:rPr>
                <w:rFonts w:ascii="Rockwell" w:hAnsi="Rockwell"/>
                <w:b/>
                <w:color w:val="000000"/>
                <w:sz w:val="16"/>
                <w:szCs w:val="16"/>
              </w:rPr>
              <w:t>100,00%</w:t>
            </w:r>
          </w:p>
        </w:tc>
        <w:tc>
          <w:tcPr>
            <w:tcW w:w="551" w:type="dxa"/>
            <w:shd w:val="clear" w:color="auto" w:fill="FFFFFF" w:themeFill="background1"/>
            <w:tcMar>
              <w:top w:w="0" w:type="dxa"/>
              <w:left w:w="108" w:type="dxa"/>
              <w:bottom w:w="0" w:type="dxa"/>
              <w:right w:w="108" w:type="dxa"/>
            </w:tcMar>
          </w:tcPr>
          <w:p w14:paraId="626B2F2B" w14:textId="77777777" w:rsidR="00284822" w:rsidRDefault="00F77BF8" w:rsidP="00EC515D">
            <w:pPr>
              <w:spacing w:line="240" w:lineRule="auto"/>
              <w:rPr>
                <w:rFonts w:ascii="Rockwell" w:hAnsi="Rockwell"/>
                <w:sz w:val="16"/>
                <w:szCs w:val="16"/>
              </w:rPr>
            </w:pPr>
            <w:r>
              <w:rPr>
                <w:rFonts w:ascii="Rockwell" w:hAnsi="Rockwell"/>
                <w:b/>
                <w:color w:val="000000"/>
                <w:sz w:val="16"/>
                <w:szCs w:val="16"/>
              </w:rPr>
              <w:t>89</w:t>
            </w:r>
          </w:p>
        </w:tc>
        <w:tc>
          <w:tcPr>
            <w:tcW w:w="863" w:type="dxa"/>
            <w:shd w:val="clear" w:color="auto" w:fill="FFFFFF" w:themeFill="background1"/>
            <w:tcMar>
              <w:top w:w="0" w:type="dxa"/>
              <w:left w:w="108" w:type="dxa"/>
              <w:bottom w:w="0" w:type="dxa"/>
              <w:right w:w="108" w:type="dxa"/>
            </w:tcMar>
          </w:tcPr>
          <w:p w14:paraId="44FD69C6" w14:textId="77777777" w:rsidR="00284822" w:rsidRDefault="00F77BF8" w:rsidP="00EC515D">
            <w:pPr>
              <w:spacing w:line="240" w:lineRule="auto"/>
              <w:rPr>
                <w:rFonts w:ascii="Rockwell" w:hAnsi="Rockwell"/>
                <w:sz w:val="16"/>
                <w:szCs w:val="16"/>
              </w:rPr>
            </w:pPr>
            <w:r>
              <w:rPr>
                <w:rFonts w:ascii="Rockwell" w:hAnsi="Rockwell"/>
                <w:b/>
                <w:color w:val="000000"/>
                <w:sz w:val="16"/>
                <w:szCs w:val="16"/>
              </w:rPr>
              <w:t>100,00%</w:t>
            </w:r>
          </w:p>
        </w:tc>
        <w:tc>
          <w:tcPr>
            <w:tcW w:w="695" w:type="dxa"/>
            <w:shd w:val="clear" w:color="auto" w:fill="FFFFFF" w:themeFill="background1"/>
            <w:tcMar>
              <w:top w:w="0" w:type="dxa"/>
              <w:left w:w="108" w:type="dxa"/>
              <w:bottom w:w="0" w:type="dxa"/>
              <w:right w:w="108" w:type="dxa"/>
            </w:tcMar>
          </w:tcPr>
          <w:p w14:paraId="48CFB303" w14:textId="77777777" w:rsidR="00284822" w:rsidRDefault="00F77BF8" w:rsidP="00EC515D">
            <w:pPr>
              <w:spacing w:line="240" w:lineRule="auto"/>
              <w:rPr>
                <w:rFonts w:ascii="Rockwell" w:hAnsi="Rockwell"/>
                <w:sz w:val="16"/>
                <w:szCs w:val="16"/>
              </w:rPr>
            </w:pPr>
            <w:r>
              <w:rPr>
                <w:rFonts w:ascii="Rockwell" w:hAnsi="Rockwell"/>
                <w:b/>
                <w:color w:val="000000"/>
                <w:sz w:val="16"/>
                <w:szCs w:val="16"/>
              </w:rPr>
              <w:t>44 1/2</w:t>
            </w:r>
          </w:p>
        </w:tc>
        <w:tc>
          <w:tcPr>
            <w:tcW w:w="989" w:type="dxa"/>
            <w:shd w:val="clear" w:color="auto" w:fill="FFFFFF" w:themeFill="background1"/>
            <w:tcMar>
              <w:top w:w="0" w:type="dxa"/>
              <w:left w:w="108" w:type="dxa"/>
              <w:bottom w:w="0" w:type="dxa"/>
              <w:right w:w="108" w:type="dxa"/>
            </w:tcMar>
          </w:tcPr>
          <w:p w14:paraId="63134B03" w14:textId="77777777" w:rsidR="00284822" w:rsidRDefault="00F77BF8" w:rsidP="00EC515D">
            <w:pPr>
              <w:spacing w:line="240" w:lineRule="auto"/>
              <w:rPr>
                <w:rFonts w:ascii="Rockwell" w:hAnsi="Rockwell"/>
                <w:sz w:val="16"/>
                <w:szCs w:val="16"/>
              </w:rPr>
            </w:pPr>
            <w:r>
              <w:rPr>
                <w:rFonts w:ascii="Rockwell" w:hAnsi="Rockwell"/>
                <w:b/>
                <w:color w:val="000000"/>
                <w:sz w:val="16"/>
                <w:szCs w:val="16"/>
              </w:rPr>
              <w:t>100,00%</w:t>
            </w:r>
          </w:p>
        </w:tc>
        <w:tc>
          <w:tcPr>
            <w:tcW w:w="704" w:type="dxa"/>
            <w:shd w:val="clear" w:color="auto" w:fill="FFFFFF" w:themeFill="background1"/>
            <w:tcMar>
              <w:top w:w="0" w:type="dxa"/>
              <w:left w:w="108" w:type="dxa"/>
              <w:bottom w:w="0" w:type="dxa"/>
              <w:right w:w="108" w:type="dxa"/>
            </w:tcMar>
          </w:tcPr>
          <w:p w14:paraId="76319285" w14:textId="77777777" w:rsidR="00284822" w:rsidRDefault="00F77BF8" w:rsidP="00EC515D">
            <w:pPr>
              <w:spacing w:line="240" w:lineRule="auto"/>
              <w:rPr>
                <w:rFonts w:ascii="Rockwell" w:hAnsi="Rockwell"/>
                <w:sz w:val="16"/>
                <w:szCs w:val="16"/>
              </w:rPr>
            </w:pPr>
            <w:r>
              <w:rPr>
                <w:rFonts w:ascii="Rockwell" w:hAnsi="Rockwell"/>
                <w:b/>
                <w:color w:val="000000"/>
                <w:sz w:val="16"/>
                <w:szCs w:val="16"/>
              </w:rPr>
              <w:t>85</w:t>
            </w:r>
          </w:p>
        </w:tc>
        <w:tc>
          <w:tcPr>
            <w:tcW w:w="863" w:type="dxa"/>
            <w:shd w:val="clear" w:color="auto" w:fill="FFFFFF" w:themeFill="background1"/>
            <w:tcMar>
              <w:top w:w="0" w:type="dxa"/>
              <w:left w:w="108" w:type="dxa"/>
              <w:bottom w:w="0" w:type="dxa"/>
              <w:right w:w="108" w:type="dxa"/>
            </w:tcMar>
          </w:tcPr>
          <w:p w14:paraId="66CEEFC0" w14:textId="77777777" w:rsidR="00284822" w:rsidRDefault="00F77BF8" w:rsidP="00EC515D">
            <w:pPr>
              <w:spacing w:line="240" w:lineRule="auto"/>
              <w:rPr>
                <w:rFonts w:ascii="Rockwell" w:hAnsi="Rockwell"/>
                <w:sz w:val="16"/>
                <w:szCs w:val="16"/>
              </w:rPr>
            </w:pPr>
            <w:r>
              <w:rPr>
                <w:rFonts w:ascii="Rockwell" w:hAnsi="Rockwell"/>
                <w:b/>
                <w:color w:val="000000"/>
                <w:sz w:val="16"/>
                <w:szCs w:val="16"/>
              </w:rPr>
              <w:t>100,00%</w:t>
            </w:r>
          </w:p>
        </w:tc>
        <w:tc>
          <w:tcPr>
            <w:tcW w:w="714" w:type="dxa"/>
            <w:shd w:val="clear" w:color="auto" w:fill="FFFFFF" w:themeFill="background1"/>
            <w:tcMar>
              <w:top w:w="0" w:type="dxa"/>
              <w:left w:w="108" w:type="dxa"/>
              <w:bottom w:w="0" w:type="dxa"/>
              <w:right w:w="108" w:type="dxa"/>
            </w:tcMar>
          </w:tcPr>
          <w:p w14:paraId="2BD08745" w14:textId="77777777" w:rsidR="00284822" w:rsidRDefault="00F77BF8" w:rsidP="00EC515D">
            <w:pPr>
              <w:spacing w:line="240" w:lineRule="auto"/>
              <w:rPr>
                <w:rFonts w:ascii="Rockwell" w:hAnsi="Rockwell"/>
                <w:sz w:val="16"/>
                <w:szCs w:val="16"/>
              </w:rPr>
            </w:pPr>
            <w:r>
              <w:rPr>
                <w:rFonts w:ascii="Rockwell" w:hAnsi="Rockwell"/>
                <w:b/>
                <w:color w:val="000000"/>
                <w:sz w:val="16"/>
                <w:szCs w:val="16"/>
              </w:rPr>
              <w:t>65 1/6</w:t>
            </w:r>
          </w:p>
        </w:tc>
        <w:tc>
          <w:tcPr>
            <w:tcW w:w="709" w:type="dxa"/>
            <w:shd w:val="clear" w:color="auto" w:fill="FFFFFF" w:themeFill="background1"/>
            <w:tcMar>
              <w:top w:w="0" w:type="dxa"/>
              <w:left w:w="108" w:type="dxa"/>
              <w:bottom w:w="0" w:type="dxa"/>
              <w:right w:w="108" w:type="dxa"/>
            </w:tcMar>
          </w:tcPr>
          <w:p w14:paraId="79E238D5" w14:textId="77777777" w:rsidR="00284822" w:rsidRDefault="00F77BF8" w:rsidP="00EC515D">
            <w:pPr>
              <w:spacing w:line="240" w:lineRule="auto"/>
              <w:rPr>
                <w:rFonts w:ascii="Rockwell" w:hAnsi="Rockwell"/>
                <w:sz w:val="16"/>
                <w:szCs w:val="16"/>
              </w:rPr>
            </w:pPr>
            <w:r>
              <w:rPr>
                <w:rFonts w:ascii="Rockwell" w:hAnsi="Rockwell"/>
                <w:b/>
                <w:color w:val="000000"/>
                <w:sz w:val="16"/>
                <w:szCs w:val="16"/>
              </w:rPr>
              <w:t>100,00%</w:t>
            </w:r>
          </w:p>
        </w:tc>
        <w:tc>
          <w:tcPr>
            <w:tcW w:w="701" w:type="dxa"/>
            <w:shd w:val="clear" w:color="auto" w:fill="FFFFFF" w:themeFill="background1"/>
            <w:tcMar>
              <w:top w:w="0" w:type="dxa"/>
              <w:left w:w="108" w:type="dxa"/>
              <w:bottom w:w="0" w:type="dxa"/>
              <w:right w:w="108" w:type="dxa"/>
            </w:tcMar>
          </w:tcPr>
          <w:p w14:paraId="76AB2A41" w14:textId="77777777" w:rsidR="00284822" w:rsidRDefault="00F77BF8" w:rsidP="00EC515D">
            <w:pPr>
              <w:spacing w:line="240" w:lineRule="auto"/>
              <w:rPr>
                <w:rFonts w:ascii="Rockwell" w:hAnsi="Rockwell"/>
                <w:sz w:val="16"/>
                <w:szCs w:val="16"/>
              </w:rPr>
            </w:pPr>
            <w:r>
              <w:rPr>
                <w:rFonts w:ascii="Rockwell" w:hAnsi="Rockwell"/>
                <w:b/>
                <w:color w:val="000000"/>
                <w:sz w:val="16"/>
                <w:szCs w:val="16"/>
              </w:rPr>
              <w:t>116</w:t>
            </w:r>
          </w:p>
        </w:tc>
        <w:tc>
          <w:tcPr>
            <w:tcW w:w="863" w:type="dxa"/>
            <w:shd w:val="clear" w:color="auto" w:fill="FFFFFF" w:themeFill="background1"/>
            <w:tcMar>
              <w:top w:w="0" w:type="dxa"/>
              <w:left w:w="108" w:type="dxa"/>
              <w:bottom w:w="0" w:type="dxa"/>
              <w:right w:w="108" w:type="dxa"/>
            </w:tcMar>
          </w:tcPr>
          <w:p w14:paraId="1F80E897" w14:textId="77777777" w:rsidR="00284822" w:rsidRDefault="00F77BF8" w:rsidP="00EC515D">
            <w:pPr>
              <w:spacing w:line="240" w:lineRule="auto"/>
              <w:rPr>
                <w:rFonts w:ascii="Rockwell" w:hAnsi="Rockwell"/>
                <w:sz w:val="16"/>
                <w:szCs w:val="16"/>
              </w:rPr>
            </w:pPr>
            <w:r>
              <w:rPr>
                <w:rFonts w:ascii="Rockwell" w:hAnsi="Rockwell"/>
                <w:b/>
                <w:color w:val="000000"/>
                <w:sz w:val="16"/>
                <w:szCs w:val="16"/>
              </w:rPr>
              <w:t>100,00%</w:t>
            </w:r>
          </w:p>
        </w:tc>
        <w:tc>
          <w:tcPr>
            <w:tcW w:w="704" w:type="dxa"/>
            <w:shd w:val="clear" w:color="auto" w:fill="FFFFFF" w:themeFill="background1"/>
            <w:tcMar>
              <w:top w:w="0" w:type="dxa"/>
              <w:left w:w="108" w:type="dxa"/>
              <w:bottom w:w="0" w:type="dxa"/>
              <w:right w:w="108" w:type="dxa"/>
            </w:tcMar>
          </w:tcPr>
          <w:p w14:paraId="2F67AEC4" w14:textId="77777777" w:rsidR="00284822" w:rsidRDefault="00F77BF8" w:rsidP="00EC515D">
            <w:pPr>
              <w:spacing w:line="240" w:lineRule="auto"/>
              <w:rPr>
                <w:rFonts w:ascii="Rockwell" w:hAnsi="Rockwell"/>
                <w:sz w:val="16"/>
                <w:szCs w:val="16"/>
              </w:rPr>
            </w:pPr>
            <w:r>
              <w:rPr>
                <w:rFonts w:ascii="Rockwell" w:hAnsi="Rockwell"/>
                <w:b/>
                <w:color w:val="000000"/>
                <w:sz w:val="16"/>
                <w:szCs w:val="16"/>
              </w:rPr>
              <w:t>31 2/3</w:t>
            </w:r>
          </w:p>
        </w:tc>
        <w:tc>
          <w:tcPr>
            <w:tcW w:w="992" w:type="dxa"/>
            <w:shd w:val="clear" w:color="auto" w:fill="FFFFFF" w:themeFill="background1"/>
            <w:tcMar>
              <w:top w:w="0" w:type="dxa"/>
              <w:left w:w="108" w:type="dxa"/>
              <w:bottom w:w="0" w:type="dxa"/>
              <w:right w:w="108" w:type="dxa"/>
            </w:tcMar>
          </w:tcPr>
          <w:p w14:paraId="37A85ABD" w14:textId="77777777" w:rsidR="00284822" w:rsidRDefault="00F77BF8" w:rsidP="00EC515D">
            <w:pPr>
              <w:spacing w:line="240" w:lineRule="auto"/>
              <w:rPr>
                <w:rFonts w:ascii="Rockwell" w:hAnsi="Rockwell"/>
                <w:sz w:val="16"/>
                <w:szCs w:val="16"/>
              </w:rPr>
            </w:pPr>
            <w:r>
              <w:rPr>
                <w:rFonts w:ascii="Rockwell" w:hAnsi="Rockwell"/>
                <w:b/>
                <w:color w:val="000000"/>
                <w:sz w:val="16"/>
                <w:szCs w:val="16"/>
              </w:rPr>
              <w:t>100,00%</w:t>
            </w:r>
          </w:p>
        </w:tc>
        <w:tc>
          <w:tcPr>
            <w:tcW w:w="709" w:type="dxa"/>
            <w:shd w:val="clear" w:color="auto" w:fill="FFFFFF" w:themeFill="background1"/>
            <w:tcMar>
              <w:top w:w="0" w:type="dxa"/>
              <w:left w:w="108" w:type="dxa"/>
              <w:bottom w:w="0" w:type="dxa"/>
              <w:right w:w="108" w:type="dxa"/>
            </w:tcMar>
          </w:tcPr>
          <w:p w14:paraId="50ADCDB7" w14:textId="77777777" w:rsidR="00284822" w:rsidRDefault="00F77BF8" w:rsidP="00EC515D">
            <w:pPr>
              <w:spacing w:line="240" w:lineRule="auto"/>
              <w:rPr>
                <w:rFonts w:ascii="Rockwell" w:hAnsi="Rockwell"/>
                <w:sz w:val="16"/>
                <w:szCs w:val="16"/>
              </w:rPr>
            </w:pPr>
            <w:r>
              <w:rPr>
                <w:rFonts w:ascii="Rockwell" w:hAnsi="Rockwell"/>
                <w:b/>
                <w:color w:val="000000"/>
                <w:sz w:val="16"/>
                <w:szCs w:val="16"/>
              </w:rPr>
              <w:t>62</w:t>
            </w:r>
          </w:p>
        </w:tc>
        <w:tc>
          <w:tcPr>
            <w:tcW w:w="1276" w:type="dxa"/>
            <w:shd w:val="clear" w:color="auto" w:fill="FFFFFF" w:themeFill="background1"/>
            <w:tcMar>
              <w:top w:w="0" w:type="dxa"/>
              <w:left w:w="108" w:type="dxa"/>
              <w:bottom w:w="0" w:type="dxa"/>
              <w:right w:w="108" w:type="dxa"/>
            </w:tcMar>
          </w:tcPr>
          <w:p w14:paraId="36B9C324" w14:textId="77777777" w:rsidR="00284822" w:rsidRDefault="00F77BF8" w:rsidP="00EC515D">
            <w:pPr>
              <w:spacing w:line="240" w:lineRule="auto"/>
              <w:rPr>
                <w:rFonts w:ascii="Rockwell" w:hAnsi="Rockwell"/>
                <w:sz w:val="16"/>
                <w:szCs w:val="16"/>
              </w:rPr>
            </w:pPr>
            <w:r>
              <w:rPr>
                <w:rFonts w:ascii="Rockwell" w:hAnsi="Rockwell"/>
                <w:b/>
                <w:color w:val="000000"/>
                <w:sz w:val="16"/>
                <w:szCs w:val="16"/>
              </w:rPr>
              <w:t>100,00%</w:t>
            </w:r>
          </w:p>
        </w:tc>
      </w:tr>
    </w:tbl>
    <w:p w14:paraId="44DFE8FA" w14:textId="77777777" w:rsidR="00284822" w:rsidRDefault="00284822">
      <w:pPr>
        <w:tabs>
          <w:tab w:val="left" w:pos="5812"/>
        </w:tabs>
        <w:spacing w:before="120" w:after="120"/>
        <w:ind w:left="360"/>
        <w:rPr>
          <w:rFonts w:ascii="Rockwell" w:hAnsi="Rockwell"/>
          <w:szCs w:val="26"/>
        </w:rPr>
        <w:sectPr w:rsidR="00284822">
          <w:pgSz w:w="16838" w:h="11906" w:orient="landscape"/>
          <w:pgMar w:top="1418" w:right="1418" w:bottom="1418" w:left="1418" w:header="720" w:footer="720" w:gutter="0"/>
          <w:cols w:space="720"/>
        </w:sectPr>
      </w:pPr>
    </w:p>
    <w:tbl>
      <w:tblPr>
        <w:tblW w:w="15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10" w:type="dxa"/>
          <w:right w:w="10" w:type="dxa"/>
        </w:tblCellMar>
        <w:tblLook w:val="04A0" w:firstRow="1" w:lastRow="0" w:firstColumn="1" w:lastColumn="0" w:noHBand="0" w:noVBand="1"/>
      </w:tblPr>
      <w:tblGrid>
        <w:gridCol w:w="962"/>
        <w:gridCol w:w="2493"/>
        <w:gridCol w:w="965"/>
        <w:gridCol w:w="1107"/>
        <w:gridCol w:w="835"/>
        <w:gridCol w:w="972"/>
        <w:gridCol w:w="830"/>
        <w:gridCol w:w="967"/>
        <w:gridCol w:w="691"/>
        <w:gridCol w:w="973"/>
        <w:gridCol w:w="967"/>
        <w:gridCol w:w="1107"/>
        <w:gridCol w:w="968"/>
        <w:gridCol w:w="1522"/>
        <w:gridCol w:w="13"/>
      </w:tblGrid>
      <w:tr w:rsidR="00284822" w14:paraId="5E4D0EAF" w14:textId="77777777">
        <w:trPr>
          <w:trHeight w:val="410"/>
          <w:jc w:val="center"/>
        </w:trPr>
        <w:tc>
          <w:tcPr>
            <w:tcW w:w="963" w:type="dxa"/>
            <w:vMerge w:val="restart"/>
            <w:shd w:val="clear" w:color="auto" w:fill="9CC2E5" w:themeFill="accent1" w:themeFillTint="99"/>
            <w:noWrap/>
            <w:tcMar>
              <w:top w:w="0" w:type="dxa"/>
              <w:left w:w="108" w:type="dxa"/>
              <w:bottom w:w="0" w:type="dxa"/>
              <w:right w:w="108" w:type="dxa"/>
            </w:tcMar>
            <w:vAlign w:val="center"/>
          </w:tcPr>
          <w:p w14:paraId="3610028B" w14:textId="77777777" w:rsidR="00284822" w:rsidRDefault="00F77BF8">
            <w:pPr>
              <w:spacing w:line="240" w:lineRule="auto"/>
              <w:jc w:val="center"/>
              <w:rPr>
                <w:rFonts w:ascii="Rockwell" w:hAnsi="Rockwell"/>
                <w:b/>
                <w:bCs/>
                <w:sz w:val="18"/>
                <w:szCs w:val="18"/>
              </w:rPr>
            </w:pPr>
            <w:r>
              <w:rPr>
                <w:rFonts w:ascii="Rockwell" w:hAnsi="Rockwell"/>
                <w:b/>
                <w:bCs/>
                <w:sz w:val="18"/>
                <w:szCs w:val="18"/>
              </w:rPr>
              <w:lastRenderedPageBreak/>
              <w:t>RANG</w:t>
            </w:r>
          </w:p>
        </w:tc>
        <w:tc>
          <w:tcPr>
            <w:tcW w:w="2495" w:type="dxa"/>
            <w:vMerge w:val="restart"/>
            <w:shd w:val="clear" w:color="auto" w:fill="9CC2E5" w:themeFill="accent1" w:themeFillTint="99"/>
            <w:tcMar>
              <w:top w:w="0" w:type="dxa"/>
              <w:left w:w="108" w:type="dxa"/>
              <w:bottom w:w="0" w:type="dxa"/>
              <w:right w:w="108" w:type="dxa"/>
            </w:tcMar>
            <w:vAlign w:val="center"/>
          </w:tcPr>
          <w:p w14:paraId="1F3E6677" w14:textId="77777777" w:rsidR="00284822" w:rsidRDefault="00F77BF8">
            <w:pPr>
              <w:spacing w:line="240" w:lineRule="auto"/>
              <w:jc w:val="center"/>
              <w:rPr>
                <w:rFonts w:ascii="Rockwell" w:hAnsi="Rockwell"/>
                <w:b/>
                <w:bCs/>
                <w:color w:val="000000"/>
                <w:sz w:val="18"/>
                <w:szCs w:val="18"/>
              </w:rPr>
            </w:pPr>
            <w:r>
              <w:rPr>
                <w:rFonts w:ascii="Rockwell" w:hAnsi="Rockwell"/>
                <w:b/>
                <w:bCs/>
                <w:color w:val="000000"/>
                <w:sz w:val="18"/>
                <w:szCs w:val="18"/>
              </w:rPr>
              <w:t>ACTEURS POLITIQUES</w:t>
            </w:r>
          </w:p>
        </w:tc>
        <w:tc>
          <w:tcPr>
            <w:tcW w:w="3880" w:type="dxa"/>
            <w:gridSpan w:val="4"/>
            <w:shd w:val="clear" w:color="auto" w:fill="9CC2E5" w:themeFill="accent1" w:themeFillTint="99"/>
            <w:tcMar>
              <w:top w:w="0" w:type="dxa"/>
              <w:left w:w="108" w:type="dxa"/>
              <w:bottom w:w="0" w:type="dxa"/>
              <w:right w:w="108" w:type="dxa"/>
            </w:tcMar>
            <w:vAlign w:val="center"/>
          </w:tcPr>
          <w:p w14:paraId="37EDA026" w14:textId="77777777" w:rsidR="00284822" w:rsidRDefault="00F77BF8">
            <w:pPr>
              <w:spacing w:line="240" w:lineRule="auto"/>
              <w:jc w:val="center"/>
              <w:rPr>
                <w:rFonts w:ascii="Rockwell" w:hAnsi="Rockwell"/>
                <w:b/>
                <w:sz w:val="18"/>
                <w:szCs w:val="18"/>
              </w:rPr>
            </w:pPr>
            <w:r>
              <w:rPr>
                <w:rFonts w:ascii="Rockwell" w:hAnsi="Rockwell"/>
                <w:b/>
                <w:sz w:val="18"/>
                <w:szCs w:val="18"/>
              </w:rPr>
              <w:t>LE QUOTIDIEN</w:t>
            </w:r>
          </w:p>
        </w:tc>
        <w:tc>
          <w:tcPr>
            <w:tcW w:w="3461" w:type="dxa"/>
            <w:gridSpan w:val="4"/>
            <w:shd w:val="clear" w:color="auto" w:fill="9CC2E5" w:themeFill="accent1" w:themeFillTint="99"/>
            <w:tcMar>
              <w:top w:w="0" w:type="dxa"/>
              <w:left w:w="108" w:type="dxa"/>
              <w:bottom w:w="0" w:type="dxa"/>
              <w:right w:w="108" w:type="dxa"/>
            </w:tcMar>
            <w:vAlign w:val="center"/>
          </w:tcPr>
          <w:p w14:paraId="32259F22" w14:textId="77777777" w:rsidR="00284822" w:rsidRDefault="00F77BF8">
            <w:pPr>
              <w:spacing w:line="240" w:lineRule="auto"/>
              <w:jc w:val="center"/>
              <w:rPr>
                <w:rFonts w:ascii="Rockwell" w:hAnsi="Rockwell"/>
                <w:b/>
                <w:sz w:val="18"/>
                <w:szCs w:val="18"/>
              </w:rPr>
            </w:pPr>
            <w:r>
              <w:rPr>
                <w:rFonts w:ascii="Rockwell" w:hAnsi="Rockwell"/>
                <w:b/>
                <w:sz w:val="18"/>
                <w:szCs w:val="18"/>
              </w:rPr>
              <w:t>LE PAYS</w:t>
            </w:r>
          </w:p>
        </w:tc>
        <w:tc>
          <w:tcPr>
            <w:tcW w:w="4573" w:type="dxa"/>
            <w:gridSpan w:val="5"/>
            <w:shd w:val="clear" w:color="auto" w:fill="9CC2E5" w:themeFill="accent1" w:themeFillTint="99"/>
            <w:tcMar>
              <w:top w:w="0" w:type="dxa"/>
              <w:left w:w="10" w:type="dxa"/>
              <w:bottom w:w="0" w:type="dxa"/>
              <w:right w:w="10" w:type="dxa"/>
            </w:tcMar>
            <w:vAlign w:val="center"/>
          </w:tcPr>
          <w:p w14:paraId="6856A035" w14:textId="77777777" w:rsidR="00284822" w:rsidRDefault="00F77BF8">
            <w:pPr>
              <w:spacing w:line="240" w:lineRule="auto"/>
              <w:jc w:val="center"/>
              <w:rPr>
                <w:rFonts w:ascii="Rockwell" w:hAnsi="Rockwell"/>
                <w:b/>
                <w:sz w:val="18"/>
                <w:szCs w:val="18"/>
              </w:rPr>
            </w:pPr>
            <w:r>
              <w:rPr>
                <w:rFonts w:ascii="Rockwell" w:hAnsi="Rockwell"/>
                <w:b/>
                <w:sz w:val="18"/>
                <w:szCs w:val="18"/>
              </w:rPr>
              <w:t>TOTAL</w:t>
            </w:r>
          </w:p>
        </w:tc>
      </w:tr>
      <w:tr w:rsidR="00284822" w14:paraId="3277ACEC" w14:textId="77777777">
        <w:trPr>
          <w:gridAfter w:val="1"/>
          <w:wAfter w:w="13" w:type="dxa"/>
          <w:trHeight w:val="254"/>
          <w:jc w:val="center"/>
        </w:trPr>
        <w:tc>
          <w:tcPr>
            <w:tcW w:w="963" w:type="dxa"/>
            <w:vMerge/>
            <w:shd w:val="clear" w:color="auto" w:fill="FFFFFF" w:themeFill="background1"/>
            <w:noWrap/>
            <w:tcMar>
              <w:top w:w="0" w:type="dxa"/>
              <w:left w:w="108" w:type="dxa"/>
              <w:bottom w:w="0" w:type="dxa"/>
              <w:right w:w="108" w:type="dxa"/>
            </w:tcMar>
            <w:vAlign w:val="center"/>
          </w:tcPr>
          <w:p w14:paraId="4D392BF6" w14:textId="77777777" w:rsidR="00284822" w:rsidRDefault="00284822">
            <w:pPr>
              <w:spacing w:line="240" w:lineRule="auto"/>
              <w:rPr>
                <w:rFonts w:ascii="Rockwell" w:hAnsi="Rockwell"/>
                <w:b/>
                <w:bCs/>
                <w:sz w:val="18"/>
                <w:szCs w:val="18"/>
              </w:rPr>
            </w:pPr>
          </w:p>
        </w:tc>
        <w:tc>
          <w:tcPr>
            <w:tcW w:w="2495" w:type="dxa"/>
            <w:vMerge/>
            <w:shd w:val="clear" w:color="auto" w:fill="FFFFFF" w:themeFill="background1"/>
            <w:tcMar>
              <w:top w:w="0" w:type="dxa"/>
              <w:left w:w="108" w:type="dxa"/>
              <w:bottom w:w="0" w:type="dxa"/>
              <w:right w:w="108" w:type="dxa"/>
            </w:tcMar>
            <w:vAlign w:val="center"/>
          </w:tcPr>
          <w:p w14:paraId="255854C9" w14:textId="77777777" w:rsidR="00284822" w:rsidRDefault="00284822">
            <w:pPr>
              <w:spacing w:line="240" w:lineRule="auto"/>
              <w:rPr>
                <w:rFonts w:ascii="Rockwell" w:hAnsi="Rockwell"/>
                <w:sz w:val="18"/>
                <w:szCs w:val="18"/>
              </w:rPr>
            </w:pPr>
          </w:p>
        </w:tc>
        <w:tc>
          <w:tcPr>
            <w:tcW w:w="966" w:type="dxa"/>
            <w:shd w:val="clear" w:color="auto" w:fill="9CC2E5" w:themeFill="accent1" w:themeFillTint="99"/>
            <w:tcMar>
              <w:top w:w="0" w:type="dxa"/>
              <w:left w:w="108" w:type="dxa"/>
              <w:bottom w:w="0" w:type="dxa"/>
              <w:right w:w="108" w:type="dxa"/>
            </w:tcMar>
            <w:vAlign w:val="center"/>
          </w:tcPr>
          <w:p w14:paraId="48B96362"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NP</w:t>
            </w:r>
          </w:p>
        </w:tc>
        <w:tc>
          <w:tcPr>
            <w:tcW w:w="1107" w:type="dxa"/>
            <w:shd w:val="clear" w:color="auto" w:fill="9CC2E5" w:themeFill="accent1" w:themeFillTint="99"/>
            <w:tcMar>
              <w:top w:w="0" w:type="dxa"/>
              <w:left w:w="108" w:type="dxa"/>
              <w:bottom w:w="0" w:type="dxa"/>
              <w:right w:w="108" w:type="dxa"/>
            </w:tcMar>
            <w:vAlign w:val="center"/>
          </w:tcPr>
          <w:p w14:paraId="0B268191"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 NP</w:t>
            </w:r>
          </w:p>
        </w:tc>
        <w:tc>
          <w:tcPr>
            <w:tcW w:w="835" w:type="dxa"/>
            <w:shd w:val="clear" w:color="auto" w:fill="9CC2E5" w:themeFill="accent1" w:themeFillTint="99"/>
            <w:tcMar>
              <w:top w:w="0" w:type="dxa"/>
              <w:left w:w="108" w:type="dxa"/>
              <w:bottom w:w="0" w:type="dxa"/>
              <w:right w:w="108" w:type="dxa"/>
            </w:tcMar>
            <w:vAlign w:val="center"/>
          </w:tcPr>
          <w:p w14:paraId="5F455EC8"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NI</w:t>
            </w:r>
          </w:p>
        </w:tc>
        <w:tc>
          <w:tcPr>
            <w:tcW w:w="970" w:type="dxa"/>
            <w:shd w:val="clear" w:color="auto" w:fill="9CC2E5" w:themeFill="accent1" w:themeFillTint="99"/>
            <w:tcMar>
              <w:top w:w="0" w:type="dxa"/>
              <w:left w:w="108" w:type="dxa"/>
              <w:bottom w:w="0" w:type="dxa"/>
              <w:right w:w="108" w:type="dxa"/>
            </w:tcMar>
            <w:vAlign w:val="center"/>
          </w:tcPr>
          <w:p w14:paraId="035206F6"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 NI</w:t>
            </w:r>
          </w:p>
        </w:tc>
        <w:tc>
          <w:tcPr>
            <w:tcW w:w="830" w:type="dxa"/>
            <w:shd w:val="clear" w:color="auto" w:fill="9CC2E5" w:themeFill="accent1" w:themeFillTint="99"/>
            <w:tcMar>
              <w:top w:w="0" w:type="dxa"/>
              <w:left w:w="108" w:type="dxa"/>
              <w:bottom w:w="0" w:type="dxa"/>
              <w:right w:w="108" w:type="dxa"/>
            </w:tcMar>
            <w:vAlign w:val="center"/>
          </w:tcPr>
          <w:p w14:paraId="7CE1B8D8"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NP</w:t>
            </w:r>
          </w:p>
        </w:tc>
        <w:tc>
          <w:tcPr>
            <w:tcW w:w="967" w:type="dxa"/>
            <w:shd w:val="clear" w:color="auto" w:fill="9CC2E5" w:themeFill="accent1" w:themeFillTint="99"/>
            <w:tcMar>
              <w:top w:w="0" w:type="dxa"/>
              <w:left w:w="108" w:type="dxa"/>
              <w:bottom w:w="0" w:type="dxa"/>
              <w:right w:w="108" w:type="dxa"/>
            </w:tcMar>
            <w:vAlign w:val="center"/>
          </w:tcPr>
          <w:p w14:paraId="7A7D407C"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 NP</w:t>
            </w:r>
          </w:p>
        </w:tc>
        <w:tc>
          <w:tcPr>
            <w:tcW w:w="691" w:type="dxa"/>
            <w:shd w:val="clear" w:color="auto" w:fill="9CC2E5" w:themeFill="accent1" w:themeFillTint="99"/>
            <w:tcMar>
              <w:top w:w="0" w:type="dxa"/>
              <w:left w:w="108" w:type="dxa"/>
              <w:bottom w:w="0" w:type="dxa"/>
              <w:right w:w="108" w:type="dxa"/>
            </w:tcMar>
            <w:vAlign w:val="center"/>
          </w:tcPr>
          <w:p w14:paraId="321FDC4B"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NI</w:t>
            </w:r>
          </w:p>
        </w:tc>
        <w:tc>
          <w:tcPr>
            <w:tcW w:w="971" w:type="dxa"/>
            <w:shd w:val="clear" w:color="auto" w:fill="9CC2E5" w:themeFill="accent1" w:themeFillTint="99"/>
            <w:tcMar>
              <w:top w:w="0" w:type="dxa"/>
              <w:left w:w="108" w:type="dxa"/>
              <w:bottom w:w="0" w:type="dxa"/>
              <w:right w:w="108" w:type="dxa"/>
            </w:tcMar>
            <w:vAlign w:val="center"/>
          </w:tcPr>
          <w:p w14:paraId="0B52FDD8"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 NI</w:t>
            </w:r>
          </w:p>
        </w:tc>
        <w:tc>
          <w:tcPr>
            <w:tcW w:w="967" w:type="dxa"/>
            <w:shd w:val="clear" w:color="auto" w:fill="9CC2E5" w:themeFill="accent1" w:themeFillTint="99"/>
            <w:tcMar>
              <w:top w:w="0" w:type="dxa"/>
              <w:left w:w="108" w:type="dxa"/>
              <w:bottom w:w="0" w:type="dxa"/>
              <w:right w:w="108" w:type="dxa"/>
            </w:tcMar>
            <w:vAlign w:val="center"/>
          </w:tcPr>
          <w:p w14:paraId="09E0FDB8"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NP</w:t>
            </w:r>
          </w:p>
        </w:tc>
        <w:tc>
          <w:tcPr>
            <w:tcW w:w="1107" w:type="dxa"/>
            <w:shd w:val="clear" w:color="auto" w:fill="9CC2E5" w:themeFill="accent1" w:themeFillTint="99"/>
            <w:tcMar>
              <w:top w:w="0" w:type="dxa"/>
              <w:left w:w="108" w:type="dxa"/>
              <w:bottom w:w="0" w:type="dxa"/>
              <w:right w:w="108" w:type="dxa"/>
            </w:tcMar>
            <w:vAlign w:val="center"/>
          </w:tcPr>
          <w:p w14:paraId="177242CE" w14:textId="77777777" w:rsidR="00284822" w:rsidRDefault="00F77BF8">
            <w:pPr>
              <w:spacing w:line="240" w:lineRule="auto"/>
              <w:rPr>
                <w:rFonts w:ascii="Rockwell" w:hAnsi="Rockwell"/>
                <w:b/>
                <w:bCs/>
                <w:color w:val="000000"/>
                <w:sz w:val="18"/>
                <w:szCs w:val="18"/>
              </w:rPr>
            </w:pPr>
            <w:r>
              <w:rPr>
                <w:rFonts w:ascii="Rockwell" w:hAnsi="Rockwell"/>
                <w:b/>
                <w:bCs/>
                <w:color w:val="000000"/>
                <w:sz w:val="18"/>
                <w:szCs w:val="18"/>
              </w:rPr>
              <w:t>% NP</w:t>
            </w:r>
          </w:p>
        </w:tc>
        <w:tc>
          <w:tcPr>
            <w:tcW w:w="968" w:type="dxa"/>
            <w:shd w:val="clear" w:color="auto" w:fill="9CC2E5" w:themeFill="accent1" w:themeFillTint="99"/>
            <w:tcMar>
              <w:top w:w="0" w:type="dxa"/>
              <w:left w:w="108" w:type="dxa"/>
              <w:bottom w:w="0" w:type="dxa"/>
              <w:right w:w="108" w:type="dxa"/>
            </w:tcMar>
            <w:vAlign w:val="center"/>
          </w:tcPr>
          <w:p w14:paraId="15798CD7" w14:textId="77777777" w:rsidR="00284822" w:rsidRDefault="00F77BF8">
            <w:pPr>
              <w:spacing w:line="240" w:lineRule="auto"/>
              <w:rPr>
                <w:rFonts w:ascii="Rockwell" w:hAnsi="Rockwell"/>
                <w:b/>
                <w:bCs/>
                <w:color w:val="000000"/>
                <w:sz w:val="18"/>
                <w:szCs w:val="18"/>
              </w:rPr>
            </w:pPr>
            <w:r>
              <w:rPr>
                <w:rFonts w:ascii="Rockwell" w:hAnsi="Rockwell"/>
                <w:b/>
                <w:bCs/>
                <w:color w:val="000000"/>
                <w:sz w:val="18"/>
                <w:szCs w:val="18"/>
              </w:rPr>
              <w:t>NI</w:t>
            </w:r>
          </w:p>
        </w:tc>
        <w:tc>
          <w:tcPr>
            <w:tcW w:w="1522" w:type="dxa"/>
            <w:shd w:val="clear" w:color="auto" w:fill="9CC2E5" w:themeFill="accent1" w:themeFillTint="99"/>
            <w:tcMar>
              <w:top w:w="0" w:type="dxa"/>
              <w:left w:w="108" w:type="dxa"/>
              <w:bottom w:w="0" w:type="dxa"/>
              <w:right w:w="108" w:type="dxa"/>
            </w:tcMar>
            <w:vAlign w:val="center"/>
          </w:tcPr>
          <w:p w14:paraId="731CC9D4" w14:textId="77777777" w:rsidR="00284822" w:rsidRDefault="00F77BF8">
            <w:pPr>
              <w:spacing w:line="240" w:lineRule="auto"/>
              <w:rPr>
                <w:rFonts w:ascii="Rockwell" w:hAnsi="Rockwell"/>
                <w:b/>
                <w:bCs/>
                <w:color w:val="000000"/>
                <w:sz w:val="18"/>
                <w:szCs w:val="18"/>
              </w:rPr>
            </w:pPr>
            <w:r>
              <w:rPr>
                <w:rFonts w:ascii="Rockwell" w:hAnsi="Rockwell"/>
                <w:b/>
                <w:bCs/>
                <w:color w:val="000000"/>
                <w:sz w:val="18"/>
                <w:szCs w:val="18"/>
              </w:rPr>
              <w:t>% NI</w:t>
            </w:r>
          </w:p>
        </w:tc>
      </w:tr>
      <w:tr w:rsidR="00284822" w14:paraId="465657EA" w14:textId="77777777">
        <w:trPr>
          <w:gridAfter w:val="1"/>
          <w:wAfter w:w="13" w:type="dxa"/>
          <w:trHeight w:val="475"/>
          <w:jc w:val="center"/>
        </w:trPr>
        <w:tc>
          <w:tcPr>
            <w:tcW w:w="963" w:type="dxa"/>
            <w:shd w:val="clear" w:color="auto" w:fill="FFFFFF" w:themeFill="background1"/>
            <w:noWrap/>
            <w:tcMar>
              <w:top w:w="0" w:type="dxa"/>
              <w:left w:w="108" w:type="dxa"/>
              <w:bottom w:w="0" w:type="dxa"/>
              <w:right w:w="108" w:type="dxa"/>
            </w:tcMar>
          </w:tcPr>
          <w:p w14:paraId="3431AA95"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1</w:t>
            </w:r>
          </w:p>
        </w:tc>
        <w:tc>
          <w:tcPr>
            <w:tcW w:w="2495" w:type="dxa"/>
            <w:shd w:val="clear" w:color="auto" w:fill="FFFFFF" w:themeFill="background1"/>
            <w:tcMar>
              <w:top w:w="0" w:type="dxa"/>
              <w:left w:w="108" w:type="dxa"/>
              <w:bottom w:w="0" w:type="dxa"/>
              <w:right w:w="108" w:type="dxa"/>
            </w:tcMar>
          </w:tcPr>
          <w:p w14:paraId="7069EF97"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ADF/RDA</w:t>
            </w:r>
          </w:p>
        </w:tc>
        <w:tc>
          <w:tcPr>
            <w:tcW w:w="966" w:type="dxa"/>
            <w:shd w:val="clear" w:color="auto" w:fill="FFFFFF" w:themeFill="background1"/>
            <w:tcMar>
              <w:top w:w="0" w:type="dxa"/>
              <w:left w:w="108" w:type="dxa"/>
              <w:bottom w:w="0" w:type="dxa"/>
              <w:right w:w="108" w:type="dxa"/>
            </w:tcMar>
            <w:vAlign w:val="center"/>
          </w:tcPr>
          <w:p w14:paraId="2B196F6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3 1/2</w:t>
            </w:r>
          </w:p>
        </w:tc>
        <w:tc>
          <w:tcPr>
            <w:tcW w:w="1107" w:type="dxa"/>
            <w:shd w:val="clear" w:color="auto" w:fill="FFFFFF" w:themeFill="background1"/>
            <w:tcMar>
              <w:top w:w="0" w:type="dxa"/>
              <w:left w:w="108" w:type="dxa"/>
              <w:bottom w:w="0" w:type="dxa"/>
              <w:right w:w="108" w:type="dxa"/>
            </w:tcMar>
            <w:vAlign w:val="center"/>
          </w:tcPr>
          <w:p w14:paraId="09D3FD38"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3,87%</w:t>
            </w:r>
          </w:p>
        </w:tc>
        <w:tc>
          <w:tcPr>
            <w:tcW w:w="835" w:type="dxa"/>
            <w:shd w:val="clear" w:color="auto" w:fill="FFFFFF" w:themeFill="background1"/>
            <w:tcMar>
              <w:top w:w="0" w:type="dxa"/>
              <w:left w:w="108" w:type="dxa"/>
              <w:bottom w:w="0" w:type="dxa"/>
              <w:right w:w="108" w:type="dxa"/>
            </w:tcMar>
            <w:vAlign w:val="center"/>
          </w:tcPr>
          <w:p w14:paraId="24A5FA4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4</w:t>
            </w:r>
          </w:p>
        </w:tc>
        <w:tc>
          <w:tcPr>
            <w:tcW w:w="970" w:type="dxa"/>
            <w:shd w:val="clear" w:color="auto" w:fill="FFFFFF" w:themeFill="background1"/>
            <w:tcMar>
              <w:top w:w="0" w:type="dxa"/>
              <w:left w:w="108" w:type="dxa"/>
              <w:bottom w:w="0" w:type="dxa"/>
              <w:right w:w="108" w:type="dxa"/>
            </w:tcMar>
            <w:vAlign w:val="center"/>
          </w:tcPr>
          <w:p w14:paraId="0E803537"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2,47%</w:t>
            </w:r>
          </w:p>
        </w:tc>
        <w:tc>
          <w:tcPr>
            <w:tcW w:w="830" w:type="dxa"/>
            <w:shd w:val="clear" w:color="auto" w:fill="FFFFFF" w:themeFill="background1"/>
            <w:tcMar>
              <w:top w:w="0" w:type="dxa"/>
              <w:left w:w="108" w:type="dxa"/>
              <w:bottom w:w="0" w:type="dxa"/>
              <w:right w:w="108" w:type="dxa"/>
            </w:tcMar>
            <w:vAlign w:val="center"/>
          </w:tcPr>
          <w:p w14:paraId="67863F44"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3 2/3</w:t>
            </w:r>
          </w:p>
        </w:tc>
        <w:tc>
          <w:tcPr>
            <w:tcW w:w="967" w:type="dxa"/>
            <w:shd w:val="clear" w:color="auto" w:fill="FFFFFF" w:themeFill="background1"/>
            <w:tcMar>
              <w:top w:w="0" w:type="dxa"/>
              <w:left w:w="108" w:type="dxa"/>
              <w:bottom w:w="0" w:type="dxa"/>
              <w:right w:w="108" w:type="dxa"/>
            </w:tcMar>
            <w:vAlign w:val="center"/>
          </w:tcPr>
          <w:p w14:paraId="24360E1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2,58%</w:t>
            </w:r>
          </w:p>
        </w:tc>
        <w:tc>
          <w:tcPr>
            <w:tcW w:w="691" w:type="dxa"/>
            <w:shd w:val="clear" w:color="auto" w:fill="FFFFFF" w:themeFill="background1"/>
            <w:tcMar>
              <w:top w:w="0" w:type="dxa"/>
              <w:left w:w="108" w:type="dxa"/>
              <w:bottom w:w="0" w:type="dxa"/>
              <w:right w:w="108" w:type="dxa"/>
            </w:tcMar>
            <w:vAlign w:val="center"/>
          </w:tcPr>
          <w:p w14:paraId="48C6470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5</w:t>
            </w:r>
          </w:p>
        </w:tc>
        <w:tc>
          <w:tcPr>
            <w:tcW w:w="971" w:type="dxa"/>
            <w:shd w:val="clear" w:color="auto" w:fill="FFFFFF" w:themeFill="background1"/>
            <w:tcMar>
              <w:top w:w="0" w:type="dxa"/>
              <w:left w:w="108" w:type="dxa"/>
              <w:bottom w:w="0" w:type="dxa"/>
              <w:right w:w="108" w:type="dxa"/>
            </w:tcMar>
            <w:vAlign w:val="center"/>
          </w:tcPr>
          <w:p w14:paraId="79A0328E"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2,11%</w:t>
            </w:r>
          </w:p>
        </w:tc>
        <w:tc>
          <w:tcPr>
            <w:tcW w:w="967" w:type="dxa"/>
            <w:shd w:val="clear" w:color="auto" w:fill="FFFFFF" w:themeFill="background1"/>
            <w:tcMar>
              <w:top w:w="0" w:type="dxa"/>
              <w:left w:w="108" w:type="dxa"/>
              <w:bottom w:w="0" w:type="dxa"/>
              <w:right w:w="108" w:type="dxa"/>
            </w:tcMar>
            <w:vAlign w:val="center"/>
          </w:tcPr>
          <w:p w14:paraId="11C06F52" w14:textId="77777777" w:rsidR="00284822" w:rsidRDefault="00F77BF8">
            <w:pPr>
              <w:spacing w:line="240" w:lineRule="auto"/>
              <w:rPr>
                <w:rFonts w:ascii="Rockwell" w:hAnsi="Rockwell"/>
                <w:b/>
                <w:bCs/>
                <w:sz w:val="18"/>
                <w:szCs w:val="18"/>
              </w:rPr>
            </w:pPr>
            <w:r>
              <w:rPr>
                <w:rFonts w:ascii="Rockwell" w:hAnsi="Rockwell"/>
                <w:b/>
                <w:bCs/>
                <w:sz w:val="18"/>
                <w:szCs w:val="18"/>
              </w:rPr>
              <w:t>12 1/2</w:t>
            </w:r>
          </w:p>
        </w:tc>
        <w:tc>
          <w:tcPr>
            <w:tcW w:w="1107" w:type="dxa"/>
            <w:shd w:val="clear" w:color="auto" w:fill="FFFFFF" w:themeFill="background1"/>
            <w:tcMar>
              <w:top w:w="0" w:type="dxa"/>
              <w:left w:w="108" w:type="dxa"/>
              <w:bottom w:w="0" w:type="dxa"/>
              <w:right w:w="108" w:type="dxa"/>
            </w:tcMar>
            <w:vAlign w:val="center"/>
          </w:tcPr>
          <w:p w14:paraId="1E7B487A" w14:textId="77777777" w:rsidR="00284822" w:rsidRDefault="00F77BF8">
            <w:pPr>
              <w:spacing w:line="240" w:lineRule="auto"/>
              <w:rPr>
                <w:rFonts w:ascii="Rockwell" w:hAnsi="Rockwell"/>
                <w:b/>
                <w:bCs/>
                <w:sz w:val="18"/>
                <w:szCs w:val="18"/>
              </w:rPr>
            </w:pPr>
            <w:r>
              <w:rPr>
                <w:rFonts w:ascii="Rockwell" w:hAnsi="Rockwell"/>
                <w:b/>
                <w:bCs/>
                <w:sz w:val="18"/>
                <w:szCs w:val="18"/>
              </w:rPr>
              <w:t>2,91%</w:t>
            </w:r>
          </w:p>
        </w:tc>
        <w:tc>
          <w:tcPr>
            <w:tcW w:w="968" w:type="dxa"/>
            <w:shd w:val="clear" w:color="auto" w:fill="FFFFFF" w:themeFill="background1"/>
            <w:tcMar>
              <w:top w:w="0" w:type="dxa"/>
              <w:left w:w="108" w:type="dxa"/>
              <w:bottom w:w="0" w:type="dxa"/>
              <w:right w:w="108" w:type="dxa"/>
            </w:tcMar>
            <w:vAlign w:val="center"/>
          </w:tcPr>
          <w:p w14:paraId="7A981FD2" w14:textId="77777777" w:rsidR="00284822" w:rsidRDefault="00F77BF8">
            <w:pPr>
              <w:spacing w:line="240" w:lineRule="auto"/>
              <w:rPr>
                <w:rFonts w:ascii="Rockwell" w:hAnsi="Rockwell"/>
                <w:b/>
                <w:bCs/>
                <w:sz w:val="18"/>
                <w:szCs w:val="18"/>
              </w:rPr>
            </w:pPr>
            <w:r>
              <w:rPr>
                <w:rFonts w:ascii="Rockwell" w:hAnsi="Rockwell"/>
                <w:b/>
                <w:bCs/>
                <w:sz w:val="18"/>
                <w:szCs w:val="18"/>
              </w:rPr>
              <w:t>20</w:t>
            </w:r>
          </w:p>
        </w:tc>
        <w:tc>
          <w:tcPr>
            <w:tcW w:w="1522" w:type="dxa"/>
            <w:shd w:val="clear" w:color="auto" w:fill="FFFFFF" w:themeFill="background1"/>
            <w:tcMar>
              <w:top w:w="0" w:type="dxa"/>
              <w:left w:w="108" w:type="dxa"/>
              <w:bottom w:w="0" w:type="dxa"/>
              <w:right w:w="108" w:type="dxa"/>
            </w:tcMar>
            <w:vAlign w:val="center"/>
          </w:tcPr>
          <w:p w14:paraId="3909C1A3" w14:textId="77777777" w:rsidR="00284822" w:rsidRDefault="00F77BF8">
            <w:pPr>
              <w:spacing w:line="240" w:lineRule="auto"/>
              <w:rPr>
                <w:rFonts w:ascii="Rockwell" w:hAnsi="Rockwell"/>
                <w:b/>
                <w:bCs/>
                <w:sz w:val="18"/>
                <w:szCs w:val="18"/>
              </w:rPr>
            </w:pPr>
            <w:r>
              <w:rPr>
                <w:rFonts w:ascii="Rockwell" w:hAnsi="Rockwell"/>
                <w:b/>
                <w:bCs/>
                <w:sz w:val="18"/>
                <w:szCs w:val="18"/>
              </w:rPr>
              <w:t>2,66%</w:t>
            </w:r>
          </w:p>
        </w:tc>
      </w:tr>
      <w:tr w:rsidR="00284822" w14:paraId="0A887E2F" w14:textId="77777777">
        <w:trPr>
          <w:gridAfter w:val="1"/>
          <w:wAfter w:w="13" w:type="dxa"/>
          <w:trHeight w:val="164"/>
          <w:jc w:val="center"/>
        </w:trPr>
        <w:tc>
          <w:tcPr>
            <w:tcW w:w="963" w:type="dxa"/>
            <w:shd w:val="clear" w:color="auto" w:fill="FFFFFF" w:themeFill="background1"/>
            <w:noWrap/>
            <w:tcMar>
              <w:top w:w="0" w:type="dxa"/>
              <w:left w:w="108" w:type="dxa"/>
              <w:bottom w:w="0" w:type="dxa"/>
              <w:right w:w="108" w:type="dxa"/>
            </w:tcMar>
          </w:tcPr>
          <w:p w14:paraId="797793B5"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2</w:t>
            </w:r>
          </w:p>
        </w:tc>
        <w:tc>
          <w:tcPr>
            <w:tcW w:w="2495" w:type="dxa"/>
            <w:shd w:val="clear" w:color="auto" w:fill="FFFFFF" w:themeFill="background1"/>
            <w:tcMar>
              <w:top w:w="0" w:type="dxa"/>
              <w:left w:w="108" w:type="dxa"/>
              <w:bottom w:w="0" w:type="dxa"/>
              <w:right w:w="108" w:type="dxa"/>
            </w:tcMar>
          </w:tcPr>
          <w:p w14:paraId="7B6A6F93"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ADP</w:t>
            </w:r>
          </w:p>
        </w:tc>
        <w:tc>
          <w:tcPr>
            <w:tcW w:w="966" w:type="dxa"/>
            <w:shd w:val="clear" w:color="auto" w:fill="FFFFFF" w:themeFill="background1"/>
            <w:tcMar>
              <w:top w:w="0" w:type="dxa"/>
              <w:left w:w="108" w:type="dxa"/>
              <w:bottom w:w="0" w:type="dxa"/>
              <w:right w:w="108" w:type="dxa"/>
            </w:tcMar>
            <w:vAlign w:val="center"/>
          </w:tcPr>
          <w:p w14:paraId="3D475F1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w:t>
            </w:r>
          </w:p>
        </w:tc>
        <w:tc>
          <w:tcPr>
            <w:tcW w:w="1107" w:type="dxa"/>
            <w:shd w:val="clear" w:color="auto" w:fill="FFFFFF" w:themeFill="background1"/>
            <w:tcMar>
              <w:top w:w="0" w:type="dxa"/>
              <w:left w:w="108" w:type="dxa"/>
              <w:bottom w:w="0" w:type="dxa"/>
              <w:right w:w="108" w:type="dxa"/>
            </w:tcMar>
            <w:vAlign w:val="center"/>
          </w:tcPr>
          <w:p w14:paraId="7618364B"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1,10%</w:t>
            </w:r>
          </w:p>
        </w:tc>
        <w:tc>
          <w:tcPr>
            <w:tcW w:w="835" w:type="dxa"/>
            <w:shd w:val="clear" w:color="auto" w:fill="FFFFFF" w:themeFill="background1"/>
            <w:tcMar>
              <w:top w:w="0" w:type="dxa"/>
              <w:left w:w="108" w:type="dxa"/>
              <w:bottom w:w="0" w:type="dxa"/>
              <w:right w:w="108" w:type="dxa"/>
            </w:tcMar>
            <w:vAlign w:val="center"/>
          </w:tcPr>
          <w:p w14:paraId="19E7D0E3"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w:t>
            </w:r>
          </w:p>
        </w:tc>
        <w:tc>
          <w:tcPr>
            <w:tcW w:w="970" w:type="dxa"/>
            <w:shd w:val="clear" w:color="auto" w:fill="FFFFFF" w:themeFill="background1"/>
            <w:tcMar>
              <w:top w:w="0" w:type="dxa"/>
              <w:left w:w="108" w:type="dxa"/>
              <w:bottom w:w="0" w:type="dxa"/>
              <w:right w:w="108" w:type="dxa"/>
            </w:tcMar>
            <w:vAlign w:val="center"/>
          </w:tcPr>
          <w:p w14:paraId="6D454ED5"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1,23%</w:t>
            </w:r>
          </w:p>
        </w:tc>
        <w:tc>
          <w:tcPr>
            <w:tcW w:w="830" w:type="dxa"/>
            <w:shd w:val="clear" w:color="auto" w:fill="FFFFFF" w:themeFill="background1"/>
            <w:tcMar>
              <w:top w:w="0" w:type="dxa"/>
              <w:left w:w="108" w:type="dxa"/>
              <w:bottom w:w="0" w:type="dxa"/>
              <w:right w:w="108" w:type="dxa"/>
            </w:tcMar>
            <w:vAlign w:val="center"/>
          </w:tcPr>
          <w:p w14:paraId="16EE2E54"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1/6</w:t>
            </w:r>
          </w:p>
        </w:tc>
        <w:tc>
          <w:tcPr>
            <w:tcW w:w="967" w:type="dxa"/>
            <w:shd w:val="clear" w:color="auto" w:fill="FFFFFF" w:themeFill="background1"/>
            <w:tcMar>
              <w:top w:w="0" w:type="dxa"/>
              <w:left w:w="108" w:type="dxa"/>
              <w:bottom w:w="0" w:type="dxa"/>
              <w:right w:w="108" w:type="dxa"/>
            </w:tcMar>
            <w:vAlign w:val="center"/>
          </w:tcPr>
          <w:p w14:paraId="4A74043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0,12%</w:t>
            </w:r>
          </w:p>
        </w:tc>
        <w:tc>
          <w:tcPr>
            <w:tcW w:w="691" w:type="dxa"/>
            <w:shd w:val="clear" w:color="auto" w:fill="FFFFFF" w:themeFill="background1"/>
            <w:tcMar>
              <w:top w:w="0" w:type="dxa"/>
              <w:left w:w="108" w:type="dxa"/>
              <w:bottom w:w="0" w:type="dxa"/>
              <w:right w:w="108" w:type="dxa"/>
            </w:tcMar>
            <w:vAlign w:val="center"/>
          </w:tcPr>
          <w:p w14:paraId="5FD17DB4"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w:t>
            </w:r>
          </w:p>
        </w:tc>
        <w:tc>
          <w:tcPr>
            <w:tcW w:w="971" w:type="dxa"/>
            <w:shd w:val="clear" w:color="auto" w:fill="FFFFFF" w:themeFill="background1"/>
            <w:tcMar>
              <w:top w:w="0" w:type="dxa"/>
              <w:left w:w="108" w:type="dxa"/>
              <w:bottom w:w="0" w:type="dxa"/>
              <w:right w:w="108" w:type="dxa"/>
            </w:tcMar>
            <w:vAlign w:val="center"/>
          </w:tcPr>
          <w:p w14:paraId="02D03B2F"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0,42%</w:t>
            </w:r>
          </w:p>
        </w:tc>
        <w:tc>
          <w:tcPr>
            <w:tcW w:w="967" w:type="dxa"/>
            <w:shd w:val="clear" w:color="auto" w:fill="FFFFFF" w:themeFill="background1"/>
            <w:tcMar>
              <w:top w:w="0" w:type="dxa"/>
              <w:left w:w="108" w:type="dxa"/>
              <w:bottom w:w="0" w:type="dxa"/>
              <w:right w:w="108" w:type="dxa"/>
            </w:tcMar>
            <w:vAlign w:val="center"/>
          </w:tcPr>
          <w:p w14:paraId="097B36EB" w14:textId="77777777" w:rsidR="00284822" w:rsidRDefault="00F77BF8">
            <w:pPr>
              <w:spacing w:line="240" w:lineRule="auto"/>
              <w:rPr>
                <w:rFonts w:ascii="Rockwell" w:hAnsi="Rockwell"/>
                <w:b/>
                <w:bCs/>
                <w:sz w:val="18"/>
                <w:szCs w:val="18"/>
              </w:rPr>
            </w:pPr>
            <w:r>
              <w:rPr>
                <w:rFonts w:ascii="Rockwell" w:hAnsi="Rockwell"/>
                <w:b/>
                <w:bCs/>
                <w:sz w:val="18"/>
                <w:szCs w:val="18"/>
              </w:rPr>
              <w:t>2 1/6</w:t>
            </w:r>
          </w:p>
        </w:tc>
        <w:tc>
          <w:tcPr>
            <w:tcW w:w="1107" w:type="dxa"/>
            <w:shd w:val="clear" w:color="auto" w:fill="FFFFFF" w:themeFill="background1"/>
            <w:tcMar>
              <w:top w:w="0" w:type="dxa"/>
              <w:left w:w="108" w:type="dxa"/>
              <w:bottom w:w="0" w:type="dxa"/>
              <w:right w:w="108" w:type="dxa"/>
            </w:tcMar>
            <w:vAlign w:val="center"/>
          </w:tcPr>
          <w:p w14:paraId="56F69BBB" w14:textId="77777777" w:rsidR="00284822" w:rsidRDefault="00F77BF8">
            <w:pPr>
              <w:spacing w:line="240" w:lineRule="auto"/>
              <w:rPr>
                <w:rFonts w:ascii="Rockwell" w:hAnsi="Rockwell"/>
                <w:b/>
                <w:bCs/>
                <w:sz w:val="18"/>
                <w:szCs w:val="18"/>
              </w:rPr>
            </w:pPr>
            <w:r>
              <w:rPr>
                <w:rFonts w:ascii="Rockwell" w:hAnsi="Rockwell"/>
                <w:b/>
                <w:bCs/>
                <w:sz w:val="18"/>
                <w:szCs w:val="18"/>
              </w:rPr>
              <w:t>0,50%</w:t>
            </w:r>
          </w:p>
        </w:tc>
        <w:tc>
          <w:tcPr>
            <w:tcW w:w="968" w:type="dxa"/>
            <w:shd w:val="clear" w:color="auto" w:fill="FFFFFF" w:themeFill="background1"/>
            <w:tcMar>
              <w:top w:w="0" w:type="dxa"/>
              <w:left w:w="108" w:type="dxa"/>
              <w:bottom w:w="0" w:type="dxa"/>
              <w:right w:w="108" w:type="dxa"/>
            </w:tcMar>
            <w:vAlign w:val="center"/>
          </w:tcPr>
          <w:p w14:paraId="4DC134E8" w14:textId="77777777" w:rsidR="00284822" w:rsidRDefault="00F77BF8">
            <w:pPr>
              <w:spacing w:line="240" w:lineRule="auto"/>
              <w:rPr>
                <w:rFonts w:ascii="Rockwell" w:hAnsi="Rockwell"/>
                <w:b/>
                <w:bCs/>
                <w:sz w:val="18"/>
                <w:szCs w:val="18"/>
              </w:rPr>
            </w:pPr>
            <w:r>
              <w:rPr>
                <w:rFonts w:ascii="Rockwell" w:hAnsi="Rockwell"/>
                <w:b/>
                <w:bCs/>
                <w:sz w:val="18"/>
                <w:szCs w:val="18"/>
              </w:rPr>
              <w:t>5</w:t>
            </w:r>
          </w:p>
        </w:tc>
        <w:tc>
          <w:tcPr>
            <w:tcW w:w="1522" w:type="dxa"/>
            <w:shd w:val="clear" w:color="auto" w:fill="FFFFFF" w:themeFill="background1"/>
            <w:tcMar>
              <w:top w:w="0" w:type="dxa"/>
              <w:left w:w="108" w:type="dxa"/>
              <w:bottom w:w="0" w:type="dxa"/>
              <w:right w:w="108" w:type="dxa"/>
            </w:tcMar>
            <w:vAlign w:val="center"/>
          </w:tcPr>
          <w:p w14:paraId="08178CFD" w14:textId="77777777" w:rsidR="00284822" w:rsidRDefault="00F77BF8">
            <w:pPr>
              <w:spacing w:line="240" w:lineRule="auto"/>
              <w:rPr>
                <w:rFonts w:ascii="Rockwell" w:hAnsi="Rockwell"/>
                <w:b/>
                <w:bCs/>
                <w:sz w:val="18"/>
                <w:szCs w:val="18"/>
              </w:rPr>
            </w:pPr>
            <w:r>
              <w:rPr>
                <w:rFonts w:ascii="Rockwell" w:hAnsi="Rockwell"/>
                <w:b/>
                <w:bCs/>
                <w:sz w:val="18"/>
                <w:szCs w:val="18"/>
              </w:rPr>
              <w:t>0,67%</w:t>
            </w:r>
          </w:p>
        </w:tc>
      </w:tr>
      <w:tr w:rsidR="00284822" w14:paraId="1C305944" w14:textId="77777777">
        <w:trPr>
          <w:gridAfter w:val="1"/>
          <w:wAfter w:w="13" w:type="dxa"/>
          <w:trHeight w:val="164"/>
          <w:jc w:val="center"/>
        </w:trPr>
        <w:tc>
          <w:tcPr>
            <w:tcW w:w="963" w:type="dxa"/>
            <w:shd w:val="clear" w:color="auto" w:fill="FFFFFF" w:themeFill="background1"/>
            <w:noWrap/>
            <w:tcMar>
              <w:top w:w="0" w:type="dxa"/>
              <w:left w:w="108" w:type="dxa"/>
              <w:bottom w:w="0" w:type="dxa"/>
              <w:right w:w="108" w:type="dxa"/>
            </w:tcMar>
          </w:tcPr>
          <w:p w14:paraId="315D945C"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3</w:t>
            </w:r>
          </w:p>
        </w:tc>
        <w:tc>
          <w:tcPr>
            <w:tcW w:w="2495" w:type="dxa"/>
            <w:shd w:val="clear" w:color="auto" w:fill="FFFFFF" w:themeFill="background1"/>
            <w:tcMar>
              <w:top w:w="0" w:type="dxa"/>
              <w:left w:w="108" w:type="dxa"/>
              <w:bottom w:w="0" w:type="dxa"/>
              <w:right w:w="108" w:type="dxa"/>
            </w:tcMar>
          </w:tcPr>
          <w:p w14:paraId="6E116B9B"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ANC</w:t>
            </w:r>
          </w:p>
        </w:tc>
        <w:tc>
          <w:tcPr>
            <w:tcW w:w="966" w:type="dxa"/>
            <w:shd w:val="clear" w:color="auto" w:fill="FFFFFF" w:themeFill="background1"/>
            <w:tcMar>
              <w:top w:w="0" w:type="dxa"/>
              <w:left w:w="108" w:type="dxa"/>
              <w:bottom w:w="0" w:type="dxa"/>
              <w:right w:w="108" w:type="dxa"/>
            </w:tcMar>
            <w:vAlign w:val="center"/>
          </w:tcPr>
          <w:p w14:paraId="2D59FF83"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1/2</w:t>
            </w:r>
          </w:p>
        </w:tc>
        <w:tc>
          <w:tcPr>
            <w:tcW w:w="1107" w:type="dxa"/>
            <w:shd w:val="clear" w:color="auto" w:fill="FFFFFF" w:themeFill="background1"/>
            <w:tcMar>
              <w:top w:w="0" w:type="dxa"/>
              <w:left w:w="108" w:type="dxa"/>
              <w:bottom w:w="0" w:type="dxa"/>
              <w:right w:w="108" w:type="dxa"/>
            </w:tcMar>
            <w:vAlign w:val="center"/>
          </w:tcPr>
          <w:p w14:paraId="70AC1523"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0,55%</w:t>
            </w:r>
          </w:p>
        </w:tc>
        <w:tc>
          <w:tcPr>
            <w:tcW w:w="835" w:type="dxa"/>
            <w:shd w:val="clear" w:color="auto" w:fill="FFFFFF" w:themeFill="background1"/>
            <w:tcMar>
              <w:top w:w="0" w:type="dxa"/>
              <w:left w:w="108" w:type="dxa"/>
              <w:bottom w:w="0" w:type="dxa"/>
              <w:right w:w="108" w:type="dxa"/>
            </w:tcMar>
            <w:vAlign w:val="center"/>
          </w:tcPr>
          <w:p w14:paraId="14B3C3AC"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w:t>
            </w:r>
          </w:p>
        </w:tc>
        <w:tc>
          <w:tcPr>
            <w:tcW w:w="970" w:type="dxa"/>
            <w:shd w:val="clear" w:color="auto" w:fill="FFFFFF" w:themeFill="background1"/>
            <w:tcMar>
              <w:top w:w="0" w:type="dxa"/>
              <w:left w:w="108" w:type="dxa"/>
              <w:bottom w:w="0" w:type="dxa"/>
              <w:right w:w="108" w:type="dxa"/>
            </w:tcMar>
            <w:vAlign w:val="center"/>
          </w:tcPr>
          <w:p w14:paraId="4F665CF3"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1,23%</w:t>
            </w:r>
          </w:p>
        </w:tc>
        <w:tc>
          <w:tcPr>
            <w:tcW w:w="830" w:type="dxa"/>
            <w:shd w:val="clear" w:color="auto" w:fill="FFFFFF" w:themeFill="background1"/>
            <w:tcMar>
              <w:top w:w="0" w:type="dxa"/>
              <w:left w:w="108" w:type="dxa"/>
              <w:bottom w:w="0" w:type="dxa"/>
              <w:right w:w="108" w:type="dxa"/>
            </w:tcMar>
            <w:vAlign w:val="center"/>
          </w:tcPr>
          <w:p w14:paraId="2508AA59"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967" w:type="dxa"/>
            <w:shd w:val="clear" w:color="auto" w:fill="FFFFFF" w:themeFill="background1"/>
            <w:tcMar>
              <w:top w:w="0" w:type="dxa"/>
              <w:left w:w="108" w:type="dxa"/>
              <w:bottom w:w="0" w:type="dxa"/>
              <w:right w:w="108" w:type="dxa"/>
            </w:tcMar>
            <w:vAlign w:val="center"/>
          </w:tcPr>
          <w:p w14:paraId="587BEA87"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691" w:type="dxa"/>
            <w:shd w:val="clear" w:color="auto" w:fill="FFFFFF" w:themeFill="background1"/>
            <w:tcMar>
              <w:top w:w="0" w:type="dxa"/>
              <w:left w:w="108" w:type="dxa"/>
              <w:bottom w:w="0" w:type="dxa"/>
              <w:right w:w="108" w:type="dxa"/>
            </w:tcMar>
            <w:vAlign w:val="center"/>
          </w:tcPr>
          <w:p w14:paraId="24E120D9"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971" w:type="dxa"/>
            <w:shd w:val="clear" w:color="auto" w:fill="FFFFFF" w:themeFill="background1"/>
            <w:tcMar>
              <w:top w:w="0" w:type="dxa"/>
              <w:left w:w="108" w:type="dxa"/>
              <w:bottom w:w="0" w:type="dxa"/>
              <w:right w:w="108" w:type="dxa"/>
            </w:tcMar>
            <w:vAlign w:val="center"/>
          </w:tcPr>
          <w:p w14:paraId="6BB5FC92"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67" w:type="dxa"/>
            <w:shd w:val="clear" w:color="auto" w:fill="FFFFFF" w:themeFill="background1"/>
            <w:tcMar>
              <w:top w:w="0" w:type="dxa"/>
              <w:left w:w="108" w:type="dxa"/>
              <w:bottom w:w="0" w:type="dxa"/>
              <w:right w:w="108" w:type="dxa"/>
            </w:tcMar>
            <w:vAlign w:val="center"/>
          </w:tcPr>
          <w:p w14:paraId="3FA761C7" w14:textId="77777777" w:rsidR="00284822" w:rsidRDefault="00F77BF8">
            <w:pPr>
              <w:spacing w:line="240" w:lineRule="auto"/>
              <w:rPr>
                <w:rFonts w:ascii="Rockwell" w:hAnsi="Rockwell"/>
                <w:b/>
                <w:bCs/>
                <w:sz w:val="18"/>
                <w:szCs w:val="18"/>
              </w:rPr>
            </w:pPr>
            <w:r>
              <w:rPr>
                <w:rFonts w:ascii="Rockwell" w:hAnsi="Rockwell"/>
                <w:b/>
                <w:bCs/>
                <w:sz w:val="18"/>
                <w:szCs w:val="18"/>
              </w:rPr>
              <w:t>1/2</w:t>
            </w:r>
          </w:p>
        </w:tc>
        <w:tc>
          <w:tcPr>
            <w:tcW w:w="1107" w:type="dxa"/>
            <w:shd w:val="clear" w:color="auto" w:fill="FFFFFF" w:themeFill="background1"/>
            <w:tcMar>
              <w:top w:w="0" w:type="dxa"/>
              <w:left w:w="108" w:type="dxa"/>
              <w:bottom w:w="0" w:type="dxa"/>
              <w:right w:w="108" w:type="dxa"/>
            </w:tcMar>
            <w:vAlign w:val="center"/>
          </w:tcPr>
          <w:p w14:paraId="135EE923" w14:textId="77777777" w:rsidR="00284822" w:rsidRDefault="00F77BF8">
            <w:pPr>
              <w:spacing w:line="240" w:lineRule="auto"/>
              <w:rPr>
                <w:rFonts w:ascii="Rockwell" w:hAnsi="Rockwell"/>
                <w:b/>
                <w:bCs/>
                <w:sz w:val="18"/>
                <w:szCs w:val="18"/>
              </w:rPr>
            </w:pPr>
            <w:r>
              <w:rPr>
                <w:rFonts w:ascii="Rockwell" w:hAnsi="Rockwell"/>
                <w:b/>
                <w:bCs/>
                <w:sz w:val="18"/>
                <w:szCs w:val="18"/>
              </w:rPr>
              <w:t>0,12%</w:t>
            </w:r>
          </w:p>
        </w:tc>
        <w:tc>
          <w:tcPr>
            <w:tcW w:w="968" w:type="dxa"/>
            <w:shd w:val="clear" w:color="auto" w:fill="FFFFFF" w:themeFill="background1"/>
            <w:tcMar>
              <w:top w:w="0" w:type="dxa"/>
              <w:left w:w="108" w:type="dxa"/>
              <w:bottom w:w="0" w:type="dxa"/>
              <w:right w:w="108" w:type="dxa"/>
            </w:tcMar>
            <w:vAlign w:val="center"/>
          </w:tcPr>
          <w:p w14:paraId="3B228F06" w14:textId="77777777" w:rsidR="00284822" w:rsidRDefault="00F77BF8">
            <w:pPr>
              <w:spacing w:line="240" w:lineRule="auto"/>
              <w:rPr>
                <w:rFonts w:ascii="Rockwell" w:hAnsi="Rockwell"/>
                <w:b/>
                <w:bCs/>
                <w:sz w:val="18"/>
                <w:szCs w:val="18"/>
              </w:rPr>
            </w:pPr>
            <w:r>
              <w:rPr>
                <w:rFonts w:ascii="Rockwell" w:hAnsi="Rockwell"/>
                <w:b/>
                <w:bCs/>
                <w:sz w:val="18"/>
                <w:szCs w:val="18"/>
              </w:rPr>
              <w:t>2</w:t>
            </w:r>
          </w:p>
        </w:tc>
        <w:tc>
          <w:tcPr>
            <w:tcW w:w="1522" w:type="dxa"/>
            <w:shd w:val="clear" w:color="auto" w:fill="FFFFFF" w:themeFill="background1"/>
            <w:tcMar>
              <w:top w:w="0" w:type="dxa"/>
              <w:left w:w="108" w:type="dxa"/>
              <w:bottom w:w="0" w:type="dxa"/>
              <w:right w:w="108" w:type="dxa"/>
            </w:tcMar>
            <w:vAlign w:val="center"/>
          </w:tcPr>
          <w:p w14:paraId="37D5B292" w14:textId="77777777" w:rsidR="00284822" w:rsidRDefault="00F77BF8">
            <w:pPr>
              <w:spacing w:line="240" w:lineRule="auto"/>
              <w:rPr>
                <w:rFonts w:ascii="Rockwell" w:hAnsi="Rockwell"/>
                <w:b/>
                <w:bCs/>
                <w:sz w:val="18"/>
                <w:szCs w:val="18"/>
              </w:rPr>
            </w:pPr>
            <w:r>
              <w:rPr>
                <w:rFonts w:ascii="Rockwell" w:hAnsi="Rockwell"/>
                <w:b/>
                <w:bCs/>
                <w:sz w:val="18"/>
                <w:szCs w:val="18"/>
              </w:rPr>
              <w:t>0,27%</w:t>
            </w:r>
          </w:p>
        </w:tc>
      </w:tr>
      <w:tr w:rsidR="00284822" w14:paraId="0700E1D4" w14:textId="77777777">
        <w:trPr>
          <w:gridAfter w:val="1"/>
          <w:wAfter w:w="13" w:type="dxa"/>
          <w:trHeight w:val="164"/>
          <w:jc w:val="center"/>
        </w:trPr>
        <w:tc>
          <w:tcPr>
            <w:tcW w:w="963" w:type="dxa"/>
            <w:shd w:val="clear" w:color="auto" w:fill="FFFFFF" w:themeFill="background1"/>
            <w:noWrap/>
            <w:tcMar>
              <w:top w:w="0" w:type="dxa"/>
              <w:left w:w="108" w:type="dxa"/>
              <w:bottom w:w="0" w:type="dxa"/>
              <w:right w:w="108" w:type="dxa"/>
            </w:tcMar>
          </w:tcPr>
          <w:p w14:paraId="05DD5176"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4</w:t>
            </w:r>
          </w:p>
        </w:tc>
        <w:tc>
          <w:tcPr>
            <w:tcW w:w="2495" w:type="dxa"/>
            <w:shd w:val="clear" w:color="auto" w:fill="FFFFFF" w:themeFill="background1"/>
            <w:tcMar>
              <w:top w:w="0" w:type="dxa"/>
              <w:left w:w="108" w:type="dxa"/>
              <w:bottom w:w="0" w:type="dxa"/>
              <w:right w:w="108" w:type="dxa"/>
            </w:tcMar>
          </w:tcPr>
          <w:p w14:paraId="168AC17C"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APP/B</w:t>
            </w:r>
          </w:p>
        </w:tc>
        <w:tc>
          <w:tcPr>
            <w:tcW w:w="966" w:type="dxa"/>
            <w:shd w:val="clear" w:color="auto" w:fill="FFFFFF" w:themeFill="background1"/>
            <w:tcMar>
              <w:top w:w="0" w:type="dxa"/>
              <w:left w:w="108" w:type="dxa"/>
              <w:bottom w:w="0" w:type="dxa"/>
              <w:right w:w="108" w:type="dxa"/>
            </w:tcMar>
            <w:vAlign w:val="center"/>
          </w:tcPr>
          <w:p w14:paraId="642D6C9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107" w:type="dxa"/>
            <w:shd w:val="clear" w:color="auto" w:fill="FFFFFF" w:themeFill="background1"/>
            <w:tcMar>
              <w:top w:w="0" w:type="dxa"/>
              <w:left w:w="108" w:type="dxa"/>
              <w:bottom w:w="0" w:type="dxa"/>
              <w:right w:w="108" w:type="dxa"/>
            </w:tcMar>
            <w:vAlign w:val="center"/>
          </w:tcPr>
          <w:p w14:paraId="3DAACB32"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835" w:type="dxa"/>
            <w:shd w:val="clear" w:color="auto" w:fill="FFFFFF" w:themeFill="background1"/>
            <w:tcMar>
              <w:top w:w="0" w:type="dxa"/>
              <w:left w:w="108" w:type="dxa"/>
              <w:bottom w:w="0" w:type="dxa"/>
              <w:right w:w="108" w:type="dxa"/>
            </w:tcMar>
            <w:vAlign w:val="center"/>
          </w:tcPr>
          <w:p w14:paraId="5C4212CE"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970" w:type="dxa"/>
            <w:shd w:val="clear" w:color="auto" w:fill="FFFFFF" w:themeFill="background1"/>
            <w:tcMar>
              <w:top w:w="0" w:type="dxa"/>
              <w:left w:w="108" w:type="dxa"/>
              <w:bottom w:w="0" w:type="dxa"/>
              <w:right w:w="108" w:type="dxa"/>
            </w:tcMar>
            <w:vAlign w:val="center"/>
          </w:tcPr>
          <w:p w14:paraId="6DD85A46"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830" w:type="dxa"/>
            <w:shd w:val="clear" w:color="auto" w:fill="FFFFFF" w:themeFill="background1"/>
            <w:tcMar>
              <w:top w:w="0" w:type="dxa"/>
              <w:left w:w="108" w:type="dxa"/>
              <w:bottom w:w="0" w:type="dxa"/>
              <w:right w:w="108" w:type="dxa"/>
            </w:tcMar>
            <w:vAlign w:val="center"/>
          </w:tcPr>
          <w:p w14:paraId="200C2FC9"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4 1/2</w:t>
            </w:r>
          </w:p>
        </w:tc>
        <w:tc>
          <w:tcPr>
            <w:tcW w:w="967" w:type="dxa"/>
            <w:shd w:val="clear" w:color="auto" w:fill="FFFFFF" w:themeFill="background1"/>
            <w:tcMar>
              <w:top w:w="0" w:type="dxa"/>
              <w:left w:w="108" w:type="dxa"/>
              <w:bottom w:w="0" w:type="dxa"/>
              <w:right w:w="108" w:type="dxa"/>
            </w:tcMar>
            <w:vAlign w:val="center"/>
          </w:tcPr>
          <w:p w14:paraId="0E91EB58"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3,17%</w:t>
            </w:r>
          </w:p>
        </w:tc>
        <w:tc>
          <w:tcPr>
            <w:tcW w:w="691" w:type="dxa"/>
            <w:shd w:val="clear" w:color="auto" w:fill="FFFFFF" w:themeFill="background1"/>
            <w:tcMar>
              <w:top w:w="0" w:type="dxa"/>
              <w:left w:w="108" w:type="dxa"/>
              <w:bottom w:w="0" w:type="dxa"/>
              <w:right w:w="108" w:type="dxa"/>
            </w:tcMar>
            <w:vAlign w:val="center"/>
          </w:tcPr>
          <w:p w14:paraId="0EFE40B9"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3</w:t>
            </w:r>
          </w:p>
        </w:tc>
        <w:tc>
          <w:tcPr>
            <w:tcW w:w="971" w:type="dxa"/>
            <w:shd w:val="clear" w:color="auto" w:fill="FFFFFF" w:themeFill="background1"/>
            <w:tcMar>
              <w:top w:w="0" w:type="dxa"/>
              <w:left w:w="108" w:type="dxa"/>
              <w:bottom w:w="0" w:type="dxa"/>
              <w:right w:w="108" w:type="dxa"/>
            </w:tcMar>
            <w:vAlign w:val="center"/>
          </w:tcPr>
          <w:p w14:paraId="4B05C40F"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1,27%</w:t>
            </w:r>
          </w:p>
        </w:tc>
        <w:tc>
          <w:tcPr>
            <w:tcW w:w="967" w:type="dxa"/>
            <w:shd w:val="clear" w:color="auto" w:fill="FFFFFF" w:themeFill="background1"/>
            <w:tcMar>
              <w:top w:w="0" w:type="dxa"/>
              <w:left w:w="108" w:type="dxa"/>
              <w:bottom w:w="0" w:type="dxa"/>
              <w:right w:w="108" w:type="dxa"/>
            </w:tcMar>
            <w:vAlign w:val="center"/>
          </w:tcPr>
          <w:p w14:paraId="373F5EE6" w14:textId="77777777" w:rsidR="00284822" w:rsidRDefault="00F77BF8">
            <w:pPr>
              <w:spacing w:line="240" w:lineRule="auto"/>
              <w:rPr>
                <w:rFonts w:ascii="Rockwell" w:hAnsi="Rockwell"/>
                <w:b/>
                <w:bCs/>
                <w:sz w:val="18"/>
                <w:szCs w:val="18"/>
              </w:rPr>
            </w:pPr>
            <w:r>
              <w:rPr>
                <w:rFonts w:ascii="Rockwell" w:hAnsi="Rockwell"/>
                <w:b/>
                <w:bCs/>
                <w:sz w:val="18"/>
                <w:szCs w:val="18"/>
              </w:rPr>
              <w:t>6</w:t>
            </w:r>
          </w:p>
        </w:tc>
        <w:tc>
          <w:tcPr>
            <w:tcW w:w="1107" w:type="dxa"/>
            <w:shd w:val="clear" w:color="auto" w:fill="FFFFFF" w:themeFill="background1"/>
            <w:tcMar>
              <w:top w:w="0" w:type="dxa"/>
              <w:left w:w="108" w:type="dxa"/>
              <w:bottom w:w="0" w:type="dxa"/>
              <w:right w:w="108" w:type="dxa"/>
            </w:tcMar>
            <w:vAlign w:val="center"/>
          </w:tcPr>
          <w:p w14:paraId="1528632A" w14:textId="77777777" w:rsidR="00284822" w:rsidRDefault="00F77BF8">
            <w:pPr>
              <w:spacing w:line="240" w:lineRule="auto"/>
              <w:rPr>
                <w:rFonts w:ascii="Rockwell" w:hAnsi="Rockwell"/>
                <w:b/>
                <w:bCs/>
                <w:sz w:val="18"/>
                <w:szCs w:val="18"/>
              </w:rPr>
            </w:pPr>
            <w:r>
              <w:rPr>
                <w:rFonts w:ascii="Rockwell" w:hAnsi="Rockwell"/>
                <w:b/>
                <w:bCs/>
                <w:sz w:val="18"/>
                <w:szCs w:val="18"/>
              </w:rPr>
              <w:t>1,39%</w:t>
            </w:r>
          </w:p>
        </w:tc>
        <w:tc>
          <w:tcPr>
            <w:tcW w:w="968" w:type="dxa"/>
            <w:shd w:val="clear" w:color="auto" w:fill="FFFFFF" w:themeFill="background1"/>
            <w:tcMar>
              <w:top w:w="0" w:type="dxa"/>
              <w:left w:w="108" w:type="dxa"/>
              <w:bottom w:w="0" w:type="dxa"/>
              <w:right w:w="108" w:type="dxa"/>
            </w:tcMar>
            <w:vAlign w:val="center"/>
          </w:tcPr>
          <w:p w14:paraId="49711248" w14:textId="77777777" w:rsidR="00284822" w:rsidRDefault="00F77BF8">
            <w:pPr>
              <w:spacing w:line="240" w:lineRule="auto"/>
              <w:rPr>
                <w:rFonts w:ascii="Rockwell" w:hAnsi="Rockwell"/>
                <w:b/>
                <w:bCs/>
                <w:sz w:val="18"/>
                <w:szCs w:val="18"/>
              </w:rPr>
            </w:pPr>
            <w:r>
              <w:rPr>
                <w:rFonts w:ascii="Rockwell" w:hAnsi="Rockwell"/>
                <w:b/>
                <w:bCs/>
                <w:sz w:val="18"/>
                <w:szCs w:val="18"/>
              </w:rPr>
              <w:t>3</w:t>
            </w:r>
          </w:p>
        </w:tc>
        <w:tc>
          <w:tcPr>
            <w:tcW w:w="1522" w:type="dxa"/>
            <w:shd w:val="clear" w:color="auto" w:fill="FFFFFF" w:themeFill="background1"/>
            <w:tcMar>
              <w:top w:w="0" w:type="dxa"/>
              <w:left w:w="108" w:type="dxa"/>
              <w:bottom w:w="0" w:type="dxa"/>
              <w:right w:w="108" w:type="dxa"/>
            </w:tcMar>
            <w:vAlign w:val="center"/>
          </w:tcPr>
          <w:p w14:paraId="11D72DB3" w14:textId="77777777" w:rsidR="00284822" w:rsidRDefault="00F77BF8">
            <w:pPr>
              <w:spacing w:line="240" w:lineRule="auto"/>
              <w:rPr>
                <w:rFonts w:ascii="Rockwell" w:hAnsi="Rockwell"/>
                <w:b/>
                <w:bCs/>
                <w:sz w:val="18"/>
                <w:szCs w:val="18"/>
              </w:rPr>
            </w:pPr>
            <w:r>
              <w:rPr>
                <w:rFonts w:ascii="Rockwell" w:hAnsi="Rockwell"/>
                <w:b/>
                <w:bCs/>
                <w:sz w:val="18"/>
                <w:szCs w:val="18"/>
              </w:rPr>
              <w:t>0,40%</w:t>
            </w:r>
          </w:p>
        </w:tc>
      </w:tr>
      <w:tr w:rsidR="00284822" w14:paraId="51A419C0" w14:textId="77777777">
        <w:trPr>
          <w:gridAfter w:val="1"/>
          <w:wAfter w:w="13" w:type="dxa"/>
          <w:trHeight w:val="164"/>
          <w:jc w:val="center"/>
        </w:trPr>
        <w:tc>
          <w:tcPr>
            <w:tcW w:w="963" w:type="dxa"/>
            <w:shd w:val="clear" w:color="auto" w:fill="FFFFFF" w:themeFill="background1"/>
            <w:noWrap/>
            <w:tcMar>
              <w:top w:w="0" w:type="dxa"/>
              <w:left w:w="108" w:type="dxa"/>
              <w:bottom w:w="0" w:type="dxa"/>
              <w:right w:w="108" w:type="dxa"/>
            </w:tcMar>
          </w:tcPr>
          <w:p w14:paraId="47E44587"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5</w:t>
            </w:r>
          </w:p>
        </w:tc>
        <w:tc>
          <w:tcPr>
            <w:tcW w:w="2495" w:type="dxa"/>
            <w:shd w:val="clear" w:color="auto" w:fill="FFFFFF" w:themeFill="background1"/>
            <w:tcMar>
              <w:top w:w="0" w:type="dxa"/>
              <w:left w:w="108" w:type="dxa"/>
              <w:bottom w:w="0" w:type="dxa"/>
              <w:right w:w="108" w:type="dxa"/>
            </w:tcMar>
          </w:tcPr>
          <w:p w14:paraId="1B4C18C6"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ARDI</w:t>
            </w:r>
          </w:p>
        </w:tc>
        <w:tc>
          <w:tcPr>
            <w:tcW w:w="966" w:type="dxa"/>
            <w:shd w:val="clear" w:color="auto" w:fill="FFFFFF" w:themeFill="background1"/>
            <w:tcMar>
              <w:top w:w="0" w:type="dxa"/>
              <w:left w:w="108" w:type="dxa"/>
              <w:bottom w:w="0" w:type="dxa"/>
              <w:right w:w="108" w:type="dxa"/>
            </w:tcMar>
            <w:vAlign w:val="center"/>
          </w:tcPr>
          <w:p w14:paraId="515F1768"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1/4</w:t>
            </w:r>
          </w:p>
        </w:tc>
        <w:tc>
          <w:tcPr>
            <w:tcW w:w="1107" w:type="dxa"/>
            <w:shd w:val="clear" w:color="auto" w:fill="FFFFFF" w:themeFill="background1"/>
            <w:tcMar>
              <w:top w:w="0" w:type="dxa"/>
              <w:left w:w="108" w:type="dxa"/>
              <w:bottom w:w="0" w:type="dxa"/>
              <w:right w:w="108" w:type="dxa"/>
            </w:tcMar>
            <w:vAlign w:val="center"/>
          </w:tcPr>
          <w:p w14:paraId="4811C274"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0,28%</w:t>
            </w:r>
          </w:p>
        </w:tc>
        <w:tc>
          <w:tcPr>
            <w:tcW w:w="835" w:type="dxa"/>
            <w:shd w:val="clear" w:color="auto" w:fill="FFFFFF" w:themeFill="background1"/>
            <w:tcMar>
              <w:top w:w="0" w:type="dxa"/>
              <w:left w:w="108" w:type="dxa"/>
              <w:bottom w:w="0" w:type="dxa"/>
              <w:right w:w="108" w:type="dxa"/>
            </w:tcMar>
            <w:vAlign w:val="center"/>
          </w:tcPr>
          <w:p w14:paraId="6C5DB587"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w:t>
            </w:r>
          </w:p>
        </w:tc>
        <w:tc>
          <w:tcPr>
            <w:tcW w:w="970" w:type="dxa"/>
            <w:shd w:val="clear" w:color="auto" w:fill="FFFFFF" w:themeFill="background1"/>
            <w:tcMar>
              <w:top w:w="0" w:type="dxa"/>
              <w:left w:w="108" w:type="dxa"/>
              <w:bottom w:w="0" w:type="dxa"/>
              <w:right w:w="108" w:type="dxa"/>
            </w:tcMar>
            <w:vAlign w:val="center"/>
          </w:tcPr>
          <w:p w14:paraId="6209F0A1"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0,62%</w:t>
            </w:r>
          </w:p>
        </w:tc>
        <w:tc>
          <w:tcPr>
            <w:tcW w:w="830" w:type="dxa"/>
            <w:shd w:val="clear" w:color="auto" w:fill="FFFFFF" w:themeFill="background1"/>
            <w:tcMar>
              <w:top w:w="0" w:type="dxa"/>
              <w:left w:w="108" w:type="dxa"/>
              <w:bottom w:w="0" w:type="dxa"/>
              <w:right w:w="108" w:type="dxa"/>
            </w:tcMar>
            <w:vAlign w:val="center"/>
          </w:tcPr>
          <w:p w14:paraId="3261429B"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967" w:type="dxa"/>
            <w:shd w:val="clear" w:color="auto" w:fill="FFFFFF" w:themeFill="background1"/>
            <w:tcMar>
              <w:top w:w="0" w:type="dxa"/>
              <w:left w:w="108" w:type="dxa"/>
              <w:bottom w:w="0" w:type="dxa"/>
              <w:right w:w="108" w:type="dxa"/>
            </w:tcMar>
            <w:vAlign w:val="center"/>
          </w:tcPr>
          <w:p w14:paraId="58450049"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691" w:type="dxa"/>
            <w:shd w:val="clear" w:color="auto" w:fill="FFFFFF" w:themeFill="background1"/>
            <w:tcMar>
              <w:top w:w="0" w:type="dxa"/>
              <w:left w:w="108" w:type="dxa"/>
              <w:bottom w:w="0" w:type="dxa"/>
              <w:right w:w="108" w:type="dxa"/>
            </w:tcMar>
            <w:vAlign w:val="center"/>
          </w:tcPr>
          <w:p w14:paraId="6A28D166"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971" w:type="dxa"/>
            <w:shd w:val="clear" w:color="auto" w:fill="FFFFFF" w:themeFill="background1"/>
            <w:tcMar>
              <w:top w:w="0" w:type="dxa"/>
              <w:left w:w="108" w:type="dxa"/>
              <w:bottom w:w="0" w:type="dxa"/>
              <w:right w:w="108" w:type="dxa"/>
            </w:tcMar>
            <w:vAlign w:val="center"/>
          </w:tcPr>
          <w:p w14:paraId="3AF630F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67" w:type="dxa"/>
            <w:shd w:val="clear" w:color="auto" w:fill="FFFFFF" w:themeFill="background1"/>
            <w:tcMar>
              <w:top w:w="0" w:type="dxa"/>
              <w:left w:w="108" w:type="dxa"/>
              <w:bottom w:w="0" w:type="dxa"/>
              <w:right w:w="108" w:type="dxa"/>
            </w:tcMar>
            <w:vAlign w:val="center"/>
          </w:tcPr>
          <w:p w14:paraId="11C03CD5" w14:textId="77777777" w:rsidR="00284822" w:rsidRDefault="00F77BF8">
            <w:pPr>
              <w:spacing w:line="240" w:lineRule="auto"/>
              <w:rPr>
                <w:rFonts w:ascii="Rockwell" w:hAnsi="Rockwell"/>
                <w:b/>
                <w:bCs/>
                <w:sz w:val="18"/>
                <w:szCs w:val="18"/>
              </w:rPr>
            </w:pPr>
            <w:r>
              <w:rPr>
                <w:rFonts w:ascii="Rockwell" w:hAnsi="Rockwell"/>
                <w:b/>
                <w:bCs/>
                <w:sz w:val="18"/>
                <w:szCs w:val="18"/>
              </w:rPr>
              <w:t>1/4</w:t>
            </w:r>
          </w:p>
        </w:tc>
        <w:tc>
          <w:tcPr>
            <w:tcW w:w="1107" w:type="dxa"/>
            <w:shd w:val="clear" w:color="auto" w:fill="FFFFFF" w:themeFill="background1"/>
            <w:tcMar>
              <w:top w:w="0" w:type="dxa"/>
              <w:left w:w="108" w:type="dxa"/>
              <w:bottom w:w="0" w:type="dxa"/>
              <w:right w:w="108" w:type="dxa"/>
            </w:tcMar>
            <w:vAlign w:val="center"/>
          </w:tcPr>
          <w:p w14:paraId="16EA8276" w14:textId="77777777" w:rsidR="00284822" w:rsidRDefault="00F77BF8">
            <w:pPr>
              <w:spacing w:line="240" w:lineRule="auto"/>
              <w:rPr>
                <w:rFonts w:ascii="Rockwell" w:hAnsi="Rockwell"/>
                <w:b/>
                <w:bCs/>
                <w:sz w:val="18"/>
                <w:szCs w:val="18"/>
              </w:rPr>
            </w:pPr>
            <w:r>
              <w:rPr>
                <w:rFonts w:ascii="Rockwell" w:hAnsi="Rockwell"/>
                <w:b/>
                <w:bCs/>
                <w:sz w:val="18"/>
                <w:szCs w:val="18"/>
              </w:rPr>
              <w:t>0,06%</w:t>
            </w:r>
          </w:p>
        </w:tc>
        <w:tc>
          <w:tcPr>
            <w:tcW w:w="968" w:type="dxa"/>
            <w:shd w:val="clear" w:color="auto" w:fill="FFFFFF" w:themeFill="background1"/>
            <w:tcMar>
              <w:top w:w="0" w:type="dxa"/>
              <w:left w:w="108" w:type="dxa"/>
              <w:bottom w:w="0" w:type="dxa"/>
              <w:right w:w="108" w:type="dxa"/>
            </w:tcMar>
            <w:vAlign w:val="center"/>
          </w:tcPr>
          <w:p w14:paraId="3D9B9C7E" w14:textId="77777777" w:rsidR="00284822" w:rsidRDefault="00F77BF8">
            <w:pPr>
              <w:spacing w:line="240" w:lineRule="auto"/>
              <w:rPr>
                <w:rFonts w:ascii="Rockwell" w:hAnsi="Rockwell"/>
                <w:b/>
                <w:bCs/>
                <w:sz w:val="18"/>
                <w:szCs w:val="18"/>
              </w:rPr>
            </w:pPr>
            <w:r>
              <w:rPr>
                <w:rFonts w:ascii="Rockwell" w:hAnsi="Rockwell"/>
                <w:b/>
                <w:bCs/>
                <w:sz w:val="18"/>
                <w:szCs w:val="18"/>
              </w:rPr>
              <w:t>1</w:t>
            </w:r>
          </w:p>
        </w:tc>
        <w:tc>
          <w:tcPr>
            <w:tcW w:w="1522" w:type="dxa"/>
            <w:shd w:val="clear" w:color="auto" w:fill="FFFFFF" w:themeFill="background1"/>
            <w:tcMar>
              <w:top w:w="0" w:type="dxa"/>
              <w:left w:w="108" w:type="dxa"/>
              <w:bottom w:w="0" w:type="dxa"/>
              <w:right w:w="108" w:type="dxa"/>
            </w:tcMar>
            <w:vAlign w:val="center"/>
          </w:tcPr>
          <w:p w14:paraId="15CF6D63" w14:textId="77777777" w:rsidR="00284822" w:rsidRDefault="00F77BF8">
            <w:pPr>
              <w:spacing w:line="240" w:lineRule="auto"/>
              <w:rPr>
                <w:rFonts w:ascii="Rockwell" w:hAnsi="Rockwell"/>
                <w:b/>
                <w:bCs/>
                <w:sz w:val="18"/>
                <w:szCs w:val="18"/>
              </w:rPr>
            </w:pPr>
            <w:r>
              <w:rPr>
                <w:rFonts w:ascii="Rockwell" w:hAnsi="Rockwell"/>
                <w:b/>
                <w:bCs/>
                <w:sz w:val="18"/>
                <w:szCs w:val="18"/>
              </w:rPr>
              <w:t>0,13%</w:t>
            </w:r>
          </w:p>
        </w:tc>
      </w:tr>
      <w:tr w:rsidR="00284822" w14:paraId="6820E8F9" w14:textId="77777777">
        <w:trPr>
          <w:gridAfter w:val="1"/>
          <w:wAfter w:w="13" w:type="dxa"/>
          <w:trHeight w:val="164"/>
          <w:jc w:val="center"/>
        </w:trPr>
        <w:tc>
          <w:tcPr>
            <w:tcW w:w="963" w:type="dxa"/>
            <w:shd w:val="clear" w:color="auto" w:fill="FFFFFF" w:themeFill="background1"/>
            <w:noWrap/>
            <w:tcMar>
              <w:top w:w="0" w:type="dxa"/>
              <w:left w:w="108" w:type="dxa"/>
              <w:bottom w:w="0" w:type="dxa"/>
              <w:right w:w="108" w:type="dxa"/>
            </w:tcMar>
          </w:tcPr>
          <w:p w14:paraId="1F7CA9BA"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6</w:t>
            </w:r>
          </w:p>
        </w:tc>
        <w:tc>
          <w:tcPr>
            <w:tcW w:w="2495" w:type="dxa"/>
            <w:shd w:val="clear" w:color="auto" w:fill="FFFFFF" w:themeFill="background1"/>
            <w:tcMar>
              <w:top w:w="0" w:type="dxa"/>
              <w:left w:w="108" w:type="dxa"/>
              <w:bottom w:w="0" w:type="dxa"/>
              <w:right w:w="108" w:type="dxa"/>
            </w:tcMar>
          </w:tcPr>
          <w:p w14:paraId="0C880948"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BURKINA YIR</w:t>
            </w:r>
          </w:p>
        </w:tc>
        <w:tc>
          <w:tcPr>
            <w:tcW w:w="966" w:type="dxa"/>
            <w:shd w:val="clear" w:color="auto" w:fill="FFFFFF" w:themeFill="background1"/>
            <w:tcMar>
              <w:top w:w="0" w:type="dxa"/>
              <w:left w:w="108" w:type="dxa"/>
              <w:bottom w:w="0" w:type="dxa"/>
              <w:right w:w="108" w:type="dxa"/>
            </w:tcMar>
            <w:vAlign w:val="center"/>
          </w:tcPr>
          <w:p w14:paraId="59D8D849"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107" w:type="dxa"/>
            <w:shd w:val="clear" w:color="auto" w:fill="FFFFFF" w:themeFill="background1"/>
            <w:tcMar>
              <w:top w:w="0" w:type="dxa"/>
              <w:left w:w="108" w:type="dxa"/>
              <w:bottom w:w="0" w:type="dxa"/>
              <w:right w:w="108" w:type="dxa"/>
            </w:tcMar>
            <w:vAlign w:val="center"/>
          </w:tcPr>
          <w:p w14:paraId="6EEE4D25"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835" w:type="dxa"/>
            <w:shd w:val="clear" w:color="auto" w:fill="FFFFFF" w:themeFill="background1"/>
            <w:tcMar>
              <w:top w:w="0" w:type="dxa"/>
              <w:left w:w="108" w:type="dxa"/>
              <w:bottom w:w="0" w:type="dxa"/>
              <w:right w:w="108" w:type="dxa"/>
            </w:tcMar>
            <w:vAlign w:val="center"/>
          </w:tcPr>
          <w:p w14:paraId="47128278"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970" w:type="dxa"/>
            <w:shd w:val="clear" w:color="auto" w:fill="FFFFFF" w:themeFill="background1"/>
            <w:tcMar>
              <w:top w:w="0" w:type="dxa"/>
              <w:left w:w="108" w:type="dxa"/>
              <w:bottom w:w="0" w:type="dxa"/>
              <w:right w:w="108" w:type="dxa"/>
            </w:tcMar>
            <w:vAlign w:val="center"/>
          </w:tcPr>
          <w:p w14:paraId="2C242384"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830" w:type="dxa"/>
            <w:shd w:val="clear" w:color="auto" w:fill="FFFFFF" w:themeFill="background1"/>
            <w:tcMar>
              <w:top w:w="0" w:type="dxa"/>
              <w:left w:w="108" w:type="dxa"/>
              <w:bottom w:w="0" w:type="dxa"/>
              <w:right w:w="108" w:type="dxa"/>
            </w:tcMar>
            <w:vAlign w:val="center"/>
          </w:tcPr>
          <w:p w14:paraId="01734457"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w:t>
            </w:r>
          </w:p>
        </w:tc>
        <w:tc>
          <w:tcPr>
            <w:tcW w:w="967" w:type="dxa"/>
            <w:shd w:val="clear" w:color="auto" w:fill="FFFFFF" w:themeFill="background1"/>
            <w:tcMar>
              <w:top w:w="0" w:type="dxa"/>
              <w:left w:w="108" w:type="dxa"/>
              <w:bottom w:w="0" w:type="dxa"/>
              <w:right w:w="108" w:type="dxa"/>
            </w:tcMar>
            <w:vAlign w:val="center"/>
          </w:tcPr>
          <w:p w14:paraId="3E1178B9"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0,70%</w:t>
            </w:r>
          </w:p>
        </w:tc>
        <w:tc>
          <w:tcPr>
            <w:tcW w:w="691" w:type="dxa"/>
            <w:shd w:val="clear" w:color="auto" w:fill="FFFFFF" w:themeFill="background1"/>
            <w:tcMar>
              <w:top w:w="0" w:type="dxa"/>
              <w:left w:w="108" w:type="dxa"/>
              <w:bottom w:w="0" w:type="dxa"/>
              <w:right w:w="108" w:type="dxa"/>
            </w:tcMar>
            <w:vAlign w:val="center"/>
          </w:tcPr>
          <w:p w14:paraId="3F51371C"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w:t>
            </w:r>
          </w:p>
        </w:tc>
        <w:tc>
          <w:tcPr>
            <w:tcW w:w="971" w:type="dxa"/>
            <w:shd w:val="clear" w:color="auto" w:fill="FFFFFF" w:themeFill="background1"/>
            <w:tcMar>
              <w:top w:w="0" w:type="dxa"/>
              <w:left w:w="108" w:type="dxa"/>
              <w:bottom w:w="0" w:type="dxa"/>
              <w:right w:w="108" w:type="dxa"/>
            </w:tcMar>
            <w:vAlign w:val="center"/>
          </w:tcPr>
          <w:p w14:paraId="29BC13A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0,42%</w:t>
            </w:r>
          </w:p>
        </w:tc>
        <w:tc>
          <w:tcPr>
            <w:tcW w:w="967" w:type="dxa"/>
            <w:shd w:val="clear" w:color="auto" w:fill="FFFFFF" w:themeFill="background1"/>
            <w:tcMar>
              <w:top w:w="0" w:type="dxa"/>
              <w:left w:w="108" w:type="dxa"/>
              <w:bottom w:w="0" w:type="dxa"/>
              <w:right w:w="108" w:type="dxa"/>
            </w:tcMar>
            <w:vAlign w:val="center"/>
          </w:tcPr>
          <w:p w14:paraId="2F4B99E8" w14:textId="77777777" w:rsidR="00284822" w:rsidRDefault="00F77BF8">
            <w:pPr>
              <w:spacing w:line="240" w:lineRule="auto"/>
              <w:rPr>
                <w:rFonts w:ascii="Rockwell" w:hAnsi="Rockwell"/>
                <w:b/>
                <w:bCs/>
                <w:sz w:val="18"/>
                <w:szCs w:val="18"/>
              </w:rPr>
            </w:pPr>
            <w:r>
              <w:rPr>
                <w:rFonts w:ascii="Rockwell" w:hAnsi="Rockwell"/>
                <w:b/>
                <w:bCs/>
                <w:sz w:val="18"/>
                <w:szCs w:val="18"/>
              </w:rPr>
              <w:t>4</w:t>
            </w:r>
          </w:p>
        </w:tc>
        <w:tc>
          <w:tcPr>
            <w:tcW w:w="1107" w:type="dxa"/>
            <w:shd w:val="clear" w:color="auto" w:fill="FFFFFF" w:themeFill="background1"/>
            <w:tcMar>
              <w:top w:w="0" w:type="dxa"/>
              <w:left w:w="108" w:type="dxa"/>
              <w:bottom w:w="0" w:type="dxa"/>
              <w:right w:w="108" w:type="dxa"/>
            </w:tcMar>
            <w:vAlign w:val="center"/>
          </w:tcPr>
          <w:p w14:paraId="025C2CC1" w14:textId="77777777" w:rsidR="00284822" w:rsidRDefault="00F77BF8">
            <w:pPr>
              <w:spacing w:line="240" w:lineRule="auto"/>
              <w:rPr>
                <w:rFonts w:ascii="Rockwell" w:hAnsi="Rockwell"/>
                <w:b/>
                <w:bCs/>
                <w:sz w:val="18"/>
                <w:szCs w:val="18"/>
              </w:rPr>
            </w:pPr>
            <w:r>
              <w:rPr>
                <w:rFonts w:ascii="Rockwell" w:hAnsi="Rockwell"/>
                <w:b/>
                <w:bCs/>
                <w:sz w:val="18"/>
                <w:szCs w:val="18"/>
              </w:rPr>
              <w:t>0,93%</w:t>
            </w:r>
          </w:p>
        </w:tc>
        <w:tc>
          <w:tcPr>
            <w:tcW w:w="968" w:type="dxa"/>
            <w:shd w:val="clear" w:color="auto" w:fill="FFFFFF" w:themeFill="background1"/>
            <w:tcMar>
              <w:top w:w="0" w:type="dxa"/>
              <w:left w:w="108" w:type="dxa"/>
              <w:bottom w:w="0" w:type="dxa"/>
              <w:right w:w="108" w:type="dxa"/>
            </w:tcMar>
            <w:vAlign w:val="center"/>
          </w:tcPr>
          <w:p w14:paraId="252DA8EE" w14:textId="77777777" w:rsidR="00284822" w:rsidRDefault="00F77BF8">
            <w:pPr>
              <w:spacing w:line="240" w:lineRule="auto"/>
              <w:rPr>
                <w:rFonts w:ascii="Rockwell" w:hAnsi="Rockwell"/>
                <w:b/>
                <w:bCs/>
                <w:sz w:val="18"/>
                <w:szCs w:val="18"/>
              </w:rPr>
            </w:pPr>
            <w:r>
              <w:rPr>
                <w:rFonts w:ascii="Rockwell" w:hAnsi="Rockwell"/>
                <w:b/>
                <w:bCs/>
                <w:sz w:val="18"/>
                <w:szCs w:val="18"/>
              </w:rPr>
              <w:t>8</w:t>
            </w:r>
          </w:p>
        </w:tc>
        <w:tc>
          <w:tcPr>
            <w:tcW w:w="1522" w:type="dxa"/>
            <w:shd w:val="clear" w:color="auto" w:fill="FFFFFF" w:themeFill="background1"/>
            <w:tcMar>
              <w:top w:w="0" w:type="dxa"/>
              <w:left w:w="108" w:type="dxa"/>
              <w:bottom w:w="0" w:type="dxa"/>
              <w:right w:w="108" w:type="dxa"/>
            </w:tcMar>
            <w:vAlign w:val="center"/>
          </w:tcPr>
          <w:p w14:paraId="63B66A82" w14:textId="77777777" w:rsidR="00284822" w:rsidRDefault="00F77BF8">
            <w:pPr>
              <w:spacing w:line="240" w:lineRule="auto"/>
              <w:rPr>
                <w:rFonts w:ascii="Rockwell" w:hAnsi="Rockwell"/>
                <w:b/>
                <w:bCs/>
                <w:sz w:val="18"/>
                <w:szCs w:val="18"/>
              </w:rPr>
            </w:pPr>
            <w:r>
              <w:rPr>
                <w:rFonts w:ascii="Rockwell" w:hAnsi="Rockwell"/>
                <w:b/>
                <w:bCs/>
                <w:sz w:val="18"/>
                <w:szCs w:val="18"/>
              </w:rPr>
              <w:t>1,07%</w:t>
            </w:r>
          </w:p>
        </w:tc>
      </w:tr>
      <w:tr w:rsidR="00284822" w14:paraId="201F46FB" w14:textId="77777777">
        <w:trPr>
          <w:gridAfter w:val="1"/>
          <w:wAfter w:w="13" w:type="dxa"/>
          <w:trHeight w:val="164"/>
          <w:jc w:val="center"/>
        </w:trPr>
        <w:tc>
          <w:tcPr>
            <w:tcW w:w="963" w:type="dxa"/>
            <w:shd w:val="clear" w:color="auto" w:fill="FFFFFF" w:themeFill="background1"/>
            <w:noWrap/>
            <w:tcMar>
              <w:top w:w="0" w:type="dxa"/>
              <w:left w:w="108" w:type="dxa"/>
              <w:bottom w:w="0" w:type="dxa"/>
              <w:right w:w="108" w:type="dxa"/>
            </w:tcMar>
          </w:tcPr>
          <w:p w14:paraId="519679F0"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7</w:t>
            </w:r>
          </w:p>
        </w:tc>
        <w:tc>
          <w:tcPr>
            <w:tcW w:w="2495" w:type="dxa"/>
            <w:shd w:val="clear" w:color="auto" w:fill="FFFFFF" w:themeFill="background1"/>
            <w:tcMar>
              <w:top w:w="0" w:type="dxa"/>
              <w:left w:w="108" w:type="dxa"/>
              <w:bottom w:w="0" w:type="dxa"/>
              <w:right w:w="108" w:type="dxa"/>
            </w:tcMar>
          </w:tcPr>
          <w:p w14:paraId="14D0D218"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CDP</w:t>
            </w:r>
          </w:p>
        </w:tc>
        <w:tc>
          <w:tcPr>
            <w:tcW w:w="966" w:type="dxa"/>
            <w:shd w:val="clear" w:color="auto" w:fill="FFFFFF" w:themeFill="background1"/>
            <w:tcMar>
              <w:top w:w="0" w:type="dxa"/>
              <w:left w:w="108" w:type="dxa"/>
              <w:bottom w:w="0" w:type="dxa"/>
              <w:right w:w="108" w:type="dxa"/>
            </w:tcMar>
            <w:vAlign w:val="center"/>
          </w:tcPr>
          <w:p w14:paraId="2A189765"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22 2/5</w:t>
            </w:r>
          </w:p>
        </w:tc>
        <w:tc>
          <w:tcPr>
            <w:tcW w:w="1107" w:type="dxa"/>
            <w:shd w:val="clear" w:color="auto" w:fill="FFFFFF" w:themeFill="background1"/>
            <w:tcMar>
              <w:top w:w="0" w:type="dxa"/>
              <w:left w:w="108" w:type="dxa"/>
              <w:bottom w:w="0" w:type="dxa"/>
              <w:right w:w="108" w:type="dxa"/>
            </w:tcMar>
            <w:vAlign w:val="center"/>
          </w:tcPr>
          <w:p w14:paraId="0C74CBC5"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24,76%</w:t>
            </w:r>
          </w:p>
        </w:tc>
        <w:tc>
          <w:tcPr>
            <w:tcW w:w="835" w:type="dxa"/>
            <w:shd w:val="clear" w:color="auto" w:fill="FFFFFF" w:themeFill="background1"/>
            <w:tcMar>
              <w:top w:w="0" w:type="dxa"/>
              <w:left w:w="108" w:type="dxa"/>
              <w:bottom w:w="0" w:type="dxa"/>
              <w:right w:w="108" w:type="dxa"/>
            </w:tcMar>
            <w:vAlign w:val="center"/>
          </w:tcPr>
          <w:p w14:paraId="77BA0261"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37</w:t>
            </w:r>
          </w:p>
        </w:tc>
        <w:tc>
          <w:tcPr>
            <w:tcW w:w="970" w:type="dxa"/>
            <w:shd w:val="clear" w:color="auto" w:fill="FFFFFF" w:themeFill="background1"/>
            <w:tcMar>
              <w:top w:w="0" w:type="dxa"/>
              <w:left w:w="108" w:type="dxa"/>
              <w:bottom w:w="0" w:type="dxa"/>
              <w:right w:w="108" w:type="dxa"/>
            </w:tcMar>
            <w:vAlign w:val="center"/>
          </w:tcPr>
          <w:p w14:paraId="35FA3DD2"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22,84%</w:t>
            </w:r>
          </w:p>
        </w:tc>
        <w:tc>
          <w:tcPr>
            <w:tcW w:w="830" w:type="dxa"/>
            <w:shd w:val="clear" w:color="auto" w:fill="FFFFFF" w:themeFill="background1"/>
            <w:tcMar>
              <w:top w:w="0" w:type="dxa"/>
              <w:left w:w="108" w:type="dxa"/>
              <w:bottom w:w="0" w:type="dxa"/>
              <w:right w:w="108" w:type="dxa"/>
            </w:tcMar>
            <w:vAlign w:val="center"/>
          </w:tcPr>
          <w:p w14:paraId="5C22816C"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35</w:t>
            </w:r>
          </w:p>
        </w:tc>
        <w:tc>
          <w:tcPr>
            <w:tcW w:w="967" w:type="dxa"/>
            <w:shd w:val="clear" w:color="auto" w:fill="FFFFFF" w:themeFill="background1"/>
            <w:tcMar>
              <w:top w:w="0" w:type="dxa"/>
              <w:left w:w="108" w:type="dxa"/>
              <w:bottom w:w="0" w:type="dxa"/>
              <w:right w:w="108" w:type="dxa"/>
            </w:tcMar>
            <w:vAlign w:val="center"/>
          </w:tcPr>
          <w:p w14:paraId="32CBE7CC"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24,67%</w:t>
            </w:r>
          </w:p>
        </w:tc>
        <w:tc>
          <w:tcPr>
            <w:tcW w:w="691" w:type="dxa"/>
            <w:shd w:val="clear" w:color="auto" w:fill="FFFFFF" w:themeFill="background1"/>
            <w:tcMar>
              <w:top w:w="0" w:type="dxa"/>
              <w:left w:w="108" w:type="dxa"/>
              <w:bottom w:w="0" w:type="dxa"/>
              <w:right w:w="108" w:type="dxa"/>
            </w:tcMar>
            <w:vAlign w:val="center"/>
          </w:tcPr>
          <w:p w14:paraId="53885599"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63</w:t>
            </w:r>
          </w:p>
        </w:tc>
        <w:tc>
          <w:tcPr>
            <w:tcW w:w="971" w:type="dxa"/>
            <w:shd w:val="clear" w:color="auto" w:fill="FFFFFF" w:themeFill="background1"/>
            <w:tcMar>
              <w:top w:w="0" w:type="dxa"/>
              <w:left w:w="108" w:type="dxa"/>
              <w:bottom w:w="0" w:type="dxa"/>
              <w:right w:w="108" w:type="dxa"/>
            </w:tcMar>
            <w:vAlign w:val="center"/>
          </w:tcPr>
          <w:p w14:paraId="3048BC47"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26,58%</w:t>
            </w:r>
          </w:p>
        </w:tc>
        <w:tc>
          <w:tcPr>
            <w:tcW w:w="967" w:type="dxa"/>
            <w:shd w:val="clear" w:color="auto" w:fill="FFFFFF" w:themeFill="background1"/>
            <w:tcMar>
              <w:top w:w="0" w:type="dxa"/>
              <w:left w:w="108" w:type="dxa"/>
              <w:bottom w:w="0" w:type="dxa"/>
              <w:right w:w="108" w:type="dxa"/>
            </w:tcMar>
            <w:vAlign w:val="center"/>
          </w:tcPr>
          <w:p w14:paraId="716BC6A2" w14:textId="77777777" w:rsidR="00284822" w:rsidRDefault="00F77BF8">
            <w:pPr>
              <w:spacing w:line="240" w:lineRule="auto"/>
              <w:rPr>
                <w:rFonts w:ascii="Rockwell" w:hAnsi="Rockwell"/>
                <w:b/>
                <w:bCs/>
                <w:sz w:val="18"/>
                <w:szCs w:val="18"/>
              </w:rPr>
            </w:pPr>
            <w:r>
              <w:rPr>
                <w:rFonts w:ascii="Rockwell" w:hAnsi="Rockwell"/>
                <w:b/>
                <w:bCs/>
                <w:sz w:val="18"/>
                <w:szCs w:val="18"/>
              </w:rPr>
              <w:t>106 6/7</w:t>
            </w:r>
          </w:p>
        </w:tc>
        <w:tc>
          <w:tcPr>
            <w:tcW w:w="1107" w:type="dxa"/>
            <w:shd w:val="clear" w:color="auto" w:fill="FFFFFF" w:themeFill="background1"/>
            <w:tcMar>
              <w:top w:w="0" w:type="dxa"/>
              <w:left w:w="108" w:type="dxa"/>
              <w:bottom w:w="0" w:type="dxa"/>
              <w:right w:w="108" w:type="dxa"/>
            </w:tcMar>
            <w:vAlign w:val="center"/>
          </w:tcPr>
          <w:p w14:paraId="4EB022B2" w14:textId="77777777" w:rsidR="00284822" w:rsidRDefault="00F77BF8">
            <w:pPr>
              <w:spacing w:line="240" w:lineRule="auto"/>
              <w:rPr>
                <w:rFonts w:ascii="Rockwell" w:hAnsi="Rockwell"/>
                <w:b/>
                <w:bCs/>
                <w:sz w:val="18"/>
                <w:szCs w:val="18"/>
              </w:rPr>
            </w:pPr>
            <w:r>
              <w:rPr>
                <w:rFonts w:ascii="Rockwell" w:hAnsi="Rockwell"/>
                <w:b/>
                <w:bCs/>
                <w:sz w:val="18"/>
                <w:szCs w:val="18"/>
              </w:rPr>
              <w:t>24,84%</w:t>
            </w:r>
          </w:p>
        </w:tc>
        <w:tc>
          <w:tcPr>
            <w:tcW w:w="968" w:type="dxa"/>
            <w:shd w:val="clear" w:color="auto" w:fill="FFFFFF" w:themeFill="background1"/>
            <w:tcMar>
              <w:top w:w="0" w:type="dxa"/>
              <w:left w:w="108" w:type="dxa"/>
              <w:bottom w:w="0" w:type="dxa"/>
              <w:right w:w="108" w:type="dxa"/>
            </w:tcMar>
            <w:vAlign w:val="center"/>
          </w:tcPr>
          <w:p w14:paraId="562FEB97" w14:textId="77777777" w:rsidR="00284822" w:rsidRDefault="00F77BF8">
            <w:pPr>
              <w:spacing w:line="240" w:lineRule="auto"/>
              <w:rPr>
                <w:rFonts w:ascii="Rockwell" w:hAnsi="Rockwell"/>
                <w:b/>
                <w:bCs/>
                <w:sz w:val="18"/>
                <w:szCs w:val="18"/>
              </w:rPr>
            </w:pPr>
            <w:r>
              <w:rPr>
                <w:rFonts w:ascii="Rockwell" w:hAnsi="Rockwell"/>
                <w:b/>
                <w:bCs/>
                <w:sz w:val="18"/>
                <w:szCs w:val="18"/>
              </w:rPr>
              <w:t>180</w:t>
            </w:r>
          </w:p>
        </w:tc>
        <w:tc>
          <w:tcPr>
            <w:tcW w:w="1522" w:type="dxa"/>
            <w:shd w:val="clear" w:color="auto" w:fill="FFFFFF" w:themeFill="background1"/>
            <w:tcMar>
              <w:top w:w="0" w:type="dxa"/>
              <w:left w:w="108" w:type="dxa"/>
              <w:bottom w:w="0" w:type="dxa"/>
              <w:right w:w="108" w:type="dxa"/>
            </w:tcMar>
            <w:vAlign w:val="center"/>
          </w:tcPr>
          <w:p w14:paraId="076DF366" w14:textId="77777777" w:rsidR="00284822" w:rsidRDefault="00F77BF8">
            <w:pPr>
              <w:spacing w:line="240" w:lineRule="auto"/>
              <w:rPr>
                <w:rFonts w:ascii="Rockwell" w:hAnsi="Rockwell"/>
                <w:b/>
                <w:bCs/>
                <w:sz w:val="18"/>
                <w:szCs w:val="18"/>
              </w:rPr>
            </w:pPr>
            <w:r>
              <w:rPr>
                <w:rFonts w:ascii="Rockwell" w:hAnsi="Rockwell"/>
                <w:b/>
                <w:bCs/>
                <w:sz w:val="18"/>
                <w:szCs w:val="18"/>
              </w:rPr>
              <w:t>23,97%</w:t>
            </w:r>
          </w:p>
        </w:tc>
      </w:tr>
      <w:tr w:rsidR="00284822" w14:paraId="0C93BAD5" w14:textId="77777777">
        <w:trPr>
          <w:gridAfter w:val="1"/>
          <w:wAfter w:w="13" w:type="dxa"/>
          <w:trHeight w:val="164"/>
          <w:jc w:val="center"/>
        </w:trPr>
        <w:tc>
          <w:tcPr>
            <w:tcW w:w="963" w:type="dxa"/>
            <w:shd w:val="clear" w:color="auto" w:fill="FFFFFF" w:themeFill="background1"/>
            <w:noWrap/>
            <w:tcMar>
              <w:top w:w="0" w:type="dxa"/>
              <w:left w:w="108" w:type="dxa"/>
              <w:bottom w:w="0" w:type="dxa"/>
              <w:right w:w="108" w:type="dxa"/>
            </w:tcMar>
          </w:tcPr>
          <w:p w14:paraId="6AF2C420"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8</w:t>
            </w:r>
          </w:p>
        </w:tc>
        <w:tc>
          <w:tcPr>
            <w:tcW w:w="2495" w:type="dxa"/>
            <w:shd w:val="clear" w:color="auto" w:fill="FFFFFF" w:themeFill="background1"/>
            <w:tcMar>
              <w:top w:w="0" w:type="dxa"/>
              <w:left w:w="108" w:type="dxa"/>
              <w:bottom w:w="0" w:type="dxa"/>
              <w:right w:w="108" w:type="dxa"/>
            </w:tcMar>
          </w:tcPr>
          <w:p w14:paraId="7E5B019F"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CRP</w:t>
            </w:r>
          </w:p>
        </w:tc>
        <w:tc>
          <w:tcPr>
            <w:tcW w:w="966" w:type="dxa"/>
            <w:shd w:val="clear" w:color="auto" w:fill="FFFFFF" w:themeFill="background1"/>
            <w:tcMar>
              <w:top w:w="0" w:type="dxa"/>
              <w:left w:w="108" w:type="dxa"/>
              <w:bottom w:w="0" w:type="dxa"/>
              <w:right w:w="108" w:type="dxa"/>
            </w:tcMar>
            <w:vAlign w:val="center"/>
          </w:tcPr>
          <w:p w14:paraId="045A36A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107" w:type="dxa"/>
            <w:shd w:val="clear" w:color="auto" w:fill="FFFFFF" w:themeFill="background1"/>
            <w:tcMar>
              <w:top w:w="0" w:type="dxa"/>
              <w:left w:w="108" w:type="dxa"/>
              <w:bottom w:w="0" w:type="dxa"/>
              <w:right w:w="108" w:type="dxa"/>
            </w:tcMar>
            <w:vAlign w:val="center"/>
          </w:tcPr>
          <w:p w14:paraId="13EFBBA7"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835" w:type="dxa"/>
            <w:shd w:val="clear" w:color="auto" w:fill="FFFFFF" w:themeFill="background1"/>
            <w:tcMar>
              <w:top w:w="0" w:type="dxa"/>
              <w:left w:w="108" w:type="dxa"/>
              <w:bottom w:w="0" w:type="dxa"/>
              <w:right w:w="108" w:type="dxa"/>
            </w:tcMar>
            <w:vAlign w:val="center"/>
          </w:tcPr>
          <w:p w14:paraId="6EFEA95E"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970" w:type="dxa"/>
            <w:shd w:val="clear" w:color="auto" w:fill="FFFFFF" w:themeFill="background1"/>
            <w:tcMar>
              <w:top w:w="0" w:type="dxa"/>
              <w:left w:w="108" w:type="dxa"/>
              <w:bottom w:w="0" w:type="dxa"/>
              <w:right w:w="108" w:type="dxa"/>
            </w:tcMar>
            <w:vAlign w:val="center"/>
          </w:tcPr>
          <w:p w14:paraId="3AB461B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830" w:type="dxa"/>
            <w:shd w:val="clear" w:color="auto" w:fill="FFFFFF" w:themeFill="background1"/>
            <w:tcMar>
              <w:top w:w="0" w:type="dxa"/>
              <w:left w:w="108" w:type="dxa"/>
              <w:bottom w:w="0" w:type="dxa"/>
              <w:right w:w="108" w:type="dxa"/>
            </w:tcMar>
            <w:vAlign w:val="center"/>
          </w:tcPr>
          <w:p w14:paraId="3515E9AC"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3</w:t>
            </w:r>
          </w:p>
        </w:tc>
        <w:tc>
          <w:tcPr>
            <w:tcW w:w="967" w:type="dxa"/>
            <w:shd w:val="clear" w:color="auto" w:fill="FFFFFF" w:themeFill="background1"/>
            <w:tcMar>
              <w:top w:w="0" w:type="dxa"/>
              <w:left w:w="108" w:type="dxa"/>
              <w:bottom w:w="0" w:type="dxa"/>
              <w:right w:w="108" w:type="dxa"/>
            </w:tcMar>
            <w:vAlign w:val="center"/>
          </w:tcPr>
          <w:p w14:paraId="24B241CE"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2,11%</w:t>
            </w:r>
          </w:p>
        </w:tc>
        <w:tc>
          <w:tcPr>
            <w:tcW w:w="691" w:type="dxa"/>
            <w:shd w:val="clear" w:color="auto" w:fill="FFFFFF" w:themeFill="background1"/>
            <w:tcMar>
              <w:top w:w="0" w:type="dxa"/>
              <w:left w:w="108" w:type="dxa"/>
              <w:bottom w:w="0" w:type="dxa"/>
              <w:right w:w="108" w:type="dxa"/>
            </w:tcMar>
            <w:vAlign w:val="center"/>
          </w:tcPr>
          <w:p w14:paraId="659338E7"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3</w:t>
            </w:r>
          </w:p>
        </w:tc>
        <w:tc>
          <w:tcPr>
            <w:tcW w:w="971" w:type="dxa"/>
            <w:shd w:val="clear" w:color="auto" w:fill="FFFFFF" w:themeFill="background1"/>
            <w:tcMar>
              <w:top w:w="0" w:type="dxa"/>
              <w:left w:w="108" w:type="dxa"/>
              <w:bottom w:w="0" w:type="dxa"/>
              <w:right w:w="108" w:type="dxa"/>
            </w:tcMar>
            <w:vAlign w:val="center"/>
          </w:tcPr>
          <w:p w14:paraId="5BFAD12E"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1,27%</w:t>
            </w:r>
          </w:p>
        </w:tc>
        <w:tc>
          <w:tcPr>
            <w:tcW w:w="967" w:type="dxa"/>
            <w:shd w:val="clear" w:color="auto" w:fill="FFFFFF" w:themeFill="background1"/>
            <w:tcMar>
              <w:top w:w="0" w:type="dxa"/>
              <w:left w:w="108" w:type="dxa"/>
              <w:bottom w:w="0" w:type="dxa"/>
              <w:right w:w="108" w:type="dxa"/>
            </w:tcMar>
            <w:vAlign w:val="center"/>
          </w:tcPr>
          <w:p w14:paraId="4037B4B1" w14:textId="77777777" w:rsidR="00284822" w:rsidRDefault="00F77BF8">
            <w:pPr>
              <w:spacing w:line="240" w:lineRule="auto"/>
              <w:rPr>
                <w:rFonts w:ascii="Rockwell" w:hAnsi="Rockwell"/>
                <w:b/>
                <w:bCs/>
                <w:sz w:val="18"/>
                <w:szCs w:val="18"/>
              </w:rPr>
            </w:pPr>
            <w:r>
              <w:rPr>
                <w:rFonts w:ascii="Rockwell" w:hAnsi="Rockwell"/>
                <w:b/>
                <w:bCs/>
                <w:sz w:val="18"/>
                <w:szCs w:val="18"/>
              </w:rPr>
              <w:t>4 1/4</w:t>
            </w:r>
          </w:p>
        </w:tc>
        <w:tc>
          <w:tcPr>
            <w:tcW w:w="1107" w:type="dxa"/>
            <w:shd w:val="clear" w:color="auto" w:fill="FFFFFF" w:themeFill="background1"/>
            <w:tcMar>
              <w:top w:w="0" w:type="dxa"/>
              <w:left w:w="108" w:type="dxa"/>
              <w:bottom w:w="0" w:type="dxa"/>
              <w:right w:w="108" w:type="dxa"/>
            </w:tcMar>
            <w:vAlign w:val="center"/>
          </w:tcPr>
          <w:p w14:paraId="341BC21E" w14:textId="77777777" w:rsidR="00284822" w:rsidRDefault="00F77BF8">
            <w:pPr>
              <w:spacing w:line="240" w:lineRule="auto"/>
              <w:rPr>
                <w:rFonts w:ascii="Rockwell" w:hAnsi="Rockwell"/>
                <w:b/>
                <w:bCs/>
                <w:sz w:val="18"/>
                <w:szCs w:val="18"/>
              </w:rPr>
            </w:pPr>
            <w:r>
              <w:rPr>
                <w:rFonts w:ascii="Rockwell" w:hAnsi="Rockwell"/>
                <w:b/>
                <w:bCs/>
                <w:sz w:val="18"/>
                <w:szCs w:val="18"/>
              </w:rPr>
              <w:t>0,99%</w:t>
            </w:r>
          </w:p>
        </w:tc>
        <w:tc>
          <w:tcPr>
            <w:tcW w:w="968" w:type="dxa"/>
            <w:shd w:val="clear" w:color="auto" w:fill="FFFFFF" w:themeFill="background1"/>
            <w:tcMar>
              <w:top w:w="0" w:type="dxa"/>
              <w:left w:w="108" w:type="dxa"/>
              <w:bottom w:w="0" w:type="dxa"/>
              <w:right w:w="108" w:type="dxa"/>
            </w:tcMar>
            <w:vAlign w:val="center"/>
          </w:tcPr>
          <w:p w14:paraId="27F2CE3E" w14:textId="77777777" w:rsidR="00284822" w:rsidRDefault="00F77BF8">
            <w:pPr>
              <w:spacing w:line="240" w:lineRule="auto"/>
              <w:rPr>
                <w:rFonts w:ascii="Rockwell" w:hAnsi="Rockwell"/>
                <w:b/>
                <w:bCs/>
                <w:sz w:val="18"/>
                <w:szCs w:val="18"/>
              </w:rPr>
            </w:pPr>
            <w:r>
              <w:rPr>
                <w:rFonts w:ascii="Rockwell" w:hAnsi="Rockwell"/>
                <w:b/>
                <w:bCs/>
                <w:sz w:val="18"/>
                <w:szCs w:val="18"/>
              </w:rPr>
              <w:t>5</w:t>
            </w:r>
          </w:p>
        </w:tc>
        <w:tc>
          <w:tcPr>
            <w:tcW w:w="1522" w:type="dxa"/>
            <w:shd w:val="clear" w:color="auto" w:fill="FFFFFF" w:themeFill="background1"/>
            <w:tcMar>
              <w:top w:w="0" w:type="dxa"/>
              <w:left w:w="108" w:type="dxa"/>
              <w:bottom w:w="0" w:type="dxa"/>
              <w:right w:w="108" w:type="dxa"/>
            </w:tcMar>
            <w:vAlign w:val="center"/>
          </w:tcPr>
          <w:p w14:paraId="28DEF618" w14:textId="77777777" w:rsidR="00284822" w:rsidRDefault="00F77BF8">
            <w:pPr>
              <w:spacing w:line="240" w:lineRule="auto"/>
              <w:rPr>
                <w:rFonts w:ascii="Rockwell" w:hAnsi="Rockwell"/>
                <w:b/>
                <w:bCs/>
                <w:sz w:val="18"/>
                <w:szCs w:val="18"/>
              </w:rPr>
            </w:pPr>
            <w:r>
              <w:rPr>
                <w:rFonts w:ascii="Rockwell" w:hAnsi="Rockwell"/>
                <w:b/>
                <w:bCs/>
                <w:sz w:val="18"/>
                <w:szCs w:val="18"/>
              </w:rPr>
              <w:t>0,67%</w:t>
            </w:r>
          </w:p>
        </w:tc>
      </w:tr>
      <w:tr w:rsidR="00284822" w14:paraId="1299C455" w14:textId="77777777">
        <w:trPr>
          <w:gridAfter w:val="1"/>
          <w:wAfter w:w="13" w:type="dxa"/>
          <w:trHeight w:val="164"/>
          <w:jc w:val="center"/>
        </w:trPr>
        <w:tc>
          <w:tcPr>
            <w:tcW w:w="963" w:type="dxa"/>
            <w:shd w:val="clear" w:color="auto" w:fill="FFFFFF" w:themeFill="background1"/>
            <w:noWrap/>
            <w:tcMar>
              <w:top w:w="0" w:type="dxa"/>
              <w:left w:w="108" w:type="dxa"/>
              <w:bottom w:w="0" w:type="dxa"/>
              <w:right w:w="108" w:type="dxa"/>
            </w:tcMar>
          </w:tcPr>
          <w:p w14:paraId="1A733521"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9</w:t>
            </w:r>
          </w:p>
        </w:tc>
        <w:tc>
          <w:tcPr>
            <w:tcW w:w="2495" w:type="dxa"/>
            <w:shd w:val="clear" w:color="auto" w:fill="FFFFFF" w:themeFill="background1"/>
            <w:tcMar>
              <w:top w:w="0" w:type="dxa"/>
              <w:left w:w="108" w:type="dxa"/>
              <w:bottom w:w="0" w:type="dxa"/>
              <w:right w:w="108" w:type="dxa"/>
            </w:tcMar>
          </w:tcPr>
          <w:p w14:paraId="50C9EBDC"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FA</w:t>
            </w:r>
          </w:p>
        </w:tc>
        <w:tc>
          <w:tcPr>
            <w:tcW w:w="966" w:type="dxa"/>
            <w:shd w:val="clear" w:color="auto" w:fill="FFFFFF" w:themeFill="background1"/>
            <w:tcMar>
              <w:top w:w="0" w:type="dxa"/>
              <w:left w:w="108" w:type="dxa"/>
              <w:bottom w:w="0" w:type="dxa"/>
              <w:right w:w="108" w:type="dxa"/>
            </w:tcMar>
            <w:vAlign w:val="center"/>
          </w:tcPr>
          <w:p w14:paraId="6D6A2B97"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 1/2</w:t>
            </w:r>
          </w:p>
        </w:tc>
        <w:tc>
          <w:tcPr>
            <w:tcW w:w="1107" w:type="dxa"/>
            <w:shd w:val="clear" w:color="auto" w:fill="FFFFFF" w:themeFill="background1"/>
            <w:tcMar>
              <w:top w:w="0" w:type="dxa"/>
              <w:left w:w="108" w:type="dxa"/>
              <w:bottom w:w="0" w:type="dxa"/>
              <w:right w:w="108" w:type="dxa"/>
            </w:tcMar>
            <w:vAlign w:val="center"/>
          </w:tcPr>
          <w:p w14:paraId="1D17237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1,66%</w:t>
            </w:r>
          </w:p>
        </w:tc>
        <w:tc>
          <w:tcPr>
            <w:tcW w:w="835" w:type="dxa"/>
            <w:shd w:val="clear" w:color="auto" w:fill="FFFFFF" w:themeFill="background1"/>
            <w:tcMar>
              <w:top w:w="0" w:type="dxa"/>
              <w:left w:w="108" w:type="dxa"/>
              <w:bottom w:w="0" w:type="dxa"/>
              <w:right w:w="108" w:type="dxa"/>
            </w:tcMar>
            <w:vAlign w:val="center"/>
          </w:tcPr>
          <w:p w14:paraId="1BB7429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4</w:t>
            </w:r>
          </w:p>
        </w:tc>
        <w:tc>
          <w:tcPr>
            <w:tcW w:w="970" w:type="dxa"/>
            <w:shd w:val="clear" w:color="auto" w:fill="FFFFFF" w:themeFill="background1"/>
            <w:tcMar>
              <w:top w:w="0" w:type="dxa"/>
              <w:left w:w="108" w:type="dxa"/>
              <w:bottom w:w="0" w:type="dxa"/>
              <w:right w:w="108" w:type="dxa"/>
            </w:tcMar>
            <w:vAlign w:val="center"/>
          </w:tcPr>
          <w:p w14:paraId="6082C949"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2,47%</w:t>
            </w:r>
          </w:p>
        </w:tc>
        <w:tc>
          <w:tcPr>
            <w:tcW w:w="830" w:type="dxa"/>
            <w:shd w:val="clear" w:color="auto" w:fill="FFFFFF" w:themeFill="background1"/>
            <w:tcMar>
              <w:top w:w="0" w:type="dxa"/>
              <w:left w:w="108" w:type="dxa"/>
              <w:bottom w:w="0" w:type="dxa"/>
              <w:right w:w="108" w:type="dxa"/>
            </w:tcMar>
            <w:vAlign w:val="center"/>
          </w:tcPr>
          <w:p w14:paraId="1470F054"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 2/5</w:t>
            </w:r>
          </w:p>
        </w:tc>
        <w:tc>
          <w:tcPr>
            <w:tcW w:w="967" w:type="dxa"/>
            <w:shd w:val="clear" w:color="auto" w:fill="FFFFFF" w:themeFill="background1"/>
            <w:tcMar>
              <w:top w:w="0" w:type="dxa"/>
              <w:left w:w="108" w:type="dxa"/>
              <w:bottom w:w="0" w:type="dxa"/>
              <w:right w:w="108" w:type="dxa"/>
            </w:tcMar>
            <w:vAlign w:val="center"/>
          </w:tcPr>
          <w:p w14:paraId="4BC09531"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1,70%</w:t>
            </w:r>
          </w:p>
        </w:tc>
        <w:tc>
          <w:tcPr>
            <w:tcW w:w="691" w:type="dxa"/>
            <w:shd w:val="clear" w:color="auto" w:fill="FFFFFF" w:themeFill="background1"/>
            <w:tcMar>
              <w:top w:w="0" w:type="dxa"/>
              <w:left w:w="108" w:type="dxa"/>
              <w:bottom w:w="0" w:type="dxa"/>
              <w:right w:w="108" w:type="dxa"/>
            </w:tcMar>
            <w:vAlign w:val="center"/>
          </w:tcPr>
          <w:p w14:paraId="3628480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5</w:t>
            </w:r>
          </w:p>
        </w:tc>
        <w:tc>
          <w:tcPr>
            <w:tcW w:w="971" w:type="dxa"/>
            <w:shd w:val="clear" w:color="auto" w:fill="FFFFFF" w:themeFill="background1"/>
            <w:tcMar>
              <w:top w:w="0" w:type="dxa"/>
              <w:left w:w="108" w:type="dxa"/>
              <w:bottom w:w="0" w:type="dxa"/>
              <w:right w:w="108" w:type="dxa"/>
            </w:tcMar>
            <w:vAlign w:val="center"/>
          </w:tcPr>
          <w:p w14:paraId="425F019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2,11%</w:t>
            </w:r>
          </w:p>
        </w:tc>
        <w:tc>
          <w:tcPr>
            <w:tcW w:w="967" w:type="dxa"/>
            <w:shd w:val="clear" w:color="auto" w:fill="FFFFFF" w:themeFill="background1"/>
            <w:tcMar>
              <w:top w:w="0" w:type="dxa"/>
              <w:left w:w="108" w:type="dxa"/>
              <w:bottom w:w="0" w:type="dxa"/>
              <w:right w:w="108" w:type="dxa"/>
            </w:tcMar>
            <w:vAlign w:val="center"/>
          </w:tcPr>
          <w:p w14:paraId="51CDC72A" w14:textId="77777777" w:rsidR="00284822" w:rsidRDefault="00F77BF8">
            <w:pPr>
              <w:spacing w:line="240" w:lineRule="auto"/>
              <w:rPr>
                <w:rFonts w:ascii="Rockwell" w:hAnsi="Rockwell"/>
                <w:b/>
                <w:bCs/>
                <w:sz w:val="18"/>
                <w:szCs w:val="18"/>
              </w:rPr>
            </w:pPr>
            <w:r>
              <w:rPr>
                <w:rFonts w:ascii="Rockwell" w:hAnsi="Rockwell"/>
                <w:b/>
                <w:bCs/>
                <w:sz w:val="18"/>
                <w:szCs w:val="18"/>
              </w:rPr>
              <w:t>11 2/5</w:t>
            </w:r>
          </w:p>
        </w:tc>
        <w:tc>
          <w:tcPr>
            <w:tcW w:w="1107" w:type="dxa"/>
            <w:shd w:val="clear" w:color="auto" w:fill="FFFFFF" w:themeFill="background1"/>
            <w:tcMar>
              <w:top w:w="0" w:type="dxa"/>
              <w:left w:w="108" w:type="dxa"/>
              <w:bottom w:w="0" w:type="dxa"/>
              <w:right w:w="108" w:type="dxa"/>
            </w:tcMar>
            <w:vAlign w:val="center"/>
          </w:tcPr>
          <w:p w14:paraId="5E5E7C02" w14:textId="77777777" w:rsidR="00284822" w:rsidRDefault="00F77BF8">
            <w:pPr>
              <w:spacing w:line="240" w:lineRule="auto"/>
              <w:rPr>
                <w:rFonts w:ascii="Rockwell" w:hAnsi="Rockwell"/>
                <w:b/>
                <w:bCs/>
                <w:sz w:val="18"/>
                <w:szCs w:val="18"/>
              </w:rPr>
            </w:pPr>
            <w:r>
              <w:rPr>
                <w:rFonts w:ascii="Rockwell" w:hAnsi="Rockwell"/>
                <w:b/>
                <w:bCs/>
                <w:sz w:val="18"/>
                <w:szCs w:val="18"/>
              </w:rPr>
              <w:t>2,65%</w:t>
            </w:r>
          </w:p>
        </w:tc>
        <w:tc>
          <w:tcPr>
            <w:tcW w:w="968" w:type="dxa"/>
            <w:shd w:val="clear" w:color="auto" w:fill="FFFFFF" w:themeFill="background1"/>
            <w:tcMar>
              <w:top w:w="0" w:type="dxa"/>
              <w:left w:w="108" w:type="dxa"/>
              <w:bottom w:w="0" w:type="dxa"/>
              <w:right w:w="108" w:type="dxa"/>
            </w:tcMar>
            <w:vAlign w:val="center"/>
          </w:tcPr>
          <w:p w14:paraId="69C84C30" w14:textId="77777777" w:rsidR="00284822" w:rsidRDefault="00F77BF8">
            <w:pPr>
              <w:spacing w:line="240" w:lineRule="auto"/>
              <w:rPr>
                <w:rFonts w:ascii="Rockwell" w:hAnsi="Rockwell"/>
                <w:b/>
                <w:bCs/>
                <w:sz w:val="18"/>
                <w:szCs w:val="18"/>
              </w:rPr>
            </w:pPr>
            <w:r>
              <w:rPr>
                <w:rFonts w:ascii="Rockwell" w:hAnsi="Rockwell"/>
                <w:b/>
                <w:bCs/>
                <w:sz w:val="18"/>
                <w:szCs w:val="18"/>
              </w:rPr>
              <w:t>20</w:t>
            </w:r>
          </w:p>
        </w:tc>
        <w:tc>
          <w:tcPr>
            <w:tcW w:w="1522" w:type="dxa"/>
            <w:shd w:val="clear" w:color="auto" w:fill="FFFFFF" w:themeFill="background1"/>
            <w:tcMar>
              <w:top w:w="0" w:type="dxa"/>
              <w:left w:w="108" w:type="dxa"/>
              <w:bottom w:w="0" w:type="dxa"/>
              <w:right w:w="108" w:type="dxa"/>
            </w:tcMar>
            <w:vAlign w:val="center"/>
          </w:tcPr>
          <w:p w14:paraId="441FCA1E" w14:textId="77777777" w:rsidR="00284822" w:rsidRDefault="00F77BF8">
            <w:pPr>
              <w:spacing w:line="240" w:lineRule="auto"/>
              <w:rPr>
                <w:rFonts w:ascii="Rockwell" w:hAnsi="Rockwell"/>
                <w:b/>
                <w:bCs/>
                <w:sz w:val="18"/>
                <w:szCs w:val="18"/>
              </w:rPr>
            </w:pPr>
            <w:r>
              <w:rPr>
                <w:rFonts w:ascii="Rockwell" w:hAnsi="Rockwell"/>
                <w:b/>
                <w:bCs/>
                <w:sz w:val="18"/>
                <w:szCs w:val="18"/>
              </w:rPr>
              <w:t>2,66%</w:t>
            </w:r>
          </w:p>
        </w:tc>
      </w:tr>
      <w:tr w:rsidR="00284822" w14:paraId="1D0F2C73" w14:textId="77777777">
        <w:trPr>
          <w:gridAfter w:val="1"/>
          <w:wAfter w:w="13" w:type="dxa"/>
          <w:trHeight w:val="164"/>
          <w:jc w:val="center"/>
        </w:trPr>
        <w:tc>
          <w:tcPr>
            <w:tcW w:w="963" w:type="dxa"/>
            <w:shd w:val="clear" w:color="auto" w:fill="FFFFFF" w:themeFill="background1"/>
            <w:noWrap/>
            <w:tcMar>
              <w:top w:w="0" w:type="dxa"/>
              <w:left w:w="108" w:type="dxa"/>
              <w:bottom w:w="0" w:type="dxa"/>
              <w:right w:w="108" w:type="dxa"/>
            </w:tcMar>
            <w:vAlign w:val="center"/>
          </w:tcPr>
          <w:p w14:paraId="300DA5C8"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10</w:t>
            </w:r>
          </w:p>
        </w:tc>
        <w:tc>
          <w:tcPr>
            <w:tcW w:w="2495" w:type="dxa"/>
            <w:shd w:val="clear" w:color="auto" w:fill="FFFFFF" w:themeFill="background1"/>
            <w:tcMar>
              <w:top w:w="0" w:type="dxa"/>
              <w:left w:w="108" w:type="dxa"/>
              <w:bottom w:w="0" w:type="dxa"/>
              <w:right w:w="108" w:type="dxa"/>
            </w:tcMar>
            <w:vAlign w:val="center"/>
          </w:tcPr>
          <w:p w14:paraId="169DA647"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FP</w:t>
            </w:r>
          </w:p>
        </w:tc>
        <w:tc>
          <w:tcPr>
            <w:tcW w:w="966" w:type="dxa"/>
            <w:shd w:val="clear" w:color="auto" w:fill="FFFFFF" w:themeFill="background1"/>
            <w:tcMar>
              <w:top w:w="0" w:type="dxa"/>
              <w:left w:w="108" w:type="dxa"/>
              <w:bottom w:w="0" w:type="dxa"/>
              <w:right w:w="108" w:type="dxa"/>
            </w:tcMar>
            <w:vAlign w:val="center"/>
          </w:tcPr>
          <w:p w14:paraId="3900A33F"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107" w:type="dxa"/>
            <w:shd w:val="clear" w:color="auto" w:fill="FFFFFF" w:themeFill="background1"/>
            <w:tcMar>
              <w:top w:w="0" w:type="dxa"/>
              <w:left w:w="108" w:type="dxa"/>
              <w:bottom w:w="0" w:type="dxa"/>
              <w:right w:w="108" w:type="dxa"/>
            </w:tcMar>
            <w:vAlign w:val="center"/>
          </w:tcPr>
          <w:p w14:paraId="68837D3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835" w:type="dxa"/>
            <w:shd w:val="clear" w:color="auto" w:fill="FFFFFF" w:themeFill="background1"/>
            <w:tcMar>
              <w:top w:w="0" w:type="dxa"/>
              <w:left w:w="108" w:type="dxa"/>
              <w:bottom w:w="0" w:type="dxa"/>
              <w:right w:w="108" w:type="dxa"/>
            </w:tcMar>
            <w:vAlign w:val="center"/>
          </w:tcPr>
          <w:p w14:paraId="17681601"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970" w:type="dxa"/>
            <w:shd w:val="clear" w:color="auto" w:fill="FFFFFF" w:themeFill="background1"/>
            <w:tcMar>
              <w:top w:w="0" w:type="dxa"/>
              <w:left w:w="108" w:type="dxa"/>
              <w:bottom w:w="0" w:type="dxa"/>
              <w:right w:w="108" w:type="dxa"/>
            </w:tcMar>
            <w:vAlign w:val="center"/>
          </w:tcPr>
          <w:p w14:paraId="0F20E87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830" w:type="dxa"/>
            <w:shd w:val="clear" w:color="auto" w:fill="FFFFFF" w:themeFill="background1"/>
            <w:tcMar>
              <w:top w:w="0" w:type="dxa"/>
              <w:left w:w="108" w:type="dxa"/>
              <w:bottom w:w="0" w:type="dxa"/>
              <w:right w:w="108" w:type="dxa"/>
            </w:tcMar>
            <w:vAlign w:val="center"/>
          </w:tcPr>
          <w:p w14:paraId="7C83481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3 1/2</w:t>
            </w:r>
          </w:p>
        </w:tc>
        <w:tc>
          <w:tcPr>
            <w:tcW w:w="967" w:type="dxa"/>
            <w:shd w:val="clear" w:color="auto" w:fill="FFFFFF" w:themeFill="background1"/>
            <w:tcMar>
              <w:top w:w="0" w:type="dxa"/>
              <w:left w:w="108" w:type="dxa"/>
              <w:bottom w:w="0" w:type="dxa"/>
              <w:right w:w="108" w:type="dxa"/>
            </w:tcMar>
            <w:vAlign w:val="center"/>
          </w:tcPr>
          <w:p w14:paraId="53709369"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2,47%</w:t>
            </w:r>
          </w:p>
        </w:tc>
        <w:tc>
          <w:tcPr>
            <w:tcW w:w="691" w:type="dxa"/>
            <w:shd w:val="clear" w:color="auto" w:fill="FFFFFF" w:themeFill="background1"/>
            <w:tcMar>
              <w:top w:w="0" w:type="dxa"/>
              <w:left w:w="108" w:type="dxa"/>
              <w:bottom w:w="0" w:type="dxa"/>
              <w:right w:w="108" w:type="dxa"/>
            </w:tcMar>
            <w:vAlign w:val="center"/>
          </w:tcPr>
          <w:p w14:paraId="20D3F7E4"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4</w:t>
            </w:r>
          </w:p>
        </w:tc>
        <w:tc>
          <w:tcPr>
            <w:tcW w:w="971" w:type="dxa"/>
            <w:shd w:val="clear" w:color="auto" w:fill="FFFFFF" w:themeFill="background1"/>
            <w:tcMar>
              <w:top w:w="0" w:type="dxa"/>
              <w:left w:w="108" w:type="dxa"/>
              <w:bottom w:w="0" w:type="dxa"/>
              <w:right w:w="108" w:type="dxa"/>
            </w:tcMar>
            <w:vAlign w:val="center"/>
          </w:tcPr>
          <w:p w14:paraId="7ED9AA02"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1,69%</w:t>
            </w:r>
          </w:p>
        </w:tc>
        <w:tc>
          <w:tcPr>
            <w:tcW w:w="967" w:type="dxa"/>
            <w:shd w:val="clear" w:color="auto" w:fill="FFFFFF" w:themeFill="background1"/>
            <w:tcMar>
              <w:top w:w="0" w:type="dxa"/>
              <w:left w:w="108" w:type="dxa"/>
              <w:bottom w:w="0" w:type="dxa"/>
              <w:right w:w="108" w:type="dxa"/>
            </w:tcMar>
            <w:vAlign w:val="center"/>
          </w:tcPr>
          <w:p w14:paraId="7F5C1A2A" w14:textId="77777777" w:rsidR="00284822" w:rsidRDefault="00F77BF8">
            <w:pPr>
              <w:spacing w:line="240" w:lineRule="auto"/>
              <w:rPr>
                <w:rFonts w:ascii="Rockwell" w:hAnsi="Rockwell"/>
                <w:b/>
                <w:bCs/>
                <w:sz w:val="18"/>
                <w:szCs w:val="18"/>
              </w:rPr>
            </w:pPr>
            <w:r>
              <w:rPr>
                <w:rFonts w:ascii="Rockwell" w:hAnsi="Rockwell"/>
                <w:b/>
                <w:bCs/>
                <w:sz w:val="18"/>
                <w:szCs w:val="18"/>
              </w:rPr>
              <w:t>5</w:t>
            </w:r>
          </w:p>
        </w:tc>
        <w:tc>
          <w:tcPr>
            <w:tcW w:w="1107" w:type="dxa"/>
            <w:shd w:val="clear" w:color="auto" w:fill="FFFFFF" w:themeFill="background1"/>
            <w:tcMar>
              <w:top w:w="0" w:type="dxa"/>
              <w:left w:w="108" w:type="dxa"/>
              <w:bottom w:w="0" w:type="dxa"/>
              <w:right w:w="108" w:type="dxa"/>
            </w:tcMar>
            <w:vAlign w:val="center"/>
          </w:tcPr>
          <w:p w14:paraId="0B64BED0" w14:textId="77777777" w:rsidR="00284822" w:rsidRDefault="00F77BF8">
            <w:pPr>
              <w:spacing w:line="240" w:lineRule="auto"/>
              <w:rPr>
                <w:rFonts w:ascii="Rockwell" w:hAnsi="Rockwell"/>
                <w:b/>
                <w:bCs/>
                <w:sz w:val="18"/>
                <w:szCs w:val="18"/>
              </w:rPr>
            </w:pPr>
            <w:r>
              <w:rPr>
                <w:rFonts w:ascii="Rockwell" w:hAnsi="Rockwell"/>
                <w:b/>
                <w:bCs/>
                <w:sz w:val="18"/>
                <w:szCs w:val="18"/>
              </w:rPr>
              <w:t>1,16%</w:t>
            </w:r>
          </w:p>
        </w:tc>
        <w:tc>
          <w:tcPr>
            <w:tcW w:w="968" w:type="dxa"/>
            <w:shd w:val="clear" w:color="auto" w:fill="FFFFFF" w:themeFill="background1"/>
            <w:tcMar>
              <w:top w:w="0" w:type="dxa"/>
              <w:left w:w="108" w:type="dxa"/>
              <w:bottom w:w="0" w:type="dxa"/>
              <w:right w:w="108" w:type="dxa"/>
            </w:tcMar>
            <w:vAlign w:val="center"/>
          </w:tcPr>
          <w:p w14:paraId="32F8E74A" w14:textId="77777777" w:rsidR="00284822" w:rsidRDefault="00F77BF8">
            <w:pPr>
              <w:spacing w:line="240" w:lineRule="auto"/>
              <w:rPr>
                <w:rFonts w:ascii="Rockwell" w:hAnsi="Rockwell"/>
                <w:b/>
                <w:bCs/>
                <w:sz w:val="18"/>
                <w:szCs w:val="18"/>
              </w:rPr>
            </w:pPr>
            <w:r>
              <w:rPr>
                <w:rFonts w:ascii="Rockwell" w:hAnsi="Rockwell"/>
                <w:b/>
                <w:bCs/>
                <w:sz w:val="18"/>
                <w:szCs w:val="18"/>
              </w:rPr>
              <w:t>6</w:t>
            </w:r>
          </w:p>
        </w:tc>
        <w:tc>
          <w:tcPr>
            <w:tcW w:w="1522" w:type="dxa"/>
            <w:shd w:val="clear" w:color="auto" w:fill="FFFFFF" w:themeFill="background1"/>
            <w:tcMar>
              <w:top w:w="0" w:type="dxa"/>
              <w:left w:w="108" w:type="dxa"/>
              <w:bottom w:w="0" w:type="dxa"/>
              <w:right w:w="108" w:type="dxa"/>
            </w:tcMar>
            <w:vAlign w:val="center"/>
          </w:tcPr>
          <w:p w14:paraId="11CDBE6E" w14:textId="77777777" w:rsidR="00284822" w:rsidRDefault="00F77BF8">
            <w:pPr>
              <w:spacing w:line="240" w:lineRule="auto"/>
              <w:rPr>
                <w:rFonts w:ascii="Rockwell" w:hAnsi="Rockwell"/>
                <w:b/>
                <w:bCs/>
                <w:sz w:val="18"/>
                <w:szCs w:val="18"/>
              </w:rPr>
            </w:pPr>
            <w:r>
              <w:rPr>
                <w:rFonts w:ascii="Rockwell" w:hAnsi="Rockwell"/>
                <w:b/>
                <w:bCs/>
                <w:sz w:val="18"/>
                <w:szCs w:val="18"/>
              </w:rPr>
              <w:t>0,80%</w:t>
            </w:r>
          </w:p>
        </w:tc>
      </w:tr>
      <w:tr w:rsidR="00284822" w14:paraId="68B4F2B4" w14:textId="77777777">
        <w:trPr>
          <w:gridAfter w:val="1"/>
          <w:wAfter w:w="13" w:type="dxa"/>
          <w:trHeight w:val="164"/>
          <w:jc w:val="center"/>
        </w:trPr>
        <w:tc>
          <w:tcPr>
            <w:tcW w:w="963" w:type="dxa"/>
            <w:shd w:val="clear" w:color="auto" w:fill="FFFFFF" w:themeFill="background1"/>
            <w:noWrap/>
            <w:tcMar>
              <w:top w:w="0" w:type="dxa"/>
              <w:left w:w="108" w:type="dxa"/>
              <w:bottom w:w="0" w:type="dxa"/>
              <w:right w:w="108" w:type="dxa"/>
            </w:tcMar>
            <w:vAlign w:val="center"/>
          </w:tcPr>
          <w:p w14:paraId="6A28EAE0"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11</w:t>
            </w:r>
          </w:p>
        </w:tc>
        <w:tc>
          <w:tcPr>
            <w:tcW w:w="2495" w:type="dxa"/>
            <w:shd w:val="clear" w:color="auto" w:fill="FFFFFF" w:themeFill="background1"/>
            <w:tcMar>
              <w:top w:w="0" w:type="dxa"/>
              <w:left w:w="108" w:type="dxa"/>
              <w:bottom w:w="0" w:type="dxa"/>
              <w:right w:w="108" w:type="dxa"/>
            </w:tcMar>
            <w:vAlign w:val="center"/>
          </w:tcPr>
          <w:p w14:paraId="3EC78EEF"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FPR</w:t>
            </w:r>
          </w:p>
        </w:tc>
        <w:tc>
          <w:tcPr>
            <w:tcW w:w="966" w:type="dxa"/>
            <w:shd w:val="clear" w:color="auto" w:fill="FFFFFF" w:themeFill="background1"/>
            <w:tcMar>
              <w:top w:w="0" w:type="dxa"/>
              <w:left w:w="108" w:type="dxa"/>
              <w:bottom w:w="0" w:type="dxa"/>
              <w:right w:w="108" w:type="dxa"/>
            </w:tcMar>
            <w:vAlign w:val="center"/>
          </w:tcPr>
          <w:p w14:paraId="08C32E76"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107" w:type="dxa"/>
            <w:shd w:val="clear" w:color="auto" w:fill="FFFFFF" w:themeFill="background1"/>
            <w:tcMar>
              <w:top w:w="0" w:type="dxa"/>
              <w:left w:w="108" w:type="dxa"/>
              <w:bottom w:w="0" w:type="dxa"/>
              <w:right w:w="108" w:type="dxa"/>
            </w:tcMar>
            <w:vAlign w:val="center"/>
          </w:tcPr>
          <w:p w14:paraId="42DA0ADB"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835" w:type="dxa"/>
            <w:shd w:val="clear" w:color="auto" w:fill="FFFFFF" w:themeFill="background1"/>
            <w:tcMar>
              <w:top w:w="0" w:type="dxa"/>
              <w:left w:w="108" w:type="dxa"/>
              <w:bottom w:w="0" w:type="dxa"/>
              <w:right w:w="108" w:type="dxa"/>
            </w:tcMar>
            <w:vAlign w:val="center"/>
          </w:tcPr>
          <w:p w14:paraId="41DF50EB"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970" w:type="dxa"/>
            <w:shd w:val="clear" w:color="auto" w:fill="FFFFFF" w:themeFill="background1"/>
            <w:tcMar>
              <w:top w:w="0" w:type="dxa"/>
              <w:left w:w="108" w:type="dxa"/>
              <w:bottom w:w="0" w:type="dxa"/>
              <w:right w:w="108" w:type="dxa"/>
            </w:tcMar>
            <w:vAlign w:val="center"/>
          </w:tcPr>
          <w:p w14:paraId="2F302DA6"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830" w:type="dxa"/>
            <w:shd w:val="clear" w:color="auto" w:fill="FFFFFF" w:themeFill="background1"/>
            <w:tcMar>
              <w:top w:w="0" w:type="dxa"/>
              <w:left w:w="108" w:type="dxa"/>
              <w:bottom w:w="0" w:type="dxa"/>
              <w:right w:w="108" w:type="dxa"/>
            </w:tcMar>
            <w:vAlign w:val="center"/>
          </w:tcPr>
          <w:p w14:paraId="665410D2"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3/4</w:t>
            </w:r>
          </w:p>
        </w:tc>
        <w:tc>
          <w:tcPr>
            <w:tcW w:w="967" w:type="dxa"/>
            <w:shd w:val="clear" w:color="auto" w:fill="FFFFFF" w:themeFill="background1"/>
            <w:tcMar>
              <w:top w:w="0" w:type="dxa"/>
              <w:left w:w="108" w:type="dxa"/>
              <w:bottom w:w="0" w:type="dxa"/>
              <w:right w:w="108" w:type="dxa"/>
            </w:tcMar>
            <w:vAlign w:val="center"/>
          </w:tcPr>
          <w:p w14:paraId="4216281F"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0,53%</w:t>
            </w:r>
          </w:p>
        </w:tc>
        <w:tc>
          <w:tcPr>
            <w:tcW w:w="691" w:type="dxa"/>
            <w:shd w:val="clear" w:color="auto" w:fill="FFFFFF" w:themeFill="background1"/>
            <w:tcMar>
              <w:top w:w="0" w:type="dxa"/>
              <w:left w:w="108" w:type="dxa"/>
              <w:bottom w:w="0" w:type="dxa"/>
              <w:right w:w="108" w:type="dxa"/>
            </w:tcMar>
            <w:vAlign w:val="center"/>
          </w:tcPr>
          <w:p w14:paraId="670E135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w:t>
            </w:r>
          </w:p>
        </w:tc>
        <w:tc>
          <w:tcPr>
            <w:tcW w:w="971" w:type="dxa"/>
            <w:shd w:val="clear" w:color="auto" w:fill="FFFFFF" w:themeFill="background1"/>
            <w:tcMar>
              <w:top w:w="0" w:type="dxa"/>
              <w:left w:w="108" w:type="dxa"/>
              <w:bottom w:w="0" w:type="dxa"/>
              <w:right w:w="108" w:type="dxa"/>
            </w:tcMar>
            <w:vAlign w:val="center"/>
          </w:tcPr>
          <w:p w14:paraId="2207CD0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0,42%</w:t>
            </w:r>
          </w:p>
        </w:tc>
        <w:tc>
          <w:tcPr>
            <w:tcW w:w="967" w:type="dxa"/>
            <w:shd w:val="clear" w:color="auto" w:fill="FFFFFF" w:themeFill="background1"/>
            <w:tcMar>
              <w:top w:w="0" w:type="dxa"/>
              <w:left w:w="108" w:type="dxa"/>
              <w:bottom w:w="0" w:type="dxa"/>
              <w:right w:w="108" w:type="dxa"/>
            </w:tcMar>
            <w:vAlign w:val="center"/>
          </w:tcPr>
          <w:p w14:paraId="2051BE78" w14:textId="77777777" w:rsidR="00284822" w:rsidRDefault="00F77BF8">
            <w:pPr>
              <w:spacing w:line="240" w:lineRule="auto"/>
              <w:rPr>
                <w:rFonts w:ascii="Rockwell" w:hAnsi="Rockwell"/>
                <w:b/>
                <w:bCs/>
                <w:sz w:val="18"/>
                <w:szCs w:val="18"/>
              </w:rPr>
            </w:pPr>
            <w:r>
              <w:rPr>
                <w:rFonts w:ascii="Rockwell" w:hAnsi="Rockwell"/>
                <w:b/>
                <w:bCs/>
                <w:sz w:val="18"/>
                <w:szCs w:val="18"/>
              </w:rPr>
              <w:t>1 1/4</w:t>
            </w:r>
          </w:p>
        </w:tc>
        <w:tc>
          <w:tcPr>
            <w:tcW w:w="1107" w:type="dxa"/>
            <w:shd w:val="clear" w:color="auto" w:fill="FFFFFF" w:themeFill="background1"/>
            <w:tcMar>
              <w:top w:w="0" w:type="dxa"/>
              <w:left w:w="108" w:type="dxa"/>
              <w:bottom w:w="0" w:type="dxa"/>
              <w:right w:w="108" w:type="dxa"/>
            </w:tcMar>
            <w:vAlign w:val="center"/>
          </w:tcPr>
          <w:p w14:paraId="7B04C028" w14:textId="77777777" w:rsidR="00284822" w:rsidRDefault="00F77BF8">
            <w:pPr>
              <w:spacing w:line="240" w:lineRule="auto"/>
              <w:rPr>
                <w:rFonts w:ascii="Rockwell" w:hAnsi="Rockwell"/>
                <w:b/>
                <w:bCs/>
                <w:sz w:val="18"/>
                <w:szCs w:val="18"/>
              </w:rPr>
            </w:pPr>
            <w:r>
              <w:rPr>
                <w:rFonts w:ascii="Rockwell" w:hAnsi="Rockwell"/>
                <w:b/>
                <w:bCs/>
                <w:sz w:val="18"/>
                <w:szCs w:val="18"/>
              </w:rPr>
              <w:t>0,29%</w:t>
            </w:r>
          </w:p>
        </w:tc>
        <w:tc>
          <w:tcPr>
            <w:tcW w:w="968" w:type="dxa"/>
            <w:shd w:val="clear" w:color="auto" w:fill="FFFFFF" w:themeFill="background1"/>
            <w:tcMar>
              <w:top w:w="0" w:type="dxa"/>
              <w:left w:w="108" w:type="dxa"/>
              <w:bottom w:w="0" w:type="dxa"/>
              <w:right w:w="108" w:type="dxa"/>
            </w:tcMar>
            <w:vAlign w:val="center"/>
          </w:tcPr>
          <w:p w14:paraId="004CB213" w14:textId="77777777" w:rsidR="00284822" w:rsidRDefault="00F77BF8">
            <w:pPr>
              <w:spacing w:line="240" w:lineRule="auto"/>
              <w:rPr>
                <w:rFonts w:ascii="Rockwell" w:hAnsi="Rockwell"/>
                <w:b/>
                <w:bCs/>
                <w:sz w:val="18"/>
                <w:szCs w:val="18"/>
              </w:rPr>
            </w:pPr>
            <w:r>
              <w:rPr>
                <w:rFonts w:ascii="Rockwell" w:hAnsi="Rockwell"/>
                <w:b/>
                <w:bCs/>
                <w:sz w:val="18"/>
                <w:szCs w:val="18"/>
              </w:rPr>
              <w:t>2</w:t>
            </w:r>
          </w:p>
        </w:tc>
        <w:tc>
          <w:tcPr>
            <w:tcW w:w="1522" w:type="dxa"/>
            <w:shd w:val="clear" w:color="auto" w:fill="FFFFFF" w:themeFill="background1"/>
            <w:tcMar>
              <w:top w:w="0" w:type="dxa"/>
              <w:left w:w="108" w:type="dxa"/>
              <w:bottom w:w="0" w:type="dxa"/>
              <w:right w:w="108" w:type="dxa"/>
            </w:tcMar>
            <w:vAlign w:val="center"/>
          </w:tcPr>
          <w:p w14:paraId="195839FA" w14:textId="77777777" w:rsidR="00284822" w:rsidRDefault="00F77BF8">
            <w:pPr>
              <w:spacing w:line="240" w:lineRule="auto"/>
              <w:rPr>
                <w:rFonts w:ascii="Rockwell" w:hAnsi="Rockwell"/>
                <w:b/>
                <w:bCs/>
                <w:sz w:val="18"/>
                <w:szCs w:val="18"/>
              </w:rPr>
            </w:pPr>
            <w:r>
              <w:rPr>
                <w:rFonts w:ascii="Rockwell" w:hAnsi="Rockwell"/>
                <w:b/>
                <w:bCs/>
                <w:sz w:val="18"/>
                <w:szCs w:val="18"/>
              </w:rPr>
              <w:t>0,27%</w:t>
            </w:r>
          </w:p>
        </w:tc>
      </w:tr>
      <w:tr w:rsidR="00284822" w14:paraId="4DC44506" w14:textId="77777777">
        <w:trPr>
          <w:gridAfter w:val="1"/>
          <w:wAfter w:w="13" w:type="dxa"/>
          <w:trHeight w:val="164"/>
          <w:jc w:val="center"/>
        </w:trPr>
        <w:tc>
          <w:tcPr>
            <w:tcW w:w="963" w:type="dxa"/>
            <w:shd w:val="clear" w:color="auto" w:fill="FFFFFF" w:themeFill="background1"/>
            <w:noWrap/>
            <w:tcMar>
              <w:top w:w="0" w:type="dxa"/>
              <w:left w:w="108" w:type="dxa"/>
              <w:bottom w:w="0" w:type="dxa"/>
              <w:right w:w="108" w:type="dxa"/>
            </w:tcMar>
            <w:vAlign w:val="center"/>
          </w:tcPr>
          <w:p w14:paraId="00CFC528"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12</w:t>
            </w:r>
          </w:p>
        </w:tc>
        <w:tc>
          <w:tcPr>
            <w:tcW w:w="2495" w:type="dxa"/>
            <w:shd w:val="clear" w:color="auto" w:fill="FFFFFF" w:themeFill="background1"/>
            <w:tcMar>
              <w:top w:w="0" w:type="dxa"/>
              <w:left w:w="108" w:type="dxa"/>
              <w:bottom w:w="0" w:type="dxa"/>
              <w:right w:w="108" w:type="dxa"/>
            </w:tcMar>
            <w:vAlign w:val="center"/>
          </w:tcPr>
          <w:p w14:paraId="3DCB4C73"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L'AB/PSR</w:t>
            </w:r>
          </w:p>
        </w:tc>
        <w:tc>
          <w:tcPr>
            <w:tcW w:w="966" w:type="dxa"/>
            <w:shd w:val="clear" w:color="auto" w:fill="FFFFFF" w:themeFill="background1"/>
            <w:tcMar>
              <w:top w:w="0" w:type="dxa"/>
              <w:left w:w="108" w:type="dxa"/>
              <w:bottom w:w="0" w:type="dxa"/>
              <w:right w:w="108" w:type="dxa"/>
            </w:tcMar>
            <w:vAlign w:val="center"/>
          </w:tcPr>
          <w:p w14:paraId="3B40A51B"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 2/5</w:t>
            </w:r>
          </w:p>
        </w:tc>
        <w:tc>
          <w:tcPr>
            <w:tcW w:w="1107" w:type="dxa"/>
            <w:shd w:val="clear" w:color="auto" w:fill="FFFFFF" w:themeFill="background1"/>
            <w:tcMar>
              <w:top w:w="0" w:type="dxa"/>
              <w:left w:w="108" w:type="dxa"/>
              <w:bottom w:w="0" w:type="dxa"/>
              <w:right w:w="108" w:type="dxa"/>
            </w:tcMar>
            <w:vAlign w:val="center"/>
          </w:tcPr>
          <w:p w14:paraId="3A0ACD22"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2,67%</w:t>
            </w:r>
          </w:p>
        </w:tc>
        <w:tc>
          <w:tcPr>
            <w:tcW w:w="835" w:type="dxa"/>
            <w:shd w:val="clear" w:color="auto" w:fill="FFFFFF" w:themeFill="background1"/>
            <w:tcMar>
              <w:top w:w="0" w:type="dxa"/>
              <w:left w:w="108" w:type="dxa"/>
              <w:bottom w:w="0" w:type="dxa"/>
              <w:right w:w="108" w:type="dxa"/>
            </w:tcMar>
            <w:vAlign w:val="center"/>
          </w:tcPr>
          <w:p w14:paraId="4B6C6067"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3</w:t>
            </w:r>
          </w:p>
        </w:tc>
        <w:tc>
          <w:tcPr>
            <w:tcW w:w="970" w:type="dxa"/>
            <w:shd w:val="clear" w:color="auto" w:fill="FFFFFF" w:themeFill="background1"/>
            <w:tcMar>
              <w:top w:w="0" w:type="dxa"/>
              <w:left w:w="108" w:type="dxa"/>
              <w:bottom w:w="0" w:type="dxa"/>
              <w:right w:w="108" w:type="dxa"/>
            </w:tcMar>
            <w:vAlign w:val="center"/>
          </w:tcPr>
          <w:p w14:paraId="17BB1B19"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1,85%</w:t>
            </w:r>
          </w:p>
        </w:tc>
        <w:tc>
          <w:tcPr>
            <w:tcW w:w="830" w:type="dxa"/>
            <w:shd w:val="clear" w:color="auto" w:fill="FFFFFF" w:themeFill="background1"/>
            <w:tcMar>
              <w:top w:w="0" w:type="dxa"/>
              <w:left w:w="108" w:type="dxa"/>
              <w:bottom w:w="0" w:type="dxa"/>
              <w:right w:w="108" w:type="dxa"/>
            </w:tcMar>
            <w:vAlign w:val="center"/>
          </w:tcPr>
          <w:p w14:paraId="000B5318"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 1/2</w:t>
            </w:r>
          </w:p>
        </w:tc>
        <w:tc>
          <w:tcPr>
            <w:tcW w:w="967" w:type="dxa"/>
            <w:shd w:val="clear" w:color="auto" w:fill="FFFFFF" w:themeFill="background1"/>
            <w:tcMar>
              <w:top w:w="0" w:type="dxa"/>
              <w:left w:w="108" w:type="dxa"/>
              <w:bottom w:w="0" w:type="dxa"/>
              <w:right w:w="108" w:type="dxa"/>
            </w:tcMar>
            <w:vAlign w:val="center"/>
          </w:tcPr>
          <w:p w14:paraId="4D7F7E5C"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1,76%</w:t>
            </w:r>
          </w:p>
        </w:tc>
        <w:tc>
          <w:tcPr>
            <w:tcW w:w="691" w:type="dxa"/>
            <w:shd w:val="clear" w:color="auto" w:fill="FFFFFF" w:themeFill="background1"/>
            <w:tcMar>
              <w:top w:w="0" w:type="dxa"/>
              <w:left w:w="108" w:type="dxa"/>
              <w:bottom w:w="0" w:type="dxa"/>
              <w:right w:w="108" w:type="dxa"/>
            </w:tcMar>
            <w:vAlign w:val="center"/>
          </w:tcPr>
          <w:p w14:paraId="2F1F6392"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w:t>
            </w:r>
          </w:p>
        </w:tc>
        <w:tc>
          <w:tcPr>
            <w:tcW w:w="971" w:type="dxa"/>
            <w:shd w:val="clear" w:color="auto" w:fill="FFFFFF" w:themeFill="background1"/>
            <w:tcMar>
              <w:top w:w="0" w:type="dxa"/>
              <w:left w:w="108" w:type="dxa"/>
              <w:bottom w:w="0" w:type="dxa"/>
              <w:right w:w="108" w:type="dxa"/>
            </w:tcMar>
            <w:vAlign w:val="center"/>
          </w:tcPr>
          <w:p w14:paraId="623B987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0,84%</w:t>
            </w:r>
          </w:p>
        </w:tc>
        <w:tc>
          <w:tcPr>
            <w:tcW w:w="967" w:type="dxa"/>
            <w:shd w:val="clear" w:color="auto" w:fill="FFFFFF" w:themeFill="background1"/>
            <w:tcMar>
              <w:top w:w="0" w:type="dxa"/>
              <w:left w:w="108" w:type="dxa"/>
              <w:bottom w:w="0" w:type="dxa"/>
              <w:right w:w="108" w:type="dxa"/>
            </w:tcMar>
            <w:vAlign w:val="center"/>
          </w:tcPr>
          <w:p w14:paraId="23556241" w14:textId="77777777" w:rsidR="00284822" w:rsidRDefault="00F77BF8">
            <w:pPr>
              <w:spacing w:line="240" w:lineRule="auto"/>
              <w:rPr>
                <w:rFonts w:ascii="Rockwell" w:hAnsi="Rockwell"/>
                <w:b/>
                <w:bCs/>
                <w:sz w:val="18"/>
                <w:szCs w:val="18"/>
              </w:rPr>
            </w:pPr>
            <w:r>
              <w:rPr>
                <w:rFonts w:ascii="Rockwell" w:hAnsi="Rockwell"/>
                <w:b/>
                <w:bCs/>
                <w:sz w:val="18"/>
                <w:szCs w:val="18"/>
              </w:rPr>
              <w:t>5</w:t>
            </w:r>
          </w:p>
        </w:tc>
        <w:tc>
          <w:tcPr>
            <w:tcW w:w="1107" w:type="dxa"/>
            <w:shd w:val="clear" w:color="auto" w:fill="FFFFFF" w:themeFill="background1"/>
            <w:tcMar>
              <w:top w:w="0" w:type="dxa"/>
              <w:left w:w="108" w:type="dxa"/>
              <w:bottom w:w="0" w:type="dxa"/>
              <w:right w:w="108" w:type="dxa"/>
            </w:tcMar>
            <w:vAlign w:val="center"/>
          </w:tcPr>
          <w:p w14:paraId="1DA71A9A" w14:textId="77777777" w:rsidR="00284822" w:rsidRDefault="00F77BF8">
            <w:pPr>
              <w:spacing w:line="240" w:lineRule="auto"/>
              <w:rPr>
                <w:rFonts w:ascii="Rockwell" w:hAnsi="Rockwell"/>
                <w:b/>
                <w:bCs/>
                <w:sz w:val="18"/>
                <w:szCs w:val="18"/>
              </w:rPr>
            </w:pPr>
            <w:r>
              <w:rPr>
                <w:rFonts w:ascii="Rockwell" w:hAnsi="Rockwell"/>
                <w:b/>
                <w:bCs/>
                <w:sz w:val="18"/>
                <w:szCs w:val="18"/>
              </w:rPr>
              <w:t>1,14%</w:t>
            </w:r>
          </w:p>
        </w:tc>
        <w:tc>
          <w:tcPr>
            <w:tcW w:w="968" w:type="dxa"/>
            <w:shd w:val="clear" w:color="auto" w:fill="FFFFFF" w:themeFill="background1"/>
            <w:tcMar>
              <w:top w:w="0" w:type="dxa"/>
              <w:left w:w="108" w:type="dxa"/>
              <w:bottom w:w="0" w:type="dxa"/>
              <w:right w:w="108" w:type="dxa"/>
            </w:tcMar>
            <w:vAlign w:val="center"/>
          </w:tcPr>
          <w:p w14:paraId="2EB44842" w14:textId="77777777" w:rsidR="00284822" w:rsidRDefault="00F77BF8">
            <w:pPr>
              <w:spacing w:line="240" w:lineRule="auto"/>
              <w:rPr>
                <w:rFonts w:ascii="Rockwell" w:hAnsi="Rockwell"/>
                <w:b/>
                <w:bCs/>
                <w:sz w:val="18"/>
                <w:szCs w:val="18"/>
              </w:rPr>
            </w:pPr>
            <w:r>
              <w:rPr>
                <w:rFonts w:ascii="Rockwell" w:hAnsi="Rockwell"/>
                <w:b/>
                <w:bCs/>
                <w:sz w:val="18"/>
                <w:szCs w:val="18"/>
              </w:rPr>
              <w:t>5</w:t>
            </w:r>
          </w:p>
        </w:tc>
        <w:tc>
          <w:tcPr>
            <w:tcW w:w="1522" w:type="dxa"/>
            <w:shd w:val="clear" w:color="auto" w:fill="FFFFFF" w:themeFill="background1"/>
            <w:tcMar>
              <w:top w:w="0" w:type="dxa"/>
              <w:left w:w="108" w:type="dxa"/>
              <w:bottom w:w="0" w:type="dxa"/>
              <w:right w:w="108" w:type="dxa"/>
            </w:tcMar>
            <w:vAlign w:val="center"/>
          </w:tcPr>
          <w:p w14:paraId="5544DC4C" w14:textId="77777777" w:rsidR="00284822" w:rsidRDefault="00F77BF8">
            <w:pPr>
              <w:spacing w:line="240" w:lineRule="auto"/>
              <w:rPr>
                <w:rFonts w:ascii="Rockwell" w:hAnsi="Rockwell"/>
                <w:b/>
                <w:bCs/>
                <w:sz w:val="18"/>
                <w:szCs w:val="18"/>
              </w:rPr>
            </w:pPr>
            <w:r>
              <w:rPr>
                <w:rFonts w:ascii="Rockwell" w:hAnsi="Rockwell"/>
                <w:b/>
                <w:bCs/>
                <w:sz w:val="18"/>
                <w:szCs w:val="18"/>
              </w:rPr>
              <w:t>0,67%</w:t>
            </w:r>
          </w:p>
        </w:tc>
      </w:tr>
      <w:tr w:rsidR="00284822" w14:paraId="4A30CC0B" w14:textId="77777777">
        <w:trPr>
          <w:gridAfter w:val="1"/>
          <w:wAfter w:w="13" w:type="dxa"/>
          <w:trHeight w:val="164"/>
          <w:jc w:val="center"/>
        </w:trPr>
        <w:tc>
          <w:tcPr>
            <w:tcW w:w="963" w:type="dxa"/>
            <w:shd w:val="clear" w:color="auto" w:fill="FFFFFF" w:themeFill="background1"/>
            <w:noWrap/>
            <w:tcMar>
              <w:top w:w="0" w:type="dxa"/>
              <w:left w:w="108" w:type="dxa"/>
              <w:bottom w:w="0" w:type="dxa"/>
              <w:right w:w="108" w:type="dxa"/>
            </w:tcMar>
            <w:vAlign w:val="center"/>
          </w:tcPr>
          <w:p w14:paraId="7D98C2DB"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13</w:t>
            </w:r>
          </w:p>
        </w:tc>
        <w:tc>
          <w:tcPr>
            <w:tcW w:w="2495" w:type="dxa"/>
            <w:shd w:val="clear" w:color="auto" w:fill="FFFFFF" w:themeFill="background1"/>
            <w:tcMar>
              <w:top w:w="0" w:type="dxa"/>
              <w:left w:w="108" w:type="dxa"/>
              <w:bottom w:w="0" w:type="dxa"/>
              <w:right w:w="108" w:type="dxa"/>
            </w:tcMar>
            <w:vAlign w:val="center"/>
          </w:tcPr>
          <w:p w14:paraId="687836EE"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LES DEMOC</w:t>
            </w:r>
          </w:p>
        </w:tc>
        <w:tc>
          <w:tcPr>
            <w:tcW w:w="966" w:type="dxa"/>
            <w:shd w:val="clear" w:color="auto" w:fill="FFFFFF" w:themeFill="background1"/>
            <w:tcMar>
              <w:top w:w="0" w:type="dxa"/>
              <w:left w:w="108" w:type="dxa"/>
              <w:bottom w:w="0" w:type="dxa"/>
              <w:right w:w="108" w:type="dxa"/>
            </w:tcMar>
            <w:vAlign w:val="center"/>
          </w:tcPr>
          <w:p w14:paraId="66E02D8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w:t>
            </w:r>
          </w:p>
        </w:tc>
        <w:tc>
          <w:tcPr>
            <w:tcW w:w="1107" w:type="dxa"/>
            <w:shd w:val="clear" w:color="auto" w:fill="FFFFFF" w:themeFill="background1"/>
            <w:tcMar>
              <w:top w:w="0" w:type="dxa"/>
              <w:left w:w="108" w:type="dxa"/>
              <w:bottom w:w="0" w:type="dxa"/>
              <w:right w:w="108" w:type="dxa"/>
            </w:tcMar>
            <w:vAlign w:val="center"/>
          </w:tcPr>
          <w:p w14:paraId="413FE23F"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1,10%</w:t>
            </w:r>
          </w:p>
        </w:tc>
        <w:tc>
          <w:tcPr>
            <w:tcW w:w="835" w:type="dxa"/>
            <w:shd w:val="clear" w:color="auto" w:fill="FFFFFF" w:themeFill="background1"/>
            <w:tcMar>
              <w:top w:w="0" w:type="dxa"/>
              <w:left w:w="108" w:type="dxa"/>
              <w:bottom w:w="0" w:type="dxa"/>
              <w:right w:w="108" w:type="dxa"/>
            </w:tcMar>
            <w:vAlign w:val="center"/>
          </w:tcPr>
          <w:p w14:paraId="4AD75FEE"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3</w:t>
            </w:r>
          </w:p>
        </w:tc>
        <w:tc>
          <w:tcPr>
            <w:tcW w:w="970" w:type="dxa"/>
            <w:shd w:val="clear" w:color="auto" w:fill="FFFFFF" w:themeFill="background1"/>
            <w:tcMar>
              <w:top w:w="0" w:type="dxa"/>
              <w:left w:w="108" w:type="dxa"/>
              <w:bottom w:w="0" w:type="dxa"/>
              <w:right w:w="108" w:type="dxa"/>
            </w:tcMar>
            <w:vAlign w:val="center"/>
          </w:tcPr>
          <w:p w14:paraId="43880D85"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1,85%</w:t>
            </w:r>
          </w:p>
        </w:tc>
        <w:tc>
          <w:tcPr>
            <w:tcW w:w="830" w:type="dxa"/>
            <w:shd w:val="clear" w:color="auto" w:fill="FFFFFF" w:themeFill="background1"/>
            <w:tcMar>
              <w:top w:w="0" w:type="dxa"/>
              <w:left w:w="108" w:type="dxa"/>
              <w:bottom w:w="0" w:type="dxa"/>
              <w:right w:w="108" w:type="dxa"/>
            </w:tcMar>
            <w:vAlign w:val="center"/>
          </w:tcPr>
          <w:p w14:paraId="557B7BE9"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w:t>
            </w:r>
          </w:p>
        </w:tc>
        <w:tc>
          <w:tcPr>
            <w:tcW w:w="967" w:type="dxa"/>
            <w:shd w:val="clear" w:color="auto" w:fill="FFFFFF" w:themeFill="background1"/>
            <w:tcMar>
              <w:top w:w="0" w:type="dxa"/>
              <w:left w:w="108" w:type="dxa"/>
              <w:bottom w:w="0" w:type="dxa"/>
              <w:right w:w="108" w:type="dxa"/>
            </w:tcMar>
            <w:vAlign w:val="center"/>
          </w:tcPr>
          <w:p w14:paraId="7D4D7641"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0,70%</w:t>
            </w:r>
          </w:p>
        </w:tc>
        <w:tc>
          <w:tcPr>
            <w:tcW w:w="691" w:type="dxa"/>
            <w:shd w:val="clear" w:color="auto" w:fill="FFFFFF" w:themeFill="background1"/>
            <w:tcMar>
              <w:top w:w="0" w:type="dxa"/>
              <w:left w:w="108" w:type="dxa"/>
              <w:bottom w:w="0" w:type="dxa"/>
              <w:right w:w="108" w:type="dxa"/>
            </w:tcMar>
            <w:vAlign w:val="center"/>
          </w:tcPr>
          <w:p w14:paraId="1FBE88F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3</w:t>
            </w:r>
          </w:p>
        </w:tc>
        <w:tc>
          <w:tcPr>
            <w:tcW w:w="971" w:type="dxa"/>
            <w:shd w:val="clear" w:color="auto" w:fill="FFFFFF" w:themeFill="background1"/>
            <w:tcMar>
              <w:top w:w="0" w:type="dxa"/>
              <w:left w:w="108" w:type="dxa"/>
              <w:bottom w:w="0" w:type="dxa"/>
              <w:right w:w="108" w:type="dxa"/>
            </w:tcMar>
            <w:vAlign w:val="center"/>
          </w:tcPr>
          <w:p w14:paraId="6B981343"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1,27%</w:t>
            </w:r>
          </w:p>
        </w:tc>
        <w:tc>
          <w:tcPr>
            <w:tcW w:w="967" w:type="dxa"/>
            <w:shd w:val="clear" w:color="auto" w:fill="FFFFFF" w:themeFill="background1"/>
            <w:tcMar>
              <w:top w:w="0" w:type="dxa"/>
              <w:left w:w="108" w:type="dxa"/>
              <w:bottom w:w="0" w:type="dxa"/>
              <w:right w:w="108" w:type="dxa"/>
            </w:tcMar>
            <w:vAlign w:val="center"/>
          </w:tcPr>
          <w:p w14:paraId="4427D465" w14:textId="77777777" w:rsidR="00284822" w:rsidRDefault="00F77BF8">
            <w:pPr>
              <w:spacing w:line="240" w:lineRule="auto"/>
              <w:rPr>
                <w:rFonts w:ascii="Rockwell" w:hAnsi="Rockwell"/>
                <w:b/>
                <w:bCs/>
                <w:sz w:val="18"/>
                <w:szCs w:val="18"/>
              </w:rPr>
            </w:pPr>
            <w:r>
              <w:rPr>
                <w:rFonts w:ascii="Rockwell" w:hAnsi="Rockwell"/>
                <w:b/>
                <w:bCs/>
                <w:sz w:val="18"/>
                <w:szCs w:val="18"/>
              </w:rPr>
              <w:t>4</w:t>
            </w:r>
          </w:p>
        </w:tc>
        <w:tc>
          <w:tcPr>
            <w:tcW w:w="1107" w:type="dxa"/>
            <w:shd w:val="clear" w:color="auto" w:fill="FFFFFF" w:themeFill="background1"/>
            <w:tcMar>
              <w:top w:w="0" w:type="dxa"/>
              <w:left w:w="108" w:type="dxa"/>
              <w:bottom w:w="0" w:type="dxa"/>
              <w:right w:w="108" w:type="dxa"/>
            </w:tcMar>
            <w:vAlign w:val="center"/>
          </w:tcPr>
          <w:p w14:paraId="470C05A0" w14:textId="77777777" w:rsidR="00284822" w:rsidRDefault="00F77BF8">
            <w:pPr>
              <w:spacing w:line="240" w:lineRule="auto"/>
              <w:rPr>
                <w:rFonts w:ascii="Rockwell" w:hAnsi="Rockwell"/>
                <w:b/>
                <w:bCs/>
                <w:sz w:val="18"/>
                <w:szCs w:val="18"/>
              </w:rPr>
            </w:pPr>
            <w:r>
              <w:rPr>
                <w:rFonts w:ascii="Rockwell" w:hAnsi="Rockwell"/>
                <w:b/>
                <w:bCs/>
                <w:sz w:val="18"/>
                <w:szCs w:val="18"/>
              </w:rPr>
              <w:t>0,93%</w:t>
            </w:r>
          </w:p>
        </w:tc>
        <w:tc>
          <w:tcPr>
            <w:tcW w:w="968" w:type="dxa"/>
            <w:shd w:val="clear" w:color="auto" w:fill="FFFFFF" w:themeFill="background1"/>
            <w:tcMar>
              <w:top w:w="0" w:type="dxa"/>
              <w:left w:w="108" w:type="dxa"/>
              <w:bottom w:w="0" w:type="dxa"/>
              <w:right w:w="108" w:type="dxa"/>
            </w:tcMar>
            <w:vAlign w:val="center"/>
          </w:tcPr>
          <w:p w14:paraId="3340AA49" w14:textId="77777777" w:rsidR="00284822" w:rsidRDefault="00F77BF8">
            <w:pPr>
              <w:spacing w:line="240" w:lineRule="auto"/>
              <w:rPr>
                <w:rFonts w:ascii="Rockwell" w:hAnsi="Rockwell"/>
                <w:b/>
                <w:bCs/>
                <w:sz w:val="18"/>
                <w:szCs w:val="18"/>
              </w:rPr>
            </w:pPr>
            <w:r>
              <w:rPr>
                <w:rFonts w:ascii="Rockwell" w:hAnsi="Rockwell"/>
                <w:b/>
                <w:bCs/>
                <w:sz w:val="18"/>
                <w:szCs w:val="18"/>
              </w:rPr>
              <w:t>12</w:t>
            </w:r>
          </w:p>
        </w:tc>
        <w:tc>
          <w:tcPr>
            <w:tcW w:w="1522" w:type="dxa"/>
            <w:shd w:val="clear" w:color="auto" w:fill="FFFFFF" w:themeFill="background1"/>
            <w:tcMar>
              <w:top w:w="0" w:type="dxa"/>
              <w:left w:w="108" w:type="dxa"/>
              <w:bottom w:w="0" w:type="dxa"/>
              <w:right w:w="108" w:type="dxa"/>
            </w:tcMar>
            <w:vAlign w:val="center"/>
          </w:tcPr>
          <w:p w14:paraId="52D18038" w14:textId="77777777" w:rsidR="00284822" w:rsidRDefault="00F77BF8">
            <w:pPr>
              <w:spacing w:line="240" w:lineRule="auto"/>
              <w:rPr>
                <w:rFonts w:ascii="Rockwell" w:hAnsi="Rockwell"/>
                <w:b/>
                <w:bCs/>
                <w:sz w:val="18"/>
                <w:szCs w:val="18"/>
              </w:rPr>
            </w:pPr>
            <w:r>
              <w:rPr>
                <w:rFonts w:ascii="Rockwell" w:hAnsi="Rockwell"/>
                <w:b/>
                <w:bCs/>
                <w:sz w:val="18"/>
                <w:szCs w:val="18"/>
              </w:rPr>
              <w:t>1,60%</w:t>
            </w:r>
          </w:p>
        </w:tc>
      </w:tr>
      <w:tr w:rsidR="00284822" w14:paraId="2728F7A2" w14:textId="77777777">
        <w:trPr>
          <w:gridAfter w:val="1"/>
          <w:wAfter w:w="13" w:type="dxa"/>
          <w:trHeight w:val="164"/>
          <w:jc w:val="center"/>
        </w:trPr>
        <w:tc>
          <w:tcPr>
            <w:tcW w:w="963" w:type="dxa"/>
            <w:shd w:val="clear" w:color="auto" w:fill="FFFFFF" w:themeFill="background1"/>
            <w:noWrap/>
            <w:tcMar>
              <w:top w:w="0" w:type="dxa"/>
              <w:left w:w="108" w:type="dxa"/>
              <w:bottom w:w="0" w:type="dxa"/>
              <w:right w:w="108" w:type="dxa"/>
            </w:tcMar>
            <w:vAlign w:val="center"/>
          </w:tcPr>
          <w:p w14:paraId="4D10AAD2"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14</w:t>
            </w:r>
          </w:p>
        </w:tc>
        <w:tc>
          <w:tcPr>
            <w:tcW w:w="2495" w:type="dxa"/>
            <w:shd w:val="clear" w:color="auto" w:fill="FFFFFF" w:themeFill="background1"/>
            <w:tcMar>
              <w:top w:w="0" w:type="dxa"/>
              <w:left w:w="108" w:type="dxa"/>
              <w:bottom w:w="0" w:type="dxa"/>
              <w:right w:w="108" w:type="dxa"/>
            </w:tcMar>
            <w:vAlign w:val="center"/>
          </w:tcPr>
          <w:p w14:paraId="1376188D"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MAE</w:t>
            </w:r>
          </w:p>
        </w:tc>
        <w:tc>
          <w:tcPr>
            <w:tcW w:w="966" w:type="dxa"/>
            <w:shd w:val="clear" w:color="auto" w:fill="FFFFFF" w:themeFill="background1"/>
            <w:tcMar>
              <w:top w:w="0" w:type="dxa"/>
              <w:left w:w="108" w:type="dxa"/>
              <w:bottom w:w="0" w:type="dxa"/>
              <w:right w:w="108" w:type="dxa"/>
            </w:tcMar>
            <w:vAlign w:val="center"/>
          </w:tcPr>
          <w:p w14:paraId="3498A008"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1/6</w:t>
            </w:r>
          </w:p>
        </w:tc>
        <w:tc>
          <w:tcPr>
            <w:tcW w:w="1107" w:type="dxa"/>
            <w:shd w:val="clear" w:color="auto" w:fill="FFFFFF" w:themeFill="background1"/>
            <w:tcMar>
              <w:top w:w="0" w:type="dxa"/>
              <w:left w:w="108" w:type="dxa"/>
              <w:bottom w:w="0" w:type="dxa"/>
              <w:right w:w="108" w:type="dxa"/>
            </w:tcMar>
            <w:vAlign w:val="center"/>
          </w:tcPr>
          <w:p w14:paraId="5E401F55"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0,18%</w:t>
            </w:r>
          </w:p>
        </w:tc>
        <w:tc>
          <w:tcPr>
            <w:tcW w:w="835" w:type="dxa"/>
            <w:shd w:val="clear" w:color="auto" w:fill="FFFFFF" w:themeFill="background1"/>
            <w:tcMar>
              <w:top w:w="0" w:type="dxa"/>
              <w:left w:w="108" w:type="dxa"/>
              <w:bottom w:w="0" w:type="dxa"/>
              <w:right w:w="108" w:type="dxa"/>
            </w:tcMar>
            <w:vAlign w:val="center"/>
          </w:tcPr>
          <w:p w14:paraId="5CFEE435"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w:t>
            </w:r>
          </w:p>
        </w:tc>
        <w:tc>
          <w:tcPr>
            <w:tcW w:w="970" w:type="dxa"/>
            <w:shd w:val="clear" w:color="auto" w:fill="FFFFFF" w:themeFill="background1"/>
            <w:tcMar>
              <w:top w:w="0" w:type="dxa"/>
              <w:left w:w="108" w:type="dxa"/>
              <w:bottom w:w="0" w:type="dxa"/>
              <w:right w:w="108" w:type="dxa"/>
            </w:tcMar>
            <w:vAlign w:val="center"/>
          </w:tcPr>
          <w:p w14:paraId="3985A769"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0,62%</w:t>
            </w:r>
          </w:p>
        </w:tc>
        <w:tc>
          <w:tcPr>
            <w:tcW w:w="830" w:type="dxa"/>
            <w:shd w:val="clear" w:color="auto" w:fill="FFFFFF" w:themeFill="background1"/>
            <w:tcMar>
              <w:top w:w="0" w:type="dxa"/>
              <w:left w:w="108" w:type="dxa"/>
              <w:bottom w:w="0" w:type="dxa"/>
              <w:right w:w="108" w:type="dxa"/>
            </w:tcMar>
            <w:vAlign w:val="center"/>
          </w:tcPr>
          <w:p w14:paraId="57743F09"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5 1/8</w:t>
            </w:r>
          </w:p>
        </w:tc>
        <w:tc>
          <w:tcPr>
            <w:tcW w:w="967" w:type="dxa"/>
            <w:shd w:val="clear" w:color="auto" w:fill="FFFFFF" w:themeFill="background1"/>
            <w:tcMar>
              <w:top w:w="0" w:type="dxa"/>
              <w:left w:w="108" w:type="dxa"/>
              <w:bottom w:w="0" w:type="dxa"/>
              <w:right w:w="108" w:type="dxa"/>
            </w:tcMar>
            <w:vAlign w:val="center"/>
          </w:tcPr>
          <w:p w14:paraId="21A31895"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3,61%</w:t>
            </w:r>
          </w:p>
        </w:tc>
        <w:tc>
          <w:tcPr>
            <w:tcW w:w="691" w:type="dxa"/>
            <w:shd w:val="clear" w:color="auto" w:fill="FFFFFF" w:themeFill="background1"/>
            <w:tcMar>
              <w:top w:w="0" w:type="dxa"/>
              <w:left w:w="108" w:type="dxa"/>
              <w:bottom w:w="0" w:type="dxa"/>
              <w:right w:w="108" w:type="dxa"/>
            </w:tcMar>
            <w:vAlign w:val="center"/>
          </w:tcPr>
          <w:p w14:paraId="08F2DD94"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7</w:t>
            </w:r>
          </w:p>
        </w:tc>
        <w:tc>
          <w:tcPr>
            <w:tcW w:w="971" w:type="dxa"/>
            <w:shd w:val="clear" w:color="auto" w:fill="FFFFFF" w:themeFill="background1"/>
            <w:tcMar>
              <w:top w:w="0" w:type="dxa"/>
              <w:left w:w="108" w:type="dxa"/>
              <w:bottom w:w="0" w:type="dxa"/>
              <w:right w:w="108" w:type="dxa"/>
            </w:tcMar>
            <w:vAlign w:val="center"/>
          </w:tcPr>
          <w:p w14:paraId="682B3B3F"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2,95%</w:t>
            </w:r>
          </w:p>
        </w:tc>
        <w:tc>
          <w:tcPr>
            <w:tcW w:w="967" w:type="dxa"/>
            <w:shd w:val="clear" w:color="auto" w:fill="FFFFFF" w:themeFill="background1"/>
            <w:tcMar>
              <w:top w:w="0" w:type="dxa"/>
              <w:left w:w="108" w:type="dxa"/>
              <w:bottom w:w="0" w:type="dxa"/>
              <w:right w:w="108" w:type="dxa"/>
            </w:tcMar>
            <w:vAlign w:val="center"/>
          </w:tcPr>
          <w:p w14:paraId="5D8CE0D6" w14:textId="77777777" w:rsidR="00284822" w:rsidRDefault="00F77BF8">
            <w:pPr>
              <w:spacing w:line="240" w:lineRule="auto"/>
              <w:rPr>
                <w:rFonts w:ascii="Rockwell" w:hAnsi="Rockwell"/>
                <w:b/>
                <w:bCs/>
                <w:sz w:val="18"/>
                <w:szCs w:val="18"/>
              </w:rPr>
            </w:pPr>
            <w:r>
              <w:rPr>
                <w:rFonts w:ascii="Rockwell" w:hAnsi="Rockwell"/>
                <w:b/>
                <w:bCs/>
                <w:sz w:val="18"/>
                <w:szCs w:val="18"/>
              </w:rPr>
              <w:t>6 2/7</w:t>
            </w:r>
          </w:p>
        </w:tc>
        <w:tc>
          <w:tcPr>
            <w:tcW w:w="1107" w:type="dxa"/>
            <w:shd w:val="clear" w:color="auto" w:fill="FFFFFF" w:themeFill="background1"/>
            <w:tcMar>
              <w:top w:w="0" w:type="dxa"/>
              <w:left w:w="108" w:type="dxa"/>
              <w:bottom w:w="0" w:type="dxa"/>
              <w:right w:w="108" w:type="dxa"/>
            </w:tcMar>
            <w:vAlign w:val="center"/>
          </w:tcPr>
          <w:p w14:paraId="009A62BD" w14:textId="77777777" w:rsidR="00284822" w:rsidRDefault="00F77BF8">
            <w:pPr>
              <w:spacing w:line="240" w:lineRule="auto"/>
              <w:rPr>
                <w:rFonts w:ascii="Rockwell" w:hAnsi="Rockwell"/>
                <w:b/>
                <w:bCs/>
                <w:sz w:val="18"/>
                <w:szCs w:val="18"/>
              </w:rPr>
            </w:pPr>
            <w:r>
              <w:rPr>
                <w:rFonts w:ascii="Rockwell" w:hAnsi="Rockwell"/>
                <w:b/>
                <w:bCs/>
                <w:sz w:val="18"/>
                <w:szCs w:val="18"/>
              </w:rPr>
              <w:t>1,46%</w:t>
            </w:r>
          </w:p>
        </w:tc>
        <w:tc>
          <w:tcPr>
            <w:tcW w:w="968" w:type="dxa"/>
            <w:shd w:val="clear" w:color="auto" w:fill="FFFFFF" w:themeFill="background1"/>
            <w:tcMar>
              <w:top w:w="0" w:type="dxa"/>
              <w:left w:w="108" w:type="dxa"/>
              <w:bottom w:w="0" w:type="dxa"/>
              <w:right w:w="108" w:type="dxa"/>
            </w:tcMar>
            <w:vAlign w:val="center"/>
          </w:tcPr>
          <w:p w14:paraId="3DCA9CD7" w14:textId="77777777" w:rsidR="00284822" w:rsidRDefault="00F77BF8">
            <w:pPr>
              <w:spacing w:line="240" w:lineRule="auto"/>
              <w:rPr>
                <w:rFonts w:ascii="Rockwell" w:hAnsi="Rockwell"/>
                <w:b/>
                <w:bCs/>
                <w:sz w:val="18"/>
                <w:szCs w:val="18"/>
              </w:rPr>
            </w:pPr>
            <w:r>
              <w:rPr>
                <w:rFonts w:ascii="Rockwell" w:hAnsi="Rockwell"/>
                <w:b/>
                <w:bCs/>
                <w:sz w:val="18"/>
                <w:szCs w:val="18"/>
              </w:rPr>
              <w:t>10</w:t>
            </w:r>
          </w:p>
        </w:tc>
        <w:tc>
          <w:tcPr>
            <w:tcW w:w="1522" w:type="dxa"/>
            <w:shd w:val="clear" w:color="auto" w:fill="FFFFFF" w:themeFill="background1"/>
            <w:tcMar>
              <w:top w:w="0" w:type="dxa"/>
              <w:left w:w="108" w:type="dxa"/>
              <w:bottom w:w="0" w:type="dxa"/>
              <w:right w:w="108" w:type="dxa"/>
            </w:tcMar>
            <w:vAlign w:val="center"/>
          </w:tcPr>
          <w:p w14:paraId="20EFB615" w14:textId="77777777" w:rsidR="00284822" w:rsidRDefault="00F77BF8">
            <w:pPr>
              <w:spacing w:line="240" w:lineRule="auto"/>
              <w:rPr>
                <w:rFonts w:ascii="Rockwell" w:hAnsi="Rockwell"/>
                <w:b/>
                <w:bCs/>
                <w:sz w:val="18"/>
                <w:szCs w:val="18"/>
              </w:rPr>
            </w:pPr>
            <w:r>
              <w:rPr>
                <w:rFonts w:ascii="Rockwell" w:hAnsi="Rockwell"/>
                <w:b/>
                <w:bCs/>
                <w:sz w:val="18"/>
                <w:szCs w:val="18"/>
              </w:rPr>
              <w:t>1,33%</w:t>
            </w:r>
          </w:p>
        </w:tc>
      </w:tr>
      <w:tr w:rsidR="00284822" w14:paraId="1DB9EE8B" w14:textId="77777777">
        <w:trPr>
          <w:gridAfter w:val="1"/>
          <w:wAfter w:w="13" w:type="dxa"/>
          <w:trHeight w:val="164"/>
          <w:jc w:val="center"/>
        </w:trPr>
        <w:tc>
          <w:tcPr>
            <w:tcW w:w="963" w:type="dxa"/>
            <w:shd w:val="clear" w:color="auto" w:fill="FFFFFF" w:themeFill="background1"/>
            <w:noWrap/>
            <w:tcMar>
              <w:top w:w="0" w:type="dxa"/>
              <w:left w:w="108" w:type="dxa"/>
              <w:bottom w:w="0" w:type="dxa"/>
              <w:right w:w="108" w:type="dxa"/>
            </w:tcMar>
            <w:vAlign w:val="center"/>
          </w:tcPr>
          <w:p w14:paraId="69B0B793"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15</w:t>
            </w:r>
          </w:p>
        </w:tc>
        <w:tc>
          <w:tcPr>
            <w:tcW w:w="2495" w:type="dxa"/>
            <w:shd w:val="clear" w:color="auto" w:fill="FFFFFF" w:themeFill="background1"/>
            <w:tcMar>
              <w:top w:w="0" w:type="dxa"/>
              <w:left w:w="108" w:type="dxa"/>
              <w:bottom w:w="0" w:type="dxa"/>
              <w:right w:w="108" w:type="dxa"/>
            </w:tcMar>
            <w:vAlign w:val="center"/>
          </w:tcPr>
          <w:p w14:paraId="3B7F654F"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MBF</w:t>
            </w:r>
          </w:p>
        </w:tc>
        <w:tc>
          <w:tcPr>
            <w:tcW w:w="966" w:type="dxa"/>
            <w:shd w:val="clear" w:color="auto" w:fill="FFFFFF" w:themeFill="background1"/>
            <w:tcMar>
              <w:top w:w="0" w:type="dxa"/>
              <w:left w:w="108" w:type="dxa"/>
              <w:bottom w:w="0" w:type="dxa"/>
              <w:right w:w="108" w:type="dxa"/>
            </w:tcMar>
            <w:vAlign w:val="center"/>
          </w:tcPr>
          <w:p w14:paraId="215E588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107" w:type="dxa"/>
            <w:shd w:val="clear" w:color="auto" w:fill="FFFFFF" w:themeFill="background1"/>
            <w:tcMar>
              <w:top w:w="0" w:type="dxa"/>
              <w:left w:w="108" w:type="dxa"/>
              <w:bottom w:w="0" w:type="dxa"/>
              <w:right w:w="108" w:type="dxa"/>
            </w:tcMar>
            <w:vAlign w:val="center"/>
          </w:tcPr>
          <w:p w14:paraId="3B77CC53"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835" w:type="dxa"/>
            <w:shd w:val="clear" w:color="auto" w:fill="FFFFFF" w:themeFill="background1"/>
            <w:tcMar>
              <w:top w:w="0" w:type="dxa"/>
              <w:left w:w="108" w:type="dxa"/>
              <w:bottom w:w="0" w:type="dxa"/>
              <w:right w:w="108" w:type="dxa"/>
            </w:tcMar>
            <w:vAlign w:val="center"/>
          </w:tcPr>
          <w:p w14:paraId="7DE66158"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970" w:type="dxa"/>
            <w:shd w:val="clear" w:color="auto" w:fill="FFFFFF" w:themeFill="background1"/>
            <w:tcMar>
              <w:top w:w="0" w:type="dxa"/>
              <w:left w:w="108" w:type="dxa"/>
              <w:bottom w:w="0" w:type="dxa"/>
              <w:right w:w="108" w:type="dxa"/>
            </w:tcMar>
            <w:vAlign w:val="center"/>
          </w:tcPr>
          <w:p w14:paraId="0A315AF8"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830" w:type="dxa"/>
            <w:shd w:val="clear" w:color="auto" w:fill="FFFFFF" w:themeFill="background1"/>
            <w:tcMar>
              <w:top w:w="0" w:type="dxa"/>
              <w:left w:w="108" w:type="dxa"/>
              <w:bottom w:w="0" w:type="dxa"/>
              <w:right w:w="108" w:type="dxa"/>
            </w:tcMar>
            <w:vAlign w:val="center"/>
          </w:tcPr>
          <w:p w14:paraId="227B8216"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967" w:type="dxa"/>
            <w:shd w:val="clear" w:color="auto" w:fill="FFFFFF" w:themeFill="background1"/>
            <w:tcMar>
              <w:top w:w="0" w:type="dxa"/>
              <w:left w:w="108" w:type="dxa"/>
              <w:bottom w:w="0" w:type="dxa"/>
              <w:right w:w="108" w:type="dxa"/>
            </w:tcMar>
            <w:vAlign w:val="center"/>
          </w:tcPr>
          <w:p w14:paraId="773A3CF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691" w:type="dxa"/>
            <w:shd w:val="clear" w:color="auto" w:fill="FFFFFF" w:themeFill="background1"/>
            <w:tcMar>
              <w:top w:w="0" w:type="dxa"/>
              <w:left w:w="108" w:type="dxa"/>
              <w:bottom w:w="0" w:type="dxa"/>
              <w:right w:w="108" w:type="dxa"/>
            </w:tcMar>
            <w:vAlign w:val="center"/>
          </w:tcPr>
          <w:p w14:paraId="10429C31"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971" w:type="dxa"/>
            <w:shd w:val="clear" w:color="auto" w:fill="FFFFFF" w:themeFill="background1"/>
            <w:tcMar>
              <w:top w:w="0" w:type="dxa"/>
              <w:left w:w="108" w:type="dxa"/>
              <w:bottom w:w="0" w:type="dxa"/>
              <w:right w:w="108" w:type="dxa"/>
            </w:tcMar>
            <w:vAlign w:val="center"/>
          </w:tcPr>
          <w:p w14:paraId="666EB507"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67" w:type="dxa"/>
            <w:shd w:val="clear" w:color="auto" w:fill="FFFFFF" w:themeFill="background1"/>
            <w:tcMar>
              <w:top w:w="0" w:type="dxa"/>
              <w:left w:w="108" w:type="dxa"/>
              <w:bottom w:w="0" w:type="dxa"/>
              <w:right w:w="108" w:type="dxa"/>
            </w:tcMar>
            <w:vAlign w:val="center"/>
          </w:tcPr>
          <w:p w14:paraId="4023B458" w14:textId="77777777" w:rsidR="00284822" w:rsidRDefault="00F77BF8">
            <w:pPr>
              <w:spacing w:line="240" w:lineRule="auto"/>
              <w:rPr>
                <w:rFonts w:ascii="Rockwell" w:hAnsi="Rockwell"/>
                <w:b/>
                <w:bCs/>
                <w:sz w:val="18"/>
                <w:szCs w:val="18"/>
              </w:rPr>
            </w:pPr>
            <w:r>
              <w:rPr>
                <w:rFonts w:ascii="Rockwell" w:hAnsi="Rockwell"/>
                <w:b/>
                <w:bCs/>
                <w:sz w:val="18"/>
                <w:szCs w:val="18"/>
              </w:rPr>
              <w:t>1/2</w:t>
            </w:r>
          </w:p>
        </w:tc>
        <w:tc>
          <w:tcPr>
            <w:tcW w:w="1107" w:type="dxa"/>
            <w:shd w:val="clear" w:color="auto" w:fill="FFFFFF" w:themeFill="background1"/>
            <w:tcMar>
              <w:top w:w="0" w:type="dxa"/>
              <w:left w:w="108" w:type="dxa"/>
              <w:bottom w:w="0" w:type="dxa"/>
              <w:right w:w="108" w:type="dxa"/>
            </w:tcMar>
            <w:vAlign w:val="center"/>
          </w:tcPr>
          <w:p w14:paraId="34CA75E7" w14:textId="77777777" w:rsidR="00284822" w:rsidRDefault="00F77BF8">
            <w:pPr>
              <w:spacing w:line="240" w:lineRule="auto"/>
              <w:rPr>
                <w:rFonts w:ascii="Rockwell" w:hAnsi="Rockwell"/>
                <w:b/>
                <w:bCs/>
                <w:sz w:val="18"/>
                <w:szCs w:val="18"/>
              </w:rPr>
            </w:pPr>
            <w:r>
              <w:rPr>
                <w:rFonts w:ascii="Rockwell" w:hAnsi="Rockwell"/>
                <w:b/>
                <w:bCs/>
                <w:sz w:val="18"/>
                <w:szCs w:val="18"/>
              </w:rPr>
              <w:t>0,12%</w:t>
            </w:r>
          </w:p>
        </w:tc>
        <w:tc>
          <w:tcPr>
            <w:tcW w:w="968" w:type="dxa"/>
            <w:shd w:val="clear" w:color="auto" w:fill="FFFFFF" w:themeFill="background1"/>
            <w:tcMar>
              <w:top w:w="0" w:type="dxa"/>
              <w:left w:w="108" w:type="dxa"/>
              <w:bottom w:w="0" w:type="dxa"/>
              <w:right w:w="108" w:type="dxa"/>
            </w:tcMar>
            <w:vAlign w:val="center"/>
          </w:tcPr>
          <w:p w14:paraId="5619E1E7" w14:textId="77777777" w:rsidR="00284822" w:rsidRDefault="00F77BF8">
            <w:pPr>
              <w:spacing w:line="240" w:lineRule="auto"/>
              <w:rPr>
                <w:rFonts w:ascii="Rockwell" w:hAnsi="Rockwell"/>
                <w:b/>
                <w:bCs/>
                <w:sz w:val="18"/>
                <w:szCs w:val="18"/>
              </w:rPr>
            </w:pPr>
            <w:r>
              <w:rPr>
                <w:rFonts w:ascii="Rockwell" w:hAnsi="Rockwell"/>
                <w:b/>
                <w:bCs/>
                <w:sz w:val="18"/>
                <w:szCs w:val="18"/>
              </w:rPr>
              <w:t>1</w:t>
            </w:r>
          </w:p>
        </w:tc>
        <w:tc>
          <w:tcPr>
            <w:tcW w:w="1522" w:type="dxa"/>
            <w:shd w:val="clear" w:color="auto" w:fill="FFFFFF" w:themeFill="background1"/>
            <w:tcMar>
              <w:top w:w="0" w:type="dxa"/>
              <w:left w:w="108" w:type="dxa"/>
              <w:bottom w:w="0" w:type="dxa"/>
              <w:right w:w="108" w:type="dxa"/>
            </w:tcMar>
            <w:vAlign w:val="center"/>
          </w:tcPr>
          <w:p w14:paraId="39FC4398" w14:textId="77777777" w:rsidR="00284822" w:rsidRDefault="00F77BF8">
            <w:pPr>
              <w:spacing w:line="240" w:lineRule="auto"/>
              <w:rPr>
                <w:rFonts w:ascii="Rockwell" w:hAnsi="Rockwell"/>
                <w:b/>
                <w:bCs/>
                <w:sz w:val="18"/>
                <w:szCs w:val="18"/>
              </w:rPr>
            </w:pPr>
            <w:r>
              <w:rPr>
                <w:rFonts w:ascii="Rockwell" w:hAnsi="Rockwell"/>
                <w:b/>
                <w:bCs/>
                <w:sz w:val="18"/>
                <w:szCs w:val="18"/>
              </w:rPr>
              <w:t>0,13%</w:t>
            </w:r>
          </w:p>
        </w:tc>
      </w:tr>
      <w:tr w:rsidR="00284822" w14:paraId="2577DDF5" w14:textId="77777777">
        <w:trPr>
          <w:gridAfter w:val="1"/>
          <w:wAfter w:w="13" w:type="dxa"/>
          <w:trHeight w:val="164"/>
          <w:jc w:val="center"/>
        </w:trPr>
        <w:tc>
          <w:tcPr>
            <w:tcW w:w="963" w:type="dxa"/>
            <w:shd w:val="clear" w:color="auto" w:fill="FFFFFF" w:themeFill="background1"/>
            <w:noWrap/>
            <w:tcMar>
              <w:top w:w="0" w:type="dxa"/>
              <w:left w:w="108" w:type="dxa"/>
              <w:bottom w:w="0" w:type="dxa"/>
              <w:right w:w="108" w:type="dxa"/>
            </w:tcMar>
            <w:vAlign w:val="center"/>
          </w:tcPr>
          <w:p w14:paraId="0101198D"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16</w:t>
            </w:r>
          </w:p>
        </w:tc>
        <w:tc>
          <w:tcPr>
            <w:tcW w:w="2495" w:type="dxa"/>
            <w:shd w:val="clear" w:color="auto" w:fill="FFFFFF" w:themeFill="background1"/>
            <w:tcMar>
              <w:top w:w="0" w:type="dxa"/>
              <w:left w:w="108" w:type="dxa"/>
              <w:bottom w:w="0" w:type="dxa"/>
              <w:right w:w="108" w:type="dxa"/>
            </w:tcMar>
            <w:vAlign w:val="center"/>
          </w:tcPr>
          <w:p w14:paraId="223DDB8A"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MCR</w:t>
            </w:r>
          </w:p>
        </w:tc>
        <w:tc>
          <w:tcPr>
            <w:tcW w:w="966" w:type="dxa"/>
            <w:shd w:val="clear" w:color="auto" w:fill="FFFFFF" w:themeFill="background1"/>
            <w:tcMar>
              <w:top w:w="0" w:type="dxa"/>
              <w:left w:w="108" w:type="dxa"/>
              <w:bottom w:w="0" w:type="dxa"/>
              <w:right w:w="108" w:type="dxa"/>
            </w:tcMar>
            <w:vAlign w:val="center"/>
          </w:tcPr>
          <w:p w14:paraId="3A1C0225"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1/2</w:t>
            </w:r>
          </w:p>
        </w:tc>
        <w:tc>
          <w:tcPr>
            <w:tcW w:w="1107" w:type="dxa"/>
            <w:shd w:val="clear" w:color="auto" w:fill="FFFFFF" w:themeFill="background1"/>
            <w:tcMar>
              <w:top w:w="0" w:type="dxa"/>
              <w:left w:w="108" w:type="dxa"/>
              <w:bottom w:w="0" w:type="dxa"/>
              <w:right w:w="108" w:type="dxa"/>
            </w:tcMar>
            <w:vAlign w:val="center"/>
          </w:tcPr>
          <w:p w14:paraId="5F8B0F95"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0,55%</w:t>
            </w:r>
          </w:p>
        </w:tc>
        <w:tc>
          <w:tcPr>
            <w:tcW w:w="835" w:type="dxa"/>
            <w:shd w:val="clear" w:color="auto" w:fill="FFFFFF" w:themeFill="background1"/>
            <w:tcMar>
              <w:top w:w="0" w:type="dxa"/>
              <w:left w:w="108" w:type="dxa"/>
              <w:bottom w:w="0" w:type="dxa"/>
              <w:right w:w="108" w:type="dxa"/>
            </w:tcMar>
            <w:vAlign w:val="center"/>
          </w:tcPr>
          <w:p w14:paraId="74E1A9E2"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w:t>
            </w:r>
          </w:p>
        </w:tc>
        <w:tc>
          <w:tcPr>
            <w:tcW w:w="970" w:type="dxa"/>
            <w:shd w:val="clear" w:color="auto" w:fill="FFFFFF" w:themeFill="background1"/>
            <w:tcMar>
              <w:top w:w="0" w:type="dxa"/>
              <w:left w:w="108" w:type="dxa"/>
              <w:bottom w:w="0" w:type="dxa"/>
              <w:right w:w="108" w:type="dxa"/>
            </w:tcMar>
            <w:vAlign w:val="center"/>
          </w:tcPr>
          <w:p w14:paraId="103F2C61"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0,62%</w:t>
            </w:r>
          </w:p>
        </w:tc>
        <w:tc>
          <w:tcPr>
            <w:tcW w:w="830" w:type="dxa"/>
            <w:shd w:val="clear" w:color="auto" w:fill="FFFFFF" w:themeFill="background1"/>
            <w:tcMar>
              <w:top w:w="0" w:type="dxa"/>
              <w:left w:w="108" w:type="dxa"/>
              <w:bottom w:w="0" w:type="dxa"/>
              <w:right w:w="108" w:type="dxa"/>
            </w:tcMar>
            <w:vAlign w:val="center"/>
          </w:tcPr>
          <w:p w14:paraId="629640A8"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 3/4</w:t>
            </w:r>
          </w:p>
        </w:tc>
        <w:tc>
          <w:tcPr>
            <w:tcW w:w="967" w:type="dxa"/>
            <w:shd w:val="clear" w:color="auto" w:fill="FFFFFF" w:themeFill="background1"/>
            <w:tcMar>
              <w:top w:w="0" w:type="dxa"/>
              <w:left w:w="108" w:type="dxa"/>
              <w:bottom w:w="0" w:type="dxa"/>
              <w:right w:w="108" w:type="dxa"/>
            </w:tcMar>
            <w:vAlign w:val="center"/>
          </w:tcPr>
          <w:p w14:paraId="393B4872"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1,23%</w:t>
            </w:r>
          </w:p>
        </w:tc>
        <w:tc>
          <w:tcPr>
            <w:tcW w:w="691" w:type="dxa"/>
            <w:shd w:val="clear" w:color="auto" w:fill="FFFFFF" w:themeFill="background1"/>
            <w:tcMar>
              <w:top w:w="0" w:type="dxa"/>
              <w:left w:w="108" w:type="dxa"/>
              <w:bottom w:w="0" w:type="dxa"/>
              <w:right w:w="108" w:type="dxa"/>
            </w:tcMar>
            <w:vAlign w:val="center"/>
          </w:tcPr>
          <w:p w14:paraId="325707F8"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w:t>
            </w:r>
          </w:p>
        </w:tc>
        <w:tc>
          <w:tcPr>
            <w:tcW w:w="971" w:type="dxa"/>
            <w:shd w:val="clear" w:color="auto" w:fill="FFFFFF" w:themeFill="background1"/>
            <w:tcMar>
              <w:top w:w="0" w:type="dxa"/>
              <w:left w:w="108" w:type="dxa"/>
              <w:bottom w:w="0" w:type="dxa"/>
              <w:right w:w="108" w:type="dxa"/>
            </w:tcMar>
            <w:vAlign w:val="center"/>
          </w:tcPr>
          <w:p w14:paraId="4FD984AB"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0,84%</w:t>
            </w:r>
          </w:p>
        </w:tc>
        <w:tc>
          <w:tcPr>
            <w:tcW w:w="967" w:type="dxa"/>
            <w:shd w:val="clear" w:color="auto" w:fill="FFFFFF" w:themeFill="background1"/>
            <w:tcMar>
              <w:top w:w="0" w:type="dxa"/>
              <w:left w:w="108" w:type="dxa"/>
              <w:bottom w:w="0" w:type="dxa"/>
              <w:right w:w="108" w:type="dxa"/>
            </w:tcMar>
            <w:vAlign w:val="center"/>
          </w:tcPr>
          <w:p w14:paraId="66C36A36" w14:textId="77777777" w:rsidR="00284822" w:rsidRDefault="00F77BF8">
            <w:pPr>
              <w:spacing w:line="240" w:lineRule="auto"/>
              <w:rPr>
                <w:rFonts w:ascii="Rockwell" w:hAnsi="Rockwell"/>
                <w:b/>
                <w:bCs/>
                <w:sz w:val="18"/>
                <w:szCs w:val="18"/>
              </w:rPr>
            </w:pPr>
            <w:r>
              <w:rPr>
                <w:rFonts w:ascii="Rockwell" w:hAnsi="Rockwell"/>
                <w:b/>
                <w:bCs/>
                <w:sz w:val="18"/>
                <w:szCs w:val="18"/>
              </w:rPr>
              <w:t>3 3/4</w:t>
            </w:r>
          </w:p>
        </w:tc>
        <w:tc>
          <w:tcPr>
            <w:tcW w:w="1107" w:type="dxa"/>
            <w:shd w:val="clear" w:color="auto" w:fill="FFFFFF" w:themeFill="background1"/>
            <w:tcMar>
              <w:top w:w="0" w:type="dxa"/>
              <w:left w:w="108" w:type="dxa"/>
              <w:bottom w:w="0" w:type="dxa"/>
              <w:right w:w="108" w:type="dxa"/>
            </w:tcMar>
            <w:vAlign w:val="center"/>
          </w:tcPr>
          <w:p w14:paraId="71CE8E81" w14:textId="77777777" w:rsidR="00284822" w:rsidRDefault="00F77BF8">
            <w:pPr>
              <w:spacing w:line="240" w:lineRule="auto"/>
              <w:rPr>
                <w:rFonts w:ascii="Rockwell" w:hAnsi="Rockwell"/>
                <w:b/>
                <w:bCs/>
                <w:sz w:val="18"/>
                <w:szCs w:val="18"/>
              </w:rPr>
            </w:pPr>
            <w:r>
              <w:rPr>
                <w:rFonts w:ascii="Rockwell" w:hAnsi="Rockwell"/>
                <w:b/>
                <w:bCs/>
                <w:sz w:val="18"/>
                <w:szCs w:val="18"/>
              </w:rPr>
              <w:t>0,87%</w:t>
            </w:r>
          </w:p>
        </w:tc>
        <w:tc>
          <w:tcPr>
            <w:tcW w:w="968" w:type="dxa"/>
            <w:shd w:val="clear" w:color="auto" w:fill="FFFFFF" w:themeFill="background1"/>
            <w:tcMar>
              <w:top w:w="0" w:type="dxa"/>
              <w:left w:w="108" w:type="dxa"/>
              <w:bottom w:w="0" w:type="dxa"/>
              <w:right w:w="108" w:type="dxa"/>
            </w:tcMar>
            <w:vAlign w:val="center"/>
          </w:tcPr>
          <w:p w14:paraId="1C3DD27E" w14:textId="77777777" w:rsidR="00284822" w:rsidRDefault="00F77BF8">
            <w:pPr>
              <w:spacing w:line="240" w:lineRule="auto"/>
              <w:rPr>
                <w:rFonts w:ascii="Rockwell" w:hAnsi="Rockwell"/>
                <w:b/>
                <w:bCs/>
                <w:sz w:val="18"/>
                <w:szCs w:val="18"/>
              </w:rPr>
            </w:pPr>
            <w:r>
              <w:rPr>
                <w:rFonts w:ascii="Rockwell" w:hAnsi="Rockwell"/>
                <w:b/>
                <w:bCs/>
                <w:sz w:val="18"/>
                <w:szCs w:val="18"/>
              </w:rPr>
              <w:t>6</w:t>
            </w:r>
          </w:p>
        </w:tc>
        <w:tc>
          <w:tcPr>
            <w:tcW w:w="1522" w:type="dxa"/>
            <w:shd w:val="clear" w:color="auto" w:fill="FFFFFF" w:themeFill="background1"/>
            <w:tcMar>
              <w:top w:w="0" w:type="dxa"/>
              <w:left w:w="108" w:type="dxa"/>
              <w:bottom w:w="0" w:type="dxa"/>
              <w:right w:w="108" w:type="dxa"/>
            </w:tcMar>
            <w:vAlign w:val="center"/>
          </w:tcPr>
          <w:p w14:paraId="0AC0E758" w14:textId="77777777" w:rsidR="00284822" w:rsidRDefault="00F77BF8">
            <w:pPr>
              <w:spacing w:line="240" w:lineRule="auto"/>
              <w:rPr>
                <w:rFonts w:ascii="Rockwell" w:hAnsi="Rockwell"/>
                <w:b/>
                <w:bCs/>
                <w:sz w:val="18"/>
                <w:szCs w:val="18"/>
              </w:rPr>
            </w:pPr>
            <w:r>
              <w:rPr>
                <w:rFonts w:ascii="Rockwell" w:hAnsi="Rockwell"/>
                <w:b/>
                <w:bCs/>
                <w:sz w:val="18"/>
                <w:szCs w:val="18"/>
              </w:rPr>
              <w:t>0,80%</w:t>
            </w:r>
          </w:p>
        </w:tc>
      </w:tr>
      <w:tr w:rsidR="00284822" w14:paraId="19C4C15A" w14:textId="77777777">
        <w:trPr>
          <w:gridAfter w:val="1"/>
          <w:wAfter w:w="13" w:type="dxa"/>
          <w:trHeight w:val="164"/>
          <w:jc w:val="center"/>
        </w:trPr>
        <w:tc>
          <w:tcPr>
            <w:tcW w:w="963" w:type="dxa"/>
            <w:shd w:val="clear" w:color="auto" w:fill="FFFFFF" w:themeFill="background1"/>
            <w:noWrap/>
            <w:tcMar>
              <w:top w:w="0" w:type="dxa"/>
              <w:left w:w="108" w:type="dxa"/>
              <w:bottom w:w="0" w:type="dxa"/>
              <w:right w:w="108" w:type="dxa"/>
            </w:tcMar>
            <w:vAlign w:val="center"/>
          </w:tcPr>
          <w:p w14:paraId="028AC252"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17</w:t>
            </w:r>
          </w:p>
        </w:tc>
        <w:tc>
          <w:tcPr>
            <w:tcW w:w="2495" w:type="dxa"/>
            <w:shd w:val="clear" w:color="auto" w:fill="FFFFFF" w:themeFill="background1"/>
            <w:tcMar>
              <w:top w:w="0" w:type="dxa"/>
              <w:left w:w="108" w:type="dxa"/>
              <w:bottom w:w="0" w:type="dxa"/>
              <w:right w:w="108" w:type="dxa"/>
            </w:tcMar>
            <w:vAlign w:val="center"/>
          </w:tcPr>
          <w:p w14:paraId="204D6DC0"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MIDE</w:t>
            </w:r>
          </w:p>
        </w:tc>
        <w:tc>
          <w:tcPr>
            <w:tcW w:w="966" w:type="dxa"/>
            <w:shd w:val="clear" w:color="auto" w:fill="FFFFFF" w:themeFill="background1"/>
            <w:tcMar>
              <w:top w:w="0" w:type="dxa"/>
              <w:left w:w="108" w:type="dxa"/>
              <w:bottom w:w="0" w:type="dxa"/>
              <w:right w:w="108" w:type="dxa"/>
            </w:tcMar>
            <w:vAlign w:val="center"/>
          </w:tcPr>
          <w:p w14:paraId="55782DC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107" w:type="dxa"/>
            <w:shd w:val="clear" w:color="auto" w:fill="FFFFFF" w:themeFill="background1"/>
            <w:tcMar>
              <w:top w:w="0" w:type="dxa"/>
              <w:left w:w="108" w:type="dxa"/>
              <w:bottom w:w="0" w:type="dxa"/>
              <w:right w:w="108" w:type="dxa"/>
            </w:tcMar>
            <w:vAlign w:val="center"/>
          </w:tcPr>
          <w:p w14:paraId="7E81F426"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835" w:type="dxa"/>
            <w:shd w:val="clear" w:color="auto" w:fill="FFFFFF" w:themeFill="background1"/>
            <w:tcMar>
              <w:top w:w="0" w:type="dxa"/>
              <w:left w:w="108" w:type="dxa"/>
              <w:bottom w:w="0" w:type="dxa"/>
              <w:right w:w="108" w:type="dxa"/>
            </w:tcMar>
            <w:vAlign w:val="center"/>
          </w:tcPr>
          <w:p w14:paraId="5A805E79"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970" w:type="dxa"/>
            <w:shd w:val="clear" w:color="auto" w:fill="FFFFFF" w:themeFill="background1"/>
            <w:tcMar>
              <w:top w:w="0" w:type="dxa"/>
              <w:left w:w="108" w:type="dxa"/>
              <w:bottom w:w="0" w:type="dxa"/>
              <w:right w:w="108" w:type="dxa"/>
            </w:tcMar>
            <w:vAlign w:val="center"/>
          </w:tcPr>
          <w:p w14:paraId="09B52DC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830" w:type="dxa"/>
            <w:shd w:val="clear" w:color="auto" w:fill="FFFFFF" w:themeFill="background1"/>
            <w:tcMar>
              <w:top w:w="0" w:type="dxa"/>
              <w:left w:w="108" w:type="dxa"/>
              <w:bottom w:w="0" w:type="dxa"/>
              <w:right w:w="108" w:type="dxa"/>
            </w:tcMar>
            <w:vAlign w:val="center"/>
          </w:tcPr>
          <w:p w14:paraId="06AA4C18"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967" w:type="dxa"/>
            <w:shd w:val="clear" w:color="auto" w:fill="FFFFFF" w:themeFill="background1"/>
            <w:tcMar>
              <w:top w:w="0" w:type="dxa"/>
              <w:left w:w="108" w:type="dxa"/>
              <w:bottom w:w="0" w:type="dxa"/>
              <w:right w:w="108" w:type="dxa"/>
            </w:tcMar>
            <w:vAlign w:val="center"/>
          </w:tcPr>
          <w:p w14:paraId="4E35E08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691" w:type="dxa"/>
            <w:shd w:val="clear" w:color="auto" w:fill="FFFFFF" w:themeFill="background1"/>
            <w:tcMar>
              <w:top w:w="0" w:type="dxa"/>
              <w:left w:w="108" w:type="dxa"/>
              <w:bottom w:w="0" w:type="dxa"/>
              <w:right w:w="108" w:type="dxa"/>
            </w:tcMar>
            <w:vAlign w:val="center"/>
          </w:tcPr>
          <w:p w14:paraId="03F46508"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971" w:type="dxa"/>
            <w:shd w:val="clear" w:color="auto" w:fill="FFFFFF" w:themeFill="background1"/>
            <w:tcMar>
              <w:top w:w="0" w:type="dxa"/>
              <w:left w:w="108" w:type="dxa"/>
              <w:bottom w:w="0" w:type="dxa"/>
              <w:right w:w="108" w:type="dxa"/>
            </w:tcMar>
            <w:vAlign w:val="center"/>
          </w:tcPr>
          <w:p w14:paraId="51D49549"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67" w:type="dxa"/>
            <w:shd w:val="clear" w:color="auto" w:fill="FFFFFF" w:themeFill="background1"/>
            <w:tcMar>
              <w:top w:w="0" w:type="dxa"/>
              <w:left w:w="108" w:type="dxa"/>
              <w:bottom w:w="0" w:type="dxa"/>
              <w:right w:w="108" w:type="dxa"/>
            </w:tcMar>
            <w:vAlign w:val="center"/>
          </w:tcPr>
          <w:p w14:paraId="636FDFE5" w14:textId="77777777" w:rsidR="00284822" w:rsidRDefault="00F77BF8">
            <w:pPr>
              <w:spacing w:line="240" w:lineRule="auto"/>
              <w:rPr>
                <w:rFonts w:ascii="Rockwell" w:hAnsi="Rockwell"/>
                <w:b/>
                <w:bCs/>
                <w:sz w:val="18"/>
                <w:szCs w:val="18"/>
              </w:rPr>
            </w:pPr>
            <w:r>
              <w:rPr>
                <w:rFonts w:ascii="Rockwell" w:hAnsi="Rockwell"/>
                <w:b/>
                <w:bCs/>
                <w:sz w:val="18"/>
                <w:szCs w:val="18"/>
              </w:rPr>
              <w:t>1/2</w:t>
            </w:r>
          </w:p>
        </w:tc>
        <w:tc>
          <w:tcPr>
            <w:tcW w:w="1107" w:type="dxa"/>
            <w:shd w:val="clear" w:color="auto" w:fill="FFFFFF" w:themeFill="background1"/>
            <w:tcMar>
              <w:top w:w="0" w:type="dxa"/>
              <w:left w:w="108" w:type="dxa"/>
              <w:bottom w:w="0" w:type="dxa"/>
              <w:right w:w="108" w:type="dxa"/>
            </w:tcMar>
            <w:vAlign w:val="center"/>
          </w:tcPr>
          <w:p w14:paraId="55ED2DE1" w14:textId="77777777" w:rsidR="00284822" w:rsidRDefault="00F77BF8">
            <w:pPr>
              <w:spacing w:line="240" w:lineRule="auto"/>
              <w:rPr>
                <w:rFonts w:ascii="Rockwell" w:hAnsi="Rockwell"/>
                <w:b/>
                <w:bCs/>
                <w:sz w:val="18"/>
                <w:szCs w:val="18"/>
              </w:rPr>
            </w:pPr>
            <w:r>
              <w:rPr>
                <w:rFonts w:ascii="Rockwell" w:hAnsi="Rockwell"/>
                <w:b/>
                <w:bCs/>
                <w:sz w:val="18"/>
                <w:szCs w:val="18"/>
              </w:rPr>
              <w:t>0,12%</w:t>
            </w:r>
          </w:p>
        </w:tc>
        <w:tc>
          <w:tcPr>
            <w:tcW w:w="968" w:type="dxa"/>
            <w:shd w:val="clear" w:color="auto" w:fill="FFFFFF" w:themeFill="background1"/>
            <w:tcMar>
              <w:top w:w="0" w:type="dxa"/>
              <w:left w:w="108" w:type="dxa"/>
              <w:bottom w:w="0" w:type="dxa"/>
              <w:right w:w="108" w:type="dxa"/>
            </w:tcMar>
            <w:vAlign w:val="center"/>
          </w:tcPr>
          <w:p w14:paraId="0705FAD7" w14:textId="77777777" w:rsidR="00284822" w:rsidRDefault="00F77BF8">
            <w:pPr>
              <w:spacing w:line="240" w:lineRule="auto"/>
              <w:rPr>
                <w:rFonts w:ascii="Rockwell" w:hAnsi="Rockwell"/>
                <w:b/>
                <w:bCs/>
                <w:sz w:val="18"/>
                <w:szCs w:val="18"/>
              </w:rPr>
            </w:pPr>
            <w:r>
              <w:rPr>
                <w:rFonts w:ascii="Rockwell" w:hAnsi="Rockwell"/>
                <w:b/>
                <w:bCs/>
                <w:sz w:val="18"/>
                <w:szCs w:val="18"/>
              </w:rPr>
              <w:t>0</w:t>
            </w:r>
          </w:p>
        </w:tc>
        <w:tc>
          <w:tcPr>
            <w:tcW w:w="1522" w:type="dxa"/>
            <w:shd w:val="clear" w:color="auto" w:fill="FFFFFF" w:themeFill="background1"/>
            <w:tcMar>
              <w:top w:w="0" w:type="dxa"/>
              <w:left w:w="108" w:type="dxa"/>
              <w:bottom w:w="0" w:type="dxa"/>
              <w:right w:w="108" w:type="dxa"/>
            </w:tcMar>
            <w:vAlign w:val="center"/>
          </w:tcPr>
          <w:p w14:paraId="0B74C561" w14:textId="77777777" w:rsidR="00284822" w:rsidRDefault="00F77BF8">
            <w:pPr>
              <w:spacing w:line="240" w:lineRule="auto"/>
              <w:rPr>
                <w:rFonts w:ascii="Rockwell" w:hAnsi="Rockwell"/>
                <w:b/>
                <w:bCs/>
                <w:sz w:val="18"/>
                <w:szCs w:val="18"/>
              </w:rPr>
            </w:pPr>
            <w:r>
              <w:rPr>
                <w:rFonts w:ascii="Rockwell" w:hAnsi="Rockwell"/>
                <w:b/>
                <w:bCs/>
                <w:sz w:val="18"/>
                <w:szCs w:val="18"/>
              </w:rPr>
              <w:t>0,00%</w:t>
            </w:r>
          </w:p>
        </w:tc>
      </w:tr>
      <w:tr w:rsidR="00284822" w14:paraId="3078E3BE" w14:textId="77777777">
        <w:trPr>
          <w:gridAfter w:val="1"/>
          <w:wAfter w:w="13" w:type="dxa"/>
          <w:trHeight w:val="164"/>
          <w:jc w:val="center"/>
        </w:trPr>
        <w:tc>
          <w:tcPr>
            <w:tcW w:w="963" w:type="dxa"/>
            <w:shd w:val="clear" w:color="auto" w:fill="FFFFFF" w:themeFill="background1"/>
            <w:noWrap/>
            <w:tcMar>
              <w:top w:w="0" w:type="dxa"/>
              <w:left w:w="108" w:type="dxa"/>
              <w:bottom w:w="0" w:type="dxa"/>
              <w:right w:w="108" w:type="dxa"/>
            </w:tcMar>
            <w:vAlign w:val="center"/>
          </w:tcPr>
          <w:p w14:paraId="2C3A6C7E"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18</w:t>
            </w:r>
          </w:p>
        </w:tc>
        <w:tc>
          <w:tcPr>
            <w:tcW w:w="2495" w:type="dxa"/>
            <w:shd w:val="clear" w:color="auto" w:fill="FFFFFF" w:themeFill="background1"/>
            <w:tcMar>
              <w:top w:w="0" w:type="dxa"/>
              <w:left w:w="108" w:type="dxa"/>
              <w:bottom w:w="0" w:type="dxa"/>
              <w:right w:w="108" w:type="dxa"/>
            </w:tcMar>
            <w:vAlign w:val="center"/>
          </w:tcPr>
          <w:p w14:paraId="5860EC99"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MPC</w:t>
            </w:r>
          </w:p>
        </w:tc>
        <w:tc>
          <w:tcPr>
            <w:tcW w:w="966" w:type="dxa"/>
            <w:shd w:val="clear" w:color="auto" w:fill="FFFFFF" w:themeFill="background1"/>
            <w:tcMar>
              <w:top w:w="0" w:type="dxa"/>
              <w:left w:w="108" w:type="dxa"/>
              <w:bottom w:w="0" w:type="dxa"/>
              <w:right w:w="108" w:type="dxa"/>
            </w:tcMar>
            <w:vAlign w:val="center"/>
          </w:tcPr>
          <w:p w14:paraId="196186B8"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107" w:type="dxa"/>
            <w:shd w:val="clear" w:color="auto" w:fill="FFFFFF" w:themeFill="background1"/>
            <w:tcMar>
              <w:top w:w="0" w:type="dxa"/>
              <w:left w:w="108" w:type="dxa"/>
              <w:bottom w:w="0" w:type="dxa"/>
              <w:right w:w="108" w:type="dxa"/>
            </w:tcMar>
            <w:vAlign w:val="center"/>
          </w:tcPr>
          <w:p w14:paraId="4D7A1237"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835" w:type="dxa"/>
            <w:shd w:val="clear" w:color="auto" w:fill="FFFFFF" w:themeFill="background1"/>
            <w:tcMar>
              <w:top w:w="0" w:type="dxa"/>
              <w:left w:w="108" w:type="dxa"/>
              <w:bottom w:w="0" w:type="dxa"/>
              <w:right w:w="108" w:type="dxa"/>
            </w:tcMar>
            <w:vAlign w:val="center"/>
          </w:tcPr>
          <w:p w14:paraId="5F19ABDC"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970" w:type="dxa"/>
            <w:shd w:val="clear" w:color="auto" w:fill="FFFFFF" w:themeFill="background1"/>
            <w:tcMar>
              <w:top w:w="0" w:type="dxa"/>
              <w:left w:w="108" w:type="dxa"/>
              <w:bottom w:w="0" w:type="dxa"/>
              <w:right w:w="108" w:type="dxa"/>
            </w:tcMar>
            <w:vAlign w:val="center"/>
          </w:tcPr>
          <w:p w14:paraId="76E2F5A1"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830" w:type="dxa"/>
            <w:shd w:val="clear" w:color="auto" w:fill="FFFFFF" w:themeFill="background1"/>
            <w:tcMar>
              <w:top w:w="0" w:type="dxa"/>
              <w:left w:w="108" w:type="dxa"/>
              <w:bottom w:w="0" w:type="dxa"/>
              <w:right w:w="108" w:type="dxa"/>
            </w:tcMar>
            <w:vAlign w:val="center"/>
          </w:tcPr>
          <w:p w14:paraId="7BF6121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w:t>
            </w:r>
          </w:p>
        </w:tc>
        <w:tc>
          <w:tcPr>
            <w:tcW w:w="967" w:type="dxa"/>
            <w:shd w:val="clear" w:color="auto" w:fill="FFFFFF" w:themeFill="background1"/>
            <w:tcMar>
              <w:top w:w="0" w:type="dxa"/>
              <w:left w:w="108" w:type="dxa"/>
              <w:bottom w:w="0" w:type="dxa"/>
              <w:right w:w="108" w:type="dxa"/>
            </w:tcMar>
            <w:vAlign w:val="center"/>
          </w:tcPr>
          <w:p w14:paraId="2A216FF3"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1,41%</w:t>
            </w:r>
          </w:p>
        </w:tc>
        <w:tc>
          <w:tcPr>
            <w:tcW w:w="691" w:type="dxa"/>
            <w:shd w:val="clear" w:color="auto" w:fill="FFFFFF" w:themeFill="background1"/>
            <w:tcMar>
              <w:top w:w="0" w:type="dxa"/>
              <w:left w:w="108" w:type="dxa"/>
              <w:bottom w:w="0" w:type="dxa"/>
              <w:right w:w="108" w:type="dxa"/>
            </w:tcMar>
            <w:vAlign w:val="center"/>
          </w:tcPr>
          <w:p w14:paraId="5FD08488"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w:t>
            </w:r>
          </w:p>
        </w:tc>
        <w:tc>
          <w:tcPr>
            <w:tcW w:w="971" w:type="dxa"/>
            <w:shd w:val="clear" w:color="auto" w:fill="FFFFFF" w:themeFill="background1"/>
            <w:tcMar>
              <w:top w:w="0" w:type="dxa"/>
              <w:left w:w="108" w:type="dxa"/>
              <w:bottom w:w="0" w:type="dxa"/>
              <w:right w:w="108" w:type="dxa"/>
            </w:tcMar>
            <w:vAlign w:val="center"/>
          </w:tcPr>
          <w:p w14:paraId="5D794BA4"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0,84%</w:t>
            </w:r>
          </w:p>
        </w:tc>
        <w:tc>
          <w:tcPr>
            <w:tcW w:w="967" w:type="dxa"/>
            <w:shd w:val="clear" w:color="auto" w:fill="FFFFFF" w:themeFill="background1"/>
            <w:tcMar>
              <w:top w:w="0" w:type="dxa"/>
              <w:left w:w="108" w:type="dxa"/>
              <w:bottom w:w="0" w:type="dxa"/>
              <w:right w:w="108" w:type="dxa"/>
            </w:tcMar>
            <w:vAlign w:val="center"/>
          </w:tcPr>
          <w:p w14:paraId="1157C48C" w14:textId="77777777" w:rsidR="00284822" w:rsidRDefault="00F77BF8">
            <w:pPr>
              <w:spacing w:line="240" w:lineRule="auto"/>
              <w:rPr>
                <w:rFonts w:ascii="Rockwell" w:hAnsi="Rockwell"/>
                <w:b/>
                <w:bCs/>
                <w:sz w:val="18"/>
                <w:szCs w:val="18"/>
              </w:rPr>
            </w:pPr>
            <w:r>
              <w:rPr>
                <w:rFonts w:ascii="Rockwell" w:hAnsi="Rockwell"/>
                <w:b/>
                <w:bCs/>
                <w:sz w:val="18"/>
                <w:szCs w:val="18"/>
              </w:rPr>
              <w:t>2</w:t>
            </w:r>
          </w:p>
        </w:tc>
        <w:tc>
          <w:tcPr>
            <w:tcW w:w="1107" w:type="dxa"/>
            <w:shd w:val="clear" w:color="auto" w:fill="FFFFFF" w:themeFill="background1"/>
            <w:tcMar>
              <w:top w:w="0" w:type="dxa"/>
              <w:left w:w="108" w:type="dxa"/>
              <w:bottom w:w="0" w:type="dxa"/>
              <w:right w:w="108" w:type="dxa"/>
            </w:tcMar>
            <w:vAlign w:val="center"/>
          </w:tcPr>
          <w:p w14:paraId="6F1BECE6" w14:textId="77777777" w:rsidR="00284822" w:rsidRDefault="00F77BF8">
            <w:pPr>
              <w:spacing w:line="240" w:lineRule="auto"/>
              <w:rPr>
                <w:rFonts w:ascii="Rockwell" w:hAnsi="Rockwell"/>
                <w:b/>
                <w:bCs/>
                <w:sz w:val="18"/>
                <w:szCs w:val="18"/>
              </w:rPr>
            </w:pPr>
            <w:r>
              <w:rPr>
                <w:rFonts w:ascii="Rockwell" w:hAnsi="Rockwell"/>
                <w:b/>
                <w:bCs/>
                <w:sz w:val="18"/>
                <w:szCs w:val="18"/>
              </w:rPr>
              <w:t>0,46%</w:t>
            </w:r>
          </w:p>
        </w:tc>
        <w:tc>
          <w:tcPr>
            <w:tcW w:w="968" w:type="dxa"/>
            <w:shd w:val="clear" w:color="auto" w:fill="FFFFFF" w:themeFill="background1"/>
            <w:tcMar>
              <w:top w:w="0" w:type="dxa"/>
              <w:left w:w="108" w:type="dxa"/>
              <w:bottom w:w="0" w:type="dxa"/>
              <w:right w:w="108" w:type="dxa"/>
            </w:tcMar>
            <w:vAlign w:val="center"/>
          </w:tcPr>
          <w:p w14:paraId="1D5C1CAE" w14:textId="77777777" w:rsidR="00284822" w:rsidRDefault="00F77BF8">
            <w:pPr>
              <w:spacing w:line="240" w:lineRule="auto"/>
              <w:rPr>
                <w:rFonts w:ascii="Rockwell" w:hAnsi="Rockwell"/>
                <w:b/>
                <w:bCs/>
                <w:sz w:val="18"/>
                <w:szCs w:val="18"/>
              </w:rPr>
            </w:pPr>
            <w:r>
              <w:rPr>
                <w:rFonts w:ascii="Rockwell" w:hAnsi="Rockwell"/>
                <w:b/>
                <w:bCs/>
                <w:sz w:val="18"/>
                <w:szCs w:val="18"/>
              </w:rPr>
              <w:t>2</w:t>
            </w:r>
          </w:p>
        </w:tc>
        <w:tc>
          <w:tcPr>
            <w:tcW w:w="1522" w:type="dxa"/>
            <w:shd w:val="clear" w:color="auto" w:fill="FFFFFF" w:themeFill="background1"/>
            <w:tcMar>
              <w:top w:w="0" w:type="dxa"/>
              <w:left w:w="108" w:type="dxa"/>
              <w:bottom w:w="0" w:type="dxa"/>
              <w:right w:w="108" w:type="dxa"/>
            </w:tcMar>
            <w:vAlign w:val="center"/>
          </w:tcPr>
          <w:p w14:paraId="71C5130E" w14:textId="77777777" w:rsidR="00284822" w:rsidRDefault="00F77BF8">
            <w:pPr>
              <w:spacing w:line="240" w:lineRule="auto"/>
              <w:rPr>
                <w:rFonts w:ascii="Rockwell" w:hAnsi="Rockwell"/>
                <w:b/>
                <w:bCs/>
                <w:sz w:val="18"/>
                <w:szCs w:val="18"/>
              </w:rPr>
            </w:pPr>
            <w:r>
              <w:rPr>
                <w:rFonts w:ascii="Rockwell" w:hAnsi="Rockwell"/>
                <w:b/>
                <w:bCs/>
                <w:sz w:val="18"/>
                <w:szCs w:val="18"/>
              </w:rPr>
              <w:t>0,27%</w:t>
            </w:r>
          </w:p>
        </w:tc>
      </w:tr>
      <w:tr w:rsidR="00284822" w14:paraId="26A082B7" w14:textId="77777777">
        <w:trPr>
          <w:gridAfter w:val="1"/>
          <w:wAfter w:w="13" w:type="dxa"/>
          <w:trHeight w:val="164"/>
          <w:jc w:val="center"/>
        </w:trPr>
        <w:tc>
          <w:tcPr>
            <w:tcW w:w="963" w:type="dxa"/>
            <w:shd w:val="clear" w:color="auto" w:fill="FFFFFF" w:themeFill="background1"/>
            <w:noWrap/>
            <w:tcMar>
              <w:top w:w="0" w:type="dxa"/>
              <w:left w:w="108" w:type="dxa"/>
              <w:bottom w:w="0" w:type="dxa"/>
              <w:right w:w="108" w:type="dxa"/>
            </w:tcMar>
            <w:vAlign w:val="center"/>
          </w:tcPr>
          <w:p w14:paraId="28C5B9FB"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19</w:t>
            </w:r>
          </w:p>
        </w:tc>
        <w:tc>
          <w:tcPr>
            <w:tcW w:w="2495" w:type="dxa"/>
            <w:shd w:val="clear" w:color="auto" w:fill="FFFFFF" w:themeFill="background1"/>
            <w:tcMar>
              <w:top w:w="0" w:type="dxa"/>
              <w:left w:w="108" w:type="dxa"/>
              <w:bottom w:w="0" w:type="dxa"/>
              <w:right w:w="108" w:type="dxa"/>
            </w:tcMar>
            <w:vAlign w:val="center"/>
          </w:tcPr>
          <w:p w14:paraId="447C9060"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MPP</w:t>
            </w:r>
          </w:p>
        </w:tc>
        <w:tc>
          <w:tcPr>
            <w:tcW w:w="966" w:type="dxa"/>
            <w:shd w:val="clear" w:color="auto" w:fill="FFFFFF" w:themeFill="background1"/>
            <w:tcMar>
              <w:top w:w="0" w:type="dxa"/>
              <w:left w:w="108" w:type="dxa"/>
              <w:bottom w:w="0" w:type="dxa"/>
              <w:right w:w="108" w:type="dxa"/>
            </w:tcMar>
            <w:vAlign w:val="center"/>
          </w:tcPr>
          <w:p w14:paraId="79BB8392"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3 3/4</w:t>
            </w:r>
          </w:p>
        </w:tc>
        <w:tc>
          <w:tcPr>
            <w:tcW w:w="1107" w:type="dxa"/>
            <w:shd w:val="clear" w:color="auto" w:fill="FFFFFF" w:themeFill="background1"/>
            <w:tcMar>
              <w:top w:w="0" w:type="dxa"/>
              <w:left w:w="108" w:type="dxa"/>
              <w:bottom w:w="0" w:type="dxa"/>
              <w:right w:w="108" w:type="dxa"/>
            </w:tcMar>
            <w:vAlign w:val="center"/>
          </w:tcPr>
          <w:p w14:paraId="29B369EF"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4,14%</w:t>
            </w:r>
          </w:p>
        </w:tc>
        <w:tc>
          <w:tcPr>
            <w:tcW w:w="835" w:type="dxa"/>
            <w:shd w:val="clear" w:color="auto" w:fill="FFFFFF" w:themeFill="background1"/>
            <w:tcMar>
              <w:top w:w="0" w:type="dxa"/>
              <w:left w:w="108" w:type="dxa"/>
              <w:bottom w:w="0" w:type="dxa"/>
              <w:right w:w="108" w:type="dxa"/>
            </w:tcMar>
            <w:vAlign w:val="center"/>
          </w:tcPr>
          <w:p w14:paraId="62F3ACE5"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4</w:t>
            </w:r>
          </w:p>
        </w:tc>
        <w:tc>
          <w:tcPr>
            <w:tcW w:w="970" w:type="dxa"/>
            <w:shd w:val="clear" w:color="auto" w:fill="FFFFFF" w:themeFill="background1"/>
            <w:tcMar>
              <w:top w:w="0" w:type="dxa"/>
              <w:left w:w="108" w:type="dxa"/>
              <w:bottom w:w="0" w:type="dxa"/>
              <w:right w:w="108" w:type="dxa"/>
            </w:tcMar>
            <w:vAlign w:val="center"/>
          </w:tcPr>
          <w:p w14:paraId="393CBA7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2,47%</w:t>
            </w:r>
          </w:p>
        </w:tc>
        <w:tc>
          <w:tcPr>
            <w:tcW w:w="830" w:type="dxa"/>
            <w:shd w:val="clear" w:color="auto" w:fill="FFFFFF" w:themeFill="background1"/>
            <w:tcMar>
              <w:top w:w="0" w:type="dxa"/>
              <w:left w:w="108" w:type="dxa"/>
              <w:bottom w:w="0" w:type="dxa"/>
              <w:right w:w="108" w:type="dxa"/>
            </w:tcMar>
            <w:vAlign w:val="center"/>
          </w:tcPr>
          <w:p w14:paraId="69C92E15"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22 1/2</w:t>
            </w:r>
          </w:p>
        </w:tc>
        <w:tc>
          <w:tcPr>
            <w:tcW w:w="967" w:type="dxa"/>
            <w:shd w:val="clear" w:color="auto" w:fill="FFFFFF" w:themeFill="background1"/>
            <w:tcMar>
              <w:top w:w="0" w:type="dxa"/>
              <w:left w:w="108" w:type="dxa"/>
              <w:bottom w:w="0" w:type="dxa"/>
              <w:right w:w="108" w:type="dxa"/>
            </w:tcMar>
            <w:vAlign w:val="center"/>
          </w:tcPr>
          <w:p w14:paraId="65F9BBD6"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15,89%</w:t>
            </w:r>
          </w:p>
        </w:tc>
        <w:tc>
          <w:tcPr>
            <w:tcW w:w="691" w:type="dxa"/>
            <w:shd w:val="clear" w:color="auto" w:fill="FFFFFF" w:themeFill="background1"/>
            <w:tcMar>
              <w:top w:w="0" w:type="dxa"/>
              <w:left w:w="108" w:type="dxa"/>
              <w:bottom w:w="0" w:type="dxa"/>
              <w:right w:w="108" w:type="dxa"/>
            </w:tcMar>
            <w:vAlign w:val="center"/>
          </w:tcPr>
          <w:p w14:paraId="38A7E346"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44</w:t>
            </w:r>
          </w:p>
        </w:tc>
        <w:tc>
          <w:tcPr>
            <w:tcW w:w="971" w:type="dxa"/>
            <w:shd w:val="clear" w:color="auto" w:fill="FFFFFF" w:themeFill="background1"/>
            <w:tcMar>
              <w:top w:w="0" w:type="dxa"/>
              <w:left w:w="108" w:type="dxa"/>
              <w:bottom w:w="0" w:type="dxa"/>
              <w:right w:w="108" w:type="dxa"/>
            </w:tcMar>
            <w:vAlign w:val="center"/>
          </w:tcPr>
          <w:p w14:paraId="1BC6C8C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18,57%</w:t>
            </w:r>
          </w:p>
        </w:tc>
        <w:tc>
          <w:tcPr>
            <w:tcW w:w="967" w:type="dxa"/>
            <w:shd w:val="clear" w:color="auto" w:fill="FFFFFF" w:themeFill="background1"/>
            <w:tcMar>
              <w:top w:w="0" w:type="dxa"/>
              <w:left w:w="108" w:type="dxa"/>
              <w:bottom w:w="0" w:type="dxa"/>
              <w:right w:w="108" w:type="dxa"/>
            </w:tcMar>
            <w:vAlign w:val="center"/>
          </w:tcPr>
          <w:p w14:paraId="3412282E" w14:textId="77777777" w:rsidR="00284822" w:rsidRDefault="00F77BF8">
            <w:pPr>
              <w:spacing w:line="240" w:lineRule="auto"/>
              <w:rPr>
                <w:rFonts w:ascii="Rockwell" w:hAnsi="Rockwell"/>
                <w:b/>
                <w:bCs/>
                <w:sz w:val="18"/>
                <w:szCs w:val="18"/>
              </w:rPr>
            </w:pPr>
            <w:r>
              <w:rPr>
                <w:rFonts w:ascii="Rockwell" w:hAnsi="Rockwell"/>
                <w:b/>
                <w:bCs/>
                <w:sz w:val="18"/>
                <w:szCs w:val="18"/>
              </w:rPr>
              <w:t>62 3/4</w:t>
            </w:r>
          </w:p>
        </w:tc>
        <w:tc>
          <w:tcPr>
            <w:tcW w:w="1107" w:type="dxa"/>
            <w:shd w:val="clear" w:color="auto" w:fill="FFFFFF" w:themeFill="background1"/>
            <w:tcMar>
              <w:top w:w="0" w:type="dxa"/>
              <w:left w:w="108" w:type="dxa"/>
              <w:bottom w:w="0" w:type="dxa"/>
              <w:right w:w="108" w:type="dxa"/>
            </w:tcMar>
            <w:vAlign w:val="center"/>
          </w:tcPr>
          <w:p w14:paraId="379C4008" w14:textId="77777777" w:rsidR="00284822" w:rsidRDefault="00F77BF8">
            <w:pPr>
              <w:spacing w:line="240" w:lineRule="auto"/>
              <w:rPr>
                <w:rFonts w:ascii="Rockwell" w:hAnsi="Rockwell"/>
                <w:b/>
                <w:bCs/>
                <w:sz w:val="18"/>
                <w:szCs w:val="18"/>
              </w:rPr>
            </w:pPr>
            <w:r>
              <w:rPr>
                <w:rFonts w:ascii="Rockwell" w:hAnsi="Rockwell"/>
                <w:b/>
                <w:bCs/>
                <w:sz w:val="18"/>
                <w:szCs w:val="18"/>
              </w:rPr>
              <w:t>14,58%</w:t>
            </w:r>
          </w:p>
        </w:tc>
        <w:tc>
          <w:tcPr>
            <w:tcW w:w="968" w:type="dxa"/>
            <w:shd w:val="clear" w:color="auto" w:fill="FFFFFF" w:themeFill="background1"/>
            <w:tcMar>
              <w:top w:w="0" w:type="dxa"/>
              <w:left w:w="108" w:type="dxa"/>
              <w:bottom w:w="0" w:type="dxa"/>
              <w:right w:w="108" w:type="dxa"/>
            </w:tcMar>
            <w:vAlign w:val="center"/>
          </w:tcPr>
          <w:p w14:paraId="00514C26" w14:textId="77777777" w:rsidR="00284822" w:rsidRDefault="00F77BF8">
            <w:pPr>
              <w:spacing w:line="240" w:lineRule="auto"/>
              <w:rPr>
                <w:rFonts w:ascii="Rockwell" w:hAnsi="Rockwell"/>
                <w:b/>
                <w:bCs/>
                <w:sz w:val="18"/>
                <w:szCs w:val="18"/>
              </w:rPr>
            </w:pPr>
            <w:r>
              <w:rPr>
                <w:rFonts w:ascii="Rockwell" w:hAnsi="Rockwell"/>
                <w:b/>
                <w:bCs/>
                <w:sz w:val="18"/>
                <w:szCs w:val="18"/>
              </w:rPr>
              <w:t>112</w:t>
            </w:r>
          </w:p>
        </w:tc>
        <w:tc>
          <w:tcPr>
            <w:tcW w:w="1522" w:type="dxa"/>
            <w:shd w:val="clear" w:color="auto" w:fill="FFFFFF" w:themeFill="background1"/>
            <w:tcMar>
              <w:top w:w="0" w:type="dxa"/>
              <w:left w:w="108" w:type="dxa"/>
              <w:bottom w:w="0" w:type="dxa"/>
              <w:right w:w="108" w:type="dxa"/>
            </w:tcMar>
            <w:vAlign w:val="center"/>
          </w:tcPr>
          <w:p w14:paraId="49E30E18" w14:textId="77777777" w:rsidR="00284822" w:rsidRDefault="00F77BF8">
            <w:pPr>
              <w:spacing w:line="240" w:lineRule="auto"/>
              <w:rPr>
                <w:rFonts w:ascii="Rockwell" w:hAnsi="Rockwell"/>
                <w:b/>
                <w:bCs/>
                <w:sz w:val="18"/>
                <w:szCs w:val="18"/>
              </w:rPr>
            </w:pPr>
            <w:r>
              <w:rPr>
                <w:rFonts w:ascii="Rockwell" w:hAnsi="Rockwell"/>
                <w:b/>
                <w:bCs/>
                <w:sz w:val="18"/>
                <w:szCs w:val="18"/>
              </w:rPr>
              <w:t>14,91%</w:t>
            </w:r>
          </w:p>
        </w:tc>
      </w:tr>
      <w:tr w:rsidR="00284822" w14:paraId="758A48E0" w14:textId="77777777">
        <w:trPr>
          <w:gridAfter w:val="1"/>
          <w:wAfter w:w="13" w:type="dxa"/>
          <w:trHeight w:val="164"/>
          <w:jc w:val="center"/>
        </w:trPr>
        <w:tc>
          <w:tcPr>
            <w:tcW w:w="963" w:type="dxa"/>
            <w:shd w:val="clear" w:color="auto" w:fill="FFFFFF" w:themeFill="background1"/>
            <w:noWrap/>
            <w:tcMar>
              <w:top w:w="0" w:type="dxa"/>
              <w:left w:w="108" w:type="dxa"/>
              <w:bottom w:w="0" w:type="dxa"/>
              <w:right w:w="108" w:type="dxa"/>
            </w:tcMar>
            <w:vAlign w:val="center"/>
          </w:tcPr>
          <w:p w14:paraId="76C38017"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20</w:t>
            </w:r>
          </w:p>
        </w:tc>
        <w:tc>
          <w:tcPr>
            <w:tcW w:w="2495" w:type="dxa"/>
            <w:shd w:val="clear" w:color="auto" w:fill="FFFFFF" w:themeFill="background1"/>
            <w:tcMar>
              <w:top w:w="0" w:type="dxa"/>
              <w:left w:w="108" w:type="dxa"/>
              <w:bottom w:w="0" w:type="dxa"/>
              <w:right w:w="108" w:type="dxa"/>
            </w:tcMar>
            <w:vAlign w:val="center"/>
          </w:tcPr>
          <w:p w14:paraId="4515FBD9"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MRB</w:t>
            </w:r>
          </w:p>
        </w:tc>
        <w:tc>
          <w:tcPr>
            <w:tcW w:w="966" w:type="dxa"/>
            <w:shd w:val="clear" w:color="auto" w:fill="FFFFFF" w:themeFill="background1"/>
            <w:tcMar>
              <w:top w:w="0" w:type="dxa"/>
              <w:left w:w="108" w:type="dxa"/>
              <w:bottom w:w="0" w:type="dxa"/>
              <w:right w:w="108" w:type="dxa"/>
            </w:tcMar>
            <w:vAlign w:val="center"/>
          </w:tcPr>
          <w:p w14:paraId="776B99A8"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 1/2</w:t>
            </w:r>
          </w:p>
        </w:tc>
        <w:tc>
          <w:tcPr>
            <w:tcW w:w="1107" w:type="dxa"/>
            <w:shd w:val="clear" w:color="auto" w:fill="FFFFFF" w:themeFill="background1"/>
            <w:tcMar>
              <w:top w:w="0" w:type="dxa"/>
              <w:left w:w="108" w:type="dxa"/>
              <w:bottom w:w="0" w:type="dxa"/>
              <w:right w:w="108" w:type="dxa"/>
            </w:tcMar>
            <w:vAlign w:val="center"/>
          </w:tcPr>
          <w:p w14:paraId="75F2BC76"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1,66%</w:t>
            </w:r>
          </w:p>
        </w:tc>
        <w:tc>
          <w:tcPr>
            <w:tcW w:w="835" w:type="dxa"/>
            <w:shd w:val="clear" w:color="auto" w:fill="FFFFFF" w:themeFill="background1"/>
            <w:tcMar>
              <w:top w:w="0" w:type="dxa"/>
              <w:left w:w="108" w:type="dxa"/>
              <w:bottom w:w="0" w:type="dxa"/>
              <w:right w:w="108" w:type="dxa"/>
            </w:tcMar>
            <w:vAlign w:val="center"/>
          </w:tcPr>
          <w:p w14:paraId="7C34F393"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w:t>
            </w:r>
          </w:p>
        </w:tc>
        <w:tc>
          <w:tcPr>
            <w:tcW w:w="970" w:type="dxa"/>
            <w:shd w:val="clear" w:color="auto" w:fill="FFFFFF" w:themeFill="background1"/>
            <w:tcMar>
              <w:top w:w="0" w:type="dxa"/>
              <w:left w:w="108" w:type="dxa"/>
              <w:bottom w:w="0" w:type="dxa"/>
              <w:right w:w="108" w:type="dxa"/>
            </w:tcMar>
            <w:vAlign w:val="center"/>
          </w:tcPr>
          <w:p w14:paraId="16714039"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1,23%</w:t>
            </w:r>
          </w:p>
        </w:tc>
        <w:tc>
          <w:tcPr>
            <w:tcW w:w="830" w:type="dxa"/>
            <w:shd w:val="clear" w:color="auto" w:fill="FFFFFF" w:themeFill="background1"/>
            <w:tcMar>
              <w:top w:w="0" w:type="dxa"/>
              <w:left w:w="108" w:type="dxa"/>
              <w:bottom w:w="0" w:type="dxa"/>
              <w:right w:w="108" w:type="dxa"/>
            </w:tcMar>
            <w:vAlign w:val="center"/>
          </w:tcPr>
          <w:p w14:paraId="11B97AE4"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1/6</w:t>
            </w:r>
          </w:p>
        </w:tc>
        <w:tc>
          <w:tcPr>
            <w:tcW w:w="967" w:type="dxa"/>
            <w:shd w:val="clear" w:color="auto" w:fill="FFFFFF" w:themeFill="background1"/>
            <w:tcMar>
              <w:top w:w="0" w:type="dxa"/>
              <w:left w:w="108" w:type="dxa"/>
              <w:bottom w:w="0" w:type="dxa"/>
              <w:right w:w="108" w:type="dxa"/>
            </w:tcMar>
            <w:vAlign w:val="center"/>
          </w:tcPr>
          <w:p w14:paraId="13AC287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0,12%</w:t>
            </w:r>
          </w:p>
        </w:tc>
        <w:tc>
          <w:tcPr>
            <w:tcW w:w="691" w:type="dxa"/>
            <w:shd w:val="clear" w:color="auto" w:fill="FFFFFF" w:themeFill="background1"/>
            <w:tcMar>
              <w:top w:w="0" w:type="dxa"/>
              <w:left w:w="108" w:type="dxa"/>
              <w:bottom w:w="0" w:type="dxa"/>
              <w:right w:w="108" w:type="dxa"/>
            </w:tcMar>
            <w:vAlign w:val="center"/>
          </w:tcPr>
          <w:p w14:paraId="4E981F96"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971" w:type="dxa"/>
            <w:shd w:val="clear" w:color="auto" w:fill="FFFFFF" w:themeFill="background1"/>
            <w:tcMar>
              <w:top w:w="0" w:type="dxa"/>
              <w:left w:w="108" w:type="dxa"/>
              <w:bottom w:w="0" w:type="dxa"/>
              <w:right w:w="108" w:type="dxa"/>
            </w:tcMar>
            <w:vAlign w:val="center"/>
          </w:tcPr>
          <w:p w14:paraId="3D00A199"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67" w:type="dxa"/>
            <w:shd w:val="clear" w:color="auto" w:fill="FFFFFF" w:themeFill="background1"/>
            <w:tcMar>
              <w:top w:w="0" w:type="dxa"/>
              <w:left w:w="108" w:type="dxa"/>
              <w:bottom w:w="0" w:type="dxa"/>
              <w:right w:w="108" w:type="dxa"/>
            </w:tcMar>
            <w:vAlign w:val="center"/>
          </w:tcPr>
          <w:p w14:paraId="5C4437D5" w14:textId="77777777" w:rsidR="00284822" w:rsidRDefault="00F77BF8">
            <w:pPr>
              <w:spacing w:line="240" w:lineRule="auto"/>
              <w:rPr>
                <w:rFonts w:ascii="Rockwell" w:hAnsi="Rockwell"/>
                <w:b/>
                <w:bCs/>
                <w:sz w:val="18"/>
                <w:szCs w:val="18"/>
              </w:rPr>
            </w:pPr>
            <w:r>
              <w:rPr>
                <w:rFonts w:ascii="Rockwell" w:hAnsi="Rockwell"/>
                <w:b/>
                <w:bCs/>
                <w:sz w:val="18"/>
                <w:szCs w:val="18"/>
              </w:rPr>
              <w:t>6</w:t>
            </w:r>
          </w:p>
        </w:tc>
        <w:tc>
          <w:tcPr>
            <w:tcW w:w="1107" w:type="dxa"/>
            <w:shd w:val="clear" w:color="auto" w:fill="FFFFFF" w:themeFill="background1"/>
            <w:tcMar>
              <w:top w:w="0" w:type="dxa"/>
              <w:left w:w="108" w:type="dxa"/>
              <w:bottom w:w="0" w:type="dxa"/>
              <w:right w:w="108" w:type="dxa"/>
            </w:tcMar>
            <w:vAlign w:val="center"/>
          </w:tcPr>
          <w:p w14:paraId="401ECAA2" w14:textId="77777777" w:rsidR="00284822" w:rsidRDefault="00F77BF8">
            <w:pPr>
              <w:spacing w:line="240" w:lineRule="auto"/>
              <w:rPr>
                <w:rFonts w:ascii="Rockwell" w:hAnsi="Rockwell"/>
                <w:b/>
                <w:bCs/>
                <w:sz w:val="18"/>
                <w:szCs w:val="18"/>
              </w:rPr>
            </w:pPr>
            <w:r>
              <w:rPr>
                <w:rFonts w:ascii="Rockwell" w:hAnsi="Rockwell"/>
                <w:b/>
                <w:bCs/>
                <w:sz w:val="18"/>
                <w:szCs w:val="18"/>
              </w:rPr>
              <w:t>1,39%</w:t>
            </w:r>
          </w:p>
        </w:tc>
        <w:tc>
          <w:tcPr>
            <w:tcW w:w="968" w:type="dxa"/>
            <w:shd w:val="clear" w:color="auto" w:fill="FFFFFF" w:themeFill="background1"/>
            <w:tcMar>
              <w:top w:w="0" w:type="dxa"/>
              <w:left w:w="108" w:type="dxa"/>
              <w:bottom w:w="0" w:type="dxa"/>
              <w:right w:w="108" w:type="dxa"/>
            </w:tcMar>
            <w:vAlign w:val="center"/>
          </w:tcPr>
          <w:p w14:paraId="78508409" w14:textId="77777777" w:rsidR="00284822" w:rsidRDefault="00F77BF8">
            <w:pPr>
              <w:spacing w:line="240" w:lineRule="auto"/>
              <w:rPr>
                <w:rFonts w:ascii="Rockwell" w:hAnsi="Rockwell"/>
                <w:b/>
                <w:bCs/>
                <w:sz w:val="18"/>
                <w:szCs w:val="18"/>
              </w:rPr>
            </w:pPr>
            <w:r>
              <w:rPr>
                <w:rFonts w:ascii="Rockwell" w:hAnsi="Rockwell"/>
                <w:b/>
                <w:bCs/>
                <w:sz w:val="18"/>
                <w:szCs w:val="18"/>
              </w:rPr>
              <w:t>12</w:t>
            </w:r>
          </w:p>
        </w:tc>
        <w:tc>
          <w:tcPr>
            <w:tcW w:w="1522" w:type="dxa"/>
            <w:shd w:val="clear" w:color="auto" w:fill="FFFFFF" w:themeFill="background1"/>
            <w:tcMar>
              <w:top w:w="0" w:type="dxa"/>
              <w:left w:w="108" w:type="dxa"/>
              <w:bottom w:w="0" w:type="dxa"/>
              <w:right w:w="108" w:type="dxa"/>
            </w:tcMar>
            <w:vAlign w:val="center"/>
          </w:tcPr>
          <w:p w14:paraId="43E64FA5" w14:textId="77777777" w:rsidR="00284822" w:rsidRDefault="00F77BF8">
            <w:pPr>
              <w:spacing w:line="240" w:lineRule="auto"/>
              <w:rPr>
                <w:rFonts w:ascii="Rockwell" w:hAnsi="Rockwell"/>
                <w:b/>
                <w:bCs/>
                <w:sz w:val="18"/>
                <w:szCs w:val="18"/>
              </w:rPr>
            </w:pPr>
            <w:r>
              <w:rPr>
                <w:rFonts w:ascii="Rockwell" w:hAnsi="Rockwell"/>
                <w:b/>
                <w:bCs/>
                <w:sz w:val="18"/>
                <w:szCs w:val="18"/>
              </w:rPr>
              <w:t>1,60%</w:t>
            </w:r>
          </w:p>
        </w:tc>
      </w:tr>
      <w:tr w:rsidR="00284822" w14:paraId="6D8D54EC" w14:textId="77777777">
        <w:trPr>
          <w:gridAfter w:val="1"/>
          <w:wAfter w:w="13" w:type="dxa"/>
          <w:trHeight w:val="164"/>
          <w:jc w:val="center"/>
        </w:trPr>
        <w:tc>
          <w:tcPr>
            <w:tcW w:w="963" w:type="dxa"/>
            <w:shd w:val="clear" w:color="auto" w:fill="FFFFFF" w:themeFill="background1"/>
            <w:noWrap/>
            <w:tcMar>
              <w:top w:w="0" w:type="dxa"/>
              <w:left w:w="108" w:type="dxa"/>
              <w:bottom w:w="0" w:type="dxa"/>
              <w:right w:w="108" w:type="dxa"/>
            </w:tcMar>
            <w:vAlign w:val="center"/>
          </w:tcPr>
          <w:p w14:paraId="551AB4B5"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21</w:t>
            </w:r>
          </w:p>
        </w:tc>
        <w:tc>
          <w:tcPr>
            <w:tcW w:w="2495" w:type="dxa"/>
            <w:shd w:val="clear" w:color="auto" w:fill="FFFFFF" w:themeFill="background1"/>
            <w:tcMar>
              <w:top w:w="0" w:type="dxa"/>
              <w:left w:w="108" w:type="dxa"/>
              <w:bottom w:w="0" w:type="dxa"/>
              <w:right w:w="108" w:type="dxa"/>
            </w:tcMar>
            <w:vAlign w:val="center"/>
          </w:tcPr>
          <w:p w14:paraId="7C935CFD"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MRD</w:t>
            </w:r>
          </w:p>
        </w:tc>
        <w:tc>
          <w:tcPr>
            <w:tcW w:w="966" w:type="dxa"/>
            <w:shd w:val="clear" w:color="auto" w:fill="FFFFFF" w:themeFill="background1"/>
            <w:tcMar>
              <w:top w:w="0" w:type="dxa"/>
              <w:left w:w="108" w:type="dxa"/>
              <w:bottom w:w="0" w:type="dxa"/>
              <w:right w:w="108" w:type="dxa"/>
            </w:tcMar>
          </w:tcPr>
          <w:p w14:paraId="3C6362E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 xml:space="preserve"> 1/4</w:t>
            </w:r>
          </w:p>
        </w:tc>
        <w:tc>
          <w:tcPr>
            <w:tcW w:w="1107" w:type="dxa"/>
            <w:shd w:val="clear" w:color="auto" w:fill="FFFFFF" w:themeFill="background1"/>
            <w:tcMar>
              <w:top w:w="0" w:type="dxa"/>
              <w:left w:w="108" w:type="dxa"/>
              <w:bottom w:w="0" w:type="dxa"/>
              <w:right w:w="108" w:type="dxa"/>
            </w:tcMar>
          </w:tcPr>
          <w:p w14:paraId="4BD6F23E"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0,28%</w:t>
            </w:r>
          </w:p>
        </w:tc>
        <w:tc>
          <w:tcPr>
            <w:tcW w:w="835" w:type="dxa"/>
            <w:shd w:val="clear" w:color="auto" w:fill="FFFFFF" w:themeFill="background1"/>
            <w:tcMar>
              <w:top w:w="0" w:type="dxa"/>
              <w:left w:w="108" w:type="dxa"/>
              <w:bottom w:w="0" w:type="dxa"/>
              <w:right w:w="108" w:type="dxa"/>
            </w:tcMar>
          </w:tcPr>
          <w:p w14:paraId="10180DB1"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w:t>
            </w:r>
          </w:p>
        </w:tc>
        <w:tc>
          <w:tcPr>
            <w:tcW w:w="970" w:type="dxa"/>
            <w:shd w:val="clear" w:color="auto" w:fill="FFFFFF" w:themeFill="background1"/>
            <w:tcMar>
              <w:top w:w="0" w:type="dxa"/>
              <w:left w:w="108" w:type="dxa"/>
              <w:bottom w:w="0" w:type="dxa"/>
              <w:right w:w="108" w:type="dxa"/>
            </w:tcMar>
          </w:tcPr>
          <w:p w14:paraId="05D1F8A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0,62%</w:t>
            </w:r>
          </w:p>
        </w:tc>
        <w:tc>
          <w:tcPr>
            <w:tcW w:w="830" w:type="dxa"/>
            <w:shd w:val="clear" w:color="auto" w:fill="FFFFFF" w:themeFill="background1"/>
            <w:tcMar>
              <w:top w:w="0" w:type="dxa"/>
              <w:left w:w="108" w:type="dxa"/>
              <w:bottom w:w="0" w:type="dxa"/>
              <w:right w:w="108" w:type="dxa"/>
            </w:tcMar>
          </w:tcPr>
          <w:p w14:paraId="633BC3E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 xml:space="preserve">0    </w:t>
            </w:r>
          </w:p>
        </w:tc>
        <w:tc>
          <w:tcPr>
            <w:tcW w:w="967" w:type="dxa"/>
            <w:shd w:val="clear" w:color="auto" w:fill="FFFFFF" w:themeFill="background1"/>
            <w:tcMar>
              <w:top w:w="0" w:type="dxa"/>
              <w:left w:w="108" w:type="dxa"/>
              <w:bottom w:w="0" w:type="dxa"/>
              <w:right w:w="108" w:type="dxa"/>
            </w:tcMar>
          </w:tcPr>
          <w:p w14:paraId="06D65998"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691" w:type="dxa"/>
            <w:shd w:val="clear" w:color="auto" w:fill="FFFFFF" w:themeFill="background1"/>
            <w:tcMar>
              <w:top w:w="0" w:type="dxa"/>
              <w:left w:w="108" w:type="dxa"/>
              <w:bottom w:w="0" w:type="dxa"/>
              <w:right w:w="108" w:type="dxa"/>
            </w:tcMar>
          </w:tcPr>
          <w:p w14:paraId="6837E14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971" w:type="dxa"/>
            <w:shd w:val="clear" w:color="auto" w:fill="FFFFFF" w:themeFill="background1"/>
            <w:tcMar>
              <w:top w:w="0" w:type="dxa"/>
              <w:left w:w="108" w:type="dxa"/>
              <w:bottom w:w="0" w:type="dxa"/>
              <w:right w:w="108" w:type="dxa"/>
            </w:tcMar>
          </w:tcPr>
          <w:p w14:paraId="42CB32F2"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67" w:type="dxa"/>
            <w:shd w:val="clear" w:color="auto" w:fill="FFFFFF" w:themeFill="background1"/>
            <w:tcMar>
              <w:top w:w="0" w:type="dxa"/>
              <w:left w:w="108" w:type="dxa"/>
              <w:bottom w:w="0" w:type="dxa"/>
              <w:right w:w="108" w:type="dxa"/>
            </w:tcMar>
          </w:tcPr>
          <w:p w14:paraId="086E3DF1" w14:textId="77777777" w:rsidR="00284822" w:rsidRDefault="00F77BF8">
            <w:pPr>
              <w:spacing w:line="240" w:lineRule="auto"/>
              <w:rPr>
                <w:rFonts w:ascii="Rockwell" w:hAnsi="Rockwell"/>
                <w:b/>
                <w:bCs/>
                <w:sz w:val="18"/>
                <w:szCs w:val="18"/>
              </w:rPr>
            </w:pPr>
            <w:r>
              <w:rPr>
                <w:rFonts w:ascii="Rockwell" w:hAnsi="Rockwell"/>
                <w:b/>
                <w:bCs/>
                <w:sz w:val="18"/>
                <w:szCs w:val="18"/>
              </w:rPr>
              <w:t xml:space="preserve"> 1/4</w:t>
            </w:r>
          </w:p>
        </w:tc>
        <w:tc>
          <w:tcPr>
            <w:tcW w:w="1107" w:type="dxa"/>
            <w:shd w:val="clear" w:color="auto" w:fill="FFFFFF" w:themeFill="background1"/>
            <w:tcMar>
              <w:top w:w="0" w:type="dxa"/>
              <w:left w:w="108" w:type="dxa"/>
              <w:bottom w:w="0" w:type="dxa"/>
              <w:right w:w="108" w:type="dxa"/>
            </w:tcMar>
          </w:tcPr>
          <w:p w14:paraId="084AF9BB" w14:textId="77777777" w:rsidR="00284822" w:rsidRDefault="00F77BF8">
            <w:pPr>
              <w:spacing w:line="240" w:lineRule="auto"/>
              <w:rPr>
                <w:rFonts w:ascii="Rockwell" w:hAnsi="Rockwell"/>
                <w:b/>
                <w:bCs/>
                <w:sz w:val="18"/>
                <w:szCs w:val="18"/>
              </w:rPr>
            </w:pPr>
            <w:r>
              <w:rPr>
                <w:rFonts w:ascii="Rockwell" w:hAnsi="Rockwell"/>
                <w:b/>
                <w:bCs/>
                <w:sz w:val="18"/>
                <w:szCs w:val="18"/>
              </w:rPr>
              <w:t>0,06%</w:t>
            </w:r>
          </w:p>
        </w:tc>
        <w:tc>
          <w:tcPr>
            <w:tcW w:w="968" w:type="dxa"/>
            <w:shd w:val="clear" w:color="auto" w:fill="FFFFFF" w:themeFill="background1"/>
            <w:tcMar>
              <w:top w:w="0" w:type="dxa"/>
              <w:left w:w="108" w:type="dxa"/>
              <w:bottom w:w="0" w:type="dxa"/>
              <w:right w:w="108" w:type="dxa"/>
            </w:tcMar>
          </w:tcPr>
          <w:p w14:paraId="3F5B30BC" w14:textId="77777777" w:rsidR="00284822" w:rsidRDefault="00F77BF8">
            <w:pPr>
              <w:spacing w:line="240" w:lineRule="auto"/>
              <w:rPr>
                <w:rFonts w:ascii="Rockwell" w:hAnsi="Rockwell"/>
                <w:b/>
                <w:bCs/>
                <w:sz w:val="18"/>
                <w:szCs w:val="18"/>
              </w:rPr>
            </w:pPr>
            <w:r>
              <w:rPr>
                <w:rFonts w:ascii="Rockwell" w:hAnsi="Rockwell"/>
                <w:b/>
                <w:bCs/>
                <w:sz w:val="18"/>
                <w:szCs w:val="18"/>
              </w:rPr>
              <w:t>1</w:t>
            </w:r>
          </w:p>
        </w:tc>
        <w:tc>
          <w:tcPr>
            <w:tcW w:w="1522" w:type="dxa"/>
            <w:shd w:val="clear" w:color="auto" w:fill="FFFFFF" w:themeFill="background1"/>
            <w:tcMar>
              <w:top w:w="0" w:type="dxa"/>
              <w:left w:w="108" w:type="dxa"/>
              <w:bottom w:w="0" w:type="dxa"/>
              <w:right w:w="108" w:type="dxa"/>
            </w:tcMar>
          </w:tcPr>
          <w:p w14:paraId="28695FCF" w14:textId="77777777" w:rsidR="00284822" w:rsidRDefault="00F77BF8">
            <w:pPr>
              <w:spacing w:line="240" w:lineRule="auto"/>
              <w:rPr>
                <w:rFonts w:ascii="Rockwell" w:hAnsi="Rockwell"/>
                <w:b/>
                <w:bCs/>
                <w:sz w:val="18"/>
                <w:szCs w:val="18"/>
              </w:rPr>
            </w:pPr>
            <w:r>
              <w:rPr>
                <w:rFonts w:ascii="Rockwell" w:hAnsi="Rockwell"/>
                <w:b/>
                <w:bCs/>
                <w:sz w:val="18"/>
                <w:szCs w:val="18"/>
              </w:rPr>
              <w:t>0,13%</w:t>
            </w:r>
          </w:p>
        </w:tc>
      </w:tr>
      <w:tr w:rsidR="00284822" w14:paraId="48A87E10" w14:textId="77777777">
        <w:trPr>
          <w:gridAfter w:val="1"/>
          <w:wAfter w:w="13" w:type="dxa"/>
          <w:trHeight w:val="164"/>
          <w:jc w:val="center"/>
        </w:trPr>
        <w:tc>
          <w:tcPr>
            <w:tcW w:w="963" w:type="dxa"/>
            <w:shd w:val="clear" w:color="auto" w:fill="FFFFFF" w:themeFill="background1"/>
            <w:noWrap/>
            <w:tcMar>
              <w:top w:w="0" w:type="dxa"/>
              <w:left w:w="108" w:type="dxa"/>
              <w:bottom w:w="0" w:type="dxa"/>
              <w:right w:w="108" w:type="dxa"/>
            </w:tcMar>
          </w:tcPr>
          <w:p w14:paraId="61FFE1EF"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22</w:t>
            </w:r>
          </w:p>
        </w:tc>
        <w:tc>
          <w:tcPr>
            <w:tcW w:w="2495" w:type="dxa"/>
            <w:shd w:val="clear" w:color="auto" w:fill="FFFFFF" w:themeFill="background1"/>
            <w:tcMar>
              <w:top w:w="0" w:type="dxa"/>
              <w:left w:w="108" w:type="dxa"/>
              <w:bottom w:w="0" w:type="dxa"/>
              <w:right w:w="108" w:type="dxa"/>
            </w:tcMar>
            <w:vAlign w:val="center"/>
          </w:tcPr>
          <w:p w14:paraId="308B85EF"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MRP</w:t>
            </w:r>
          </w:p>
        </w:tc>
        <w:tc>
          <w:tcPr>
            <w:tcW w:w="966" w:type="dxa"/>
            <w:shd w:val="clear" w:color="auto" w:fill="FFFFFF" w:themeFill="background1"/>
            <w:tcMar>
              <w:top w:w="0" w:type="dxa"/>
              <w:left w:w="108" w:type="dxa"/>
              <w:bottom w:w="0" w:type="dxa"/>
              <w:right w:w="108" w:type="dxa"/>
            </w:tcMar>
          </w:tcPr>
          <w:p w14:paraId="739E022E"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 5/6</w:t>
            </w:r>
          </w:p>
        </w:tc>
        <w:tc>
          <w:tcPr>
            <w:tcW w:w="1107" w:type="dxa"/>
            <w:shd w:val="clear" w:color="auto" w:fill="FFFFFF" w:themeFill="background1"/>
            <w:tcMar>
              <w:top w:w="0" w:type="dxa"/>
              <w:left w:w="108" w:type="dxa"/>
              <w:bottom w:w="0" w:type="dxa"/>
              <w:right w:w="108" w:type="dxa"/>
            </w:tcMar>
          </w:tcPr>
          <w:p w14:paraId="0FC68F2E"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2,03%</w:t>
            </w:r>
          </w:p>
        </w:tc>
        <w:tc>
          <w:tcPr>
            <w:tcW w:w="835" w:type="dxa"/>
            <w:shd w:val="clear" w:color="auto" w:fill="FFFFFF" w:themeFill="background1"/>
            <w:tcMar>
              <w:top w:w="0" w:type="dxa"/>
              <w:left w:w="108" w:type="dxa"/>
              <w:bottom w:w="0" w:type="dxa"/>
              <w:right w:w="108" w:type="dxa"/>
            </w:tcMar>
          </w:tcPr>
          <w:p w14:paraId="4F6FA3E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w:t>
            </w:r>
          </w:p>
        </w:tc>
        <w:tc>
          <w:tcPr>
            <w:tcW w:w="970" w:type="dxa"/>
            <w:shd w:val="clear" w:color="auto" w:fill="FFFFFF" w:themeFill="background1"/>
            <w:tcMar>
              <w:top w:w="0" w:type="dxa"/>
              <w:left w:w="108" w:type="dxa"/>
              <w:bottom w:w="0" w:type="dxa"/>
              <w:right w:w="108" w:type="dxa"/>
            </w:tcMar>
          </w:tcPr>
          <w:p w14:paraId="08F0176F"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1,23%</w:t>
            </w:r>
          </w:p>
        </w:tc>
        <w:tc>
          <w:tcPr>
            <w:tcW w:w="830" w:type="dxa"/>
            <w:shd w:val="clear" w:color="auto" w:fill="FFFFFF" w:themeFill="background1"/>
            <w:tcMar>
              <w:top w:w="0" w:type="dxa"/>
              <w:left w:w="108" w:type="dxa"/>
              <w:bottom w:w="0" w:type="dxa"/>
              <w:right w:w="108" w:type="dxa"/>
            </w:tcMar>
          </w:tcPr>
          <w:p w14:paraId="7DBFC57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 xml:space="preserve"> 1/4</w:t>
            </w:r>
          </w:p>
        </w:tc>
        <w:tc>
          <w:tcPr>
            <w:tcW w:w="967" w:type="dxa"/>
            <w:shd w:val="clear" w:color="auto" w:fill="FFFFFF" w:themeFill="background1"/>
            <w:tcMar>
              <w:top w:w="0" w:type="dxa"/>
              <w:left w:w="108" w:type="dxa"/>
              <w:bottom w:w="0" w:type="dxa"/>
              <w:right w:w="108" w:type="dxa"/>
            </w:tcMar>
          </w:tcPr>
          <w:p w14:paraId="4107D673"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0,18%</w:t>
            </w:r>
          </w:p>
        </w:tc>
        <w:tc>
          <w:tcPr>
            <w:tcW w:w="691" w:type="dxa"/>
            <w:shd w:val="clear" w:color="auto" w:fill="FFFFFF" w:themeFill="background1"/>
            <w:tcMar>
              <w:top w:w="0" w:type="dxa"/>
              <w:left w:w="108" w:type="dxa"/>
              <w:bottom w:w="0" w:type="dxa"/>
              <w:right w:w="108" w:type="dxa"/>
            </w:tcMar>
          </w:tcPr>
          <w:p w14:paraId="64BAE0C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w:t>
            </w:r>
          </w:p>
        </w:tc>
        <w:tc>
          <w:tcPr>
            <w:tcW w:w="971" w:type="dxa"/>
            <w:shd w:val="clear" w:color="auto" w:fill="FFFFFF" w:themeFill="background1"/>
            <w:tcMar>
              <w:top w:w="0" w:type="dxa"/>
              <w:left w:w="108" w:type="dxa"/>
              <w:bottom w:w="0" w:type="dxa"/>
              <w:right w:w="108" w:type="dxa"/>
            </w:tcMar>
          </w:tcPr>
          <w:p w14:paraId="704F0F4E"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0,42%</w:t>
            </w:r>
          </w:p>
        </w:tc>
        <w:tc>
          <w:tcPr>
            <w:tcW w:w="967" w:type="dxa"/>
            <w:shd w:val="clear" w:color="auto" w:fill="FFFFFF" w:themeFill="background1"/>
            <w:tcMar>
              <w:top w:w="0" w:type="dxa"/>
              <w:left w:w="108" w:type="dxa"/>
              <w:bottom w:w="0" w:type="dxa"/>
              <w:right w:w="108" w:type="dxa"/>
            </w:tcMar>
          </w:tcPr>
          <w:p w14:paraId="240B26B0" w14:textId="77777777" w:rsidR="00284822" w:rsidRDefault="00F77BF8">
            <w:pPr>
              <w:spacing w:line="240" w:lineRule="auto"/>
              <w:rPr>
                <w:rFonts w:ascii="Rockwell" w:hAnsi="Rockwell"/>
                <w:b/>
                <w:bCs/>
                <w:sz w:val="18"/>
                <w:szCs w:val="18"/>
              </w:rPr>
            </w:pPr>
            <w:r>
              <w:rPr>
                <w:rFonts w:ascii="Rockwell" w:hAnsi="Rockwell"/>
                <w:b/>
                <w:bCs/>
                <w:sz w:val="18"/>
                <w:szCs w:val="18"/>
              </w:rPr>
              <w:t>2 3/7</w:t>
            </w:r>
          </w:p>
        </w:tc>
        <w:tc>
          <w:tcPr>
            <w:tcW w:w="1107" w:type="dxa"/>
            <w:shd w:val="clear" w:color="auto" w:fill="FFFFFF" w:themeFill="background1"/>
            <w:tcMar>
              <w:top w:w="0" w:type="dxa"/>
              <w:left w:w="108" w:type="dxa"/>
              <w:bottom w:w="0" w:type="dxa"/>
              <w:right w:w="108" w:type="dxa"/>
            </w:tcMar>
          </w:tcPr>
          <w:p w14:paraId="5AD7F172" w14:textId="77777777" w:rsidR="00284822" w:rsidRDefault="00F77BF8">
            <w:pPr>
              <w:spacing w:line="240" w:lineRule="auto"/>
              <w:rPr>
                <w:rFonts w:ascii="Rockwell" w:hAnsi="Rockwell"/>
                <w:b/>
                <w:bCs/>
                <w:sz w:val="18"/>
                <w:szCs w:val="18"/>
              </w:rPr>
            </w:pPr>
            <w:r>
              <w:rPr>
                <w:rFonts w:ascii="Rockwell" w:hAnsi="Rockwell"/>
                <w:b/>
                <w:bCs/>
                <w:sz w:val="18"/>
                <w:szCs w:val="18"/>
              </w:rPr>
              <w:t>0,56%</w:t>
            </w:r>
          </w:p>
        </w:tc>
        <w:tc>
          <w:tcPr>
            <w:tcW w:w="968" w:type="dxa"/>
            <w:shd w:val="clear" w:color="auto" w:fill="FFFFFF" w:themeFill="background1"/>
            <w:tcMar>
              <w:top w:w="0" w:type="dxa"/>
              <w:left w:w="108" w:type="dxa"/>
              <w:bottom w:w="0" w:type="dxa"/>
              <w:right w:w="108" w:type="dxa"/>
            </w:tcMar>
          </w:tcPr>
          <w:p w14:paraId="29569581" w14:textId="77777777" w:rsidR="00284822" w:rsidRDefault="00F77BF8">
            <w:pPr>
              <w:spacing w:line="240" w:lineRule="auto"/>
              <w:rPr>
                <w:rFonts w:ascii="Rockwell" w:hAnsi="Rockwell"/>
                <w:b/>
                <w:bCs/>
                <w:sz w:val="18"/>
                <w:szCs w:val="18"/>
              </w:rPr>
            </w:pPr>
            <w:r>
              <w:rPr>
                <w:rFonts w:ascii="Rockwell" w:hAnsi="Rockwell"/>
                <w:b/>
                <w:bCs/>
                <w:sz w:val="18"/>
                <w:szCs w:val="18"/>
              </w:rPr>
              <w:t>4</w:t>
            </w:r>
          </w:p>
        </w:tc>
        <w:tc>
          <w:tcPr>
            <w:tcW w:w="1522" w:type="dxa"/>
            <w:shd w:val="clear" w:color="auto" w:fill="FFFFFF" w:themeFill="background1"/>
            <w:tcMar>
              <w:top w:w="0" w:type="dxa"/>
              <w:left w:w="108" w:type="dxa"/>
              <w:bottom w:w="0" w:type="dxa"/>
              <w:right w:w="108" w:type="dxa"/>
            </w:tcMar>
          </w:tcPr>
          <w:p w14:paraId="79B24FB3" w14:textId="77777777" w:rsidR="00284822" w:rsidRDefault="00F77BF8">
            <w:pPr>
              <w:spacing w:line="240" w:lineRule="auto"/>
              <w:rPr>
                <w:rFonts w:ascii="Rockwell" w:hAnsi="Rockwell"/>
                <w:b/>
                <w:bCs/>
                <w:sz w:val="18"/>
                <w:szCs w:val="18"/>
              </w:rPr>
            </w:pPr>
            <w:r>
              <w:rPr>
                <w:rFonts w:ascii="Rockwell" w:hAnsi="Rockwell"/>
                <w:b/>
                <w:bCs/>
                <w:sz w:val="18"/>
                <w:szCs w:val="18"/>
              </w:rPr>
              <w:t>0,53%</w:t>
            </w:r>
          </w:p>
        </w:tc>
      </w:tr>
      <w:tr w:rsidR="00284822" w14:paraId="6E60D14C" w14:textId="77777777">
        <w:trPr>
          <w:gridAfter w:val="1"/>
          <w:wAfter w:w="13" w:type="dxa"/>
          <w:trHeight w:val="164"/>
          <w:jc w:val="center"/>
        </w:trPr>
        <w:tc>
          <w:tcPr>
            <w:tcW w:w="963" w:type="dxa"/>
            <w:shd w:val="clear" w:color="auto" w:fill="FFFFFF" w:themeFill="background1"/>
            <w:noWrap/>
            <w:tcMar>
              <w:top w:w="0" w:type="dxa"/>
              <w:left w:w="108" w:type="dxa"/>
              <w:bottom w:w="0" w:type="dxa"/>
              <w:right w:w="108" w:type="dxa"/>
            </w:tcMar>
          </w:tcPr>
          <w:p w14:paraId="02F9055B"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23</w:t>
            </w:r>
          </w:p>
        </w:tc>
        <w:tc>
          <w:tcPr>
            <w:tcW w:w="2495" w:type="dxa"/>
            <w:shd w:val="clear" w:color="auto" w:fill="FFFFFF" w:themeFill="background1"/>
            <w:tcMar>
              <w:top w:w="0" w:type="dxa"/>
              <w:left w:w="108" w:type="dxa"/>
              <w:bottom w:w="0" w:type="dxa"/>
              <w:right w:w="108" w:type="dxa"/>
            </w:tcMar>
            <w:vAlign w:val="center"/>
          </w:tcPr>
          <w:p w14:paraId="264F29DC"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NAFA</w:t>
            </w:r>
          </w:p>
        </w:tc>
        <w:tc>
          <w:tcPr>
            <w:tcW w:w="966" w:type="dxa"/>
            <w:shd w:val="clear" w:color="auto" w:fill="FFFFFF" w:themeFill="background1"/>
            <w:tcMar>
              <w:top w:w="0" w:type="dxa"/>
              <w:left w:w="108" w:type="dxa"/>
              <w:bottom w:w="0" w:type="dxa"/>
              <w:right w:w="108" w:type="dxa"/>
            </w:tcMar>
          </w:tcPr>
          <w:p w14:paraId="4605A06F"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 xml:space="preserve"> 2/3</w:t>
            </w:r>
          </w:p>
        </w:tc>
        <w:tc>
          <w:tcPr>
            <w:tcW w:w="1107" w:type="dxa"/>
            <w:shd w:val="clear" w:color="auto" w:fill="FFFFFF" w:themeFill="background1"/>
            <w:tcMar>
              <w:top w:w="0" w:type="dxa"/>
              <w:left w:w="108" w:type="dxa"/>
              <w:bottom w:w="0" w:type="dxa"/>
              <w:right w:w="108" w:type="dxa"/>
            </w:tcMar>
          </w:tcPr>
          <w:p w14:paraId="60E8A60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0,74%</w:t>
            </w:r>
          </w:p>
        </w:tc>
        <w:tc>
          <w:tcPr>
            <w:tcW w:w="835" w:type="dxa"/>
            <w:shd w:val="clear" w:color="auto" w:fill="FFFFFF" w:themeFill="background1"/>
            <w:tcMar>
              <w:top w:w="0" w:type="dxa"/>
              <w:left w:w="108" w:type="dxa"/>
              <w:bottom w:w="0" w:type="dxa"/>
              <w:right w:w="108" w:type="dxa"/>
            </w:tcMar>
          </w:tcPr>
          <w:p w14:paraId="583737DC"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w:t>
            </w:r>
          </w:p>
        </w:tc>
        <w:tc>
          <w:tcPr>
            <w:tcW w:w="970" w:type="dxa"/>
            <w:shd w:val="clear" w:color="auto" w:fill="FFFFFF" w:themeFill="background1"/>
            <w:tcMar>
              <w:top w:w="0" w:type="dxa"/>
              <w:left w:w="108" w:type="dxa"/>
              <w:bottom w:w="0" w:type="dxa"/>
              <w:right w:w="108" w:type="dxa"/>
            </w:tcMar>
          </w:tcPr>
          <w:p w14:paraId="5966C56B"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1,23%</w:t>
            </w:r>
          </w:p>
        </w:tc>
        <w:tc>
          <w:tcPr>
            <w:tcW w:w="830" w:type="dxa"/>
            <w:shd w:val="clear" w:color="auto" w:fill="FFFFFF" w:themeFill="background1"/>
            <w:tcMar>
              <w:top w:w="0" w:type="dxa"/>
              <w:left w:w="108" w:type="dxa"/>
              <w:bottom w:w="0" w:type="dxa"/>
              <w:right w:w="108" w:type="dxa"/>
            </w:tcMar>
          </w:tcPr>
          <w:p w14:paraId="56B0732F"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 2/3</w:t>
            </w:r>
          </w:p>
        </w:tc>
        <w:tc>
          <w:tcPr>
            <w:tcW w:w="967" w:type="dxa"/>
            <w:shd w:val="clear" w:color="auto" w:fill="FFFFFF" w:themeFill="background1"/>
            <w:tcMar>
              <w:top w:w="0" w:type="dxa"/>
              <w:left w:w="108" w:type="dxa"/>
              <w:bottom w:w="0" w:type="dxa"/>
              <w:right w:w="108" w:type="dxa"/>
            </w:tcMar>
          </w:tcPr>
          <w:p w14:paraId="4A3FBFB2"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1,17%</w:t>
            </w:r>
          </w:p>
        </w:tc>
        <w:tc>
          <w:tcPr>
            <w:tcW w:w="691" w:type="dxa"/>
            <w:shd w:val="clear" w:color="auto" w:fill="FFFFFF" w:themeFill="background1"/>
            <w:tcMar>
              <w:top w:w="0" w:type="dxa"/>
              <w:left w:w="108" w:type="dxa"/>
              <w:bottom w:w="0" w:type="dxa"/>
              <w:right w:w="108" w:type="dxa"/>
            </w:tcMar>
          </w:tcPr>
          <w:p w14:paraId="0AA9DF8B"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4</w:t>
            </w:r>
          </w:p>
        </w:tc>
        <w:tc>
          <w:tcPr>
            <w:tcW w:w="971" w:type="dxa"/>
            <w:shd w:val="clear" w:color="auto" w:fill="FFFFFF" w:themeFill="background1"/>
            <w:tcMar>
              <w:top w:w="0" w:type="dxa"/>
              <w:left w:w="108" w:type="dxa"/>
              <w:bottom w:w="0" w:type="dxa"/>
              <w:right w:w="108" w:type="dxa"/>
            </w:tcMar>
          </w:tcPr>
          <w:p w14:paraId="31F17CB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1,69%</w:t>
            </w:r>
          </w:p>
        </w:tc>
        <w:tc>
          <w:tcPr>
            <w:tcW w:w="967" w:type="dxa"/>
            <w:shd w:val="clear" w:color="auto" w:fill="FFFFFF" w:themeFill="background1"/>
            <w:tcMar>
              <w:top w:w="0" w:type="dxa"/>
              <w:left w:w="108" w:type="dxa"/>
              <w:bottom w:w="0" w:type="dxa"/>
              <w:right w:w="108" w:type="dxa"/>
            </w:tcMar>
          </w:tcPr>
          <w:p w14:paraId="184B1CB4" w14:textId="77777777" w:rsidR="00284822" w:rsidRDefault="00F77BF8">
            <w:pPr>
              <w:spacing w:line="240" w:lineRule="auto"/>
              <w:rPr>
                <w:rFonts w:ascii="Rockwell" w:hAnsi="Rockwell"/>
                <w:b/>
                <w:bCs/>
                <w:sz w:val="18"/>
                <w:szCs w:val="18"/>
              </w:rPr>
            </w:pPr>
            <w:r>
              <w:rPr>
                <w:rFonts w:ascii="Rockwell" w:hAnsi="Rockwell"/>
                <w:b/>
                <w:bCs/>
                <w:sz w:val="18"/>
                <w:szCs w:val="18"/>
              </w:rPr>
              <w:t>2 1/2</w:t>
            </w:r>
          </w:p>
        </w:tc>
        <w:tc>
          <w:tcPr>
            <w:tcW w:w="1107" w:type="dxa"/>
            <w:shd w:val="clear" w:color="auto" w:fill="FFFFFF" w:themeFill="background1"/>
            <w:tcMar>
              <w:top w:w="0" w:type="dxa"/>
              <w:left w:w="108" w:type="dxa"/>
              <w:bottom w:w="0" w:type="dxa"/>
              <w:right w:w="108" w:type="dxa"/>
            </w:tcMar>
          </w:tcPr>
          <w:p w14:paraId="1498E828" w14:textId="77777777" w:rsidR="00284822" w:rsidRDefault="00F77BF8">
            <w:pPr>
              <w:spacing w:line="240" w:lineRule="auto"/>
              <w:rPr>
                <w:rFonts w:ascii="Rockwell" w:hAnsi="Rockwell"/>
                <w:b/>
                <w:bCs/>
                <w:sz w:val="18"/>
                <w:szCs w:val="18"/>
              </w:rPr>
            </w:pPr>
            <w:r>
              <w:rPr>
                <w:rFonts w:ascii="Rockwell" w:hAnsi="Rockwell"/>
                <w:b/>
                <w:bCs/>
                <w:sz w:val="18"/>
                <w:szCs w:val="18"/>
              </w:rPr>
              <w:t>0,58%</w:t>
            </w:r>
          </w:p>
        </w:tc>
        <w:tc>
          <w:tcPr>
            <w:tcW w:w="968" w:type="dxa"/>
            <w:shd w:val="clear" w:color="auto" w:fill="FFFFFF" w:themeFill="background1"/>
            <w:tcMar>
              <w:top w:w="0" w:type="dxa"/>
              <w:left w:w="108" w:type="dxa"/>
              <w:bottom w:w="0" w:type="dxa"/>
              <w:right w:w="108" w:type="dxa"/>
            </w:tcMar>
          </w:tcPr>
          <w:p w14:paraId="490EF3F0" w14:textId="77777777" w:rsidR="00284822" w:rsidRDefault="00F77BF8">
            <w:pPr>
              <w:spacing w:line="240" w:lineRule="auto"/>
              <w:rPr>
                <w:rFonts w:ascii="Rockwell" w:hAnsi="Rockwell"/>
                <w:b/>
                <w:bCs/>
                <w:sz w:val="18"/>
                <w:szCs w:val="18"/>
              </w:rPr>
            </w:pPr>
            <w:r>
              <w:rPr>
                <w:rFonts w:ascii="Rockwell" w:hAnsi="Rockwell"/>
                <w:b/>
                <w:bCs/>
                <w:sz w:val="18"/>
                <w:szCs w:val="18"/>
              </w:rPr>
              <w:t>7</w:t>
            </w:r>
          </w:p>
        </w:tc>
        <w:tc>
          <w:tcPr>
            <w:tcW w:w="1522" w:type="dxa"/>
            <w:shd w:val="clear" w:color="auto" w:fill="FFFFFF" w:themeFill="background1"/>
            <w:tcMar>
              <w:top w:w="0" w:type="dxa"/>
              <w:left w:w="108" w:type="dxa"/>
              <w:bottom w:w="0" w:type="dxa"/>
              <w:right w:w="108" w:type="dxa"/>
            </w:tcMar>
          </w:tcPr>
          <w:p w14:paraId="5DB11ADF" w14:textId="77777777" w:rsidR="00284822" w:rsidRDefault="00F77BF8">
            <w:pPr>
              <w:spacing w:line="240" w:lineRule="auto"/>
              <w:rPr>
                <w:rFonts w:ascii="Rockwell" w:hAnsi="Rockwell"/>
                <w:b/>
                <w:bCs/>
                <w:sz w:val="18"/>
                <w:szCs w:val="18"/>
              </w:rPr>
            </w:pPr>
            <w:r>
              <w:rPr>
                <w:rFonts w:ascii="Rockwell" w:hAnsi="Rockwell"/>
                <w:b/>
                <w:bCs/>
                <w:sz w:val="18"/>
                <w:szCs w:val="18"/>
              </w:rPr>
              <w:t>0,93%</w:t>
            </w:r>
          </w:p>
        </w:tc>
      </w:tr>
      <w:tr w:rsidR="00284822" w14:paraId="7286292E" w14:textId="77777777">
        <w:trPr>
          <w:gridAfter w:val="1"/>
          <w:wAfter w:w="13" w:type="dxa"/>
          <w:trHeight w:val="164"/>
          <w:jc w:val="center"/>
        </w:trPr>
        <w:tc>
          <w:tcPr>
            <w:tcW w:w="963" w:type="dxa"/>
            <w:shd w:val="clear" w:color="auto" w:fill="FFFFFF" w:themeFill="background1"/>
            <w:noWrap/>
            <w:tcMar>
              <w:top w:w="0" w:type="dxa"/>
              <w:left w:w="108" w:type="dxa"/>
              <w:bottom w:w="0" w:type="dxa"/>
              <w:right w:w="108" w:type="dxa"/>
            </w:tcMar>
          </w:tcPr>
          <w:p w14:paraId="134A4D38"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24</w:t>
            </w:r>
          </w:p>
        </w:tc>
        <w:tc>
          <w:tcPr>
            <w:tcW w:w="2495" w:type="dxa"/>
            <w:shd w:val="clear" w:color="auto" w:fill="FFFFFF" w:themeFill="background1"/>
            <w:tcMar>
              <w:top w:w="0" w:type="dxa"/>
              <w:left w:w="108" w:type="dxa"/>
              <w:bottom w:w="0" w:type="dxa"/>
              <w:right w:w="108" w:type="dxa"/>
            </w:tcMar>
            <w:vAlign w:val="center"/>
          </w:tcPr>
          <w:p w14:paraId="24811385"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NEDA</w:t>
            </w:r>
          </w:p>
        </w:tc>
        <w:tc>
          <w:tcPr>
            <w:tcW w:w="966" w:type="dxa"/>
            <w:shd w:val="clear" w:color="auto" w:fill="FFFFFF" w:themeFill="background1"/>
            <w:tcMar>
              <w:top w:w="0" w:type="dxa"/>
              <w:left w:w="108" w:type="dxa"/>
              <w:bottom w:w="0" w:type="dxa"/>
              <w:right w:w="108" w:type="dxa"/>
            </w:tcMar>
          </w:tcPr>
          <w:p w14:paraId="06D6954F"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 xml:space="preserve">0    </w:t>
            </w:r>
          </w:p>
        </w:tc>
        <w:tc>
          <w:tcPr>
            <w:tcW w:w="1107" w:type="dxa"/>
            <w:shd w:val="clear" w:color="auto" w:fill="FFFFFF" w:themeFill="background1"/>
            <w:tcMar>
              <w:top w:w="0" w:type="dxa"/>
              <w:left w:w="108" w:type="dxa"/>
              <w:bottom w:w="0" w:type="dxa"/>
              <w:right w:w="108" w:type="dxa"/>
            </w:tcMar>
          </w:tcPr>
          <w:p w14:paraId="712AAFD1"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835" w:type="dxa"/>
            <w:shd w:val="clear" w:color="auto" w:fill="FFFFFF" w:themeFill="background1"/>
            <w:tcMar>
              <w:top w:w="0" w:type="dxa"/>
              <w:left w:w="108" w:type="dxa"/>
              <w:bottom w:w="0" w:type="dxa"/>
              <w:right w:w="108" w:type="dxa"/>
            </w:tcMar>
          </w:tcPr>
          <w:p w14:paraId="0DA7E701"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970" w:type="dxa"/>
            <w:shd w:val="clear" w:color="auto" w:fill="FFFFFF" w:themeFill="background1"/>
            <w:tcMar>
              <w:top w:w="0" w:type="dxa"/>
              <w:left w:w="108" w:type="dxa"/>
              <w:bottom w:w="0" w:type="dxa"/>
              <w:right w:w="108" w:type="dxa"/>
            </w:tcMar>
          </w:tcPr>
          <w:p w14:paraId="7D55D16C"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830" w:type="dxa"/>
            <w:shd w:val="clear" w:color="auto" w:fill="FFFFFF" w:themeFill="background1"/>
            <w:tcMar>
              <w:top w:w="0" w:type="dxa"/>
              <w:left w:w="108" w:type="dxa"/>
              <w:bottom w:w="0" w:type="dxa"/>
              <w:right w:w="108" w:type="dxa"/>
            </w:tcMar>
          </w:tcPr>
          <w:p w14:paraId="6050280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 xml:space="preserve">0    </w:t>
            </w:r>
          </w:p>
        </w:tc>
        <w:tc>
          <w:tcPr>
            <w:tcW w:w="967" w:type="dxa"/>
            <w:shd w:val="clear" w:color="auto" w:fill="FFFFFF" w:themeFill="background1"/>
            <w:tcMar>
              <w:top w:w="0" w:type="dxa"/>
              <w:left w:w="108" w:type="dxa"/>
              <w:bottom w:w="0" w:type="dxa"/>
              <w:right w:w="108" w:type="dxa"/>
            </w:tcMar>
          </w:tcPr>
          <w:p w14:paraId="7E1D5276"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691" w:type="dxa"/>
            <w:shd w:val="clear" w:color="auto" w:fill="FFFFFF" w:themeFill="background1"/>
            <w:tcMar>
              <w:top w:w="0" w:type="dxa"/>
              <w:left w:w="108" w:type="dxa"/>
              <w:bottom w:w="0" w:type="dxa"/>
              <w:right w:w="108" w:type="dxa"/>
            </w:tcMar>
          </w:tcPr>
          <w:p w14:paraId="45F16D9B"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971" w:type="dxa"/>
            <w:shd w:val="clear" w:color="auto" w:fill="FFFFFF" w:themeFill="background1"/>
            <w:tcMar>
              <w:top w:w="0" w:type="dxa"/>
              <w:left w:w="108" w:type="dxa"/>
              <w:bottom w:w="0" w:type="dxa"/>
              <w:right w:w="108" w:type="dxa"/>
            </w:tcMar>
          </w:tcPr>
          <w:p w14:paraId="5A06AD25"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67" w:type="dxa"/>
            <w:shd w:val="clear" w:color="auto" w:fill="FFFFFF" w:themeFill="background1"/>
            <w:tcMar>
              <w:top w:w="0" w:type="dxa"/>
              <w:left w:w="108" w:type="dxa"/>
              <w:bottom w:w="0" w:type="dxa"/>
              <w:right w:w="108" w:type="dxa"/>
            </w:tcMar>
          </w:tcPr>
          <w:p w14:paraId="4D2D5C7A" w14:textId="77777777" w:rsidR="00284822" w:rsidRDefault="00F77BF8">
            <w:pPr>
              <w:spacing w:line="240" w:lineRule="auto"/>
              <w:rPr>
                <w:rFonts w:ascii="Rockwell" w:hAnsi="Rockwell"/>
                <w:b/>
                <w:bCs/>
                <w:sz w:val="18"/>
                <w:szCs w:val="18"/>
              </w:rPr>
            </w:pPr>
            <w:r>
              <w:rPr>
                <w:rFonts w:ascii="Rockwell" w:hAnsi="Rockwell"/>
                <w:b/>
                <w:bCs/>
                <w:sz w:val="18"/>
                <w:szCs w:val="18"/>
              </w:rPr>
              <w:t xml:space="preserve"> 1/2</w:t>
            </w:r>
          </w:p>
        </w:tc>
        <w:tc>
          <w:tcPr>
            <w:tcW w:w="1107" w:type="dxa"/>
            <w:shd w:val="clear" w:color="auto" w:fill="FFFFFF" w:themeFill="background1"/>
            <w:tcMar>
              <w:top w:w="0" w:type="dxa"/>
              <w:left w:w="108" w:type="dxa"/>
              <w:bottom w:w="0" w:type="dxa"/>
              <w:right w:w="108" w:type="dxa"/>
            </w:tcMar>
          </w:tcPr>
          <w:p w14:paraId="60418DB5" w14:textId="77777777" w:rsidR="00284822" w:rsidRDefault="00F77BF8">
            <w:pPr>
              <w:spacing w:line="240" w:lineRule="auto"/>
              <w:rPr>
                <w:rFonts w:ascii="Rockwell" w:hAnsi="Rockwell"/>
                <w:b/>
                <w:bCs/>
                <w:sz w:val="18"/>
                <w:szCs w:val="18"/>
              </w:rPr>
            </w:pPr>
            <w:r>
              <w:rPr>
                <w:rFonts w:ascii="Rockwell" w:hAnsi="Rockwell"/>
                <w:b/>
                <w:bCs/>
                <w:sz w:val="18"/>
                <w:szCs w:val="18"/>
              </w:rPr>
              <w:t>0,12%</w:t>
            </w:r>
          </w:p>
        </w:tc>
        <w:tc>
          <w:tcPr>
            <w:tcW w:w="968" w:type="dxa"/>
            <w:shd w:val="clear" w:color="auto" w:fill="FFFFFF" w:themeFill="background1"/>
            <w:tcMar>
              <w:top w:w="0" w:type="dxa"/>
              <w:left w:w="108" w:type="dxa"/>
              <w:bottom w:w="0" w:type="dxa"/>
              <w:right w:w="108" w:type="dxa"/>
            </w:tcMar>
          </w:tcPr>
          <w:p w14:paraId="4DE64D58" w14:textId="77777777" w:rsidR="00284822" w:rsidRDefault="00F77BF8">
            <w:pPr>
              <w:spacing w:line="240" w:lineRule="auto"/>
              <w:rPr>
                <w:rFonts w:ascii="Rockwell" w:hAnsi="Rockwell"/>
                <w:b/>
                <w:bCs/>
                <w:sz w:val="18"/>
                <w:szCs w:val="18"/>
              </w:rPr>
            </w:pPr>
            <w:r>
              <w:rPr>
                <w:rFonts w:ascii="Rockwell" w:hAnsi="Rockwell"/>
                <w:b/>
                <w:bCs/>
                <w:sz w:val="18"/>
                <w:szCs w:val="18"/>
              </w:rPr>
              <w:t>1</w:t>
            </w:r>
          </w:p>
        </w:tc>
        <w:tc>
          <w:tcPr>
            <w:tcW w:w="1522" w:type="dxa"/>
            <w:shd w:val="clear" w:color="auto" w:fill="FFFFFF" w:themeFill="background1"/>
            <w:tcMar>
              <w:top w:w="0" w:type="dxa"/>
              <w:left w:w="108" w:type="dxa"/>
              <w:bottom w:w="0" w:type="dxa"/>
              <w:right w:w="108" w:type="dxa"/>
            </w:tcMar>
          </w:tcPr>
          <w:p w14:paraId="1731F4B9" w14:textId="77777777" w:rsidR="00284822" w:rsidRDefault="00F77BF8">
            <w:pPr>
              <w:spacing w:line="240" w:lineRule="auto"/>
              <w:rPr>
                <w:rFonts w:ascii="Rockwell" w:hAnsi="Rockwell"/>
                <w:b/>
                <w:bCs/>
                <w:sz w:val="18"/>
                <w:szCs w:val="18"/>
              </w:rPr>
            </w:pPr>
            <w:r>
              <w:rPr>
                <w:rFonts w:ascii="Rockwell" w:hAnsi="Rockwell"/>
                <w:b/>
                <w:bCs/>
                <w:sz w:val="18"/>
                <w:szCs w:val="18"/>
              </w:rPr>
              <w:t>0,13%</w:t>
            </w:r>
          </w:p>
        </w:tc>
      </w:tr>
      <w:tr w:rsidR="00284822" w14:paraId="2204446C" w14:textId="77777777">
        <w:trPr>
          <w:gridAfter w:val="1"/>
          <w:wAfter w:w="13" w:type="dxa"/>
          <w:trHeight w:val="164"/>
          <w:jc w:val="center"/>
        </w:trPr>
        <w:tc>
          <w:tcPr>
            <w:tcW w:w="963" w:type="dxa"/>
            <w:shd w:val="clear" w:color="auto" w:fill="FFFFFF" w:themeFill="background1"/>
            <w:noWrap/>
            <w:tcMar>
              <w:top w:w="0" w:type="dxa"/>
              <w:left w:w="108" w:type="dxa"/>
              <w:bottom w:w="0" w:type="dxa"/>
              <w:right w:w="108" w:type="dxa"/>
            </w:tcMar>
          </w:tcPr>
          <w:p w14:paraId="1FE6D0F5"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25</w:t>
            </w:r>
          </w:p>
        </w:tc>
        <w:tc>
          <w:tcPr>
            <w:tcW w:w="2495" w:type="dxa"/>
            <w:shd w:val="clear" w:color="auto" w:fill="FFFFFF" w:themeFill="background1"/>
            <w:tcMar>
              <w:top w:w="0" w:type="dxa"/>
              <w:left w:w="108" w:type="dxa"/>
              <w:bottom w:w="0" w:type="dxa"/>
              <w:right w:w="108" w:type="dxa"/>
            </w:tcMar>
            <w:vAlign w:val="center"/>
          </w:tcPr>
          <w:p w14:paraId="74EB1B98"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NOVI</w:t>
            </w:r>
          </w:p>
        </w:tc>
        <w:tc>
          <w:tcPr>
            <w:tcW w:w="966" w:type="dxa"/>
            <w:shd w:val="clear" w:color="auto" w:fill="FFFFFF" w:themeFill="background1"/>
            <w:tcMar>
              <w:top w:w="0" w:type="dxa"/>
              <w:left w:w="108" w:type="dxa"/>
              <w:bottom w:w="0" w:type="dxa"/>
              <w:right w:w="108" w:type="dxa"/>
            </w:tcMar>
          </w:tcPr>
          <w:p w14:paraId="7A8E9931"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 xml:space="preserve">0    </w:t>
            </w:r>
          </w:p>
        </w:tc>
        <w:tc>
          <w:tcPr>
            <w:tcW w:w="1107" w:type="dxa"/>
            <w:shd w:val="clear" w:color="auto" w:fill="FFFFFF" w:themeFill="background1"/>
            <w:tcMar>
              <w:top w:w="0" w:type="dxa"/>
              <w:left w:w="108" w:type="dxa"/>
              <w:bottom w:w="0" w:type="dxa"/>
              <w:right w:w="108" w:type="dxa"/>
            </w:tcMar>
          </w:tcPr>
          <w:p w14:paraId="4B97DA1F"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835" w:type="dxa"/>
            <w:shd w:val="clear" w:color="auto" w:fill="FFFFFF" w:themeFill="background1"/>
            <w:tcMar>
              <w:top w:w="0" w:type="dxa"/>
              <w:left w:w="108" w:type="dxa"/>
              <w:bottom w:w="0" w:type="dxa"/>
              <w:right w:w="108" w:type="dxa"/>
            </w:tcMar>
          </w:tcPr>
          <w:p w14:paraId="1B97B1B4"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970" w:type="dxa"/>
            <w:shd w:val="clear" w:color="auto" w:fill="FFFFFF" w:themeFill="background1"/>
            <w:tcMar>
              <w:top w:w="0" w:type="dxa"/>
              <w:left w:w="108" w:type="dxa"/>
              <w:bottom w:w="0" w:type="dxa"/>
              <w:right w:w="108" w:type="dxa"/>
            </w:tcMar>
          </w:tcPr>
          <w:p w14:paraId="25890316"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830" w:type="dxa"/>
            <w:shd w:val="clear" w:color="auto" w:fill="FFFFFF" w:themeFill="background1"/>
            <w:tcMar>
              <w:top w:w="0" w:type="dxa"/>
              <w:left w:w="108" w:type="dxa"/>
              <w:bottom w:w="0" w:type="dxa"/>
              <w:right w:w="108" w:type="dxa"/>
            </w:tcMar>
          </w:tcPr>
          <w:p w14:paraId="14481B6B"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 1/2</w:t>
            </w:r>
          </w:p>
        </w:tc>
        <w:tc>
          <w:tcPr>
            <w:tcW w:w="967" w:type="dxa"/>
            <w:shd w:val="clear" w:color="auto" w:fill="FFFFFF" w:themeFill="background1"/>
            <w:tcMar>
              <w:top w:w="0" w:type="dxa"/>
              <w:left w:w="108" w:type="dxa"/>
              <w:bottom w:w="0" w:type="dxa"/>
              <w:right w:w="108" w:type="dxa"/>
            </w:tcMar>
          </w:tcPr>
          <w:p w14:paraId="2D5082BB"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1,06%</w:t>
            </w:r>
          </w:p>
        </w:tc>
        <w:tc>
          <w:tcPr>
            <w:tcW w:w="691" w:type="dxa"/>
            <w:shd w:val="clear" w:color="auto" w:fill="FFFFFF" w:themeFill="background1"/>
            <w:tcMar>
              <w:top w:w="0" w:type="dxa"/>
              <w:left w:w="108" w:type="dxa"/>
              <w:bottom w:w="0" w:type="dxa"/>
              <w:right w:w="108" w:type="dxa"/>
            </w:tcMar>
          </w:tcPr>
          <w:p w14:paraId="04B415E1"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4</w:t>
            </w:r>
          </w:p>
        </w:tc>
        <w:tc>
          <w:tcPr>
            <w:tcW w:w="971" w:type="dxa"/>
            <w:shd w:val="clear" w:color="auto" w:fill="FFFFFF" w:themeFill="background1"/>
            <w:tcMar>
              <w:top w:w="0" w:type="dxa"/>
              <w:left w:w="108" w:type="dxa"/>
              <w:bottom w:w="0" w:type="dxa"/>
              <w:right w:w="108" w:type="dxa"/>
            </w:tcMar>
          </w:tcPr>
          <w:p w14:paraId="0BB81954"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1,69%</w:t>
            </w:r>
          </w:p>
        </w:tc>
        <w:tc>
          <w:tcPr>
            <w:tcW w:w="967" w:type="dxa"/>
            <w:shd w:val="clear" w:color="auto" w:fill="FFFFFF" w:themeFill="background1"/>
            <w:tcMar>
              <w:top w:w="0" w:type="dxa"/>
              <w:left w:w="108" w:type="dxa"/>
              <w:bottom w:w="0" w:type="dxa"/>
              <w:right w:w="108" w:type="dxa"/>
            </w:tcMar>
          </w:tcPr>
          <w:p w14:paraId="30B07506" w14:textId="77777777" w:rsidR="00284822" w:rsidRDefault="00F77BF8">
            <w:pPr>
              <w:spacing w:line="240" w:lineRule="auto"/>
              <w:rPr>
                <w:rFonts w:ascii="Rockwell" w:hAnsi="Rockwell"/>
                <w:b/>
                <w:bCs/>
                <w:sz w:val="18"/>
                <w:szCs w:val="18"/>
              </w:rPr>
            </w:pPr>
            <w:r>
              <w:rPr>
                <w:rFonts w:ascii="Rockwell" w:hAnsi="Rockwell"/>
                <w:b/>
                <w:bCs/>
                <w:sz w:val="18"/>
                <w:szCs w:val="18"/>
              </w:rPr>
              <w:t xml:space="preserve">2    </w:t>
            </w:r>
          </w:p>
        </w:tc>
        <w:tc>
          <w:tcPr>
            <w:tcW w:w="1107" w:type="dxa"/>
            <w:shd w:val="clear" w:color="auto" w:fill="FFFFFF" w:themeFill="background1"/>
            <w:tcMar>
              <w:top w:w="0" w:type="dxa"/>
              <w:left w:w="108" w:type="dxa"/>
              <w:bottom w:w="0" w:type="dxa"/>
              <w:right w:w="108" w:type="dxa"/>
            </w:tcMar>
          </w:tcPr>
          <w:p w14:paraId="7C8621EC" w14:textId="77777777" w:rsidR="00284822" w:rsidRDefault="00F77BF8">
            <w:pPr>
              <w:spacing w:line="240" w:lineRule="auto"/>
              <w:rPr>
                <w:rFonts w:ascii="Rockwell" w:hAnsi="Rockwell"/>
                <w:b/>
                <w:bCs/>
                <w:sz w:val="18"/>
                <w:szCs w:val="18"/>
              </w:rPr>
            </w:pPr>
            <w:r>
              <w:rPr>
                <w:rFonts w:ascii="Rockwell" w:hAnsi="Rockwell"/>
                <w:b/>
                <w:bCs/>
                <w:sz w:val="18"/>
                <w:szCs w:val="18"/>
              </w:rPr>
              <w:t>0,46%</w:t>
            </w:r>
          </w:p>
        </w:tc>
        <w:tc>
          <w:tcPr>
            <w:tcW w:w="968" w:type="dxa"/>
            <w:shd w:val="clear" w:color="auto" w:fill="FFFFFF" w:themeFill="background1"/>
            <w:tcMar>
              <w:top w:w="0" w:type="dxa"/>
              <w:left w:w="108" w:type="dxa"/>
              <w:bottom w:w="0" w:type="dxa"/>
              <w:right w:w="108" w:type="dxa"/>
            </w:tcMar>
          </w:tcPr>
          <w:p w14:paraId="40D04429" w14:textId="77777777" w:rsidR="00284822" w:rsidRDefault="00F77BF8">
            <w:pPr>
              <w:spacing w:line="240" w:lineRule="auto"/>
              <w:rPr>
                <w:rFonts w:ascii="Rockwell" w:hAnsi="Rockwell"/>
                <w:b/>
                <w:bCs/>
                <w:sz w:val="18"/>
                <w:szCs w:val="18"/>
              </w:rPr>
            </w:pPr>
            <w:r>
              <w:rPr>
                <w:rFonts w:ascii="Rockwell" w:hAnsi="Rockwell"/>
                <w:b/>
                <w:bCs/>
                <w:sz w:val="18"/>
                <w:szCs w:val="18"/>
              </w:rPr>
              <w:t>6</w:t>
            </w:r>
          </w:p>
        </w:tc>
        <w:tc>
          <w:tcPr>
            <w:tcW w:w="1522" w:type="dxa"/>
            <w:shd w:val="clear" w:color="auto" w:fill="FFFFFF" w:themeFill="background1"/>
            <w:tcMar>
              <w:top w:w="0" w:type="dxa"/>
              <w:left w:w="108" w:type="dxa"/>
              <w:bottom w:w="0" w:type="dxa"/>
              <w:right w:w="108" w:type="dxa"/>
            </w:tcMar>
          </w:tcPr>
          <w:p w14:paraId="10D3A241" w14:textId="77777777" w:rsidR="00284822" w:rsidRDefault="00F77BF8">
            <w:pPr>
              <w:spacing w:line="240" w:lineRule="auto"/>
              <w:rPr>
                <w:rFonts w:ascii="Rockwell" w:hAnsi="Rockwell"/>
                <w:b/>
                <w:bCs/>
                <w:sz w:val="18"/>
                <w:szCs w:val="18"/>
              </w:rPr>
            </w:pPr>
            <w:r>
              <w:rPr>
                <w:rFonts w:ascii="Rockwell" w:hAnsi="Rockwell"/>
                <w:b/>
                <w:bCs/>
                <w:sz w:val="18"/>
                <w:szCs w:val="18"/>
              </w:rPr>
              <w:t>0,80%</w:t>
            </w:r>
          </w:p>
        </w:tc>
      </w:tr>
    </w:tbl>
    <w:p w14:paraId="18C1AE8A" w14:textId="77777777" w:rsidR="00284822" w:rsidRDefault="00284822">
      <w:pPr>
        <w:tabs>
          <w:tab w:val="left" w:pos="3788"/>
        </w:tabs>
        <w:spacing w:before="120" w:after="120"/>
        <w:ind w:left="360"/>
        <w:rPr>
          <w:rFonts w:ascii="Rockwell" w:hAnsi="Rockwell"/>
          <w:szCs w:val="26"/>
        </w:rPr>
      </w:pPr>
    </w:p>
    <w:p w14:paraId="6733937F" w14:textId="77777777" w:rsidR="00284822" w:rsidRDefault="00284822">
      <w:pPr>
        <w:tabs>
          <w:tab w:val="left" w:pos="3788"/>
        </w:tabs>
        <w:spacing w:before="120" w:after="120"/>
        <w:ind w:left="360"/>
        <w:rPr>
          <w:rFonts w:ascii="Rockwell" w:hAnsi="Rockwell"/>
          <w:szCs w:val="26"/>
        </w:rPr>
        <w:sectPr w:rsidR="00284822">
          <w:pgSz w:w="16838" w:h="11906" w:orient="landscape"/>
          <w:pgMar w:top="1418" w:right="1418" w:bottom="1418" w:left="1418" w:header="720" w:footer="720" w:gutter="0"/>
          <w:cols w:space="720"/>
        </w:sectPr>
      </w:pPr>
    </w:p>
    <w:tbl>
      <w:tblPr>
        <w:tblW w:w="1533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10" w:type="dxa"/>
          <w:right w:w="10" w:type="dxa"/>
        </w:tblCellMar>
        <w:tblLook w:val="04A0" w:firstRow="1" w:lastRow="0" w:firstColumn="1" w:lastColumn="0" w:noHBand="0" w:noVBand="1"/>
      </w:tblPr>
      <w:tblGrid>
        <w:gridCol w:w="993"/>
        <w:gridCol w:w="1562"/>
        <w:gridCol w:w="850"/>
        <w:gridCol w:w="1277"/>
        <w:gridCol w:w="710"/>
        <w:gridCol w:w="1279"/>
        <w:gridCol w:w="994"/>
        <w:gridCol w:w="1419"/>
        <w:gridCol w:w="852"/>
        <w:gridCol w:w="1279"/>
        <w:gridCol w:w="994"/>
        <w:gridCol w:w="1136"/>
        <w:gridCol w:w="851"/>
        <w:gridCol w:w="1136"/>
        <w:gridCol w:w="6"/>
      </w:tblGrid>
      <w:tr w:rsidR="00284822" w14:paraId="5DCC81E2" w14:textId="77777777">
        <w:trPr>
          <w:trHeight w:val="410"/>
        </w:trPr>
        <w:tc>
          <w:tcPr>
            <w:tcW w:w="994" w:type="dxa"/>
            <w:vMerge w:val="restart"/>
            <w:shd w:val="clear" w:color="auto" w:fill="9CC2E5" w:themeFill="accent1" w:themeFillTint="99"/>
            <w:noWrap/>
            <w:tcMar>
              <w:top w:w="0" w:type="dxa"/>
              <w:left w:w="108" w:type="dxa"/>
              <w:bottom w:w="0" w:type="dxa"/>
              <w:right w:w="108" w:type="dxa"/>
            </w:tcMar>
          </w:tcPr>
          <w:p w14:paraId="2D59C901" w14:textId="77777777" w:rsidR="00284822" w:rsidRDefault="00F77BF8">
            <w:pPr>
              <w:spacing w:line="240" w:lineRule="auto"/>
              <w:jc w:val="center"/>
              <w:rPr>
                <w:rFonts w:ascii="Rockwell" w:hAnsi="Rockwell"/>
                <w:sz w:val="18"/>
                <w:szCs w:val="18"/>
              </w:rPr>
            </w:pPr>
            <w:r>
              <w:rPr>
                <w:rFonts w:ascii="Rockwell" w:hAnsi="Rockwell"/>
                <w:b/>
                <w:bCs/>
                <w:sz w:val="18"/>
                <w:szCs w:val="18"/>
              </w:rPr>
              <w:lastRenderedPageBreak/>
              <w:t>RANG</w:t>
            </w:r>
          </w:p>
        </w:tc>
        <w:tc>
          <w:tcPr>
            <w:tcW w:w="1563" w:type="dxa"/>
            <w:vMerge w:val="restart"/>
            <w:shd w:val="clear" w:color="auto" w:fill="9CC2E5" w:themeFill="accent1" w:themeFillTint="99"/>
            <w:tcMar>
              <w:top w:w="0" w:type="dxa"/>
              <w:left w:w="108" w:type="dxa"/>
              <w:bottom w:w="0" w:type="dxa"/>
              <w:right w:w="108" w:type="dxa"/>
            </w:tcMar>
          </w:tcPr>
          <w:p w14:paraId="6880FDA2" w14:textId="77777777" w:rsidR="00284822" w:rsidRDefault="00F77BF8">
            <w:pPr>
              <w:spacing w:line="240" w:lineRule="auto"/>
              <w:jc w:val="center"/>
              <w:rPr>
                <w:rFonts w:ascii="Rockwell" w:hAnsi="Rockwell"/>
                <w:b/>
                <w:bCs/>
                <w:color w:val="000000"/>
                <w:sz w:val="18"/>
                <w:szCs w:val="18"/>
              </w:rPr>
            </w:pPr>
            <w:r>
              <w:rPr>
                <w:rFonts w:ascii="Rockwell" w:hAnsi="Rockwell"/>
                <w:b/>
                <w:bCs/>
                <w:color w:val="000000"/>
                <w:sz w:val="18"/>
                <w:szCs w:val="18"/>
              </w:rPr>
              <w:t>ACTEURS POLITIQUES</w:t>
            </w:r>
          </w:p>
        </w:tc>
        <w:tc>
          <w:tcPr>
            <w:tcW w:w="4118" w:type="dxa"/>
            <w:gridSpan w:val="4"/>
            <w:shd w:val="clear" w:color="auto" w:fill="9CC2E5" w:themeFill="accent1" w:themeFillTint="99"/>
            <w:tcMar>
              <w:top w:w="0" w:type="dxa"/>
              <w:left w:w="108" w:type="dxa"/>
              <w:bottom w:w="0" w:type="dxa"/>
              <w:right w:w="108" w:type="dxa"/>
            </w:tcMar>
          </w:tcPr>
          <w:p w14:paraId="378F1AA0" w14:textId="77777777" w:rsidR="00284822" w:rsidRDefault="00F77BF8">
            <w:pPr>
              <w:spacing w:line="240" w:lineRule="auto"/>
              <w:jc w:val="center"/>
              <w:rPr>
                <w:rFonts w:ascii="Rockwell" w:hAnsi="Rockwell"/>
                <w:b/>
                <w:sz w:val="18"/>
                <w:szCs w:val="18"/>
              </w:rPr>
            </w:pPr>
            <w:r>
              <w:rPr>
                <w:rFonts w:ascii="Rockwell" w:hAnsi="Rockwell"/>
                <w:b/>
                <w:sz w:val="18"/>
                <w:szCs w:val="18"/>
              </w:rPr>
              <w:t>LE QUOTIDIEN</w:t>
            </w:r>
          </w:p>
        </w:tc>
        <w:tc>
          <w:tcPr>
            <w:tcW w:w="4544" w:type="dxa"/>
            <w:gridSpan w:val="4"/>
            <w:shd w:val="clear" w:color="auto" w:fill="9CC2E5" w:themeFill="accent1" w:themeFillTint="99"/>
            <w:tcMar>
              <w:top w:w="0" w:type="dxa"/>
              <w:left w:w="108" w:type="dxa"/>
              <w:bottom w:w="0" w:type="dxa"/>
              <w:right w:w="108" w:type="dxa"/>
            </w:tcMar>
          </w:tcPr>
          <w:p w14:paraId="07FD3FC0" w14:textId="77777777" w:rsidR="00284822" w:rsidRDefault="00F77BF8">
            <w:pPr>
              <w:spacing w:line="240" w:lineRule="auto"/>
              <w:jc w:val="center"/>
              <w:rPr>
                <w:rFonts w:ascii="Rockwell" w:hAnsi="Rockwell"/>
                <w:b/>
                <w:sz w:val="18"/>
                <w:szCs w:val="18"/>
              </w:rPr>
            </w:pPr>
            <w:r>
              <w:rPr>
                <w:rFonts w:ascii="Rockwell" w:hAnsi="Rockwell"/>
                <w:b/>
                <w:sz w:val="18"/>
                <w:szCs w:val="18"/>
              </w:rPr>
              <w:t>LE PAYS</w:t>
            </w:r>
          </w:p>
        </w:tc>
        <w:tc>
          <w:tcPr>
            <w:tcW w:w="4119" w:type="dxa"/>
            <w:gridSpan w:val="5"/>
            <w:shd w:val="clear" w:color="auto" w:fill="9CC2E5" w:themeFill="accent1" w:themeFillTint="99"/>
            <w:tcMar>
              <w:top w:w="0" w:type="dxa"/>
              <w:left w:w="108" w:type="dxa"/>
              <w:bottom w:w="0" w:type="dxa"/>
              <w:right w:w="108" w:type="dxa"/>
            </w:tcMar>
          </w:tcPr>
          <w:p w14:paraId="19835124" w14:textId="77777777" w:rsidR="00284822" w:rsidRDefault="00F77BF8">
            <w:pPr>
              <w:spacing w:line="240" w:lineRule="auto"/>
              <w:jc w:val="center"/>
              <w:rPr>
                <w:rFonts w:ascii="Rockwell" w:hAnsi="Rockwell"/>
                <w:b/>
                <w:sz w:val="18"/>
                <w:szCs w:val="18"/>
              </w:rPr>
            </w:pPr>
            <w:r>
              <w:rPr>
                <w:rFonts w:ascii="Rockwell" w:hAnsi="Rockwell"/>
                <w:b/>
                <w:sz w:val="18"/>
                <w:szCs w:val="18"/>
              </w:rPr>
              <w:t>TOTAL</w:t>
            </w:r>
          </w:p>
        </w:tc>
      </w:tr>
      <w:tr w:rsidR="00284822" w14:paraId="24647EB7" w14:textId="77777777">
        <w:trPr>
          <w:gridAfter w:val="1"/>
          <w:wAfter w:w="6" w:type="dxa"/>
          <w:trHeight w:val="473"/>
        </w:trPr>
        <w:tc>
          <w:tcPr>
            <w:tcW w:w="994" w:type="dxa"/>
            <w:vMerge/>
            <w:shd w:val="clear" w:color="auto" w:fill="9CC2E5" w:themeFill="accent1" w:themeFillTint="99"/>
            <w:noWrap/>
            <w:tcMar>
              <w:top w:w="0" w:type="dxa"/>
              <w:left w:w="108" w:type="dxa"/>
              <w:bottom w:w="0" w:type="dxa"/>
              <w:right w:w="108" w:type="dxa"/>
            </w:tcMar>
          </w:tcPr>
          <w:p w14:paraId="099F9099" w14:textId="77777777" w:rsidR="00284822" w:rsidRDefault="00284822">
            <w:pPr>
              <w:spacing w:line="240" w:lineRule="auto"/>
              <w:rPr>
                <w:rFonts w:ascii="Rockwell" w:hAnsi="Rockwell"/>
                <w:b/>
                <w:bCs/>
                <w:sz w:val="18"/>
                <w:szCs w:val="18"/>
              </w:rPr>
            </w:pPr>
          </w:p>
        </w:tc>
        <w:tc>
          <w:tcPr>
            <w:tcW w:w="1563" w:type="dxa"/>
            <w:vMerge/>
            <w:shd w:val="clear" w:color="auto" w:fill="9CC2E5" w:themeFill="accent1" w:themeFillTint="99"/>
            <w:tcMar>
              <w:top w:w="0" w:type="dxa"/>
              <w:left w:w="108" w:type="dxa"/>
              <w:bottom w:w="0" w:type="dxa"/>
              <w:right w:w="108" w:type="dxa"/>
            </w:tcMar>
          </w:tcPr>
          <w:p w14:paraId="497AFAB9" w14:textId="77777777" w:rsidR="00284822" w:rsidRDefault="00284822">
            <w:pPr>
              <w:spacing w:line="240" w:lineRule="auto"/>
              <w:rPr>
                <w:rFonts w:ascii="Rockwell" w:hAnsi="Rockwell"/>
                <w:sz w:val="18"/>
                <w:szCs w:val="18"/>
              </w:rPr>
            </w:pPr>
          </w:p>
        </w:tc>
        <w:tc>
          <w:tcPr>
            <w:tcW w:w="851" w:type="dxa"/>
            <w:shd w:val="clear" w:color="auto" w:fill="9CC2E5" w:themeFill="accent1" w:themeFillTint="99"/>
            <w:tcMar>
              <w:top w:w="0" w:type="dxa"/>
              <w:left w:w="108" w:type="dxa"/>
              <w:bottom w:w="0" w:type="dxa"/>
              <w:right w:w="108" w:type="dxa"/>
            </w:tcMar>
            <w:vAlign w:val="center"/>
          </w:tcPr>
          <w:p w14:paraId="0DF16D71"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NP</w:t>
            </w:r>
          </w:p>
        </w:tc>
        <w:tc>
          <w:tcPr>
            <w:tcW w:w="1278" w:type="dxa"/>
            <w:shd w:val="clear" w:color="auto" w:fill="9CC2E5" w:themeFill="accent1" w:themeFillTint="99"/>
            <w:tcMar>
              <w:top w:w="0" w:type="dxa"/>
              <w:left w:w="108" w:type="dxa"/>
              <w:bottom w:w="0" w:type="dxa"/>
              <w:right w:w="108" w:type="dxa"/>
            </w:tcMar>
            <w:vAlign w:val="center"/>
          </w:tcPr>
          <w:p w14:paraId="0200408D"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 NP</w:t>
            </w:r>
          </w:p>
        </w:tc>
        <w:tc>
          <w:tcPr>
            <w:tcW w:w="710" w:type="dxa"/>
            <w:shd w:val="clear" w:color="auto" w:fill="9CC2E5" w:themeFill="accent1" w:themeFillTint="99"/>
            <w:tcMar>
              <w:top w:w="0" w:type="dxa"/>
              <w:left w:w="108" w:type="dxa"/>
              <w:bottom w:w="0" w:type="dxa"/>
              <w:right w:w="108" w:type="dxa"/>
            </w:tcMar>
            <w:vAlign w:val="center"/>
          </w:tcPr>
          <w:p w14:paraId="5EB9130C"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NI</w:t>
            </w:r>
          </w:p>
        </w:tc>
        <w:tc>
          <w:tcPr>
            <w:tcW w:w="1277" w:type="dxa"/>
            <w:shd w:val="clear" w:color="auto" w:fill="9CC2E5" w:themeFill="accent1" w:themeFillTint="99"/>
            <w:tcMar>
              <w:top w:w="0" w:type="dxa"/>
              <w:left w:w="108" w:type="dxa"/>
              <w:bottom w:w="0" w:type="dxa"/>
              <w:right w:w="108" w:type="dxa"/>
            </w:tcMar>
            <w:vAlign w:val="center"/>
          </w:tcPr>
          <w:p w14:paraId="7D1CAB8B"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 NI</w:t>
            </w:r>
          </w:p>
        </w:tc>
        <w:tc>
          <w:tcPr>
            <w:tcW w:w="994" w:type="dxa"/>
            <w:shd w:val="clear" w:color="auto" w:fill="9CC2E5" w:themeFill="accent1" w:themeFillTint="99"/>
            <w:tcMar>
              <w:top w:w="0" w:type="dxa"/>
              <w:left w:w="108" w:type="dxa"/>
              <w:bottom w:w="0" w:type="dxa"/>
              <w:right w:w="108" w:type="dxa"/>
            </w:tcMar>
            <w:vAlign w:val="center"/>
          </w:tcPr>
          <w:p w14:paraId="4FEDF1D3"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NP</w:t>
            </w:r>
          </w:p>
        </w:tc>
        <w:tc>
          <w:tcPr>
            <w:tcW w:w="1419" w:type="dxa"/>
            <w:shd w:val="clear" w:color="auto" w:fill="9CC2E5" w:themeFill="accent1" w:themeFillTint="99"/>
            <w:tcMar>
              <w:top w:w="0" w:type="dxa"/>
              <w:left w:w="108" w:type="dxa"/>
              <w:bottom w:w="0" w:type="dxa"/>
              <w:right w:w="108" w:type="dxa"/>
            </w:tcMar>
            <w:vAlign w:val="center"/>
          </w:tcPr>
          <w:p w14:paraId="76630F14"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 NP</w:t>
            </w:r>
          </w:p>
        </w:tc>
        <w:tc>
          <w:tcPr>
            <w:tcW w:w="852" w:type="dxa"/>
            <w:shd w:val="clear" w:color="auto" w:fill="9CC2E5" w:themeFill="accent1" w:themeFillTint="99"/>
            <w:tcMar>
              <w:top w:w="0" w:type="dxa"/>
              <w:left w:w="108" w:type="dxa"/>
              <w:bottom w:w="0" w:type="dxa"/>
              <w:right w:w="108" w:type="dxa"/>
            </w:tcMar>
            <w:vAlign w:val="center"/>
          </w:tcPr>
          <w:p w14:paraId="514673E4"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NI</w:t>
            </w:r>
          </w:p>
        </w:tc>
        <w:tc>
          <w:tcPr>
            <w:tcW w:w="1277" w:type="dxa"/>
            <w:shd w:val="clear" w:color="auto" w:fill="9CC2E5" w:themeFill="accent1" w:themeFillTint="99"/>
            <w:tcMar>
              <w:top w:w="0" w:type="dxa"/>
              <w:left w:w="108" w:type="dxa"/>
              <w:bottom w:w="0" w:type="dxa"/>
              <w:right w:w="108" w:type="dxa"/>
            </w:tcMar>
            <w:vAlign w:val="center"/>
          </w:tcPr>
          <w:p w14:paraId="16D8D4F6"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 NI</w:t>
            </w:r>
          </w:p>
        </w:tc>
        <w:tc>
          <w:tcPr>
            <w:tcW w:w="994" w:type="dxa"/>
            <w:shd w:val="clear" w:color="auto" w:fill="9CC2E5" w:themeFill="accent1" w:themeFillTint="99"/>
            <w:tcMar>
              <w:top w:w="0" w:type="dxa"/>
              <w:left w:w="108" w:type="dxa"/>
              <w:bottom w:w="0" w:type="dxa"/>
              <w:right w:w="108" w:type="dxa"/>
            </w:tcMar>
            <w:vAlign w:val="center"/>
          </w:tcPr>
          <w:p w14:paraId="176EA0C2"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NP</w:t>
            </w:r>
          </w:p>
        </w:tc>
        <w:tc>
          <w:tcPr>
            <w:tcW w:w="1136" w:type="dxa"/>
            <w:shd w:val="clear" w:color="auto" w:fill="9CC2E5" w:themeFill="accent1" w:themeFillTint="99"/>
            <w:tcMar>
              <w:top w:w="0" w:type="dxa"/>
              <w:left w:w="108" w:type="dxa"/>
              <w:bottom w:w="0" w:type="dxa"/>
              <w:right w:w="108" w:type="dxa"/>
            </w:tcMar>
            <w:vAlign w:val="center"/>
          </w:tcPr>
          <w:p w14:paraId="0A19FF95" w14:textId="77777777" w:rsidR="00284822" w:rsidRDefault="00F77BF8">
            <w:pPr>
              <w:spacing w:line="240" w:lineRule="auto"/>
              <w:rPr>
                <w:rFonts w:ascii="Rockwell" w:hAnsi="Rockwell"/>
                <w:b/>
                <w:bCs/>
                <w:color w:val="000000"/>
                <w:sz w:val="18"/>
                <w:szCs w:val="18"/>
              </w:rPr>
            </w:pPr>
            <w:r>
              <w:rPr>
                <w:rFonts w:ascii="Rockwell" w:hAnsi="Rockwell"/>
                <w:b/>
                <w:bCs/>
                <w:color w:val="000000"/>
                <w:sz w:val="18"/>
                <w:szCs w:val="18"/>
              </w:rPr>
              <w:t>% NP</w:t>
            </w:r>
          </w:p>
        </w:tc>
        <w:tc>
          <w:tcPr>
            <w:tcW w:w="851" w:type="dxa"/>
            <w:shd w:val="clear" w:color="auto" w:fill="9CC2E5" w:themeFill="accent1" w:themeFillTint="99"/>
            <w:tcMar>
              <w:top w:w="0" w:type="dxa"/>
              <w:left w:w="108" w:type="dxa"/>
              <w:bottom w:w="0" w:type="dxa"/>
              <w:right w:w="108" w:type="dxa"/>
            </w:tcMar>
            <w:vAlign w:val="center"/>
          </w:tcPr>
          <w:p w14:paraId="226EA716" w14:textId="77777777" w:rsidR="00284822" w:rsidRDefault="00F77BF8">
            <w:pPr>
              <w:spacing w:line="240" w:lineRule="auto"/>
              <w:rPr>
                <w:rFonts w:ascii="Rockwell" w:hAnsi="Rockwell"/>
                <w:b/>
                <w:bCs/>
                <w:color w:val="000000"/>
                <w:sz w:val="18"/>
                <w:szCs w:val="18"/>
              </w:rPr>
            </w:pPr>
            <w:r>
              <w:rPr>
                <w:rFonts w:ascii="Rockwell" w:hAnsi="Rockwell"/>
                <w:b/>
                <w:bCs/>
                <w:color w:val="000000"/>
                <w:sz w:val="18"/>
                <w:szCs w:val="18"/>
              </w:rPr>
              <w:t>NI</w:t>
            </w:r>
          </w:p>
        </w:tc>
        <w:tc>
          <w:tcPr>
            <w:tcW w:w="1136" w:type="dxa"/>
            <w:shd w:val="clear" w:color="auto" w:fill="9CC2E5" w:themeFill="accent1" w:themeFillTint="99"/>
            <w:tcMar>
              <w:top w:w="0" w:type="dxa"/>
              <w:left w:w="108" w:type="dxa"/>
              <w:bottom w:w="0" w:type="dxa"/>
              <w:right w:w="108" w:type="dxa"/>
            </w:tcMar>
            <w:vAlign w:val="center"/>
          </w:tcPr>
          <w:p w14:paraId="0A0CB410" w14:textId="77777777" w:rsidR="00284822" w:rsidRDefault="00F77BF8">
            <w:pPr>
              <w:spacing w:line="240" w:lineRule="auto"/>
              <w:rPr>
                <w:rFonts w:ascii="Rockwell" w:hAnsi="Rockwell"/>
                <w:b/>
                <w:bCs/>
                <w:color w:val="000000"/>
                <w:sz w:val="18"/>
                <w:szCs w:val="18"/>
              </w:rPr>
            </w:pPr>
            <w:r>
              <w:rPr>
                <w:rFonts w:ascii="Rockwell" w:hAnsi="Rockwell"/>
                <w:b/>
                <w:bCs/>
                <w:color w:val="000000"/>
                <w:sz w:val="18"/>
                <w:szCs w:val="18"/>
              </w:rPr>
              <w:t>% NI</w:t>
            </w:r>
          </w:p>
        </w:tc>
      </w:tr>
      <w:tr w:rsidR="00284822" w14:paraId="2B313B91" w14:textId="77777777">
        <w:trPr>
          <w:gridAfter w:val="1"/>
          <w:wAfter w:w="6" w:type="dxa"/>
          <w:trHeight w:val="70"/>
        </w:trPr>
        <w:tc>
          <w:tcPr>
            <w:tcW w:w="994" w:type="dxa"/>
            <w:shd w:val="clear" w:color="auto" w:fill="FFFFFF" w:themeFill="background1"/>
            <w:noWrap/>
            <w:tcMar>
              <w:top w:w="0" w:type="dxa"/>
              <w:left w:w="108" w:type="dxa"/>
              <w:bottom w:w="0" w:type="dxa"/>
              <w:right w:w="108" w:type="dxa"/>
            </w:tcMar>
            <w:vAlign w:val="center"/>
          </w:tcPr>
          <w:p w14:paraId="3E5DEF19"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26</w:t>
            </w:r>
          </w:p>
        </w:tc>
        <w:tc>
          <w:tcPr>
            <w:tcW w:w="1563" w:type="dxa"/>
            <w:shd w:val="clear" w:color="auto" w:fill="FFFFFF" w:themeFill="background1"/>
            <w:tcMar>
              <w:top w:w="0" w:type="dxa"/>
              <w:left w:w="108" w:type="dxa"/>
              <w:bottom w:w="0" w:type="dxa"/>
              <w:right w:w="108" w:type="dxa"/>
            </w:tcMar>
            <w:vAlign w:val="bottom"/>
          </w:tcPr>
          <w:p w14:paraId="34AA69E6"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NTD</w:t>
            </w:r>
          </w:p>
        </w:tc>
        <w:tc>
          <w:tcPr>
            <w:tcW w:w="851" w:type="dxa"/>
            <w:shd w:val="clear" w:color="auto" w:fill="FFFFFF" w:themeFill="background1"/>
            <w:tcMar>
              <w:top w:w="0" w:type="dxa"/>
              <w:left w:w="108" w:type="dxa"/>
              <w:bottom w:w="0" w:type="dxa"/>
              <w:right w:w="108" w:type="dxa"/>
            </w:tcMar>
            <w:vAlign w:val="center"/>
          </w:tcPr>
          <w:p w14:paraId="08AD71E7"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w:t>
            </w:r>
          </w:p>
        </w:tc>
        <w:tc>
          <w:tcPr>
            <w:tcW w:w="1278" w:type="dxa"/>
            <w:shd w:val="clear" w:color="auto" w:fill="FFFFFF" w:themeFill="background1"/>
            <w:tcMar>
              <w:top w:w="0" w:type="dxa"/>
              <w:left w:w="108" w:type="dxa"/>
              <w:bottom w:w="0" w:type="dxa"/>
              <w:right w:w="108" w:type="dxa"/>
            </w:tcMar>
            <w:vAlign w:val="center"/>
          </w:tcPr>
          <w:p w14:paraId="00F75A21"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1,10%</w:t>
            </w:r>
          </w:p>
        </w:tc>
        <w:tc>
          <w:tcPr>
            <w:tcW w:w="710" w:type="dxa"/>
            <w:shd w:val="clear" w:color="auto" w:fill="FFFFFF" w:themeFill="background1"/>
            <w:tcMar>
              <w:top w:w="0" w:type="dxa"/>
              <w:left w:w="108" w:type="dxa"/>
              <w:bottom w:w="0" w:type="dxa"/>
              <w:right w:w="108" w:type="dxa"/>
            </w:tcMar>
            <w:vAlign w:val="center"/>
          </w:tcPr>
          <w:p w14:paraId="2C4941B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3</w:t>
            </w:r>
          </w:p>
        </w:tc>
        <w:tc>
          <w:tcPr>
            <w:tcW w:w="1277" w:type="dxa"/>
            <w:shd w:val="clear" w:color="auto" w:fill="FFFFFF" w:themeFill="background1"/>
            <w:tcMar>
              <w:top w:w="0" w:type="dxa"/>
              <w:left w:w="108" w:type="dxa"/>
              <w:bottom w:w="0" w:type="dxa"/>
              <w:right w:w="108" w:type="dxa"/>
            </w:tcMar>
            <w:vAlign w:val="center"/>
          </w:tcPr>
          <w:p w14:paraId="116BA769"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1,85%</w:t>
            </w:r>
          </w:p>
        </w:tc>
        <w:tc>
          <w:tcPr>
            <w:tcW w:w="994" w:type="dxa"/>
            <w:shd w:val="clear" w:color="auto" w:fill="FFFFFF" w:themeFill="background1"/>
            <w:tcMar>
              <w:top w:w="0" w:type="dxa"/>
              <w:left w:w="108" w:type="dxa"/>
              <w:bottom w:w="0" w:type="dxa"/>
              <w:right w:w="108" w:type="dxa"/>
            </w:tcMar>
            <w:vAlign w:val="center"/>
          </w:tcPr>
          <w:p w14:paraId="6A022B84"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 5/6</w:t>
            </w:r>
          </w:p>
        </w:tc>
        <w:tc>
          <w:tcPr>
            <w:tcW w:w="1419" w:type="dxa"/>
            <w:shd w:val="clear" w:color="auto" w:fill="FFFFFF" w:themeFill="background1"/>
            <w:tcMar>
              <w:top w:w="0" w:type="dxa"/>
              <w:left w:w="108" w:type="dxa"/>
              <w:bottom w:w="0" w:type="dxa"/>
              <w:right w:w="108" w:type="dxa"/>
            </w:tcMar>
            <w:vAlign w:val="center"/>
          </w:tcPr>
          <w:p w14:paraId="704C4A45"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1,29%</w:t>
            </w:r>
          </w:p>
        </w:tc>
        <w:tc>
          <w:tcPr>
            <w:tcW w:w="852" w:type="dxa"/>
            <w:shd w:val="clear" w:color="auto" w:fill="FFFFFF" w:themeFill="background1"/>
            <w:tcMar>
              <w:top w:w="0" w:type="dxa"/>
              <w:left w:w="108" w:type="dxa"/>
              <w:bottom w:w="0" w:type="dxa"/>
              <w:right w:w="108" w:type="dxa"/>
            </w:tcMar>
            <w:vAlign w:val="center"/>
          </w:tcPr>
          <w:p w14:paraId="39CA1D05"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4</w:t>
            </w:r>
          </w:p>
        </w:tc>
        <w:tc>
          <w:tcPr>
            <w:tcW w:w="1277" w:type="dxa"/>
            <w:shd w:val="clear" w:color="auto" w:fill="FFFFFF" w:themeFill="background1"/>
            <w:tcMar>
              <w:top w:w="0" w:type="dxa"/>
              <w:left w:w="108" w:type="dxa"/>
              <w:bottom w:w="0" w:type="dxa"/>
              <w:right w:w="108" w:type="dxa"/>
            </w:tcMar>
            <w:vAlign w:val="center"/>
          </w:tcPr>
          <w:p w14:paraId="19C82EA6"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1,69%</w:t>
            </w:r>
          </w:p>
        </w:tc>
        <w:tc>
          <w:tcPr>
            <w:tcW w:w="994" w:type="dxa"/>
            <w:shd w:val="clear" w:color="auto" w:fill="FFFFFF" w:themeFill="background1"/>
            <w:tcMar>
              <w:top w:w="0" w:type="dxa"/>
              <w:left w:w="108" w:type="dxa"/>
              <w:bottom w:w="0" w:type="dxa"/>
              <w:right w:w="108" w:type="dxa"/>
            </w:tcMar>
            <w:vAlign w:val="center"/>
          </w:tcPr>
          <w:p w14:paraId="2FB24403" w14:textId="77777777" w:rsidR="00284822" w:rsidRDefault="00F77BF8">
            <w:pPr>
              <w:spacing w:line="240" w:lineRule="auto"/>
              <w:rPr>
                <w:rFonts w:ascii="Rockwell" w:hAnsi="Rockwell"/>
                <w:b/>
                <w:bCs/>
                <w:sz w:val="18"/>
                <w:szCs w:val="18"/>
              </w:rPr>
            </w:pPr>
            <w:r>
              <w:rPr>
                <w:rFonts w:ascii="Rockwell" w:hAnsi="Rockwell"/>
                <w:b/>
                <w:bCs/>
                <w:sz w:val="18"/>
                <w:szCs w:val="18"/>
              </w:rPr>
              <w:t>7 3/7</w:t>
            </w:r>
          </w:p>
        </w:tc>
        <w:tc>
          <w:tcPr>
            <w:tcW w:w="1136" w:type="dxa"/>
            <w:shd w:val="clear" w:color="auto" w:fill="FFFFFF" w:themeFill="background1"/>
            <w:tcMar>
              <w:top w:w="0" w:type="dxa"/>
              <w:left w:w="108" w:type="dxa"/>
              <w:bottom w:w="0" w:type="dxa"/>
              <w:right w:w="108" w:type="dxa"/>
            </w:tcMar>
            <w:vAlign w:val="center"/>
          </w:tcPr>
          <w:p w14:paraId="64E7F949" w14:textId="77777777" w:rsidR="00284822" w:rsidRDefault="00F77BF8">
            <w:pPr>
              <w:spacing w:line="240" w:lineRule="auto"/>
              <w:rPr>
                <w:rFonts w:ascii="Rockwell" w:hAnsi="Rockwell"/>
                <w:b/>
                <w:bCs/>
                <w:sz w:val="18"/>
                <w:szCs w:val="18"/>
              </w:rPr>
            </w:pPr>
            <w:r>
              <w:rPr>
                <w:rFonts w:ascii="Rockwell" w:hAnsi="Rockwell"/>
                <w:b/>
                <w:bCs/>
                <w:sz w:val="18"/>
                <w:szCs w:val="18"/>
              </w:rPr>
              <w:t>1,72%</w:t>
            </w:r>
          </w:p>
        </w:tc>
        <w:tc>
          <w:tcPr>
            <w:tcW w:w="851" w:type="dxa"/>
            <w:shd w:val="clear" w:color="auto" w:fill="FFFFFF" w:themeFill="background1"/>
            <w:tcMar>
              <w:top w:w="0" w:type="dxa"/>
              <w:left w:w="108" w:type="dxa"/>
              <w:bottom w:w="0" w:type="dxa"/>
              <w:right w:w="108" w:type="dxa"/>
            </w:tcMar>
            <w:vAlign w:val="center"/>
          </w:tcPr>
          <w:p w14:paraId="32534953" w14:textId="77777777" w:rsidR="00284822" w:rsidRDefault="00F77BF8">
            <w:pPr>
              <w:spacing w:line="240" w:lineRule="auto"/>
              <w:rPr>
                <w:rFonts w:ascii="Rockwell" w:hAnsi="Rockwell"/>
                <w:b/>
                <w:bCs/>
                <w:sz w:val="18"/>
                <w:szCs w:val="18"/>
              </w:rPr>
            </w:pPr>
            <w:r>
              <w:rPr>
                <w:rFonts w:ascii="Rockwell" w:hAnsi="Rockwell"/>
                <w:b/>
                <w:bCs/>
                <w:sz w:val="18"/>
                <w:szCs w:val="18"/>
              </w:rPr>
              <w:t>12</w:t>
            </w:r>
          </w:p>
        </w:tc>
        <w:tc>
          <w:tcPr>
            <w:tcW w:w="1136" w:type="dxa"/>
            <w:shd w:val="clear" w:color="auto" w:fill="FFFFFF" w:themeFill="background1"/>
            <w:tcMar>
              <w:top w:w="0" w:type="dxa"/>
              <w:left w:w="108" w:type="dxa"/>
              <w:bottom w:w="0" w:type="dxa"/>
              <w:right w:w="108" w:type="dxa"/>
            </w:tcMar>
            <w:vAlign w:val="center"/>
          </w:tcPr>
          <w:p w14:paraId="4030CCE5" w14:textId="77777777" w:rsidR="00284822" w:rsidRDefault="00F77BF8">
            <w:pPr>
              <w:spacing w:line="240" w:lineRule="auto"/>
              <w:rPr>
                <w:rFonts w:ascii="Rockwell" w:hAnsi="Rockwell"/>
                <w:b/>
                <w:bCs/>
                <w:sz w:val="18"/>
                <w:szCs w:val="18"/>
              </w:rPr>
            </w:pPr>
            <w:r>
              <w:rPr>
                <w:rFonts w:ascii="Rockwell" w:hAnsi="Rockwell"/>
                <w:b/>
                <w:bCs/>
                <w:sz w:val="18"/>
                <w:szCs w:val="18"/>
              </w:rPr>
              <w:t>1,60%</w:t>
            </w:r>
          </w:p>
        </w:tc>
      </w:tr>
      <w:tr w:rsidR="00284822" w14:paraId="57F6F50F" w14:textId="77777777">
        <w:trPr>
          <w:gridAfter w:val="1"/>
          <w:wAfter w:w="6" w:type="dxa"/>
          <w:trHeight w:val="70"/>
        </w:trPr>
        <w:tc>
          <w:tcPr>
            <w:tcW w:w="994" w:type="dxa"/>
            <w:shd w:val="clear" w:color="auto" w:fill="FFFFFF" w:themeFill="background1"/>
            <w:noWrap/>
            <w:tcMar>
              <w:top w:w="0" w:type="dxa"/>
              <w:left w:w="108" w:type="dxa"/>
              <w:bottom w:w="0" w:type="dxa"/>
              <w:right w:w="108" w:type="dxa"/>
            </w:tcMar>
            <w:vAlign w:val="center"/>
          </w:tcPr>
          <w:p w14:paraId="1AC7035E"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27</w:t>
            </w:r>
          </w:p>
        </w:tc>
        <w:tc>
          <w:tcPr>
            <w:tcW w:w="1563" w:type="dxa"/>
            <w:shd w:val="clear" w:color="auto" w:fill="FFFFFF" w:themeFill="background1"/>
            <w:tcMar>
              <w:top w:w="0" w:type="dxa"/>
              <w:left w:w="108" w:type="dxa"/>
              <w:bottom w:w="0" w:type="dxa"/>
              <w:right w:w="108" w:type="dxa"/>
            </w:tcMar>
            <w:vAlign w:val="bottom"/>
          </w:tcPr>
          <w:p w14:paraId="5FD8F0E2"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PAREN</w:t>
            </w:r>
          </w:p>
        </w:tc>
        <w:tc>
          <w:tcPr>
            <w:tcW w:w="851" w:type="dxa"/>
            <w:shd w:val="clear" w:color="auto" w:fill="FFFFFF" w:themeFill="background1"/>
            <w:tcMar>
              <w:top w:w="0" w:type="dxa"/>
              <w:left w:w="108" w:type="dxa"/>
              <w:bottom w:w="0" w:type="dxa"/>
              <w:right w:w="108" w:type="dxa"/>
            </w:tcMar>
            <w:vAlign w:val="center"/>
          </w:tcPr>
          <w:p w14:paraId="209DEFBC" w14:textId="77777777" w:rsidR="00284822" w:rsidRDefault="00F77BF8">
            <w:pPr>
              <w:spacing w:line="240" w:lineRule="auto"/>
              <w:rPr>
                <w:rFonts w:ascii="Rockwell" w:hAnsi="Rockwell"/>
                <w:color w:val="000000"/>
                <w:sz w:val="18"/>
                <w:szCs w:val="18"/>
              </w:rPr>
            </w:pPr>
            <w:proofErr w:type="gramStart"/>
            <w:r>
              <w:rPr>
                <w:rFonts w:ascii="Rockwell" w:hAnsi="Rockwell"/>
                <w:color w:val="000000"/>
                <w:sz w:val="18"/>
                <w:szCs w:val="18"/>
              </w:rPr>
              <w:t>½</w:t>
            </w:r>
            <w:proofErr w:type="gramEnd"/>
          </w:p>
        </w:tc>
        <w:tc>
          <w:tcPr>
            <w:tcW w:w="1278" w:type="dxa"/>
            <w:shd w:val="clear" w:color="auto" w:fill="FFFFFF" w:themeFill="background1"/>
            <w:tcMar>
              <w:top w:w="0" w:type="dxa"/>
              <w:left w:w="108" w:type="dxa"/>
              <w:bottom w:w="0" w:type="dxa"/>
              <w:right w:w="108" w:type="dxa"/>
            </w:tcMar>
            <w:vAlign w:val="center"/>
          </w:tcPr>
          <w:p w14:paraId="6602CCC5"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0,55%</w:t>
            </w:r>
          </w:p>
        </w:tc>
        <w:tc>
          <w:tcPr>
            <w:tcW w:w="710" w:type="dxa"/>
            <w:shd w:val="clear" w:color="auto" w:fill="FFFFFF" w:themeFill="background1"/>
            <w:tcMar>
              <w:top w:w="0" w:type="dxa"/>
              <w:left w:w="108" w:type="dxa"/>
              <w:bottom w:w="0" w:type="dxa"/>
              <w:right w:w="108" w:type="dxa"/>
            </w:tcMar>
            <w:vAlign w:val="center"/>
          </w:tcPr>
          <w:p w14:paraId="14769AB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w:t>
            </w:r>
          </w:p>
        </w:tc>
        <w:tc>
          <w:tcPr>
            <w:tcW w:w="1277" w:type="dxa"/>
            <w:shd w:val="clear" w:color="auto" w:fill="FFFFFF" w:themeFill="background1"/>
            <w:tcMar>
              <w:top w:w="0" w:type="dxa"/>
              <w:left w:w="108" w:type="dxa"/>
              <w:bottom w:w="0" w:type="dxa"/>
              <w:right w:w="108" w:type="dxa"/>
            </w:tcMar>
            <w:vAlign w:val="center"/>
          </w:tcPr>
          <w:p w14:paraId="251AA066"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0,62%</w:t>
            </w:r>
          </w:p>
        </w:tc>
        <w:tc>
          <w:tcPr>
            <w:tcW w:w="994" w:type="dxa"/>
            <w:shd w:val="clear" w:color="auto" w:fill="FFFFFF" w:themeFill="background1"/>
            <w:tcMar>
              <w:top w:w="0" w:type="dxa"/>
              <w:left w:w="108" w:type="dxa"/>
              <w:bottom w:w="0" w:type="dxa"/>
              <w:right w:w="108" w:type="dxa"/>
            </w:tcMar>
            <w:vAlign w:val="center"/>
          </w:tcPr>
          <w:p w14:paraId="09881FD5"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 3/5</w:t>
            </w:r>
          </w:p>
        </w:tc>
        <w:tc>
          <w:tcPr>
            <w:tcW w:w="1419" w:type="dxa"/>
            <w:shd w:val="clear" w:color="auto" w:fill="FFFFFF" w:themeFill="background1"/>
            <w:tcMar>
              <w:top w:w="0" w:type="dxa"/>
              <w:left w:w="108" w:type="dxa"/>
              <w:bottom w:w="0" w:type="dxa"/>
              <w:right w:w="108" w:type="dxa"/>
            </w:tcMar>
            <w:vAlign w:val="center"/>
          </w:tcPr>
          <w:p w14:paraId="4639D963"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1,82%</w:t>
            </w:r>
          </w:p>
        </w:tc>
        <w:tc>
          <w:tcPr>
            <w:tcW w:w="852" w:type="dxa"/>
            <w:shd w:val="clear" w:color="auto" w:fill="FFFFFF" w:themeFill="background1"/>
            <w:tcMar>
              <w:top w:w="0" w:type="dxa"/>
              <w:left w:w="108" w:type="dxa"/>
              <w:bottom w:w="0" w:type="dxa"/>
              <w:right w:w="108" w:type="dxa"/>
            </w:tcMar>
            <w:vAlign w:val="center"/>
          </w:tcPr>
          <w:p w14:paraId="34558ED8"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8</w:t>
            </w:r>
          </w:p>
        </w:tc>
        <w:tc>
          <w:tcPr>
            <w:tcW w:w="1277" w:type="dxa"/>
            <w:shd w:val="clear" w:color="auto" w:fill="FFFFFF" w:themeFill="background1"/>
            <w:tcMar>
              <w:top w:w="0" w:type="dxa"/>
              <w:left w:w="108" w:type="dxa"/>
              <w:bottom w:w="0" w:type="dxa"/>
              <w:right w:w="108" w:type="dxa"/>
            </w:tcMar>
            <w:vAlign w:val="center"/>
          </w:tcPr>
          <w:p w14:paraId="5155D32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3,38%</w:t>
            </w:r>
          </w:p>
        </w:tc>
        <w:tc>
          <w:tcPr>
            <w:tcW w:w="994" w:type="dxa"/>
            <w:shd w:val="clear" w:color="auto" w:fill="FFFFFF" w:themeFill="background1"/>
            <w:tcMar>
              <w:top w:w="0" w:type="dxa"/>
              <w:left w:w="108" w:type="dxa"/>
              <w:bottom w:w="0" w:type="dxa"/>
              <w:right w:w="108" w:type="dxa"/>
            </w:tcMar>
            <w:vAlign w:val="center"/>
          </w:tcPr>
          <w:p w14:paraId="649355F7" w14:textId="77777777" w:rsidR="00284822" w:rsidRDefault="00F77BF8">
            <w:pPr>
              <w:spacing w:line="240" w:lineRule="auto"/>
              <w:rPr>
                <w:rFonts w:ascii="Rockwell" w:hAnsi="Rockwell"/>
                <w:b/>
                <w:bCs/>
                <w:sz w:val="18"/>
                <w:szCs w:val="18"/>
              </w:rPr>
            </w:pPr>
            <w:r>
              <w:rPr>
                <w:rFonts w:ascii="Rockwell" w:hAnsi="Rockwell"/>
                <w:b/>
                <w:bCs/>
                <w:sz w:val="18"/>
                <w:szCs w:val="18"/>
              </w:rPr>
              <w:t>6 5/6</w:t>
            </w:r>
          </w:p>
        </w:tc>
        <w:tc>
          <w:tcPr>
            <w:tcW w:w="1136" w:type="dxa"/>
            <w:shd w:val="clear" w:color="auto" w:fill="FFFFFF" w:themeFill="background1"/>
            <w:tcMar>
              <w:top w:w="0" w:type="dxa"/>
              <w:left w:w="108" w:type="dxa"/>
              <w:bottom w:w="0" w:type="dxa"/>
              <w:right w:w="108" w:type="dxa"/>
            </w:tcMar>
            <w:vAlign w:val="center"/>
          </w:tcPr>
          <w:p w14:paraId="0355BECC" w14:textId="77777777" w:rsidR="00284822" w:rsidRDefault="00F77BF8">
            <w:pPr>
              <w:spacing w:line="240" w:lineRule="auto"/>
              <w:rPr>
                <w:rFonts w:ascii="Rockwell" w:hAnsi="Rockwell"/>
                <w:b/>
                <w:bCs/>
                <w:sz w:val="18"/>
                <w:szCs w:val="18"/>
              </w:rPr>
            </w:pPr>
            <w:r>
              <w:rPr>
                <w:rFonts w:ascii="Rockwell" w:hAnsi="Rockwell"/>
                <w:b/>
                <w:bCs/>
                <w:sz w:val="18"/>
                <w:szCs w:val="18"/>
              </w:rPr>
              <w:t>1,59%</w:t>
            </w:r>
          </w:p>
        </w:tc>
        <w:tc>
          <w:tcPr>
            <w:tcW w:w="851" w:type="dxa"/>
            <w:shd w:val="clear" w:color="auto" w:fill="FFFFFF" w:themeFill="background1"/>
            <w:tcMar>
              <w:top w:w="0" w:type="dxa"/>
              <w:left w:w="108" w:type="dxa"/>
              <w:bottom w:w="0" w:type="dxa"/>
              <w:right w:w="108" w:type="dxa"/>
            </w:tcMar>
            <w:vAlign w:val="center"/>
          </w:tcPr>
          <w:p w14:paraId="0B855854" w14:textId="77777777" w:rsidR="00284822" w:rsidRDefault="00F77BF8">
            <w:pPr>
              <w:spacing w:line="240" w:lineRule="auto"/>
              <w:rPr>
                <w:rFonts w:ascii="Rockwell" w:hAnsi="Rockwell"/>
                <w:b/>
                <w:bCs/>
                <w:sz w:val="18"/>
                <w:szCs w:val="18"/>
              </w:rPr>
            </w:pPr>
            <w:r>
              <w:rPr>
                <w:rFonts w:ascii="Rockwell" w:hAnsi="Rockwell"/>
                <w:b/>
                <w:bCs/>
                <w:sz w:val="18"/>
                <w:szCs w:val="18"/>
              </w:rPr>
              <w:t>19</w:t>
            </w:r>
          </w:p>
        </w:tc>
        <w:tc>
          <w:tcPr>
            <w:tcW w:w="1136" w:type="dxa"/>
            <w:shd w:val="clear" w:color="auto" w:fill="FFFFFF" w:themeFill="background1"/>
            <w:tcMar>
              <w:top w:w="0" w:type="dxa"/>
              <w:left w:w="108" w:type="dxa"/>
              <w:bottom w:w="0" w:type="dxa"/>
              <w:right w:w="108" w:type="dxa"/>
            </w:tcMar>
            <w:vAlign w:val="center"/>
          </w:tcPr>
          <w:p w14:paraId="159A352E" w14:textId="77777777" w:rsidR="00284822" w:rsidRDefault="00F77BF8">
            <w:pPr>
              <w:spacing w:line="240" w:lineRule="auto"/>
              <w:rPr>
                <w:rFonts w:ascii="Rockwell" w:hAnsi="Rockwell"/>
                <w:b/>
                <w:bCs/>
                <w:sz w:val="18"/>
                <w:szCs w:val="18"/>
              </w:rPr>
            </w:pPr>
            <w:r>
              <w:rPr>
                <w:rFonts w:ascii="Rockwell" w:hAnsi="Rockwell"/>
                <w:b/>
                <w:bCs/>
                <w:sz w:val="18"/>
                <w:szCs w:val="18"/>
              </w:rPr>
              <w:t>2,53%</w:t>
            </w:r>
          </w:p>
        </w:tc>
      </w:tr>
      <w:tr w:rsidR="00284822" w14:paraId="4DFAD303" w14:textId="77777777">
        <w:trPr>
          <w:gridAfter w:val="1"/>
          <w:wAfter w:w="6" w:type="dxa"/>
          <w:trHeight w:val="70"/>
        </w:trPr>
        <w:tc>
          <w:tcPr>
            <w:tcW w:w="994" w:type="dxa"/>
            <w:shd w:val="clear" w:color="auto" w:fill="FFFFFF" w:themeFill="background1"/>
            <w:noWrap/>
            <w:tcMar>
              <w:top w:w="0" w:type="dxa"/>
              <w:left w:w="108" w:type="dxa"/>
              <w:bottom w:w="0" w:type="dxa"/>
              <w:right w:w="108" w:type="dxa"/>
            </w:tcMar>
            <w:vAlign w:val="center"/>
          </w:tcPr>
          <w:p w14:paraId="38242800"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28</w:t>
            </w:r>
          </w:p>
        </w:tc>
        <w:tc>
          <w:tcPr>
            <w:tcW w:w="1563" w:type="dxa"/>
            <w:shd w:val="clear" w:color="auto" w:fill="FFFFFF" w:themeFill="background1"/>
            <w:tcMar>
              <w:top w:w="0" w:type="dxa"/>
              <w:left w:w="108" w:type="dxa"/>
              <w:bottom w:w="0" w:type="dxa"/>
              <w:right w:w="108" w:type="dxa"/>
            </w:tcMar>
            <w:vAlign w:val="bottom"/>
          </w:tcPr>
          <w:p w14:paraId="5E1F62E3"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PDC</w:t>
            </w:r>
          </w:p>
        </w:tc>
        <w:tc>
          <w:tcPr>
            <w:tcW w:w="851" w:type="dxa"/>
            <w:shd w:val="clear" w:color="auto" w:fill="FFFFFF" w:themeFill="background1"/>
            <w:tcMar>
              <w:top w:w="0" w:type="dxa"/>
              <w:left w:w="108" w:type="dxa"/>
              <w:bottom w:w="0" w:type="dxa"/>
              <w:right w:w="108" w:type="dxa"/>
            </w:tcMar>
            <w:vAlign w:val="center"/>
          </w:tcPr>
          <w:p w14:paraId="752184F7"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8" w:type="dxa"/>
            <w:shd w:val="clear" w:color="auto" w:fill="FFFFFF" w:themeFill="background1"/>
            <w:tcMar>
              <w:top w:w="0" w:type="dxa"/>
              <w:left w:w="108" w:type="dxa"/>
              <w:bottom w:w="0" w:type="dxa"/>
              <w:right w:w="108" w:type="dxa"/>
            </w:tcMar>
            <w:vAlign w:val="center"/>
          </w:tcPr>
          <w:p w14:paraId="21F6E427"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710" w:type="dxa"/>
            <w:shd w:val="clear" w:color="auto" w:fill="FFFFFF" w:themeFill="background1"/>
            <w:tcMar>
              <w:top w:w="0" w:type="dxa"/>
              <w:left w:w="108" w:type="dxa"/>
              <w:bottom w:w="0" w:type="dxa"/>
              <w:right w:w="108" w:type="dxa"/>
            </w:tcMar>
            <w:vAlign w:val="center"/>
          </w:tcPr>
          <w:p w14:paraId="179B7FB7"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7" w:type="dxa"/>
            <w:shd w:val="clear" w:color="auto" w:fill="FFFFFF" w:themeFill="background1"/>
            <w:tcMar>
              <w:top w:w="0" w:type="dxa"/>
              <w:left w:w="108" w:type="dxa"/>
              <w:bottom w:w="0" w:type="dxa"/>
              <w:right w:w="108" w:type="dxa"/>
            </w:tcMar>
            <w:vAlign w:val="center"/>
          </w:tcPr>
          <w:p w14:paraId="437F5743"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94" w:type="dxa"/>
            <w:shd w:val="clear" w:color="auto" w:fill="FFFFFF" w:themeFill="background1"/>
            <w:tcMar>
              <w:top w:w="0" w:type="dxa"/>
              <w:left w:w="108" w:type="dxa"/>
              <w:bottom w:w="0" w:type="dxa"/>
              <w:right w:w="108" w:type="dxa"/>
            </w:tcMar>
            <w:vAlign w:val="center"/>
          </w:tcPr>
          <w:p w14:paraId="07437FA2"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1/4</w:t>
            </w:r>
          </w:p>
        </w:tc>
        <w:tc>
          <w:tcPr>
            <w:tcW w:w="1419" w:type="dxa"/>
            <w:shd w:val="clear" w:color="auto" w:fill="FFFFFF" w:themeFill="background1"/>
            <w:tcMar>
              <w:top w:w="0" w:type="dxa"/>
              <w:left w:w="108" w:type="dxa"/>
              <w:bottom w:w="0" w:type="dxa"/>
              <w:right w:w="108" w:type="dxa"/>
            </w:tcMar>
            <w:vAlign w:val="center"/>
          </w:tcPr>
          <w:p w14:paraId="4384189B"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0,18%</w:t>
            </w:r>
          </w:p>
        </w:tc>
        <w:tc>
          <w:tcPr>
            <w:tcW w:w="852" w:type="dxa"/>
            <w:shd w:val="clear" w:color="auto" w:fill="FFFFFF" w:themeFill="background1"/>
            <w:tcMar>
              <w:top w:w="0" w:type="dxa"/>
              <w:left w:w="108" w:type="dxa"/>
              <w:bottom w:w="0" w:type="dxa"/>
              <w:right w:w="108" w:type="dxa"/>
            </w:tcMar>
            <w:vAlign w:val="center"/>
          </w:tcPr>
          <w:p w14:paraId="3DB0D956"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7" w:type="dxa"/>
            <w:shd w:val="clear" w:color="auto" w:fill="FFFFFF" w:themeFill="background1"/>
            <w:tcMar>
              <w:top w:w="0" w:type="dxa"/>
              <w:left w:w="108" w:type="dxa"/>
              <w:bottom w:w="0" w:type="dxa"/>
              <w:right w:w="108" w:type="dxa"/>
            </w:tcMar>
            <w:vAlign w:val="center"/>
          </w:tcPr>
          <w:p w14:paraId="448E88B7"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94" w:type="dxa"/>
            <w:shd w:val="clear" w:color="auto" w:fill="FFFFFF" w:themeFill="background1"/>
            <w:tcMar>
              <w:top w:w="0" w:type="dxa"/>
              <w:left w:w="108" w:type="dxa"/>
              <w:bottom w:w="0" w:type="dxa"/>
              <w:right w:w="108" w:type="dxa"/>
            </w:tcMar>
            <w:vAlign w:val="center"/>
          </w:tcPr>
          <w:p w14:paraId="2B1FB178" w14:textId="77777777" w:rsidR="00284822" w:rsidRDefault="00F77BF8">
            <w:pPr>
              <w:spacing w:line="240" w:lineRule="auto"/>
              <w:rPr>
                <w:rFonts w:ascii="Rockwell" w:hAnsi="Rockwell"/>
                <w:b/>
                <w:bCs/>
                <w:sz w:val="18"/>
                <w:szCs w:val="18"/>
              </w:rPr>
            </w:pPr>
            <w:r>
              <w:rPr>
                <w:rFonts w:ascii="Rockwell" w:hAnsi="Rockwell"/>
                <w:b/>
                <w:bCs/>
                <w:sz w:val="18"/>
                <w:szCs w:val="18"/>
              </w:rPr>
              <w:t>1 1/4</w:t>
            </w:r>
          </w:p>
        </w:tc>
        <w:tc>
          <w:tcPr>
            <w:tcW w:w="1136" w:type="dxa"/>
            <w:shd w:val="clear" w:color="auto" w:fill="FFFFFF" w:themeFill="background1"/>
            <w:tcMar>
              <w:top w:w="0" w:type="dxa"/>
              <w:left w:w="108" w:type="dxa"/>
              <w:bottom w:w="0" w:type="dxa"/>
              <w:right w:w="108" w:type="dxa"/>
            </w:tcMar>
            <w:vAlign w:val="center"/>
          </w:tcPr>
          <w:p w14:paraId="79E80C07" w14:textId="77777777" w:rsidR="00284822" w:rsidRDefault="00F77BF8">
            <w:pPr>
              <w:spacing w:line="240" w:lineRule="auto"/>
              <w:rPr>
                <w:rFonts w:ascii="Rockwell" w:hAnsi="Rockwell"/>
                <w:b/>
                <w:bCs/>
                <w:sz w:val="18"/>
                <w:szCs w:val="18"/>
              </w:rPr>
            </w:pPr>
            <w:r>
              <w:rPr>
                <w:rFonts w:ascii="Rockwell" w:hAnsi="Rockwell"/>
                <w:b/>
                <w:bCs/>
                <w:sz w:val="18"/>
                <w:szCs w:val="18"/>
              </w:rPr>
              <w:t>0,29%</w:t>
            </w:r>
          </w:p>
        </w:tc>
        <w:tc>
          <w:tcPr>
            <w:tcW w:w="851" w:type="dxa"/>
            <w:shd w:val="clear" w:color="auto" w:fill="FFFFFF" w:themeFill="background1"/>
            <w:tcMar>
              <w:top w:w="0" w:type="dxa"/>
              <w:left w:w="108" w:type="dxa"/>
              <w:bottom w:w="0" w:type="dxa"/>
              <w:right w:w="108" w:type="dxa"/>
            </w:tcMar>
            <w:vAlign w:val="center"/>
          </w:tcPr>
          <w:p w14:paraId="562254AA" w14:textId="77777777" w:rsidR="00284822" w:rsidRDefault="00F77BF8">
            <w:pPr>
              <w:spacing w:line="240" w:lineRule="auto"/>
              <w:rPr>
                <w:rFonts w:ascii="Rockwell" w:hAnsi="Rockwell"/>
                <w:b/>
                <w:bCs/>
                <w:sz w:val="18"/>
                <w:szCs w:val="18"/>
              </w:rPr>
            </w:pPr>
            <w:r>
              <w:rPr>
                <w:rFonts w:ascii="Rockwell" w:hAnsi="Rockwell"/>
                <w:b/>
                <w:bCs/>
                <w:sz w:val="18"/>
                <w:szCs w:val="18"/>
              </w:rPr>
              <w:t>2</w:t>
            </w:r>
          </w:p>
        </w:tc>
        <w:tc>
          <w:tcPr>
            <w:tcW w:w="1136" w:type="dxa"/>
            <w:shd w:val="clear" w:color="auto" w:fill="FFFFFF" w:themeFill="background1"/>
            <w:tcMar>
              <w:top w:w="0" w:type="dxa"/>
              <w:left w:w="108" w:type="dxa"/>
              <w:bottom w:w="0" w:type="dxa"/>
              <w:right w:w="108" w:type="dxa"/>
            </w:tcMar>
            <w:vAlign w:val="center"/>
          </w:tcPr>
          <w:p w14:paraId="7E16DBCA" w14:textId="77777777" w:rsidR="00284822" w:rsidRDefault="00F77BF8">
            <w:pPr>
              <w:spacing w:line="240" w:lineRule="auto"/>
              <w:rPr>
                <w:rFonts w:ascii="Rockwell" w:hAnsi="Rockwell"/>
                <w:b/>
                <w:bCs/>
                <w:sz w:val="18"/>
                <w:szCs w:val="18"/>
              </w:rPr>
            </w:pPr>
            <w:r>
              <w:rPr>
                <w:rFonts w:ascii="Rockwell" w:hAnsi="Rockwell"/>
                <w:b/>
                <w:bCs/>
                <w:sz w:val="18"/>
                <w:szCs w:val="18"/>
              </w:rPr>
              <w:t>0,27%</w:t>
            </w:r>
          </w:p>
        </w:tc>
      </w:tr>
      <w:tr w:rsidR="00284822" w14:paraId="554C7930" w14:textId="77777777">
        <w:trPr>
          <w:gridAfter w:val="1"/>
          <w:wAfter w:w="6" w:type="dxa"/>
          <w:trHeight w:val="22"/>
        </w:trPr>
        <w:tc>
          <w:tcPr>
            <w:tcW w:w="994" w:type="dxa"/>
            <w:shd w:val="clear" w:color="auto" w:fill="FFFFFF" w:themeFill="background1"/>
            <w:noWrap/>
            <w:tcMar>
              <w:top w:w="0" w:type="dxa"/>
              <w:left w:w="108" w:type="dxa"/>
              <w:bottom w:w="0" w:type="dxa"/>
              <w:right w:w="108" w:type="dxa"/>
            </w:tcMar>
            <w:vAlign w:val="center"/>
          </w:tcPr>
          <w:p w14:paraId="2A7DF308"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29</w:t>
            </w:r>
          </w:p>
        </w:tc>
        <w:tc>
          <w:tcPr>
            <w:tcW w:w="1563" w:type="dxa"/>
            <w:shd w:val="clear" w:color="auto" w:fill="FFFFFF" w:themeFill="background1"/>
            <w:tcMar>
              <w:top w:w="0" w:type="dxa"/>
              <w:left w:w="108" w:type="dxa"/>
              <w:bottom w:w="0" w:type="dxa"/>
              <w:right w:w="108" w:type="dxa"/>
            </w:tcMar>
            <w:vAlign w:val="bottom"/>
          </w:tcPr>
          <w:p w14:paraId="3CE144AF"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PDIS LAFIA</w:t>
            </w:r>
          </w:p>
        </w:tc>
        <w:tc>
          <w:tcPr>
            <w:tcW w:w="851" w:type="dxa"/>
            <w:shd w:val="clear" w:color="auto" w:fill="FFFFFF" w:themeFill="background1"/>
            <w:tcMar>
              <w:top w:w="0" w:type="dxa"/>
              <w:left w:w="108" w:type="dxa"/>
              <w:bottom w:w="0" w:type="dxa"/>
              <w:right w:w="108" w:type="dxa"/>
            </w:tcMar>
            <w:vAlign w:val="center"/>
          </w:tcPr>
          <w:p w14:paraId="2914D20E" w14:textId="77777777" w:rsidR="00284822" w:rsidRDefault="00F77BF8">
            <w:pPr>
              <w:spacing w:line="240" w:lineRule="auto"/>
              <w:rPr>
                <w:rFonts w:ascii="Rockwell" w:hAnsi="Rockwell"/>
                <w:color w:val="000000"/>
                <w:sz w:val="18"/>
                <w:szCs w:val="18"/>
              </w:rPr>
            </w:pPr>
            <w:proofErr w:type="gramStart"/>
            <w:r>
              <w:rPr>
                <w:rFonts w:ascii="Rockwell" w:hAnsi="Rockwell"/>
                <w:color w:val="000000"/>
                <w:sz w:val="18"/>
                <w:szCs w:val="18"/>
              </w:rPr>
              <w:t>½</w:t>
            </w:r>
            <w:proofErr w:type="gramEnd"/>
          </w:p>
        </w:tc>
        <w:tc>
          <w:tcPr>
            <w:tcW w:w="1278" w:type="dxa"/>
            <w:shd w:val="clear" w:color="auto" w:fill="FFFFFF" w:themeFill="background1"/>
            <w:tcMar>
              <w:top w:w="0" w:type="dxa"/>
              <w:left w:w="108" w:type="dxa"/>
              <w:bottom w:w="0" w:type="dxa"/>
              <w:right w:w="108" w:type="dxa"/>
            </w:tcMar>
            <w:vAlign w:val="center"/>
          </w:tcPr>
          <w:p w14:paraId="1ECB2CD1"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0,55%</w:t>
            </w:r>
          </w:p>
        </w:tc>
        <w:tc>
          <w:tcPr>
            <w:tcW w:w="710" w:type="dxa"/>
            <w:shd w:val="clear" w:color="auto" w:fill="FFFFFF" w:themeFill="background1"/>
            <w:tcMar>
              <w:top w:w="0" w:type="dxa"/>
              <w:left w:w="108" w:type="dxa"/>
              <w:bottom w:w="0" w:type="dxa"/>
              <w:right w:w="108" w:type="dxa"/>
            </w:tcMar>
            <w:vAlign w:val="center"/>
          </w:tcPr>
          <w:p w14:paraId="73831D92"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w:t>
            </w:r>
          </w:p>
        </w:tc>
        <w:tc>
          <w:tcPr>
            <w:tcW w:w="1277" w:type="dxa"/>
            <w:shd w:val="clear" w:color="auto" w:fill="FFFFFF" w:themeFill="background1"/>
            <w:tcMar>
              <w:top w:w="0" w:type="dxa"/>
              <w:left w:w="108" w:type="dxa"/>
              <w:bottom w:w="0" w:type="dxa"/>
              <w:right w:w="108" w:type="dxa"/>
            </w:tcMar>
            <w:vAlign w:val="center"/>
          </w:tcPr>
          <w:p w14:paraId="08126D78"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0,62%</w:t>
            </w:r>
          </w:p>
        </w:tc>
        <w:tc>
          <w:tcPr>
            <w:tcW w:w="994" w:type="dxa"/>
            <w:shd w:val="clear" w:color="auto" w:fill="FFFFFF" w:themeFill="background1"/>
            <w:tcMar>
              <w:top w:w="0" w:type="dxa"/>
              <w:left w:w="108" w:type="dxa"/>
              <w:bottom w:w="0" w:type="dxa"/>
              <w:right w:w="108" w:type="dxa"/>
            </w:tcMar>
            <w:vAlign w:val="center"/>
          </w:tcPr>
          <w:p w14:paraId="45FE38C9"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1/4</w:t>
            </w:r>
          </w:p>
        </w:tc>
        <w:tc>
          <w:tcPr>
            <w:tcW w:w="1419" w:type="dxa"/>
            <w:shd w:val="clear" w:color="auto" w:fill="FFFFFF" w:themeFill="background1"/>
            <w:tcMar>
              <w:top w:w="0" w:type="dxa"/>
              <w:left w:w="108" w:type="dxa"/>
              <w:bottom w:w="0" w:type="dxa"/>
              <w:right w:w="108" w:type="dxa"/>
            </w:tcMar>
            <w:vAlign w:val="center"/>
          </w:tcPr>
          <w:p w14:paraId="44D54698"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0,18%</w:t>
            </w:r>
          </w:p>
        </w:tc>
        <w:tc>
          <w:tcPr>
            <w:tcW w:w="852" w:type="dxa"/>
            <w:shd w:val="clear" w:color="auto" w:fill="FFFFFF" w:themeFill="background1"/>
            <w:tcMar>
              <w:top w:w="0" w:type="dxa"/>
              <w:left w:w="108" w:type="dxa"/>
              <w:bottom w:w="0" w:type="dxa"/>
              <w:right w:w="108" w:type="dxa"/>
            </w:tcMar>
            <w:vAlign w:val="center"/>
          </w:tcPr>
          <w:p w14:paraId="45020B5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7" w:type="dxa"/>
            <w:shd w:val="clear" w:color="auto" w:fill="FFFFFF" w:themeFill="background1"/>
            <w:tcMar>
              <w:top w:w="0" w:type="dxa"/>
              <w:left w:w="108" w:type="dxa"/>
              <w:bottom w:w="0" w:type="dxa"/>
              <w:right w:w="108" w:type="dxa"/>
            </w:tcMar>
            <w:vAlign w:val="center"/>
          </w:tcPr>
          <w:p w14:paraId="7A78CA96"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94" w:type="dxa"/>
            <w:shd w:val="clear" w:color="auto" w:fill="FFFFFF" w:themeFill="background1"/>
            <w:tcMar>
              <w:top w:w="0" w:type="dxa"/>
              <w:left w:w="108" w:type="dxa"/>
              <w:bottom w:w="0" w:type="dxa"/>
              <w:right w:w="108" w:type="dxa"/>
            </w:tcMar>
            <w:vAlign w:val="center"/>
          </w:tcPr>
          <w:p w14:paraId="0700C41F" w14:textId="77777777" w:rsidR="00284822" w:rsidRDefault="00F77BF8">
            <w:pPr>
              <w:spacing w:line="240" w:lineRule="auto"/>
              <w:rPr>
                <w:rFonts w:ascii="Rockwell" w:hAnsi="Rockwell"/>
                <w:b/>
                <w:bCs/>
                <w:sz w:val="18"/>
                <w:szCs w:val="18"/>
              </w:rPr>
            </w:pPr>
            <w:r>
              <w:rPr>
                <w:rFonts w:ascii="Rockwell" w:hAnsi="Rockwell"/>
                <w:b/>
                <w:bCs/>
                <w:sz w:val="18"/>
                <w:szCs w:val="18"/>
              </w:rPr>
              <w:t>2 1/2</w:t>
            </w:r>
          </w:p>
        </w:tc>
        <w:tc>
          <w:tcPr>
            <w:tcW w:w="1136" w:type="dxa"/>
            <w:shd w:val="clear" w:color="auto" w:fill="FFFFFF" w:themeFill="background1"/>
            <w:tcMar>
              <w:top w:w="0" w:type="dxa"/>
              <w:left w:w="108" w:type="dxa"/>
              <w:bottom w:w="0" w:type="dxa"/>
              <w:right w:w="108" w:type="dxa"/>
            </w:tcMar>
            <w:vAlign w:val="center"/>
          </w:tcPr>
          <w:p w14:paraId="437094D4" w14:textId="77777777" w:rsidR="00284822" w:rsidRDefault="00F77BF8">
            <w:pPr>
              <w:spacing w:line="240" w:lineRule="auto"/>
              <w:rPr>
                <w:rFonts w:ascii="Rockwell" w:hAnsi="Rockwell"/>
                <w:b/>
                <w:bCs/>
                <w:sz w:val="18"/>
                <w:szCs w:val="18"/>
              </w:rPr>
            </w:pPr>
            <w:r>
              <w:rPr>
                <w:rFonts w:ascii="Rockwell" w:hAnsi="Rockwell"/>
                <w:b/>
                <w:bCs/>
                <w:sz w:val="18"/>
                <w:szCs w:val="18"/>
              </w:rPr>
              <w:t>0,58%</w:t>
            </w:r>
          </w:p>
        </w:tc>
        <w:tc>
          <w:tcPr>
            <w:tcW w:w="851" w:type="dxa"/>
            <w:shd w:val="clear" w:color="auto" w:fill="FFFFFF" w:themeFill="background1"/>
            <w:tcMar>
              <w:top w:w="0" w:type="dxa"/>
              <w:left w:w="108" w:type="dxa"/>
              <w:bottom w:w="0" w:type="dxa"/>
              <w:right w:w="108" w:type="dxa"/>
            </w:tcMar>
            <w:vAlign w:val="center"/>
          </w:tcPr>
          <w:p w14:paraId="510A725D" w14:textId="77777777" w:rsidR="00284822" w:rsidRDefault="00F77BF8">
            <w:pPr>
              <w:spacing w:line="240" w:lineRule="auto"/>
              <w:rPr>
                <w:rFonts w:ascii="Rockwell" w:hAnsi="Rockwell"/>
                <w:b/>
                <w:bCs/>
                <w:sz w:val="18"/>
                <w:szCs w:val="18"/>
              </w:rPr>
            </w:pPr>
            <w:r>
              <w:rPr>
                <w:rFonts w:ascii="Rockwell" w:hAnsi="Rockwell"/>
                <w:b/>
                <w:bCs/>
                <w:sz w:val="18"/>
                <w:szCs w:val="18"/>
              </w:rPr>
              <w:t>4</w:t>
            </w:r>
          </w:p>
        </w:tc>
        <w:tc>
          <w:tcPr>
            <w:tcW w:w="1136" w:type="dxa"/>
            <w:shd w:val="clear" w:color="auto" w:fill="FFFFFF" w:themeFill="background1"/>
            <w:tcMar>
              <w:top w:w="0" w:type="dxa"/>
              <w:left w:w="108" w:type="dxa"/>
              <w:bottom w:w="0" w:type="dxa"/>
              <w:right w:w="108" w:type="dxa"/>
            </w:tcMar>
            <w:vAlign w:val="center"/>
          </w:tcPr>
          <w:p w14:paraId="18D24276" w14:textId="77777777" w:rsidR="00284822" w:rsidRDefault="00F77BF8">
            <w:pPr>
              <w:spacing w:line="240" w:lineRule="auto"/>
              <w:rPr>
                <w:rFonts w:ascii="Rockwell" w:hAnsi="Rockwell"/>
                <w:b/>
                <w:bCs/>
                <w:sz w:val="18"/>
                <w:szCs w:val="18"/>
              </w:rPr>
            </w:pPr>
            <w:r>
              <w:rPr>
                <w:rFonts w:ascii="Rockwell" w:hAnsi="Rockwell"/>
                <w:b/>
                <w:bCs/>
                <w:sz w:val="18"/>
                <w:szCs w:val="18"/>
              </w:rPr>
              <w:t>0,53%</w:t>
            </w:r>
          </w:p>
        </w:tc>
      </w:tr>
      <w:tr w:rsidR="00284822" w14:paraId="234C8D38" w14:textId="77777777">
        <w:trPr>
          <w:gridAfter w:val="1"/>
          <w:wAfter w:w="6" w:type="dxa"/>
          <w:trHeight w:val="70"/>
        </w:trPr>
        <w:tc>
          <w:tcPr>
            <w:tcW w:w="994" w:type="dxa"/>
            <w:shd w:val="clear" w:color="auto" w:fill="FFFFFF" w:themeFill="background1"/>
            <w:noWrap/>
            <w:tcMar>
              <w:top w:w="0" w:type="dxa"/>
              <w:left w:w="108" w:type="dxa"/>
              <w:bottom w:w="0" w:type="dxa"/>
              <w:right w:w="108" w:type="dxa"/>
            </w:tcMar>
            <w:vAlign w:val="center"/>
          </w:tcPr>
          <w:p w14:paraId="71D21BD9"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30</w:t>
            </w:r>
          </w:p>
        </w:tc>
        <w:tc>
          <w:tcPr>
            <w:tcW w:w="1563" w:type="dxa"/>
            <w:shd w:val="clear" w:color="auto" w:fill="FFFFFF" w:themeFill="background1"/>
            <w:tcMar>
              <w:top w:w="0" w:type="dxa"/>
              <w:left w:w="108" w:type="dxa"/>
              <w:bottom w:w="0" w:type="dxa"/>
              <w:right w:w="108" w:type="dxa"/>
            </w:tcMar>
            <w:vAlign w:val="bottom"/>
          </w:tcPr>
          <w:p w14:paraId="248345E0"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PDJ</w:t>
            </w:r>
          </w:p>
        </w:tc>
        <w:tc>
          <w:tcPr>
            <w:tcW w:w="851" w:type="dxa"/>
            <w:shd w:val="clear" w:color="auto" w:fill="FFFFFF" w:themeFill="background1"/>
            <w:tcMar>
              <w:top w:w="0" w:type="dxa"/>
              <w:left w:w="108" w:type="dxa"/>
              <w:bottom w:w="0" w:type="dxa"/>
              <w:right w:w="108" w:type="dxa"/>
            </w:tcMar>
            <w:vAlign w:val="center"/>
          </w:tcPr>
          <w:p w14:paraId="5B1C6788"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 4/7</w:t>
            </w:r>
          </w:p>
        </w:tc>
        <w:tc>
          <w:tcPr>
            <w:tcW w:w="1278" w:type="dxa"/>
            <w:shd w:val="clear" w:color="auto" w:fill="FFFFFF" w:themeFill="background1"/>
            <w:tcMar>
              <w:top w:w="0" w:type="dxa"/>
              <w:left w:w="108" w:type="dxa"/>
              <w:bottom w:w="0" w:type="dxa"/>
              <w:right w:w="108" w:type="dxa"/>
            </w:tcMar>
            <w:vAlign w:val="center"/>
          </w:tcPr>
          <w:p w14:paraId="6BBCBF58"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1,75%</w:t>
            </w:r>
          </w:p>
        </w:tc>
        <w:tc>
          <w:tcPr>
            <w:tcW w:w="710" w:type="dxa"/>
            <w:shd w:val="clear" w:color="auto" w:fill="FFFFFF" w:themeFill="background1"/>
            <w:tcMar>
              <w:top w:w="0" w:type="dxa"/>
              <w:left w:w="108" w:type="dxa"/>
              <w:bottom w:w="0" w:type="dxa"/>
              <w:right w:w="108" w:type="dxa"/>
            </w:tcMar>
            <w:vAlign w:val="center"/>
          </w:tcPr>
          <w:p w14:paraId="4305853C"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6</w:t>
            </w:r>
          </w:p>
        </w:tc>
        <w:tc>
          <w:tcPr>
            <w:tcW w:w="1277" w:type="dxa"/>
            <w:shd w:val="clear" w:color="auto" w:fill="FFFFFF" w:themeFill="background1"/>
            <w:tcMar>
              <w:top w:w="0" w:type="dxa"/>
              <w:left w:w="108" w:type="dxa"/>
              <w:bottom w:w="0" w:type="dxa"/>
              <w:right w:w="108" w:type="dxa"/>
            </w:tcMar>
            <w:vAlign w:val="center"/>
          </w:tcPr>
          <w:p w14:paraId="45D528C9"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3,70%</w:t>
            </w:r>
          </w:p>
        </w:tc>
        <w:tc>
          <w:tcPr>
            <w:tcW w:w="994" w:type="dxa"/>
            <w:shd w:val="clear" w:color="auto" w:fill="FFFFFF" w:themeFill="background1"/>
            <w:tcMar>
              <w:top w:w="0" w:type="dxa"/>
              <w:left w:w="108" w:type="dxa"/>
              <w:bottom w:w="0" w:type="dxa"/>
              <w:right w:w="108" w:type="dxa"/>
            </w:tcMar>
            <w:vAlign w:val="center"/>
          </w:tcPr>
          <w:p w14:paraId="1D8A86A1"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419" w:type="dxa"/>
            <w:shd w:val="clear" w:color="auto" w:fill="FFFFFF" w:themeFill="background1"/>
            <w:tcMar>
              <w:top w:w="0" w:type="dxa"/>
              <w:left w:w="108" w:type="dxa"/>
              <w:bottom w:w="0" w:type="dxa"/>
              <w:right w:w="108" w:type="dxa"/>
            </w:tcMar>
            <w:vAlign w:val="center"/>
          </w:tcPr>
          <w:p w14:paraId="665B9FA2"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852" w:type="dxa"/>
            <w:shd w:val="clear" w:color="auto" w:fill="FFFFFF" w:themeFill="background1"/>
            <w:tcMar>
              <w:top w:w="0" w:type="dxa"/>
              <w:left w:w="108" w:type="dxa"/>
              <w:bottom w:w="0" w:type="dxa"/>
              <w:right w:w="108" w:type="dxa"/>
            </w:tcMar>
            <w:vAlign w:val="center"/>
          </w:tcPr>
          <w:p w14:paraId="6407FF3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7" w:type="dxa"/>
            <w:shd w:val="clear" w:color="auto" w:fill="FFFFFF" w:themeFill="background1"/>
            <w:tcMar>
              <w:top w:w="0" w:type="dxa"/>
              <w:left w:w="108" w:type="dxa"/>
              <w:bottom w:w="0" w:type="dxa"/>
              <w:right w:w="108" w:type="dxa"/>
            </w:tcMar>
            <w:vAlign w:val="center"/>
          </w:tcPr>
          <w:p w14:paraId="21D5BF83"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94" w:type="dxa"/>
            <w:shd w:val="clear" w:color="auto" w:fill="FFFFFF" w:themeFill="background1"/>
            <w:tcMar>
              <w:top w:w="0" w:type="dxa"/>
              <w:left w:w="108" w:type="dxa"/>
              <w:bottom w:w="0" w:type="dxa"/>
              <w:right w:w="108" w:type="dxa"/>
            </w:tcMar>
            <w:vAlign w:val="center"/>
          </w:tcPr>
          <w:p w14:paraId="2020CDB9" w14:textId="77777777" w:rsidR="00284822" w:rsidRDefault="00F77BF8">
            <w:pPr>
              <w:spacing w:line="240" w:lineRule="auto"/>
              <w:rPr>
                <w:rFonts w:ascii="Rockwell" w:hAnsi="Rockwell"/>
                <w:b/>
                <w:bCs/>
                <w:sz w:val="18"/>
                <w:szCs w:val="18"/>
              </w:rPr>
            </w:pPr>
            <w:r>
              <w:rPr>
                <w:rFonts w:ascii="Rockwell" w:hAnsi="Rockwell"/>
                <w:b/>
                <w:bCs/>
                <w:sz w:val="18"/>
                <w:szCs w:val="18"/>
              </w:rPr>
              <w:t>1 4/7</w:t>
            </w:r>
          </w:p>
        </w:tc>
        <w:tc>
          <w:tcPr>
            <w:tcW w:w="1136" w:type="dxa"/>
            <w:shd w:val="clear" w:color="auto" w:fill="FFFFFF" w:themeFill="background1"/>
            <w:tcMar>
              <w:top w:w="0" w:type="dxa"/>
              <w:left w:w="108" w:type="dxa"/>
              <w:bottom w:w="0" w:type="dxa"/>
              <w:right w:w="108" w:type="dxa"/>
            </w:tcMar>
            <w:vAlign w:val="center"/>
          </w:tcPr>
          <w:p w14:paraId="2580F079" w14:textId="77777777" w:rsidR="00284822" w:rsidRDefault="00F77BF8">
            <w:pPr>
              <w:spacing w:line="240" w:lineRule="auto"/>
              <w:rPr>
                <w:rFonts w:ascii="Rockwell" w:hAnsi="Rockwell"/>
                <w:b/>
                <w:bCs/>
                <w:sz w:val="18"/>
                <w:szCs w:val="18"/>
              </w:rPr>
            </w:pPr>
            <w:r>
              <w:rPr>
                <w:rFonts w:ascii="Rockwell" w:hAnsi="Rockwell"/>
                <w:b/>
                <w:bCs/>
                <w:sz w:val="18"/>
                <w:szCs w:val="18"/>
              </w:rPr>
              <w:t>0,37%</w:t>
            </w:r>
          </w:p>
        </w:tc>
        <w:tc>
          <w:tcPr>
            <w:tcW w:w="851" w:type="dxa"/>
            <w:shd w:val="clear" w:color="auto" w:fill="FFFFFF" w:themeFill="background1"/>
            <w:tcMar>
              <w:top w:w="0" w:type="dxa"/>
              <w:left w:w="108" w:type="dxa"/>
              <w:bottom w:w="0" w:type="dxa"/>
              <w:right w:w="108" w:type="dxa"/>
            </w:tcMar>
            <w:vAlign w:val="center"/>
          </w:tcPr>
          <w:p w14:paraId="5E96299F" w14:textId="77777777" w:rsidR="00284822" w:rsidRDefault="00F77BF8">
            <w:pPr>
              <w:spacing w:line="240" w:lineRule="auto"/>
              <w:rPr>
                <w:rFonts w:ascii="Rockwell" w:hAnsi="Rockwell"/>
                <w:b/>
                <w:bCs/>
                <w:sz w:val="18"/>
                <w:szCs w:val="18"/>
              </w:rPr>
            </w:pPr>
            <w:r>
              <w:rPr>
                <w:rFonts w:ascii="Rockwell" w:hAnsi="Rockwell"/>
                <w:b/>
                <w:bCs/>
                <w:sz w:val="18"/>
                <w:szCs w:val="18"/>
              </w:rPr>
              <w:t>6</w:t>
            </w:r>
          </w:p>
        </w:tc>
        <w:tc>
          <w:tcPr>
            <w:tcW w:w="1136" w:type="dxa"/>
            <w:shd w:val="clear" w:color="auto" w:fill="FFFFFF" w:themeFill="background1"/>
            <w:tcMar>
              <w:top w:w="0" w:type="dxa"/>
              <w:left w:w="108" w:type="dxa"/>
              <w:bottom w:w="0" w:type="dxa"/>
              <w:right w:w="108" w:type="dxa"/>
            </w:tcMar>
            <w:vAlign w:val="center"/>
          </w:tcPr>
          <w:p w14:paraId="41C7A688" w14:textId="77777777" w:rsidR="00284822" w:rsidRDefault="00F77BF8">
            <w:pPr>
              <w:spacing w:line="240" w:lineRule="auto"/>
              <w:rPr>
                <w:rFonts w:ascii="Rockwell" w:hAnsi="Rockwell"/>
                <w:b/>
                <w:bCs/>
                <w:sz w:val="18"/>
                <w:szCs w:val="18"/>
              </w:rPr>
            </w:pPr>
            <w:r>
              <w:rPr>
                <w:rFonts w:ascii="Rockwell" w:hAnsi="Rockwell"/>
                <w:b/>
                <w:bCs/>
                <w:sz w:val="18"/>
                <w:szCs w:val="18"/>
              </w:rPr>
              <w:t>0,80%</w:t>
            </w:r>
          </w:p>
        </w:tc>
      </w:tr>
      <w:tr w:rsidR="00284822" w14:paraId="49722D26" w14:textId="77777777">
        <w:trPr>
          <w:gridAfter w:val="1"/>
          <w:wAfter w:w="6" w:type="dxa"/>
          <w:trHeight w:val="70"/>
        </w:trPr>
        <w:tc>
          <w:tcPr>
            <w:tcW w:w="994" w:type="dxa"/>
            <w:shd w:val="clear" w:color="auto" w:fill="FFFFFF" w:themeFill="background1"/>
            <w:noWrap/>
            <w:tcMar>
              <w:top w:w="0" w:type="dxa"/>
              <w:left w:w="108" w:type="dxa"/>
              <w:bottom w:w="0" w:type="dxa"/>
              <w:right w:w="108" w:type="dxa"/>
            </w:tcMar>
            <w:vAlign w:val="center"/>
          </w:tcPr>
          <w:p w14:paraId="4AD260B4"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31</w:t>
            </w:r>
          </w:p>
        </w:tc>
        <w:tc>
          <w:tcPr>
            <w:tcW w:w="1563" w:type="dxa"/>
            <w:shd w:val="clear" w:color="auto" w:fill="FFFFFF" w:themeFill="background1"/>
            <w:tcMar>
              <w:top w:w="0" w:type="dxa"/>
              <w:left w:w="108" w:type="dxa"/>
              <w:bottom w:w="0" w:type="dxa"/>
              <w:right w:w="108" w:type="dxa"/>
            </w:tcMar>
            <w:vAlign w:val="bottom"/>
          </w:tcPr>
          <w:p w14:paraId="03D4BE8C"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PDP-PS</w:t>
            </w:r>
          </w:p>
        </w:tc>
        <w:tc>
          <w:tcPr>
            <w:tcW w:w="851" w:type="dxa"/>
            <w:shd w:val="clear" w:color="auto" w:fill="FFFFFF" w:themeFill="background1"/>
            <w:tcMar>
              <w:top w:w="0" w:type="dxa"/>
              <w:left w:w="108" w:type="dxa"/>
              <w:bottom w:w="0" w:type="dxa"/>
              <w:right w:w="108" w:type="dxa"/>
            </w:tcMar>
            <w:vAlign w:val="center"/>
          </w:tcPr>
          <w:p w14:paraId="139EBC95"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 ½</w:t>
            </w:r>
          </w:p>
        </w:tc>
        <w:tc>
          <w:tcPr>
            <w:tcW w:w="1278" w:type="dxa"/>
            <w:shd w:val="clear" w:color="auto" w:fill="FFFFFF" w:themeFill="background1"/>
            <w:tcMar>
              <w:top w:w="0" w:type="dxa"/>
              <w:left w:w="108" w:type="dxa"/>
              <w:bottom w:w="0" w:type="dxa"/>
              <w:right w:w="108" w:type="dxa"/>
            </w:tcMar>
            <w:vAlign w:val="center"/>
          </w:tcPr>
          <w:p w14:paraId="4BB54AB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1,66%</w:t>
            </w:r>
          </w:p>
        </w:tc>
        <w:tc>
          <w:tcPr>
            <w:tcW w:w="710" w:type="dxa"/>
            <w:shd w:val="clear" w:color="auto" w:fill="FFFFFF" w:themeFill="background1"/>
            <w:tcMar>
              <w:top w:w="0" w:type="dxa"/>
              <w:left w:w="108" w:type="dxa"/>
              <w:bottom w:w="0" w:type="dxa"/>
              <w:right w:w="108" w:type="dxa"/>
            </w:tcMar>
            <w:vAlign w:val="center"/>
          </w:tcPr>
          <w:p w14:paraId="04FF226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w:t>
            </w:r>
          </w:p>
        </w:tc>
        <w:tc>
          <w:tcPr>
            <w:tcW w:w="1277" w:type="dxa"/>
            <w:shd w:val="clear" w:color="auto" w:fill="FFFFFF" w:themeFill="background1"/>
            <w:tcMar>
              <w:top w:w="0" w:type="dxa"/>
              <w:left w:w="108" w:type="dxa"/>
              <w:bottom w:w="0" w:type="dxa"/>
              <w:right w:w="108" w:type="dxa"/>
            </w:tcMar>
            <w:vAlign w:val="center"/>
          </w:tcPr>
          <w:p w14:paraId="4AD66795"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0,62%</w:t>
            </w:r>
          </w:p>
        </w:tc>
        <w:tc>
          <w:tcPr>
            <w:tcW w:w="994" w:type="dxa"/>
            <w:shd w:val="clear" w:color="auto" w:fill="FFFFFF" w:themeFill="background1"/>
            <w:tcMar>
              <w:top w:w="0" w:type="dxa"/>
              <w:left w:w="108" w:type="dxa"/>
              <w:bottom w:w="0" w:type="dxa"/>
              <w:right w:w="108" w:type="dxa"/>
            </w:tcMar>
            <w:vAlign w:val="center"/>
          </w:tcPr>
          <w:p w14:paraId="1E50AD8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 5/6</w:t>
            </w:r>
          </w:p>
        </w:tc>
        <w:tc>
          <w:tcPr>
            <w:tcW w:w="1419" w:type="dxa"/>
            <w:shd w:val="clear" w:color="auto" w:fill="FFFFFF" w:themeFill="background1"/>
            <w:tcMar>
              <w:top w:w="0" w:type="dxa"/>
              <w:left w:w="108" w:type="dxa"/>
              <w:bottom w:w="0" w:type="dxa"/>
              <w:right w:w="108" w:type="dxa"/>
            </w:tcMar>
            <w:vAlign w:val="center"/>
          </w:tcPr>
          <w:p w14:paraId="181CD055"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1,29%</w:t>
            </w:r>
          </w:p>
        </w:tc>
        <w:tc>
          <w:tcPr>
            <w:tcW w:w="852" w:type="dxa"/>
            <w:shd w:val="clear" w:color="auto" w:fill="FFFFFF" w:themeFill="background1"/>
            <w:tcMar>
              <w:top w:w="0" w:type="dxa"/>
              <w:left w:w="108" w:type="dxa"/>
              <w:bottom w:w="0" w:type="dxa"/>
              <w:right w:w="108" w:type="dxa"/>
            </w:tcMar>
            <w:vAlign w:val="center"/>
          </w:tcPr>
          <w:p w14:paraId="247115A3"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4</w:t>
            </w:r>
          </w:p>
        </w:tc>
        <w:tc>
          <w:tcPr>
            <w:tcW w:w="1277" w:type="dxa"/>
            <w:shd w:val="clear" w:color="auto" w:fill="FFFFFF" w:themeFill="background1"/>
            <w:tcMar>
              <w:top w:w="0" w:type="dxa"/>
              <w:left w:w="108" w:type="dxa"/>
              <w:bottom w:w="0" w:type="dxa"/>
              <w:right w:w="108" w:type="dxa"/>
            </w:tcMar>
            <w:vAlign w:val="center"/>
          </w:tcPr>
          <w:p w14:paraId="2157D001"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1,69%</w:t>
            </w:r>
          </w:p>
        </w:tc>
        <w:tc>
          <w:tcPr>
            <w:tcW w:w="994" w:type="dxa"/>
            <w:shd w:val="clear" w:color="auto" w:fill="FFFFFF" w:themeFill="background1"/>
            <w:tcMar>
              <w:top w:w="0" w:type="dxa"/>
              <w:left w:w="108" w:type="dxa"/>
              <w:bottom w:w="0" w:type="dxa"/>
              <w:right w:w="108" w:type="dxa"/>
            </w:tcMar>
            <w:vAlign w:val="center"/>
          </w:tcPr>
          <w:p w14:paraId="40D37C46" w14:textId="77777777" w:rsidR="00284822" w:rsidRDefault="00F77BF8">
            <w:pPr>
              <w:spacing w:line="240" w:lineRule="auto"/>
              <w:rPr>
                <w:rFonts w:ascii="Rockwell" w:hAnsi="Rockwell"/>
                <w:b/>
                <w:bCs/>
                <w:sz w:val="18"/>
                <w:szCs w:val="18"/>
              </w:rPr>
            </w:pPr>
            <w:r>
              <w:rPr>
                <w:rFonts w:ascii="Rockwell" w:hAnsi="Rockwell"/>
                <w:b/>
                <w:bCs/>
                <w:sz w:val="18"/>
                <w:szCs w:val="18"/>
              </w:rPr>
              <w:t>6 4/7</w:t>
            </w:r>
          </w:p>
        </w:tc>
        <w:tc>
          <w:tcPr>
            <w:tcW w:w="1136" w:type="dxa"/>
            <w:shd w:val="clear" w:color="auto" w:fill="FFFFFF" w:themeFill="background1"/>
            <w:tcMar>
              <w:top w:w="0" w:type="dxa"/>
              <w:left w:w="108" w:type="dxa"/>
              <w:bottom w:w="0" w:type="dxa"/>
              <w:right w:w="108" w:type="dxa"/>
            </w:tcMar>
            <w:vAlign w:val="center"/>
          </w:tcPr>
          <w:p w14:paraId="0C534EF7" w14:textId="77777777" w:rsidR="00284822" w:rsidRDefault="00F77BF8">
            <w:pPr>
              <w:spacing w:line="240" w:lineRule="auto"/>
              <w:rPr>
                <w:rFonts w:ascii="Rockwell" w:hAnsi="Rockwell"/>
                <w:b/>
                <w:bCs/>
                <w:sz w:val="18"/>
                <w:szCs w:val="18"/>
              </w:rPr>
            </w:pPr>
            <w:r>
              <w:rPr>
                <w:rFonts w:ascii="Rockwell" w:hAnsi="Rockwell"/>
                <w:b/>
                <w:bCs/>
                <w:sz w:val="18"/>
                <w:szCs w:val="18"/>
              </w:rPr>
              <w:t>1,53%</w:t>
            </w:r>
          </w:p>
        </w:tc>
        <w:tc>
          <w:tcPr>
            <w:tcW w:w="851" w:type="dxa"/>
            <w:shd w:val="clear" w:color="auto" w:fill="FFFFFF" w:themeFill="background1"/>
            <w:tcMar>
              <w:top w:w="0" w:type="dxa"/>
              <w:left w:w="108" w:type="dxa"/>
              <w:bottom w:w="0" w:type="dxa"/>
              <w:right w:w="108" w:type="dxa"/>
            </w:tcMar>
            <w:vAlign w:val="center"/>
          </w:tcPr>
          <w:p w14:paraId="730922C8" w14:textId="77777777" w:rsidR="00284822" w:rsidRDefault="00F77BF8">
            <w:pPr>
              <w:spacing w:line="240" w:lineRule="auto"/>
              <w:rPr>
                <w:rFonts w:ascii="Rockwell" w:hAnsi="Rockwell"/>
                <w:b/>
                <w:bCs/>
                <w:sz w:val="18"/>
                <w:szCs w:val="18"/>
              </w:rPr>
            </w:pPr>
            <w:r>
              <w:rPr>
                <w:rFonts w:ascii="Rockwell" w:hAnsi="Rockwell"/>
                <w:b/>
                <w:bCs/>
                <w:sz w:val="18"/>
                <w:szCs w:val="18"/>
              </w:rPr>
              <w:t>15</w:t>
            </w:r>
          </w:p>
        </w:tc>
        <w:tc>
          <w:tcPr>
            <w:tcW w:w="1136" w:type="dxa"/>
            <w:shd w:val="clear" w:color="auto" w:fill="FFFFFF" w:themeFill="background1"/>
            <w:tcMar>
              <w:top w:w="0" w:type="dxa"/>
              <w:left w:w="108" w:type="dxa"/>
              <w:bottom w:w="0" w:type="dxa"/>
              <w:right w:w="108" w:type="dxa"/>
            </w:tcMar>
            <w:vAlign w:val="center"/>
          </w:tcPr>
          <w:p w14:paraId="408856AE" w14:textId="77777777" w:rsidR="00284822" w:rsidRDefault="00F77BF8">
            <w:pPr>
              <w:spacing w:line="240" w:lineRule="auto"/>
              <w:rPr>
                <w:rFonts w:ascii="Rockwell" w:hAnsi="Rockwell"/>
                <w:b/>
                <w:bCs/>
                <w:sz w:val="18"/>
                <w:szCs w:val="18"/>
              </w:rPr>
            </w:pPr>
            <w:r>
              <w:rPr>
                <w:rFonts w:ascii="Rockwell" w:hAnsi="Rockwell"/>
                <w:b/>
                <w:bCs/>
                <w:sz w:val="18"/>
                <w:szCs w:val="18"/>
              </w:rPr>
              <w:t>2,00%</w:t>
            </w:r>
          </w:p>
        </w:tc>
      </w:tr>
      <w:tr w:rsidR="00284822" w14:paraId="1827A39E" w14:textId="77777777">
        <w:trPr>
          <w:gridAfter w:val="1"/>
          <w:wAfter w:w="6" w:type="dxa"/>
          <w:trHeight w:val="70"/>
        </w:trPr>
        <w:tc>
          <w:tcPr>
            <w:tcW w:w="994" w:type="dxa"/>
            <w:shd w:val="clear" w:color="auto" w:fill="FFFFFF" w:themeFill="background1"/>
            <w:noWrap/>
            <w:tcMar>
              <w:top w:w="0" w:type="dxa"/>
              <w:left w:w="108" w:type="dxa"/>
              <w:bottom w:w="0" w:type="dxa"/>
              <w:right w:w="108" w:type="dxa"/>
            </w:tcMar>
            <w:vAlign w:val="center"/>
          </w:tcPr>
          <w:p w14:paraId="3C3ADFC6"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32</w:t>
            </w:r>
          </w:p>
        </w:tc>
        <w:tc>
          <w:tcPr>
            <w:tcW w:w="1563" w:type="dxa"/>
            <w:shd w:val="clear" w:color="auto" w:fill="FFFFFF" w:themeFill="background1"/>
            <w:tcMar>
              <w:top w:w="0" w:type="dxa"/>
              <w:left w:w="108" w:type="dxa"/>
              <w:bottom w:w="0" w:type="dxa"/>
              <w:right w:w="108" w:type="dxa"/>
            </w:tcMar>
            <w:vAlign w:val="bottom"/>
          </w:tcPr>
          <w:p w14:paraId="39A78805"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PDS</w:t>
            </w:r>
          </w:p>
        </w:tc>
        <w:tc>
          <w:tcPr>
            <w:tcW w:w="851" w:type="dxa"/>
            <w:shd w:val="clear" w:color="auto" w:fill="FFFFFF" w:themeFill="background1"/>
            <w:tcMar>
              <w:top w:w="0" w:type="dxa"/>
              <w:left w:w="108" w:type="dxa"/>
              <w:bottom w:w="0" w:type="dxa"/>
              <w:right w:w="108" w:type="dxa"/>
            </w:tcMar>
            <w:vAlign w:val="center"/>
          </w:tcPr>
          <w:p w14:paraId="6B1A0087"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8" w:type="dxa"/>
            <w:shd w:val="clear" w:color="auto" w:fill="FFFFFF" w:themeFill="background1"/>
            <w:tcMar>
              <w:top w:w="0" w:type="dxa"/>
              <w:left w:w="108" w:type="dxa"/>
              <w:bottom w:w="0" w:type="dxa"/>
              <w:right w:w="108" w:type="dxa"/>
            </w:tcMar>
            <w:vAlign w:val="center"/>
          </w:tcPr>
          <w:p w14:paraId="5F933DA4"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710" w:type="dxa"/>
            <w:shd w:val="clear" w:color="auto" w:fill="FFFFFF" w:themeFill="background1"/>
            <w:tcMar>
              <w:top w:w="0" w:type="dxa"/>
              <w:left w:w="108" w:type="dxa"/>
              <w:bottom w:w="0" w:type="dxa"/>
              <w:right w:w="108" w:type="dxa"/>
            </w:tcMar>
            <w:vAlign w:val="center"/>
          </w:tcPr>
          <w:p w14:paraId="2EB0AD7F"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7" w:type="dxa"/>
            <w:shd w:val="clear" w:color="auto" w:fill="FFFFFF" w:themeFill="background1"/>
            <w:tcMar>
              <w:top w:w="0" w:type="dxa"/>
              <w:left w:w="108" w:type="dxa"/>
              <w:bottom w:w="0" w:type="dxa"/>
              <w:right w:w="108" w:type="dxa"/>
            </w:tcMar>
            <w:vAlign w:val="center"/>
          </w:tcPr>
          <w:p w14:paraId="4AFCB0B6"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94" w:type="dxa"/>
            <w:shd w:val="clear" w:color="auto" w:fill="FFFFFF" w:themeFill="background1"/>
            <w:tcMar>
              <w:top w:w="0" w:type="dxa"/>
              <w:left w:w="108" w:type="dxa"/>
              <w:bottom w:w="0" w:type="dxa"/>
              <w:right w:w="108" w:type="dxa"/>
            </w:tcMar>
            <w:vAlign w:val="center"/>
          </w:tcPr>
          <w:p w14:paraId="5B140C35"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419" w:type="dxa"/>
            <w:shd w:val="clear" w:color="auto" w:fill="FFFFFF" w:themeFill="background1"/>
            <w:tcMar>
              <w:top w:w="0" w:type="dxa"/>
              <w:left w:w="108" w:type="dxa"/>
              <w:bottom w:w="0" w:type="dxa"/>
              <w:right w:w="108" w:type="dxa"/>
            </w:tcMar>
            <w:vAlign w:val="center"/>
          </w:tcPr>
          <w:p w14:paraId="2B254225"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852" w:type="dxa"/>
            <w:shd w:val="clear" w:color="auto" w:fill="FFFFFF" w:themeFill="background1"/>
            <w:tcMar>
              <w:top w:w="0" w:type="dxa"/>
              <w:left w:w="108" w:type="dxa"/>
              <w:bottom w:w="0" w:type="dxa"/>
              <w:right w:w="108" w:type="dxa"/>
            </w:tcMar>
            <w:vAlign w:val="center"/>
          </w:tcPr>
          <w:p w14:paraId="4F6746B4"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7" w:type="dxa"/>
            <w:shd w:val="clear" w:color="auto" w:fill="FFFFFF" w:themeFill="background1"/>
            <w:tcMar>
              <w:top w:w="0" w:type="dxa"/>
              <w:left w:w="108" w:type="dxa"/>
              <w:bottom w:w="0" w:type="dxa"/>
              <w:right w:w="108" w:type="dxa"/>
            </w:tcMar>
            <w:vAlign w:val="center"/>
          </w:tcPr>
          <w:p w14:paraId="4810493F"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94" w:type="dxa"/>
            <w:shd w:val="clear" w:color="auto" w:fill="FFFFFF" w:themeFill="background1"/>
            <w:tcMar>
              <w:top w:w="0" w:type="dxa"/>
              <w:left w:w="108" w:type="dxa"/>
              <w:bottom w:w="0" w:type="dxa"/>
              <w:right w:w="108" w:type="dxa"/>
            </w:tcMar>
            <w:vAlign w:val="center"/>
          </w:tcPr>
          <w:p w14:paraId="33D6D845" w14:textId="77777777" w:rsidR="00284822" w:rsidRDefault="00F77BF8">
            <w:pPr>
              <w:spacing w:line="240" w:lineRule="auto"/>
              <w:rPr>
                <w:rFonts w:ascii="Rockwell" w:hAnsi="Rockwell"/>
                <w:b/>
                <w:bCs/>
                <w:sz w:val="18"/>
                <w:szCs w:val="18"/>
              </w:rPr>
            </w:pPr>
            <w:r>
              <w:rPr>
                <w:rFonts w:ascii="Rockwell" w:hAnsi="Rockwell"/>
                <w:b/>
                <w:bCs/>
                <w:sz w:val="18"/>
                <w:szCs w:val="18"/>
              </w:rPr>
              <w:t>1/2</w:t>
            </w:r>
          </w:p>
        </w:tc>
        <w:tc>
          <w:tcPr>
            <w:tcW w:w="1136" w:type="dxa"/>
            <w:shd w:val="clear" w:color="auto" w:fill="FFFFFF" w:themeFill="background1"/>
            <w:tcMar>
              <w:top w:w="0" w:type="dxa"/>
              <w:left w:w="108" w:type="dxa"/>
              <w:bottom w:w="0" w:type="dxa"/>
              <w:right w:w="108" w:type="dxa"/>
            </w:tcMar>
            <w:vAlign w:val="center"/>
          </w:tcPr>
          <w:p w14:paraId="54339580" w14:textId="77777777" w:rsidR="00284822" w:rsidRDefault="00F77BF8">
            <w:pPr>
              <w:spacing w:line="240" w:lineRule="auto"/>
              <w:rPr>
                <w:rFonts w:ascii="Rockwell" w:hAnsi="Rockwell"/>
                <w:b/>
                <w:bCs/>
                <w:sz w:val="18"/>
                <w:szCs w:val="18"/>
              </w:rPr>
            </w:pPr>
            <w:r>
              <w:rPr>
                <w:rFonts w:ascii="Rockwell" w:hAnsi="Rockwell"/>
                <w:b/>
                <w:bCs/>
                <w:sz w:val="18"/>
                <w:szCs w:val="18"/>
              </w:rPr>
              <w:t>0,12%</w:t>
            </w:r>
          </w:p>
        </w:tc>
        <w:tc>
          <w:tcPr>
            <w:tcW w:w="851" w:type="dxa"/>
            <w:shd w:val="clear" w:color="auto" w:fill="FFFFFF" w:themeFill="background1"/>
            <w:tcMar>
              <w:top w:w="0" w:type="dxa"/>
              <w:left w:w="108" w:type="dxa"/>
              <w:bottom w:w="0" w:type="dxa"/>
              <w:right w:w="108" w:type="dxa"/>
            </w:tcMar>
            <w:vAlign w:val="center"/>
          </w:tcPr>
          <w:p w14:paraId="59FB1F72" w14:textId="77777777" w:rsidR="00284822" w:rsidRDefault="00F77BF8">
            <w:pPr>
              <w:spacing w:line="240" w:lineRule="auto"/>
              <w:rPr>
                <w:rFonts w:ascii="Rockwell" w:hAnsi="Rockwell"/>
                <w:b/>
                <w:bCs/>
                <w:sz w:val="18"/>
                <w:szCs w:val="18"/>
              </w:rPr>
            </w:pPr>
            <w:r>
              <w:rPr>
                <w:rFonts w:ascii="Rockwell" w:hAnsi="Rockwell"/>
                <w:b/>
                <w:bCs/>
                <w:sz w:val="18"/>
                <w:szCs w:val="18"/>
              </w:rPr>
              <w:t>2</w:t>
            </w:r>
          </w:p>
        </w:tc>
        <w:tc>
          <w:tcPr>
            <w:tcW w:w="1136" w:type="dxa"/>
            <w:shd w:val="clear" w:color="auto" w:fill="FFFFFF" w:themeFill="background1"/>
            <w:tcMar>
              <w:top w:w="0" w:type="dxa"/>
              <w:left w:w="108" w:type="dxa"/>
              <w:bottom w:w="0" w:type="dxa"/>
              <w:right w:w="108" w:type="dxa"/>
            </w:tcMar>
            <w:vAlign w:val="center"/>
          </w:tcPr>
          <w:p w14:paraId="11F2515A" w14:textId="77777777" w:rsidR="00284822" w:rsidRDefault="00F77BF8">
            <w:pPr>
              <w:spacing w:line="240" w:lineRule="auto"/>
              <w:rPr>
                <w:rFonts w:ascii="Rockwell" w:hAnsi="Rockwell"/>
                <w:b/>
                <w:bCs/>
                <w:sz w:val="18"/>
                <w:szCs w:val="18"/>
              </w:rPr>
            </w:pPr>
            <w:r>
              <w:rPr>
                <w:rFonts w:ascii="Rockwell" w:hAnsi="Rockwell"/>
                <w:b/>
                <w:bCs/>
                <w:sz w:val="18"/>
                <w:szCs w:val="18"/>
              </w:rPr>
              <w:t>0,27%</w:t>
            </w:r>
          </w:p>
        </w:tc>
      </w:tr>
      <w:tr w:rsidR="00284822" w14:paraId="21EE802B" w14:textId="77777777">
        <w:trPr>
          <w:gridAfter w:val="1"/>
          <w:wAfter w:w="6" w:type="dxa"/>
          <w:trHeight w:val="70"/>
        </w:trPr>
        <w:tc>
          <w:tcPr>
            <w:tcW w:w="994" w:type="dxa"/>
            <w:shd w:val="clear" w:color="auto" w:fill="FFFFFF" w:themeFill="background1"/>
            <w:noWrap/>
            <w:tcMar>
              <w:top w:w="0" w:type="dxa"/>
              <w:left w:w="108" w:type="dxa"/>
              <w:bottom w:w="0" w:type="dxa"/>
              <w:right w:w="108" w:type="dxa"/>
            </w:tcMar>
            <w:vAlign w:val="center"/>
          </w:tcPr>
          <w:p w14:paraId="43BCA789"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33</w:t>
            </w:r>
          </w:p>
        </w:tc>
        <w:tc>
          <w:tcPr>
            <w:tcW w:w="1563" w:type="dxa"/>
            <w:shd w:val="clear" w:color="auto" w:fill="FFFFFF" w:themeFill="background1"/>
            <w:tcMar>
              <w:top w:w="0" w:type="dxa"/>
              <w:left w:w="108" w:type="dxa"/>
              <w:bottom w:w="0" w:type="dxa"/>
              <w:right w:w="108" w:type="dxa"/>
            </w:tcMar>
            <w:vAlign w:val="bottom"/>
          </w:tcPr>
          <w:p w14:paraId="37740305"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PIB</w:t>
            </w:r>
          </w:p>
        </w:tc>
        <w:tc>
          <w:tcPr>
            <w:tcW w:w="851" w:type="dxa"/>
            <w:shd w:val="clear" w:color="auto" w:fill="FFFFFF" w:themeFill="background1"/>
            <w:tcMar>
              <w:top w:w="0" w:type="dxa"/>
              <w:left w:w="108" w:type="dxa"/>
              <w:bottom w:w="0" w:type="dxa"/>
              <w:right w:w="108" w:type="dxa"/>
            </w:tcMar>
            <w:vAlign w:val="center"/>
          </w:tcPr>
          <w:p w14:paraId="78A49EE5"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8" w:type="dxa"/>
            <w:shd w:val="clear" w:color="auto" w:fill="FFFFFF" w:themeFill="background1"/>
            <w:tcMar>
              <w:top w:w="0" w:type="dxa"/>
              <w:left w:w="108" w:type="dxa"/>
              <w:bottom w:w="0" w:type="dxa"/>
              <w:right w:w="108" w:type="dxa"/>
            </w:tcMar>
            <w:vAlign w:val="center"/>
          </w:tcPr>
          <w:p w14:paraId="5E70AD5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710" w:type="dxa"/>
            <w:shd w:val="clear" w:color="auto" w:fill="FFFFFF" w:themeFill="background1"/>
            <w:tcMar>
              <w:top w:w="0" w:type="dxa"/>
              <w:left w:w="108" w:type="dxa"/>
              <w:bottom w:w="0" w:type="dxa"/>
              <w:right w:w="108" w:type="dxa"/>
            </w:tcMar>
            <w:vAlign w:val="center"/>
          </w:tcPr>
          <w:p w14:paraId="23B740C5"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7" w:type="dxa"/>
            <w:shd w:val="clear" w:color="auto" w:fill="FFFFFF" w:themeFill="background1"/>
            <w:tcMar>
              <w:top w:w="0" w:type="dxa"/>
              <w:left w:w="108" w:type="dxa"/>
              <w:bottom w:w="0" w:type="dxa"/>
              <w:right w:w="108" w:type="dxa"/>
            </w:tcMar>
            <w:vAlign w:val="center"/>
          </w:tcPr>
          <w:p w14:paraId="483C8EB2"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94" w:type="dxa"/>
            <w:shd w:val="clear" w:color="auto" w:fill="FFFFFF" w:themeFill="background1"/>
            <w:tcMar>
              <w:top w:w="0" w:type="dxa"/>
              <w:left w:w="108" w:type="dxa"/>
              <w:bottom w:w="0" w:type="dxa"/>
              <w:right w:w="108" w:type="dxa"/>
            </w:tcMar>
            <w:vAlign w:val="center"/>
          </w:tcPr>
          <w:p w14:paraId="563B274B"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419" w:type="dxa"/>
            <w:shd w:val="clear" w:color="auto" w:fill="FFFFFF" w:themeFill="background1"/>
            <w:tcMar>
              <w:top w:w="0" w:type="dxa"/>
              <w:left w:w="108" w:type="dxa"/>
              <w:bottom w:w="0" w:type="dxa"/>
              <w:right w:w="108" w:type="dxa"/>
            </w:tcMar>
            <w:vAlign w:val="center"/>
          </w:tcPr>
          <w:p w14:paraId="365F3FE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852" w:type="dxa"/>
            <w:shd w:val="clear" w:color="auto" w:fill="FFFFFF" w:themeFill="background1"/>
            <w:tcMar>
              <w:top w:w="0" w:type="dxa"/>
              <w:left w:w="108" w:type="dxa"/>
              <w:bottom w:w="0" w:type="dxa"/>
              <w:right w:w="108" w:type="dxa"/>
            </w:tcMar>
            <w:vAlign w:val="center"/>
          </w:tcPr>
          <w:p w14:paraId="7F23BB69"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7" w:type="dxa"/>
            <w:shd w:val="clear" w:color="auto" w:fill="FFFFFF" w:themeFill="background1"/>
            <w:tcMar>
              <w:top w:w="0" w:type="dxa"/>
              <w:left w:w="108" w:type="dxa"/>
              <w:bottom w:w="0" w:type="dxa"/>
              <w:right w:w="108" w:type="dxa"/>
            </w:tcMar>
            <w:vAlign w:val="center"/>
          </w:tcPr>
          <w:p w14:paraId="18D9AF52"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94" w:type="dxa"/>
            <w:shd w:val="clear" w:color="auto" w:fill="FFFFFF" w:themeFill="background1"/>
            <w:tcMar>
              <w:top w:w="0" w:type="dxa"/>
              <w:left w:w="108" w:type="dxa"/>
              <w:bottom w:w="0" w:type="dxa"/>
              <w:right w:w="108" w:type="dxa"/>
            </w:tcMar>
            <w:vAlign w:val="center"/>
          </w:tcPr>
          <w:p w14:paraId="7227A026" w14:textId="77777777" w:rsidR="00284822" w:rsidRDefault="00F77BF8">
            <w:pPr>
              <w:spacing w:line="240" w:lineRule="auto"/>
              <w:rPr>
                <w:rFonts w:ascii="Rockwell" w:hAnsi="Rockwell"/>
                <w:b/>
                <w:bCs/>
                <w:sz w:val="18"/>
                <w:szCs w:val="18"/>
              </w:rPr>
            </w:pPr>
            <w:r>
              <w:rPr>
                <w:rFonts w:ascii="Rockwell" w:hAnsi="Rockwell"/>
                <w:b/>
                <w:bCs/>
                <w:sz w:val="18"/>
                <w:szCs w:val="18"/>
              </w:rPr>
              <w:t>1/2</w:t>
            </w:r>
          </w:p>
        </w:tc>
        <w:tc>
          <w:tcPr>
            <w:tcW w:w="1136" w:type="dxa"/>
            <w:shd w:val="clear" w:color="auto" w:fill="FFFFFF" w:themeFill="background1"/>
            <w:tcMar>
              <w:top w:w="0" w:type="dxa"/>
              <w:left w:w="108" w:type="dxa"/>
              <w:bottom w:w="0" w:type="dxa"/>
              <w:right w:w="108" w:type="dxa"/>
            </w:tcMar>
            <w:vAlign w:val="center"/>
          </w:tcPr>
          <w:p w14:paraId="7537B6F4" w14:textId="77777777" w:rsidR="00284822" w:rsidRDefault="00F77BF8">
            <w:pPr>
              <w:spacing w:line="240" w:lineRule="auto"/>
              <w:rPr>
                <w:rFonts w:ascii="Rockwell" w:hAnsi="Rockwell"/>
                <w:b/>
                <w:bCs/>
                <w:sz w:val="18"/>
                <w:szCs w:val="18"/>
              </w:rPr>
            </w:pPr>
            <w:r>
              <w:rPr>
                <w:rFonts w:ascii="Rockwell" w:hAnsi="Rockwell"/>
                <w:b/>
                <w:bCs/>
                <w:sz w:val="18"/>
                <w:szCs w:val="18"/>
              </w:rPr>
              <w:t>0,12%</w:t>
            </w:r>
          </w:p>
        </w:tc>
        <w:tc>
          <w:tcPr>
            <w:tcW w:w="851" w:type="dxa"/>
            <w:shd w:val="clear" w:color="auto" w:fill="FFFFFF" w:themeFill="background1"/>
            <w:tcMar>
              <w:top w:w="0" w:type="dxa"/>
              <w:left w:w="108" w:type="dxa"/>
              <w:bottom w:w="0" w:type="dxa"/>
              <w:right w:w="108" w:type="dxa"/>
            </w:tcMar>
            <w:vAlign w:val="center"/>
          </w:tcPr>
          <w:p w14:paraId="7572B73B" w14:textId="77777777" w:rsidR="00284822" w:rsidRDefault="00F77BF8">
            <w:pPr>
              <w:spacing w:line="240" w:lineRule="auto"/>
              <w:rPr>
                <w:rFonts w:ascii="Rockwell" w:hAnsi="Rockwell"/>
                <w:b/>
                <w:bCs/>
                <w:sz w:val="18"/>
                <w:szCs w:val="18"/>
              </w:rPr>
            </w:pPr>
            <w:r>
              <w:rPr>
                <w:rFonts w:ascii="Rockwell" w:hAnsi="Rockwell"/>
                <w:b/>
                <w:bCs/>
                <w:sz w:val="18"/>
                <w:szCs w:val="18"/>
              </w:rPr>
              <w:t>1</w:t>
            </w:r>
          </w:p>
        </w:tc>
        <w:tc>
          <w:tcPr>
            <w:tcW w:w="1136" w:type="dxa"/>
            <w:shd w:val="clear" w:color="auto" w:fill="FFFFFF" w:themeFill="background1"/>
            <w:tcMar>
              <w:top w:w="0" w:type="dxa"/>
              <w:left w:w="108" w:type="dxa"/>
              <w:bottom w:w="0" w:type="dxa"/>
              <w:right w:w="108" w:type="dxa"/>
            </w:tcMar>
            <w:vAlign w:val="center"/>
          </w:tcPr>
          <w:p w14:paraId="4CEC57BB" w14:textId="77777777" w:rsidR="00284822" w:rsidRDefault="00F77BF8">
            <w:pPr>
              <w:spacing w:line="240" w:lineRule="auto"/>
              <w:rPr>
                <w:rFonts w:ascii="Rockwell" w:hAnsi="Rockwell"/>
                <w:b/>
                <w:bCs/>
                <w:sz w:val="18"/>
                <w:szCs w:val="18"/>
              </w:rPr>
            </w:pPr>
            <w:r>
              <w:rPr>
                <w:rFonts w:ascii="Rockwell" w:hAnsi="Rockwell"/>
                <w:b/>
                <w:bCs/>
                <w:sz w:val="18"/>
                <w:szCs w:val="18"/>
              </w:rPr>
              <w:t>0,13%</w:t>
            </w:r>
          </w:p>
        </w:tc>
      </w:tr>
      <w:tr w:rsidR="00284822" w14:paraId="40553990" w14:textId="77777777">
        <w:trPr>
          <w:gridAfter w:val="1"/>
          <w:wAfter w:w="6" w:type="dxa"/>
          <w:trHeight w:val="217"/>
        </w:trPr>
        <w:tc>
          <w:tcPr>
            <w:tcW w:w="994" w:type="dxa"/>
            <w:shd w:val="clear" w:color="auto" w:fill="FFFFFF" w:themeFill="background1"/>
            <w:noWrap/>
            <w:tcMar>
              <w:top w:w="0" w:type="dxa"/>
              <w:left w:w="108" w:type="dxa"/>
              <w:bottom w:w="0" w:type="dxa"/>
              <w:right w:w="108" w:type="dxa"/>
            </w:tcMar>
          </w:tcPr>
          <w:p w14:paraId="55B7C64A"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35</w:t>
            </w:r>
          </w:p>
        </w:tc>
        <w:tc>
          <w:tcPr>
            <w:tcW w:w="1563" w:type="dxa"/>
            <w:shd w:val="clear" w:color="auto" w:fill="FFFFFF" w:themeFill="background1"/>
            <w:tcMar>
              <w:top w:w="0" w:type="dxa"/>
              <w:left w:w="108" w:type="dxa"/>
              <w:bottom w:w="0" w:type="dxa"/>
              <w:right w:w="108" w:type="dxa"/>
            </w:tcMar>
          </w:tcPr>
          <w:p w14:paraId="063EE877"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PPR</w:t>
            </w:r>
          </w:p>
        </w:tc>
        <w:tc>
          <w:tcPr>
            <w:tcW w:w="851" w:type="dxa"/>
            <w:shd w:val="clear" w:color="auto" w:fill="FFFFFF" w:themeFill="background1"/>
            <w:tcMar>
              <w:top w:w="0" w:type="dxa"/>
              <w:left w:w="108" w:type="dxa"/>
              <w:bottom w:w="0" w:type="dxa"/>
              <w:right w:w="108" w:type="dxa"/>
            </w:tcMar>
          </w:tcPr>
          <w:p w14:paraId="3668E01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 ½</w:t>
            </w:r>
          </w:p>
        </w:tc>
        <w:tc>
          <w:tcPr>
            <w:tcW w:w="1278" w:type="dxa"/>
            <w:shd w:val="clear" w:color="auto" w:fill="FFFFFF" w:themeFill="background1"/>
            <w:tcMar>
              <w:top w:w="0" w:type="dxa"/>
              <w:left w:w="108" w:type="dxa"/>
              <w:bottom w:w="0" w:type="dxa"/>
              <w:right w:w="108" w:type="dxa"/>
            </w:tcMar>
          </w:tcPr>
          <w:p w14:paraId="7068C6E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3,87%</w:t>
            </w:r>
          </w:p>
        </w:tc>
        <w:tc>
          <w:tcPr>
            <w:tcW w:w="710" w:type="dxa"/>
            <w:shd w:val="clear" w:color="auto" w:fill="FFFFFF" w:themeFill="background1"/>
            <w:tcMar>
              <w:top w:w="0" w:type="dxa"/>
              <w:left w:w="108" w:type="dxa"/>
              <w:bottom w:w="0" w:type="dxa"/>
              <w:right w:w="108" w:type="dxa"/>
            </w:tcMar>
          </w:tcPr>
          <w:p w14:paraId="7EA3D79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w:t>
            </w:r>
          </w:p>
        </w:tc>
        <w:tc>
          <w:tcPr>
            <w:tcW w:w="1277" w:type="dxa"/>
            <w:shd w:val="clear" w:color="auto" w:fill="FFFFFF" w:themeFill="background1"/>
            <w:tcMar>
              <w:top w:w="0" w:type="dxa"/>
              <w:left w:w="108" w:type="dxa"/>
              <w:bottom w:w="0" w:type="dxa"/>
              <w:right w:w="108" w:type="dxa"/>
            </w:tcMar>
          </w:tcPr>
          <w:p w14:paraId="6E91F0D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1,23%</w:t>
            </w:r>
          </w:p>
        </w:tc>
        <w:tc>
          <w:tcPr>
            <w:tcW w:w="994" w:type="dxa"/>
            <w:shd w:val="clear" w:color="auto" w:fill="FFFFFF" w:themeFill="background1"/>
            <w:tcMar>
              <w:top w:w="0" w:type="dxa"/>
              <w:left w:w="108" w:type="dxa"/>
              <w:bottom w:w="0" w:type="dxa"/>
              <w:right w:w="108" w:type="dxa"/>
            </w:tcMar>
          </w:tcPr>
          <w:p w14:paraId="6FD1BBED" w14:textId="77777777" w:rsidR="00284822" w:rsidRDefault="00284822">
            <w:pPr>
              <w:spacing w:line="240" w:lineRule="auto"/>
              <w:jc w:val="left"/>
              <w:rPr>
                <w:rFonts w:ascii="Rockwell" w:hAnsi="Rockwell"/>
                <w:color w:val="000000"/>
                <w:sz w:val="18"/>
                <w:szCs w:val="18"/>
              </w:rPr>
            </w:pPr>
          </w:p>
        </w:tc>
        <w:tc>
          <w:tcPr>
            <w:tcW w:w="1419" w:type="dxa"/>
            <w:shd w:val="clear" w:color="auto" w:fill="FFFFFF" w:themeFill="background1"/>
            <w:tcMar>
              <w:top w:w="0" w:type="dxa"/>
              <w:left w:w="108" w:type="dxa"/>
              <w:bottom w:w="0" w:type="dxa"/>
              <w:right w:w="108" w:type="dxa"/>
            </w:tcMar>
          </w:tcPr>
          <w:p w14:paraId="5C23601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2" w:type="dxa"/>
            <w:shd w:val="clear" w:color="auto" w:fill="FFFFFF" w:themeFill="background1"/>
            <w:tcMar>
              <w:top w:w="0" w:type="dxa"/>
              <w:left w:w="108" w:type="dxa"/>
              <w:bottom w:w="0" w:type="dxa"/>
              <w:right w:w="108" w:type="dxa"/>
            </w:tcMar>
          </w:tcPr>
          <w:p w14:paraId="542B43D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1277" w:type="dxa"/>
            <w:shd w:val="clear" w:color="auto" w:fill="FFFFFF" w:themeFill="background1"/>
            <w:tcMar>
              <w:top w:w="0" w:type="dxa"/>
              <w:left w:w="108" w:type="dxa"/>
              <w:bottom w:w="0" w:type="dxa"/>
              <w:right w:w="108" w:type="dxa"/>
            </w:tcMar>
          </w:tcPr>
          <w:p w14:paraId="1AD5E93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994" w:type="dxa"/>
            <w:shd w:val="clear" w:color="auto" w:fill="FFFFFF" w:themeFill="background1"/>
            <w:tcMar>
              <w:top w:w="0" w:type="dxa"/>
              <w:left w:w="108" w:type="dxa"/>
              <w:bottom w:w="0" w:type="dxa"/>
              <w:right w:w="108" w:type="dxa"/>
            </w:tcMar>
          </w:tcPr>
          <w:p w14:paraId="1B5FDA17" w14:textId="77777777" w:rsidR="00284822" w:rsidRDefault="00F77BF8">
            <w:pPr>
              <w:spacing w:line="240" w:lineRule="auto"/>
              <w:jc w:val="left"/>
              <w:rPr>
                <w:rFonts w:ascii="Rockwell" w:hAnsi="Rockwell"/>
                <w:b/>
                <w:bCs/>
                <w:sz w:val="18"/>
                <w:szCs w:val="18"/>
              </w:rPr>
            </w:pPr>
            <w:r>
              <w:rPr>
                <w:rFonts w:ascii="Rockwell" w:hAnsi="Rockwell"/>
                <w:b/>
                <w:bCs/>
                <w:sz w:val="18"/>
                <w:szCs w:val="18"/>
              </w:rPr>
              <w:t>3 1/2</w:t>
            </w:r>
          </w:p>
        </w:tc>
        <w:tc>
          <w:tcPr>
            <w:tcW w:w="1136" w:type="dxa"/>
            <w:shd w:val="clear" w:color="auto" w:fill="FFFFFF" w:themeFill="background1"/>
            <w:tcMar>
              <w:top w:w="0" w:type="dxa"/>
              <w:left w:w="108" w:type="dxa"/>
              <w:bottom w:w="0" w:type="dxa"/>
              <w:right w:w="108" w:type="dxa"/>
            </w:tcMar>
          </w:tcPr>
          <w:p w14:paraId="473E5D4D" w14:textId="77777777" w:rsidR="00284822" w:rsidRDefault="00F77BF8">
            <w:pPr>
              <w:spacing w:line="240" w:lineRule="auto"/>
              <w:jc w:val="left"/>
              <w:rPr>
                <w:rFonts w:ascii="Rockwell" w:hAnsi="Rockwell"/>
                <w:b/>
                <w:bCs/>
                <w:sz w:val="18"/>
                <w:szCs w:val="18"/>
              </w:rPr>
            </w:pPr>
            <w:r>
              <w:rPr>
                <w:rFonts w:ascii="Rockwell" w:hAnsi="Rockwell"/>
                <w:b/>
                <w:bCs/>
                <w:sz w:val="18"/>
                <w:szCs w:val="18"/>
              </w:rPr>
              <w:t>0,81%</w:t>
            </w:r>
          </w:p>
        </w:tc>
        <w:tc>
          <w:tcPr>
            <w:tcW w:w="851" w:type="dxa"/>
            <w:shd w:val="clear" w:color="auto" w:fill="FFFFFF" w:themeFill="background1"/>
            <w:tcMar>
              <w:top w:w="0" w:type="dxa"/>
              <w:left w:w="108" w:type="dxa"/>
              <w:bottom w:w="0" w:type="dxa"/>
              <w:right w:w="108" w:type="dxa"/>
            </w:tcMar>
          </w:tcPr>
          <w:p w14:paraId="3E8E2E9C" w14:textId="77777777" w:rsidR="00284822" w:rsidRDefault="00F77BF8">
            <w:pPr>
              <w:spacing w:line="240" w:lineRule="auto"/>
              <w:jc w:val="left"/>
              <w:rPr>
                <w:rFonts w:ascii="Rockwell" w:hAnsi="Rockwell"/>
                <w:b/>
                <w:bCs/>
                <w:sz w:val="18"/>
                <w:szCs w:val="18"/>
              </w:rPr>
            </w:pPr>
            <w:r>
              <w:rPr>
                <w:rFonts w:ascii="Rockwell" w:hAnsi="Rockwell"/>
                <w:b/>
                <w:bCs/>
                <w:sz w:val="18"/>
                <w:szCs w:val="18"/>
              </w:rPr>
              <w:t>2</w:t>
            </w:r>
          </w:p>
        </w:tc>
        <w:tc>
          <w:tcPr>
            <w:tcW w:w="1136" w:type="dxa"/>
            <w:shd w:val="clear" w:color="auto" w:fill="FFFFFF" w:themeFill="background1"/>
            <w:tcMar>
              <w:top w:w="0" w:type="dxa"/>
              <w:left w:w="108" w:type="dxa"/>
              <w:bottom w:w="0" w:type="dxa"/>
              <w:right w:w="108" w:type="dxa"/>
            </w:tcMar>
          </w:tcPr>
          <w:p w14:paraId="6F9EF621" w14:textId="77777777" w:rsidR="00284822" w:rsidRDefault="00F77BF8">
            <w:pPr>
              <w:spacing w:line="240" w:lineRule="auto"/>
              <w:jc w:val="left"/>
              <w:rPr>
                <w:rFonts w:ascii="Rockwell" w:hAnsi="Rockwell"/>
                <w:b/>
                <w:bCs/>
                <w:sz w:val="18"/>
                <w:szCs w:val="18"/>
              </w:rPr>
            </w:pPr>
            <w:r>
              <w:rPr>
                <w:rFonts w:ascii="Rockwell" w:hAnsi="Rockwell"/>
                <w:b/>
                <w:bCs/>
                <w:sz w:val="18"/>
                <w:szCs w:val="18"/>
              </w:rPr>
              <w:t>0,27%</w:t>
            </w:r>
          </w:p>
        </w:tc>
      </w:tr>
      <w:tr w:rsidR="00284822" w14:paraId="1B6E8F98" w14:textId="77777777">
        <w:trPr>
          <w:gridAfter w:val="1"/>
          <w:wAfter w:w="6" w:type="dxa"/>
          <w:trHeight w:val="70"/>
        </w:trPr>
        <w:tc>
          <w:tcPr>
            <w:tcW w:w="994" w:type="dxa"/>
            <w:shd w:val="clear" w:color="auto" w:fill="FFFFFF" w:themeFill="background1"/>
            <w:noWrap/>
            <w:tcMar>
              <w:top w:w="0" w:type="dxa"/>
              <w:left w:w="108" w:type="dxa"/>
              <w:bottom w:w="0" w:type="dxa"/>
              <w:right w:w="108" w:type="dxa"/>
            </w:tcMar>
            <w:vAlign w:val="center"/>
          </w:tcPr>
          <w:p w14:paraId="208E209B"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36</w:t>
            </w:r>
          </w:p>
        </w:tc>
        <w:tc>
          <w:tcPr>
            <w:tcW w:w="1563" w:type="dxa"/>
            <w:shd w:val="clear" w:color="auto" w:fill="FFFFFF" w:themeFill="background1"/>
            <w:tcMar>
              <w:top w:w="0" w:type="dxa"/>
              <w:left w:w="108" w:type="dxa"/>
              <w:bottom w:w="0" w:type="dxa"/>
              <w:right w:w="108" w:type="dxa"/>
            </w:tcMar>
            <w:vAlign w:val="center"/>
          </w:tcPr>
          <w:p w14:paraId="0785A53E"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PPS</w:t>
            </w:r>
          </w:p>
        </w:tc>
        <w:tc>
          <w:tcPr>
            <w:tcW w:w="851" w:type="dxa"/>
            <w:shd w:val="clear" w:color="auto" w:fill="FFFFFF" w:themeFill="background1"/>
            <w:tcMar>
              <w:top w:w="0" w:type="dxa"/>
              <w:left w:w="108" w:type="dxa"/>
              <w:bottom w:w="0" w:type="dxa"/>
              <w:right w:w="108" w:type="dxa"/>
            </w:tcMar>
            <w:vAlign w:val="center"/>
          </w:tcPr>
          <w:p w14:paraId="2D20E137"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7</w:t>
            </w:r>
          </w:p>
        </w:tc>
        <w:tc>
          <w:tcPr>
            <w:tcW w:w="1278" w:type="dxa"/>
            <w:shd w:val="clear" w:color="auto" w:fill="FFFFFF" w:themeFill="background1"/>
            <w:tcMar>
              <w:top w:w="0" w:type="dxa"/>
              <w:left w:w="108" w:type="dxa"/>
              <w:bottom w:w="0" w:type="dxa"/>
              <w:right w:w="108" w:type="dxa"/>
            </w:tcMar>
            <w:vAlign w:val="center"/>
          </w:tcPr>
          <w:p w14:paraId="616CBC77"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7,73%</w:t>
            </w:r>
          </w:p>
        </w:tc>
        <w:tc>
          <w:tcPr>
            <w:tcW w:w="710" w:type="dxa"/>
            <w:shd w:val="clear" w:color="auto" w:fill="FFFFFF" w:themeFill="background1"/>
            <w:tcMar>
              <w:top w:w="0" w:type="dxa"/>
              <w:left w:w="108" w:type="dxa"/>
              <w:bottom w:w="0" w:type="dxa"/>
              <w:right w:w="108" w:type="dxa"/>
            </w:tcMar>
            <w:vAlign w:val="center"/>
          </w:tcPr>
          <w:p w14:paraId="238717FE"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13</w:t>
            </w:r>
          </w:p>
        </w:tc>
        <w:tc>
          <w:tcPr>
            <w:tcW w:w="1277" w:type="dxa"/>
            <w:shd w:val="clear" w:color="auto" w:fill="FFFFFF" w:themeFill="background1"/>
            <w:tcMar>
              <w:top w:w="0" w:type="dxa"/>
              <w:left w:w="108" w:type="dxa"/>
              <w:bottom w:w="0" w:type="dxa"/>
              <w:right w:w="108" w:type="dxa"/>
            </w:tcMar>
            <w:vAlign w:val="center"/>
          </w:tcPr>
          <w:p w14:paraId="10B0414B"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8,02%</w:t>
            </w:r>
          </w:p>
        </w:tc>
        <w:tc>
          <w:tcPr>
            <w:tcW w:w="994" w:type="dxa"/>
            <w:shd w:val="clear" w:color="auto" w:fill="FFFFFF" w:themeFill="background1"/>
            <w:tcMar>
              <w:top w:w="0" w:type="dxa"/>
              <w:left w:w="108" w:type="dxa"/>
              <w:bottom w:w="0" w:type="dxa"/>
              <w:right w:w="108" w:type="dxa"/>
            </w:tcMar>
            <w:vAlign w:val="center"/>
          </w:tcPr>
          <w:p w14:paraId="54C5A1C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8 3/4</w:t>
            </w:r>
          </w:p>
        </w:tc>
        <w:tc>
          <w:tcPr>
            <w:tcW w:w="1419" w:type="dxa"/>
            <w:shd w:val="clear" w:color="auto" w:fill="FFFFFF" w:themeFill="background1"/>
            <w:tcMar>
              <w:top w:w="0" w:type="dxa"/>
              <w:left w:w="108" w:type="dxa"/>
              <w:bottom w:w="0" w:type="dxa"/>
              <w:right w:w="108" w:type="dxa"/>
            </w:tcMar>
            <w:vAlign w:val="center"/>
          </w:tcPr>
          <w:p w14:paraId="3CDD2138"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6,16%</w:t>
            </w:r>
          </w:p>
        </w:tc>
        <w:tc>
          <w:tcPr>
            <w:tcW w:w="852" w:type="dxa"/>
            <w:shd w:val="clear" w:color="auto" w:fill="FFFFFF" w:themeFill="background1"/>
            <w:tcMar>
              <w:top w:w="0" w:type="dxa"/>
              <w:left w:w="108" w:type="dxa"/>
              <w:bottom w:w="0" w:type="dxa"/>
              <w:right w:w="108" w:type="dxa"/>
            </w:tcMar>
            <w:vAlign w:val="center"/>
          </w:tcPr>
          <w:p w14:paraId="0A5042D4"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12</w:t>
            </w:r>
          </w:p>
        </w:tc>
        <w:tc>
          <w:tcPr>
            <w:tcW w:w="1277" w:type="dxa"/>
            <w:shd w:val="clear" w:color="auto" w:fill="FFFFFF" w:themeFill="background1"/>
            <w:tcMar>
              <w:top w:w="0" w:type="dxa"/>
              <w:left w:w="108" w:type="dxa"/>
              <w:bottom w:w="0" w:type="dxa"/>
              <w:right w:w="108" w:type="dxa"/>
            </w:tcMar>
            <w:vAlign w:val="center"/>
          </w:tcPr>
          <w:p w14:paraId="44207E8E"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5,06%</w:t>
            </w:r>
          </w:p>
        </w:tc>
        <w:tc>
          <w:tcPr>
            <w:tcW w:w="994" w:type="dxa"/>
            <w:shd w:val="clear" w:color="auto" w:fill="FFFFFF" w:themeFill="background1"/>
            <w:tcMar>
              <w:top w:w="0" w:type="dxa"/>
              <w:left w:w="108" w:type="dxa"/>
              <w:bottom w:w="0" w:type="dxa"/>
              <w:right w:w="108" w:type="dxa"/>
            </w:tcMar>
            <w:vAlign w:val="center"/>
          </w:tcPr>
          <w:p w14:paraId="2DA3E8A0" w14:textId="77777777" w:rsidR="00284822" w:rsidRDefault="00F77BF8">
            <w:pPr>
              <w:spacing w:line="240" w:lineRule="auto"/>
              <w:rPr>
                <w:rFonts w:ascii="Rockwell" w:hAnsi="Rockwell"/>
                <w:b/>
                <w:bCs/>
                <w:sz w:val="18"/>
                <w:szCs w:val="18"/>
              </w:rPr>
            </w:pPr>
            <w:r>
              <w:rPr>
                <w:rFonts w:ascii="Rockwell" w:hAnsi="Rockwell"/>
                <w:b/>
                <w:bCs/>
                <w:sz w:val="18"/>
                <w:szCs w:val="18"/>
              </w:rPr>
              <w:t>32 3/4</w:t>
            </w:r>
          </w:p>
        </w:tc>
        <w:tc>
          <w:tcPr>
            <w:tcW w:w="1136" w:type="dxa"/>
            <w:shd w:val="clear" w:color="auto" w:fill="FFFFFF" w:themeFill="background1"/>
            <w:tcMar>
              <w:top w:w="0" w:type="dxa"/>
              <w:left w:w="108" w:type="dxa"/>
              <w:bottom w:w="0" w:type="dxa"/>
              <w:right w:w="108" w:type="dxa"/>
            </w:tcMar>
            <w:vAlign w:val="center"/>
          </w:tcPr>
          <w:p w14:paraId="04201034" w14:textId="77777777" w:rsidR="00284822" w:rsidRDefault="00F77BF8">
            <w:pPr>
              <w:spacing w:line="240" w:lineRule="auto"/>
              <w:rPr>
                <w:rFonts w:ascii="Rockwell" w:hAnsi="Rockwell"/>
                <w:b/>
                <w:bCs/>
                <w:sz w:val="18"/>
                <w:szCs w:val="18"/>
              </w:rPr>
            </w:pPr>
            <w:r>
              <w:rPr>
                <w:rFonts w:ascii="Rockwell" w:hAnsi="Rockwell"/>
                <w:b/>
                <w:bCs/>
                <w:sz w:val="18"/>
                <w:szCs w:val="18"/>
              </w:rPr>
              <w:t>7,61%</w:t>
            </w:r>
          </w:p>
        </w:tc>
        <w:tc>
          <w:tcPr>
            <w:tcW w:w="851" w:type="dxa"/>
            <w:shd w:val="clear" w:color="auto" w:fill="FFFFFF" w:themeFill="background1"/>
            <w:tcMar>
              <w:top w:w="0" w:type="dxa"/>
              <w:left w:w="108" w:type="dxa"/>
              <w:bottom w:w="0" w:type="dxa"/>
              <w:right w:w="108" w:type="dxa"/>
            </w:tcMar>
            <w:vAlign w:val="center"/>
          </w:tcPr>
          <w:p w14:paraId="5D1A58B4" w14:textId="77777777" w:rsidR="00284822" w:rsidRDefault="00F77BF8">
            <w:pPr>
              <w:spacing w:line="240" w:lineRule="auto"/>
              <w:rPr>
                <w:rFonts w:ascii="Rockwell" w:hAnsi="Rockwell"/>
                <w:b/>
                <w:bCs/>
                <w:sz w:val="18"/>
                <w:szCs w:val="18"/>
              </w:rPr>
            </w:pPr>
            <w:r>
              <w:rPr>
                <w:rFonts w:ascii="Rockwell" w:hAnsi="Rockwell"/>
                <w:b/>
                <w:bCs/>
                <w:sz w:val="18"/>
                <w:szCs w:val="18"/>
              </w:rPr>
              <w:t>60</w:t>
            </w:r>
          </w:p>
        </w:tc>
        <w:tc>
          <w:tcPr>
            <w:tcW w:w="1136" w:type="dxa"/>
            <w:shd w:val="clear" w:color="auto" w:fill="FFFFFF" w:themeFill="background1"/>
            <w:tcMar>
              <w:top w:w="0" w:type="dxa"/>
              <w:left w:w="108" w:type="dxa"/>
              <w:bottom w:w="0" w:type="dxa"/>
              <w:right w:w="108" w:type="dxa"/>
            </w:tcMar>
            <w:vAlign w:val="center"/>
          </w:tcPr>
          <w:p w14:paraId="56C9EBF9" w14:textId="77777777" w:rsidR="00284822" w:rsidRDefault="00F77BF8">
            <w:pPr>
              <w:spacing w:line="240" w:lineRule="auto"/>
              <w:rPr>
                <w:rFonts w:ascii="Rockwell" w:hAnsi="Rockwell"/>
                <w:b/>
                <w:bCs/>
                <w:sz w:val="18"/>
                <w:szCs w:val="18"/>
              </w:rPr>
            </w:pPr>
            <w:r>
              <w:rPr>
                <w:rFonts w:ascii="Rockwell" w:hAnsi="Rockwell"/>
                <w:b/>
                <w:bCs/>
                <w:sz w:val="18"/>
                <w:szCs w:val="18"/>
              </w:rPr>
              <w:t>7,99%</w:t>
            </w:r>
          </w:p>
        </w:tc>
      </w:tr>
      <w:tr w:rsidR="00284822" w14:paraId="0C3BBA33" w14:textId="77777777">
        <w:trPr>
          <w:gridAfter w:val="1"/>
          <w:wAfter w:w="6" w:type="dxa"/>
          <w:trHeight w:val="70"/>
        </w:trPr>
        <w:tc>
          <w:tcPr>
            <w:tcW w:w="994" w:type="dxa"/>
            <w:shd w:val="clear" w:color="auto" w:fill="FFFFFF" w:themeFill="background1"/>
            <w:noWrap/>
            <w:tcMar>
              <w:top w:w="0" w:type="dxa"/>
              <w:left w:w="108" w:type="dxa"/>
              <w:bottom w:w="0" w:type="dxa"/>
              <w:right w:w="108" w:type="dxa"/>
            </w:tcMar>
            <w:vAlign w:val="center"/>
          </w:tcPr>
          <w:p w14:paraId="7B876F6A"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37</w:t>
            </w:r>
          </w:p>
        </w:tc>
        <w:tc>
          <w:tcPr>
            <w:tcW w:w="1563" w:type="dxa"/>
            <w:shd w:val="clear" w:color="auto" w:fill="FFFFFF" w:themeFill="background1"/>
            <w:tcMar>
              <w:top w:w="0" w:type="dxa"/>
              <w:left w:w="108" w:type="dxa"/>
              <w:bottom w:w="0" w:type="dxa"/>
              <w:right w:w="108" w:type="dxa"/>
            </w:tcMar>
            <w:vAlign w:val="center"/>
          </w:tcPr>
          <w:p w14:paraId="15CA345D"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PRD</w:t>
            </w:r>
          </w:p>
        </w:tc>
        <w:tc>
          <w:tcPr>
            <w:tcW w:w="851" w:type="dxa"/>
            <w:shd w:val="clear" w:color="auto" w:fill="FFFFFF" w:themeFill="background1"/>
            <w:tcMar>
              <w:top w:w="0" w:type="dxa"/>
              <w:left w:w="108" w:type="dxa"/>
              <w:bottom w:w="0" w:type="dxa"/>
              <w:right w:w="108" w:type="dxa"/>
            </w:tcMar>
            <w:vAlign w:val="center"/>
          </w:tcPr>
          <w:p w14:paraId="09479B32"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8" w:type="dxa"/>
            <w:shd w:val="clear" w:color="auto" w:fill="FFFFFF" w:themeFill="background1"/>
            <w:tcMar>
              <w:top w:w="0" w:type="dxa"/>
              <w:left w:w="108" w:type="dxa"/>
              <w:bottom w:w="0" w:type="dxa"/>
              <w:right w:w="108" w:type="dxa"/>
            </w:tcMar>
            <w:vAlign w:val="center"/>
          </w:tcPr>
          <w:p w14:paraId="1B19849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710" w:type="dxa"/>
            <w:shd w:val="clear" w:color="auto" w:fill="FFFFFF" w:themeFill="background1"/>
            <w:tcMar>
              <w:top w:w="0" w:type="dxa"/>
              <w:left w:w="108" w:type="dxa"/>
              <w:bottom w:w="0" w:type="dxa"/>
              <w:right w:w="108" w:type="dxa"/>
            </w:tcMar>
            <w:vAlign w:val="center"/>
          </w:tcPr>
          <w:p w14:paraId="3D013E65"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7" w:type="dxa"/>
            <w:shd w:val="clear" w:color="auto" w:fill="FFFFFF" w:themeFill="background1"/>
            <w:tcMar>
              <w:top w:w="0" w:type="dxa"/>
              <w:left w:w="108" w:type="dxa"/>
              <w:bottom w:w="0" w:type="dxa"/>
              <w:right w:w="108" w:type="dxa"/>
            </w:tcMar>
            <w:vAlign w:val="center"/>
          </w:tcPr>
          <w:p w14:paraId="73C38DD7"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94" w:type="dxa"/>
            <w:shd w:val="clear" w:color="auto" w:fill="FFFFFF" w:themeFill="background1"/>
            <w:tcMar>
              <w:top w:w="0" w:type="dxa"/>
              <w:left w:w="108" w:type="dxa"/>
              <w:bottom w:w="0" w:type="dxa"/>
              <w:right w:w="108" w:type="dxa"/>
            </w:tcMar>
            <w:vAlign w:val="center"/>
          </w:tcPr>
          <w:p w14:paraId="3025798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419" w:type="dxa"/>
            <w:shd w:val="clear" w:color="auto" w:fill="FFFFFF" w:themeFill="background1"/>
            <w:tcMar>
              <w:top w:w="0" w:type="dxa"/>
              <w:left w:w="108" w:type="dxa"/>
              <w:bottom w:w="0" w:type="dxa"/>
              <w:right w:w="108" w:type="dxa"/>
            </w:tcMar>
            <w:vAlign w:val="center"/>
          </w:tcPr>
          <w:p w14:paraId="28B4E739"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852" w:type="dxa"/>
            <w:shd w:val="clear" w:color="auto" w:fill="FFFFFF" w:themeFill="background1"/>
            <w:tcMar>
              <w:top w:w="0" w:type="dxa"/>
              <w:left w:w="108" w:type="dxa"/>
              <w:bottom w:w="0" w:type="dxa"/>
              <w:right w:w="108" w:type="dxa"/>
            </w:tcMar>
            <w:vAlign w:val="center"/>
          </w:tcPr>
          <w:p w14:paraId="3F1736BF"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7" w:type="dxa"/>
            <w:shd w:val="clear" w:color="auto" w:fill="FFFFFF" w:themeFill="background1"/>
            <w:tcMar>
              <w:top w:w="0" w:type="dxa"/>
              <w:left w:w="108" w:type="dxa"/>
              <w:bottom w:w="0" w:type="dxa"/>
              <w:right w:w="108" w:type="dxa"/>
            </w:tcMar>
            <w:vAlign w:val="center"/>
          </w:tcPr>
          <w:p w14:paraId="789C0A56"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94" w:type="dxa"/>
            <w:shd w:val="clear" w:color="auto" w:fill="FFFFFF" w:themeFill="background1"/>
            <w:tcMar>
              <w:top w:w="0" w:type="dxa"/>
              <w:left w:w="108" w:type="dxa"/>
              <w:bottom w:w="0" w:type="dxa"/>
              <w:right w:w="108" w:type="dxa"/>
            </w:tcMar>
            <w:vAlign w:val="center"/>
          </w:tcPr>
          <w:p w14:paraId="154573FD" w14:textId="77777777" w:rsidR="00284822" w:rsidRDefault="00F77BF8">
            <w:pPr>
              <w:spacing w:line="240" w:lineRule="auto"/>
              <w:rPr>
                <w:rFonts w:ascii="Rockwell" w:hAnsi="Rockwell"/>
                <w:b/>
                <w:bCs/>
                <w:sz w:val="18"/>
                <w:szCs w:val="18"/>
              </w:rPr>
            </w:pPr>
            <w:r>
              <w:rPr>
                <w:rFonts w:ascii="Rockwell" w:hAnsi="Rockwell"/>
                <w:b/>
                <w:bCs/>
                <w:sz w:val="18"/>
                <w:szCs w:val="18"/>
              </w:rPr>
              <w:t>1 1/3</w:t>
            </w:r>
          </w:p>
        </w:tc>
        <w:tc>
          <w:tcPr>
            <w:tcW w:w="1136" w:type="dxa"/>
            <w:shd w:val="clear" w:color="auto" w:fill="FFFFFF" w:themeFill="background1"/>
            <w:tcMar>
              <w:top w:w="0" w:type="dxa"/>
              <w:left w:w="108" w:type="dxa"/>
              <w:bottom w:w="0" w:type="dxa"/>
              <w:right w:w="108" w:type="dxa"/>
            </w:tcMar>
            <w:vAlign w:val="center"/>
          </w:tcPr>
          <w:p w14:paraId="247F765F" w14:textId="77777777" w:rsidR="00284822" w:rsidRDefault="00F77BF8">
            <w:pPr>
              <w:spacing w:line="240" w:lineRule="auto"/>
              <w:rPr>
                <w:rFonts w:ascii="Rockwell" w:hAnsi="Rockwell"/>
                <w:b/>
                <w:bCs/>
                <w:sz w:val="18"/>
                <w:szCs w:val="18"/>
              </w:rPr>
            </w:pPr>
            <w:r>
              <w:rPr>
                <w:rFonts w:ascii="Rockwell" w:hAnsi="Rockwell"/>
                <w:b/>
                <w:bCs/>
                <w:sz w:val="18"/>
                <w:szCs w:val="18"/>
              </w:rPr>
              <w:t>0,31%</w:t>
            </w:r>
          </w:p>
        </w:tc>
        <w:tc>
          <w:tcPr>
            <w:tcW w:w="851" w:type="dxa"/>
            <w:shd w:val="clear" w:color="auto" w:fill="FFFFFF" w:themeFill="background1"/>
            <w:tcMar>
              <w:top w:w="0" w:type="dxa"/>
              <w:left w:w="108" w:type="dxa"/>
              <w:bottom w:w="0" w:type="dxa"/>
              <w:right w:w="108" w:type="dxa"/>
            </w:tcMar>
            <w:vAlign w:val="center"/>
          </w:tcPr>
          <w:p w14:paraId="48ECDC99" w14:textId="77777777" w:rsidR="00284822" w:rsidRDefault="00F77BF8">
            <w:pPr>
              <w:spacing w:line="240" w:lineRule="auto"/>
              <w:rPr>
                <w:rFonts w:ascii="Rockwell" w:hAnsi="Rockwell"/>
                <w:b/>
                <w:bCs/>
                <w:sz w:val="18"/>
                <w:szCs w:val="18"/>
              </w:rPr>
            </w:pPr>
            <w:r>
              <w:rPr>
                <w:rFonts w:ascii="Rockwell" w:hAnsi="Rockwell"/>
                <w:b/>
                <w:bCs/>
                <w:sz w:val="18"/>
                <w:szCs w:val="18"/>
              </w:rPr>
              <w:t>1</w:t>
            </w:r>
          </w:p>
        </w:tc>
        <w:tc>
          <w:tcPr>
            <w:tcW w:w="1136" w:type="dxa"/>
            <w:shd w:val="clear" w:color="auto" w:fill="FFFFFF" w:themeFill="background1"/>
            <w:tcMar>
              <w:top w:w="0" w:type="dxa"/>
              <w:left w:w="108" w:type="dxa"/>
              <w:bottom w:w="0" w:type="dxa"/>
              <w:right w:w="108" w:type="dxa"/>
            </w:tcMar>
            <w:vAlign w:val="center"/>
          </w:tcPr>
          <w:p w14:paraId="41D7BB5D" w14:textId="77777777" w:rsidR="00284822" w:rsidRDefault="00F77BF8">
            <w:pPr>
              <w:spacing w:line="240" w:lineRule="auto"/>
              <w:rPr>
                <w:rFonts w:ascii="Rockwell" w:hAnsi="Rockwell"/>
                <w:b/>
                <w:bCs/>
                <w:sz w:val="18"/>
                <w:szCs w:val="18"/>
              </w:rPr>
            </w:pPr>
            <w:r>
              <w:rPr>
                <w:rFonts w:ascii="Rockwell" w:hAnsi="Rockwell"/>
                <w:b/>
                <w:bCs/>
                <w:sz w:val="18"/>
                <w:szCs w:val="18"/>
              </w:rPr>
              <w:t>0,13%</w:t>
            </w:r>
          </w:p>
        </w:tc>
      </w:tr>
      <w:tr w:rsidR="00284822" w14:paraId="4CF9A9D4" w14:textId="77777777">
        <w:trPr>
          <w:gridAfter w:val="1"/>
          <w:wAfter w:w="6" w:type="dxa"/>
          <w:trHeight w:val="64"/>
        </w:trPr>
        <w:tc>
          <w:tcPr>
            <w:tcW w:w="994" w:type="dxa"/>
            <w:shd w:val="clear" w:color="auto" w:fill="FFFFFF" w:themeFill="background1"/>
            <w:noWrap/>
            <w:tcMar>
              <w:top w:w="0" w:type="dxa"/>
              <w:left w:w="108" w:type="dxa"/>
              <w:bottom w:w="0" w:type="dxa"/>
              <w:right w:w="108" w:type="dxa"/>
            </w:tcMar>
            <w:vAlign w:val="center"/>
          </w:tcPr>
          <w:p w14:paraId="6A630114"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38</w:t>
            </w:r>
          </w:p>
        </w:tc>
        <w:tc>
          <w:tcPr>
            <w:tcW w:w="1563" w:type="dxa"/>
            <w:shd w:val="clear" w:color="auto" w:fill="FFFFFF" w:themeFill="background1"/>
            <w:tcMar>
              <w:top w:w="0" w:type="dxa"/>
              <w:left w:w="108" w:type="dxa"/>
              <w:bottom w:w="0" w:type="dxa"/>
              <w:right w:w="108" w:type="dxa"/>
            </w:tcMar>
            <w:vAlign w:val="center"/>
          </w:tcPr>
          <w:p w14:paraId="732D5233"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PRIT LANAY</w:t>
            </w:r>
          </w:p>
        </w:tc>
        <w:tc>
          <w:tcPr>
            <w:tcW w:w="851" w:type="dxa"/>
            <w:shd w:val="clear" w:color="auto" w:fill="FFFFFF" w:themeFill="background1"/>
            <w:tcMar>
              <w:top w:w="0" w:type="dxa"/>
              <w:left w:w="108" w:type="dxa"/>
              <w:bottom w:w="0" w:type="dxa"/>
              <w:right w:w="108" w:type="dxa"/>
            </w:tcMar>
            <w:vAlign w:val="center"/>
          </w:tcPr>
          <w:p w14:paraId="2CB76AFC"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8" w:type="dxa"/>
            <w:shd w:val="clear" w:color="auto" w:fill="FFFFFF" w:themeFill="background1"/>
            <w:tcMar>
              <w:top w:w="0" w:type="dxa"/>
              <w:left w:w="108" w:type="dxa"/>
              <w:bottom w:w="0" w:type="dxa"/>
              <w:right w:w="108" w:type="dxa"/>
            </w:tcMar>
            <w:vAlign w:val="center"/>
          </w:tcPr>
          <w:p w14:paraId="13901426"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710" w:type="dxa"/>
            <w:shd w:val="clear" w:color="auto" w:fill="FFFFFF" w:themeFill="background1"/>
            <w:tcMar>
              <w:top w:w="0" w:type="dxa"/>
              <w:left w:w="108" w:type="dxa"/>
              <w:bottom w:w="0" w:type="dxa"/>
              <w:right w:w="108" w:type="dxa"/>
            </w:tcMar>
            <w:vAlign w:val="center"/>
          </w:tcPr>
          <w:p w14:paraId="1961BE0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7" w:type="dxa"/>
            <w:shd w:val="clear" w:color="auto" w:fill="FFFFFF" w:themeFill="background1"/>
            <w:tcMar>
              <w:top w:w="0" w:type="dxa"/>
              <w:left w:w="108" w:type="dxa"/>
              <w:bottom w:w="0" w:type="dxa"/>
              <w:right w:w="108" w:type="dxa"/>
            </w:tcMar>
            <w:vAlign w:val="center"/>
          </w:tcPr>
          <w:p w14:paraId="55C43D01"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94" w:type="dxa"/>
            <w:shd w:val="clear" w:color="auto" w:fill="FFFFFF" w:themeFill="background1"/>
            <w:tcMar>
              <w:top w:w="0" w:type="dxa"/>
              <w:left w:w="108" w:type="dxa"/>
              <w:bottom w:w="0" w:type="dxa"/>
              <w:right w:w="108" w:type="dxa"/>
            </w:tcMar>
            <w:vAlign w:val="center"/>
          </w:tcPr>
          <w:p w14:paraId="6465321E"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419" w:type="dxa"/>
            <w:shd w:val="clear" w:color="auto" w:fill="FFFFFF" w:themeFill="background1"/>
            <w:tcMar>
              <w:top w:w="0" w:type="dxa"/>
              <w:left w:w="108" w:type="dxa"/>
              <w:bottom w:w="0" w:type="dxa"/>
              <w:right w:w="108" w:type="dxa"/>
            </w:tcMar>
            <w:vAlign w:val="center"/>
          </w:tcPr>
          <w:p w14:paraId="1940922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852" w:type="dxa"/>
            <w:shd w:val="clear" w:color="auto" w:fill="FFFFFF" w:themeFill="background1"/>
            <w:tcMar>
              <w:top w:w="0" w:type="dxa"/>
              <w:left w:w="108" w:type="dxa"/>
              <w:bottom w:w="0" w:type="dxa"/>
              <w:right w:w="108" w:type="dxa"/>
            </w:tcMar>
            <w:vAlign w:val="center"/>
          </w:tcPr>
          <w:p w14:paraId="5D3483B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7" w:type="dxa"/>
            <w:shd w:val="clear" w:color="auto" w:fill="FFFFFF" w:themeFill="background1"/>
            <w:tcMar>
              <w:top w:w="0" w:type="dxa"/>
              <w:left w:w="108" w:type="dxa"/>
              <w:bottom w:w="0" w:type="dxa"/>
              <w:right w:w="108" w:type="dxa"/>
            </w:tcMar>
            <w:vAlign w:val="center"/>
          </w:tcPr>
          <w:p w14:paraId="42ACF1BF"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94" w:type="dxa"/>
            <w:shd w:val="clear" w:color="auto" w:fill="FFFFFF" w:themeFill="background1"/>
            <w:tcMar>
              <w:top w:w="0" w:type="dxa"/>
              <w:left w:w="108" w:type="dxa"/>
              <w:bottom w:w="0" w:type="dxa"/>
              <w:right w:w="108" w:type="dxa"/>
            </w:tcMar>
            <w:vAlign w:val="center"/>
          </w:tcPr>
          <w:p w14:paraId="7FC2FB0F" w14:textId="77777777" w:rsidR="00284822" w:rsidRDefault="00F77BF8">
            <w:pPr>
              <w:spacing w:line="240" w:lineRule="auto"/>
              <w:rPr>
                <w:rFonts w:ascii="Rockwell" w:hAnsi="Rockwell"/>
                <w:b/>
                <w:bCs/>
                <w:sz w:val="18"/>
                <w:szCs w:val="18"/>
              </w:rPr>
            </w:pPr>
            <w:r>
              <w:rPr>
                <w:rFonts w:ascii="Rockwell" w:hAnsi="Rockwell"/>
                <w:b/>
                <w:bCs/>
                <w:sz w:val="18"/>
                <w:szCs w:val="18"/>
              </w:rPr>
              <w:t>1/6</w:t>
            </w:r>
          </w:p>
        </w:tc>
        <w:tc>
          <w:tcPr>
            <w:tcW w:w="1136" w:type="dxa"/>
            <w:shd w:val="clear" w:color="auto" w:fill="FFFFFF" w:themeFill="background1"/>
            <w:tcMar>
              <w:top w:w="0" w:type="dxa"/>
              <w:left w:w="108" w:type="dxa"/>
              <w:bottom w:w="0" w:type="dxa"/>
              <w:right w:w="108" w:type="dxa"/>
            </w:tcMar>
            <w:vAlign w:val="center"/>
          </w:tcPr>
          <w:p w14:paraId="76266402" w14:textId="77777777" w:rsidR="00284822" w:rsidRDefault="00F77BF8">
            <w:pPr>
              <w:spacing w:line="240" w:lineRule="auto"/>
              <w:rPr>
                <w:rFonts w:ascii="Rockwell" w:hAnsi="Rockwell"/>
                <w:b/>
                <w:bCs/>
                <w:sz w:val="18"/>
                <w:szCs w:val="18"/>
              </w:rPr>
            </w:pPr>
            <w:r>
              <w:rPr>
                <w:rFonts w:ascii="Rockwell" w:hAnsi="Rockwell"/>
                <w:b/>
                <w:bCs/>
                <w:sz w:val="18"/>
                <w:szCs w:val="18"/>
              </w:rPr>
              <w:t>0,04%</w:t>
            </w:r>
          </w:p>
        </w:tc>
        <w:tc>
          <w:tcPr>
            <w:tcW w:w="851" w:type="dxa"/>
            <w:shd w:val="clear" w:color="auto" w:fill="FFFFFF" w:themeFill="background1"/>
            <w:tcMar>
              <w:top w:w="0" w:type="dxa"/>
              <w:left w:w="108" w:type="dxa"/>
              <w:bottom w:w="0" w:type="dxa"/>
              <w:right w:w="108" w:type="dxa"/>
            </w:tcMar>
            <w:vAlign w:val="center"/>
          </w:tcPr>
          <w:p w14:paraId="39D7A0C8" w14:textId="77777777" w:rsidR="00284822" w:rsidRDefault="00F77BF8">
            <w:pPr>
              <w:spacing w:line="240" w:lineRule="auto"/>
              <w:rPr>
                <w:rFonts w:ascii="Rockwell" w:hAnsi="Rockwell"/>
                <w:b/>
                <w:bCs/>
                <w:sz w:val="18"/>
                <w:szCs w:val="18"/>
              </w:rPr>
            </w:pPr>
            <w:r>
              <w:rPr>
                <w:rFonts w:ascii="Rockwell" w:hAnsi="Rockwell"/>
                <w:b/>
                <w:bCs/>
                <w:sz w:val="18"/>
                <w:szCs w:val="18"/>
              </w:rPr>
              <w:t>0</w:t>
            </w:r>
          </w:p>
        </w:tc>
        <w:tc>
          <w:tcPr>
            <w:tcW w:w="1136" w:type="dxa"/>
            <w:shd w:val="clear" w:color="auto" w:fill="FFFFFF" w:themeFill="background1"/>
            <w:tcMar>
              <w:top w:w="0" w:type="dxa"/>
              <w:left w:w="108" w:type="dxa"/>
              <w:bottom w:w="0" w:type="dxa"/>
              <w:right w:w="108" w:type="dxa"/>
            </w:tcMar>
            <w:vAlign w:val="center"/>
          </w:tcPr>
          <w:p w14:paraId="203FDC78" w14:textId="77777777" w:rsidR="00284822" w:rsidRDefault="00F77BF8">
            <w:pPr>
              <w:spacing w:line="240" w:lineRule="auto"/>
              <w:rPr>
                <w:rFonts w:ascii="Rockwell" w:hAnsi="Rockwell"/>
                <w:b/>
                <w:bCs/>
                <w:sz w:val="18"/>
                <w:szCs w:val="18"/>
              </w:rPr>
            </w:pPr>
            <w:r>
              <w:rPr>
                <w:rFonts w:ascii="Rockwell" w:hAnsi="Rockwell"/>
                <w:b/>
                <w:bCs/>
                <w:sz w:val="18"/>
                <w:szCs w:val="18"/>
              </w:rPr>
              <w:t>0,00%</w:t>
            </w:r>
          </w:p>
        </w:tc>
      </w:tr>
      <w:tr w:rsidR="00284822" w14:paraId="78734174" w14:textId="77777777">
        <w:trPr>
          <w:gridAfter w:val="1"/>
          <w:wAfter w:w="6" w:type="dxa"/>
          <w:trHeight w:val="70"/>
        </w:trPr>
        <w:tc>
          <w:tcPr>
            <w:tcW w:w="994" w:type="dxa"/>
            <w:shd w:val="clear" w:color="auto" w:fill="FFFFFF" w:themeFill="background1"/>
            <w:noWrap/>
            <w:tcMar>
              <w:top w:w="0" w:type="dxa"/>
              <w:left w:w="108" w:type="dxa"/>
              <w:bottom w:w="0" w:type="dxa"/>
              <w:right w:w="108" w:type="dxa"/>
            </w:tcMar>
            <w:vAlign w:val="center"/>
          </w:tcPr>
          <w:p w14:paraId="20F519BC"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40</w:t>
            </w:r>
          </w:p>
        </w:tc>
        <w:tc>
          <w:tcPr>
            <w:tcW w:w="1563" w:type="dxa"/>
            <w:shd w:val="clear" w:color="auto" w:fill="FFFFFF" w:themeFill="background1"/>
            <w:tcMar>
              <w:top w:w="0" w:type="dxa"/>
              <w:left w:w="108" w:type="dxa"/>
              <w:bottom w:w="0" w:type="dxa"/>
              <w:right w:w="108" w:type="dxa"/>
            </w:tcMar>
            <w:vAlign w:val="center"/>
          </w:tcPr>
          <w:p w14:paraId="75E91477"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PUR</w:t>
            </w:r>
          </w:p>
        </w:tc>
        <w:tc>
          <w:tcPr>
            <w:tcW w:w="851" w:type="dxa"/>
            <w:shd w:val="clear" w:color="auto" w:fill="FFFFFF" w:themeFill="background1"/>
            <w:tcMar>
              <w:top w:w="0" w:type="dxa"/>
              <w:left w:w="108" w:type="dxa"/>
              <w:bottom w:w="0" w:type="dxa"/>
              <w:right w:w="108" w:type="dxa"/>
            </w:tcMar>
            <w:vAlign w:val="center"/>
          </w:tcPr>
          <w:p w14:paraId="09C30AE6"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w:t>
            </w:r>
          </w:p>
        </w:tc>
        <w:tc>
          <w:tcPr>
            <w:tcW w:w="1278" w:type="dxa"/>
            <w:shd w:val="clear" w:color="auto" w:fill="FFFFFF" w:themeFill="background1"/>
            <w:tcMar>
              <w:top w:w="0" w:type="dxa"/>
              <w:left w:w="108" w:type="dxa"/>
              <w:bottom w:w="0" w:type="dxa"/>
              <w:right w:w="108" w:type="dxa"/>
            </w:tcMar>
            <w:vAlign w:val="center"/>
          </w:tcPr>
          <w:p w14:paraId="1A85E22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1,10%</w:t>
            </w:r>
          </w:p>
        </w:tc>
        <w:tc>
          <w:tcPr>
            <w:tcW w:w="710" w:type="dxa"/>
            <w:shd w:val="clear" w:color="auto" w:fill="FFFFFF" w:themeFill="background1"/>
            <w:tcMar>
              <w:top w:w="0" w:type="dxa"/>
              <w:left w:w="108" w:type="dxa"/>
              <w:bottom w:w="0" w:type="dxa"/>
              <w:right w:w="108" w:type="dxa"/>
            </w:tcMar>
            <w:vAlign w:val="center"/>
          </w:tcPr>
          <w:p w14:paraId="1D42191C"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3</w:t>
            </w:r>
          </w:p>
        </w:tc>
        <w:tc>
          <w:tcPr>
            <w:tcW w:w="1277" w:type="dxa"/>
            <w:shd w:val="clear" w:color="auto" w:fill="FFFFFF" w:themeFill="background1"/>
            <w:tcMar>
              <w:top w:w="0" w:type="dxa"/>
              <w:left w:w="108" w:type="dxa"/>
              <w:bottom w:w="0" w:type="dxa"/>
              <w:right w:w="108" w:type="dxa"/>
            </w:tcMar>
            <w:vAlign w:val="center"/>
          </w:tcPr>
          <w:p w14:paraId="0BCA1553"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1,85%</w:t>
            </w:r>
          </w:p>
        </w:tc>
        <w:tc>
          <w:tcPr>
            <w:tcW w:w="994" w:type="dxa"/>
            <w:shd w:val="clear" w:color="auto" w:fill="FFFFFF" w:themeFill="background1"/>
            <w:tcMar>
              <w:top w:w="0" w:type="dxa"/>
              <w:left w:w="108" w:type="dxa"/>
              <w:bottom w:w="0" w:type="dxa"/>
              <w:right w:w="108" w:type="dxa"/>
            </w:tcMar>
            <w:vAlign w:val="center"/>
          </w:tcPr>
          <w:p w14:paraId="62A0D5EF"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4 1/3</w:t>
            </w:r>
          </w:p>
        </w:tc>
        <w:tc>
          <w:tcPr>
            <w:tcW w:w="1419" w:type="dxa"/>
            <w:shd w:val="clear" w:color="auto" w:fill="FFFFFF" w:themeFill="background1"/>
            <w:tcMar>
              <w:top w:w="0" w:type="dxa"/>
              <w:left w:w="108" w:type="dxa"/>
              <w:bottom w:w="0" w:type="dxa"/>
              <w:right w:w="108" w:type="dxa"/>
            </w:tcMar>
            <w:vAlign w:val="center"/>
          </w:tcPr>
          <w:p w14:paraId="4F3C2849"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3,05%</w:t>
            </w:r>
          </w:p>
        </w:tc>
        <w:tc>
          <w:tcPr>
            <w:tcW w:w="852" w:type="dxa"/>
            <w:shd w:val="clear" w:color="auto" w:fill="FFFFFF" w:themeFill="background1"/>
            <w:tcMar>
              <w:top w:w="0" w:type="dxa"/>
              <w:left w:w="108" w:type="dxa"/>
              <w:bottom w:w="0" w:type="dxa"/>
              <w:right w:w="108" w:type="dxa"/>
            </w:tcMar>
            <w:vAlign w:val="center"/>
          </w:tcPr>
          <w:p w14:paraId="51E25907"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7</w:t>
            </w:r>
          </w:p>
        </w:tc>
        <w:tc>
          <w:tcPr>
            <w:tcW w:w="1277" w:type="dxa"/>
            <w:shd w:val="clear" w:color="auto" w:fill="FFFFFF" w:themeFill="background1"/>
            <w:tcMar>
              <w:top w:w="0" w:type="dxa"/>
              <w:left w:w="108" w:type="dxa"/>
              <w:bottom w:w="0" w:type="dxa"/>
              <w:right w:w="108" w:type="dxa"/>
            </w:tcMar>
            <w:vAlign w:val="center"/>
          </w:tcPr>
          <w:p w14:paraId="737E3995"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2,95%</w:t>
            </w:r>
          </w:p>
        </w:tc>
        <w:tc>
          <w:tcPr>
            <w:tcW w:w="994" w:type="dxa"/>
            <w:shd w:val="clear" w:color="auto" w:fill="FFFFFF" w:themeFill="background1"/>
            <w:tcMar>
              <w:top w:w="0" w:type="dxa"/>
              <w:left w:w="108" w:type="dxa"/>
              <w:bottom w:w="0" w:type="dxa"/>
              <w:right w:w="108" w:type="dxa"/>
            </w:tcMar>
            <w:vAlign w:val="center"/>
          </w:tcPr>
          <w:p w14:paraId="4C73F360" w14:textId="77777777" w:rsidR="00284822" w:rsidRDefault="00F77BF8">
            <w:pPr>
              <w:spacing w:line="240" w:lineRule="auto"/>
              <w:rPr>
                <w:rFonts w:ascii="Rockwell" w:hAnsi="Rockwell"/>
                <w:b/>
                <w:bCs/>
                <w:sz w:val="18"/>
                <w:szCs w:val="18"/>
              </w:rPr>
            </w:pPr>
            <w:r>
              <w:rPr>
                <w:rFonts w:ascii="Rockwell" w:hAnsi="Rockwell"/>
                <w:b/>
                <w:bCs/>
                <w:sz w:val="18"/>
                <w:szCs w:val="18"/>
              </w:rPr>
              <w:t>7</w:t>
            </w:r>
          </w:p>
        </w:tc>
        <w:tc>
          <w:tcPr>
            <w:tcW w:w="1136" w:type="dxa"/>
            <w:shd w:val="clear" w:color="auto" w:fill="FFFFFF" w:themeFill="background1"/>
            <w:tcMar>
              <w:top w:w="0" w:type="dxa"/>
              <w:left w:w="108" w:type="dxa"/>
              <w:bottom w:w="0" w:type="dxa"/>
              <w:right w:w="108" w:type="dxa"/>
            </w:tcMar>
            <w:vAlign w:val="center"/>
          </w:tcPr>
          <w:p w14:paraId="174C9999" w14:textId="77777777" w:rsidR="00284822" w:rsidRDefault="00F77BF8">
            <w:pPr>
              <w:spacing w:line="240" w:lineRule="auto"/>
              <w:rPr>
                <w:rFonts w:ascii="Rockwell" w:hAnsi="Rockwell"/>
                <w:b/>
                <w:bCs/>
                <w:sz w:val="18"/>
                <w:szCs w:val="18"/>
              </w:rPr>
            </w:pPr>
            <w:r>
              <w:rPr>
                <w:rFonts w:ascii="Rockwell" w:hAnsi="Rockwell"/>
                <w:b/>
                <w:bCs/>
                <w:sz w:val="18"/>
                <w:szCs w:val="18"/>
              </w:rPr>
              <w:t>1,61%</w:t>
            </w:r>
          </w:p>
        </w:tc>
        <w:tc>
          <w:tcPr>
            <w:tcW w:w="851" w:type="dxa"/>
            <w:shd w:val="clear" w:color="auto" w:fill="FFFFFF" w:themeFill="background1"/>
            <w:tcMar>
              <w:top w:w="0" w:type="dxa"/>
              <w:left w:w="108" w:type="dxa"/>
              <w:bottom w:w="0" w:type="dxa"/>
              <w:right w:w="108" w:type="dxa"/>
            </w:tcMar>
            <w:vAlign w:val="center"/>
          </w:tcPr>
          <w:p w14:paraId="70AD2F63" w14:textId="77777777" w:rsidR="00284822" w:rsidRDefault="00F77BF8">
            <w:pPr>
              <w:spacing w:line="240" w:lineRule="auto"/>
              <w:rPr>
                <w:rFonts w:ascii="Rockwell" w:hAnsi="Rockwell"/>
                <w:b/>
                <w:bCs/>
                <w:sz w:val="18"/>
                <w:szCs w:val="18"/>
              </w:rPr>
            </w:pPr>
            <w:r>
              <w:rPr>
                <w:rFonts w:ascii="Rockwell" w:hAnsi="Rockwell"/>
                <w:b/>
                <w:bCs/>
                <w:sz w:val="18"/>
                <w:szCs w:val="18"/>
              </w:rPr>
              <w:t>13</w:t>
            </w:r>
          </w:p>
        </w:tc>
        <w:tc>
          <w:tcPr>
            <w:tcW w:w="1136" w:type="dxa"/>
            <w:shd w:val="clear" w:color="auto" w:fill="FFFFFF" w:themeFill="background1"/>
            <w:tcMar>
              <w:top w:w="0" w:type="dxa"/>
              <w:left w:w="108" w:type="dxa"/>
              <w:bottom w:w="0" w:type="dxa"/>
              <w:right w:w="108" w:type="dxa"/>
            </w:tcMar>
            <w:vAlign w:val="center"/>
          </w:tcPr>
          <w:p w14:paraId="3EFFDAA2" w14:textId="77777777" w:rsidR="00284822" w:rsidRDefault="00F77BF8">
            <w:pPr>
              <w:spacing w:line="240" w:lineRule="auto"/>
              <w:rPr>
                <w:rFonts w:ascii="Rockwell" w:hAnsi="Rockwell"/>
                <w:b/>
                <w:bCs/>
                <w:sz w:val="18"/>
                <w:szCs w:val="18"/>
              </w:rPr>
            </w:pPr>
            <w:r>
              <w:rPr>
                <w:rFonts w:ascii="Rockwell" w:hAnsi="Rockwell"/>
                <w:b/>
                <w:bCs/>
                <w:sz w:val="18"/>
                <w:szCs w:val="18"/>
              </w:rPr>
              <w:t>1,73%</w:t>
            </w:r>
          </w:p>
        </w:tc>
      </w:tr>
      <w:tr w:rsidR="00284822" w14:paraId="1FB415D7" w14:textId="77777777">
        <w:trPr>
          <w:gridAfter w:val="1"/>
          <w:wAfter w:w="6" w:type="dxa"/>
          <w:trHeight w:val="70"/>
        </w:trPr>
        <w:tc>
          <w:tcPr>
            <w:tcW w:w="994" w:type="dxa"/>
            <w:shd w:val="clear" w:color="auto" w:fill="FFFFFF" w:themeFill="background1"/>
            <w:noWrap/>
            <w:tcMar>
              <w:top w:w="0" w:type="dxa"/>
              <w:left w:w="108" w:type="dxa"/>
              <w:bottom w:w="0" w:type="dxa"/>
              <w:right w:w="108" w:type="dxa"/>
            </w:tcMar>
            <w:vAlign w:val="center"/>
          </w:tcPr>
          <w:p w14:paraId="78A2FFB7"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41</w:t>
            </w:r>
          </w:p>
        </w:tc>
        <w:tc>
          <w:tcPr>
            <w:tcW w:w="1563" w:type="dxa"/>
            <w:shd w:val="clear" w:color="auto" w:fill="FFFFFF" w:themeFill="background1"/>
            <w:tcMar>
              <w:top w:w="0" w:type="dxa"/>
              <w:left w:w="108" w:type="dxa"/>
              <w:bottom w:w="0" w:type="dxa"/>
              <w:right w:w="108" w:type="dxa"/>
            </w:tcMar>
            <w:vAlign w:val="center"/>
          </w:tcPr>
          <w:p w14:paraId="203903FF"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RDEBF</w:t>
            </w:r>
          </w:p>
        </w:tc>
        <w:tc>
          <w:tcPr>
            <w:tcW w:w="851" w:type="dxa"/>
            <w:shd w:val="clear" w:color="auto" w:fill="FFFFFF" w:themeFill="background1"/>
            <w:tcMar>
              <w:top w:w="0" w:type="dxa"/>
              <w:left w:w="108" w:type="dxa"/>
              <w:bottom w:w="0" w:type="dxa"/>
              <w:right w:w="108" w:type="dxa"/>
            </w:tcMar>
            <w:vAlign w:val="center"/>
          </w:tcPr>
          <w:p w14:paraId="465B127F"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8" w:type="dxa"/>
            <w:shd w:val="clear" w:color="auto" w:fill="FFFFFF" w:themeFill="background1"/>
            <w:tcMar>
              <w:top w:w="0" w:type="dxa"/>
              <w:left w:w="108" w:type="dxa"/>
              <w:bottom w:w="0" w:type="dxa"/>
              <w:right w:w="108" w:type="dxa"/>
            </w:tcMar>
            <w:vAlign w:val="center"/>
          </w:tcPr>
          <w:p w14:paraId="2EE16934"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710" w:type="dxa"/>
            <w:shd w:val="clear" w:color="auto" w:fill="FFFFFF" w:themeFill="background1"/>
            <w:tcMar>
              <w:top w:w="0" w:type="dxa"/>
              <w:left w:w="108" w:type="dxa"/>
              <w:bottom w:w="0" w:type="dxa"/>
              <w:right w:w="108" w:type="dxa"/>
            </w:tcMar>
            <w:vAlign w:val="center"/>
          </w:tcPr>
          <w:p w14:paraId="188DCC48"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7" w:type="dxa"/>
            <w:shd w:val="clear" w:color="auto" w:fill="FFFFFF" w:themeFill="background1"/>
            <w:tcMar>
              <w:top w:w="0" w:type="dxa"/>
              <w:left w:w="108" w:type="dxa"/>
              <w:bottom w:w="0" w:type="dxa"/>
              <w:right w:w="108" w:type="dxa"/>
            </w:tcMar>
            <w:vAlign w:val="center"/>
          </w:tcPr>
          <w:p w14:paraId="12E29836"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94" w:type="dxa"/>
            <w:shd w:val="clear" w:color="auto" w:fill="FFFFFF" w:themeFill="background1"/>
            <w:tcMar>
              <w:top w:w="0" w:type="dxa"/>
              <w:left w:w="108" w:type="dxa"/>
              <w:bottom w:w="0" w:type="dxa"/>
              <w:right w:w="108" w:type="dxa"/>
            </w:tcMar>
            <w:vAlign w:val="center"/>
          </w:tcPr>
          <w:p w14:paraId="19F60FFC"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w:t>
            </w:r>
          </w:p>
        </w:tc>
        <w:tc>
          <w:tcPr>
            <w:tcW w:w="1419" w:type="dxa"/>
            <w:shd w:val="clear" w:color="auto" w:fill="FFFFFF" w:themeFill="background1"/>
            <w:tcMar>
              <w:top w:w="0" w:type="dxa"/>
              <w:left w:w="108" w:type="dxa"/>
              <w:bottom w:w="0" w:type="dxa"/>
              <w:right w:w="108" w:type="dxa"/>
            </w:tcMar>
            <w:vAlign w:val="center"/>
          </w:tcPr>
          <w:p w14:paraId="0FCFEB26"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1,41%</w:t>
            </w:r>
          </w:p>
        </w:tc>
        <w:tc>
          <w:tcPr>
            <w:tcW w:w="852" w:type="dxa"/>
            <w:shd w:val="clear" w:color="auto" w:fill="FFFFFF" w:themeFill="background1"/>
            <w:tcMar>
              <w:top w:w="0" w:type="dxa"/>
              <w:left w:w="108" w:type="dxa"/>
              <w:bottom w:w="0" w:type="dxa"/>
              <w:right w:w="108" w:type="dxa"/>
            </w:tcMar>
            <w:vAlign w:val="center"/>
          </w:tcPr>
          <w:p w14:paraId="367CD7E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w:t>
            </w:r>
          </w:p>
        </w:tc>
        <w:tc>
          <w:tcPr>
            <w:tcW w:w="1277" w:type="dxa"/>
            <w:shd w:val="clear" w:color="auto" w:fill="FFFFFF" w:themeFill="background1"/>
            <w:tcMar>
              <w:top w:w="0" w:type="dxa"/>
              <w:left w:w="108" w:type="dxa"/>
              <w:bottom w:w="0" w:type="dxa"/>
              <w:right w:w="108" w:type="dxa"/>
            </w:tcMar>
            <w:vAlign w:val="center"/>
          </w:tcPr>
          <w:p w14:paraId="6E73EDF1"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0,84%</w:t>
            </w:r>
          </w:p>
        </w:tc>
        <w:tc>
          <w:tcPr>
            <w:tcW w:w="994" w:type="dxa"/>
            <w:shd w:val="clear" w:color="auto" w:fill="FFFFFF" w:themeFill="background1"/>
            <w:tcMar>
              <w:top w:w="0" w:type="dxa"/>
              <w:left w:w="108" w:type="dxa"/>
              <w:bottom w:w="0" w:type="dxa"/>
              <w:right w:w="108" w:type="dxa"/>
            </w:tcMar>
            <w:vAlign w:val="center"/>
          </w:tcPr>
          <w:p w14:paraId="707C30C2" w14:textId="77777777" w:rsidR="00284822" w:rsidRDefault="00F77BF8">
            <w:pPr>
              <w:spacing w:line="240" w:lineRule="auto"/>
              <w:rPr>
                <w:rFonts w:ascii="Rockwell" w:hAnsi="Rockwell"/>
                <w:b/>
                <w:bCs/>
                <w:sz w:val="18"/>
                <w:szCs w:val="18"/>
              </w:rPr>
            </w:pPr>
            <w:r>
              <w:rPr>
                <w:rFonts w:ascii="Rockwell" w:hAnsi="Rockwell"/>
                <w:b/>
                <w:bCs/>
                <w:sz w:val="18"/>
                <w:szCs w:val="18"/>
              </w:rPr>
              <w:t>2</w:t>
            </w:r>
          </w:p>
        </w:tc>
        <w:tc>
          <w:tcPr>
            <w:tcW w:w="1136" w:type="dxa"/>
            <w:shd w:val="clear" w:color="auto" w:fill="FFFFFF" w:themeFill="background1"/>
            <w:tcMar>
              <w:top w:w="0" w:type="dxa"/>
              <w:left w:w="108" w:type="dxa"/>
              <w:bottom w:w="0" w:type="dxa"/>
              <w:right w:w="108" w:type="dxa"/>
            </w:tcMar>
            <w:vAlign w:val="center"/>
          </w:tcPr>
          <w:p w14:paraId="67676634" w14:textId="77777777" w:rsidR="00284822" w:rsidRDefault="00F77BF8">
            <w:pPr>
              <w:spacing w:line="240" w:lineRule="auto"/>
              <w:rPr>
                <w:rFonts w:ascii="Rockwell" w:hAnsi="Rockwell"/>
                <w:b/>
                <w:bCs/>
                <w:sz w:val="18"/>
                <w:szCs w:val="18"/>
              </w:rPr>
            </w:pPr>
            <w:r>
              <w:rPr>
                <w:rFonts w:ascii="Rockwell" w:hAnsi="Rockwell"/>
                <w:b/>
                <w:bCs/>
                <w:sz w:val="18"/>
                <w:szCs w:val="18"/>
              </w:rPr>
              <w:t>0,46%</w:t>
            </w:r>
          </w:p>
        </w:tc>
        <w:tc>
          <w:tcPr>
            <w:tcW w:w="851" w:type="dxa"/>
            <w:shd w:val="clear" w:color="auto" w:fill="FFFFFF" w:themeFill="background1"/>
            <w:tcMar>
              <w:top w:w="0" w:type="dxa"/>
              <w:left w:w="108" w:type="dxa"/>
              <w:bottom w:w="0" w:type="dxa"/>
              <w:right w:w="108" w:type="dxa"/>
            </w:tcMar>
            <w:vAlign w:val="center"/>
          </w:tcPr>
          <w:p w14:paraId="04C8D01B" w14:textId="77777777" w:rsidR="00284822" w:rsidRDefault="00F77BF8">
            <w:pPr>
              <w:spacing w:line="240" w:lineRule="auto"/>
              <w:rPr>
                <w:rFonts w:ascii="Rockwell" w:hAnsi="Rockwell"/>
                <w:b/>
                <w:bCs/>
                <w:sz w:val="18"/>
                <w:szCs w:val="18"/>
              </w:rPr>
            </w:pPr>
            <w:r>
              <w:rPr>
                <w:rFonts w:ascii="Rockwell" w:hAnsi="Rockwell"/>
                <w:b/>
                <w:bCs/>
                <w:sz w:val="18"/>
                <w:szCs w:val="18"/>
              </w:rPr>
              <w:t>2</w:t>
            </w:r>
          </w:p>
        </w:tc>
        <w:tc>
          <w:tcPr>
            <w:tcW w:w="1136" w:type="dxa"/>
            <w:shd w:val="clear" w:color="auto" w:fill="FFFFFF" w:themeFill="background1"/>
            <w:tcMar>
              <w:top w:w="0" w:type="dxa"/>
              <w:left w:w="108" w:type="dxa"/>
              <w:bottom w:w="0" w:type="dxa"/>
              <w:right w:w="108" w:type="dxa"/>
            </w:tcMar>
            <w:vAlign w:val="center"/>
          </w:tcPr>
          <w:p w14:paraId="26E44EE9" w14:textId="77777777" w:rsidR="00284822" w:rsidRDefault="00F77BF8">
            <w:pPr>
              <w:spacing w:line="240" w:lineRule="auto"/>
              <w:rPr>
                <w:rFonts w:ascii="Rockwell" w:hAnsi="Rockwell"/>
                <w:b/>
                <w:bCs/>
                <w:sz w:val="18"/>
                <w:szCs w:val="18"/>
              </w:rPr>
            </w:pPr>
            <w:r>
              <w:rPr>
                <w:rFonts w:ascii="Rockwell" w:hAnsi="Rockwell"/>
                <w:b/>
                <w:bCs/>
                <w:sz w:val="18"/>
                <w:szCs w:val="18"/>
              </w:rPr>
              <w:t>0,27%</w:t>
            </w:r>
          </w:p>
        </w:tc>
      </w:tr>
      <w:tr w:rsidR="00284822" w14:paraId="5030CF1D" w14:textId="77777777">
        <w:trPr>
          <w:gridAfter w:val="1"/>
          <w:wAfter w:w="6" w:type="dxa"/>
          <w:trHeight w:val="70"/>
        </w:trPr>
        <w:tc>
          <w:tcPr>
            <w:tcW w:w="994" w:type="dxa"/>
            <w:shd w:val="clear" w:color="auto" w:fill="FFFFFF" w:themeFill="background1"/>
            <w:noWrap/>
            <w:tcMar>
              <w:top w:w="0" w:type="dxa"/>
              <w:left w:w="108" w:type="dxa"/>
              <w:bottom w:w="0" w:type="dxa"/>
              <w:right w:w="108" w:type="dxa"/>
            </w:tcMar>
            <w:vAlign w:val="center"/>
          </w:tcPr>
          <w:p w14:paraId="5AB6A0BC"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42</w:t>
            </w:r>
          </w:p>
        </w:tc>
        <w:tc>
          <w:tcPr>
            <w:tcW w:w="1563" w:type="dxa"/>
            <w:shd w:val="clear" w:color="auto" w:fill="FFFFFF" w:themeFill="background1"/>
            <w:tcMar>
              <w:top w:w="0" w:type="dxa"/>
              <w:left w:w="108" w:type="dxa"/>
              <w:bottom w:w="0" w:type="dxa"/>
              <w:right w:w="108" w:type="dxa"/>
            </w:tcMar>
            <w:vAlign w:val="center"/>
          </w:tcPr>
          <w:p w14:paraId="2B413F04"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RDF</w:t>
            </w:r>
          </w:p>
        </w:tc>
        <w:tc>
          <w:tcPr>
            <w:tcW w:w="851" w:type="dxa"/>
            <w:shd w:val="clear" w:color="auto" w:fill="FFFFFF" w:themeFill="background1"/>
            <w:tcMar>
              <w:top w:w="0" w:type="dxa"/>
              <w:left w:w="108" w:type="dxa"/>
              <w:bottom w:w="0" w:type="dxa"/>
              <w:right w:w="108" w:type="dxa"/>
            </w:tcMar>
            <w:vAlign w:val="center"/>
          </w:tcPr>
          <w:p w14:paraId="011B3374"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8" w:type="dxa"/>
            <w:shd w:val="clear" w:color="auto" w:fill="FFFFFF" w:themeFill="background1"/>
            <w:tcMar>
              <w:top w:w="0" w:type="dxa"/>
              <w:left w:w="108" w:type="dxa"/>
              <w:bottom w:w="0" w:type="dxa"/>
              <w:right w:w="108" w:type="dxa"/>
            </w:tcMar>
            <w:vAlign w:val="center"/>
          </w:tcPr>
          <w:p w14:paraId="0B91A90F"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710" w:type="dxa"/>
            <w:shd w:val="clear" w:color="auto" w:fill="FFFFFF" w:themeFill="background1"/>
            <w:tcMar>
              <w:top w:w="0" w:type="dxa"/>
              <w:left w:w="108" w:type="dxa"/>
              <w:bottom w:w="0" w:type="dxa"/>
              <w:right w:w="108" w:type="dxa"/>
            </w:tcMar>
            <w:vAlign w:val="center"/>
          </w:tcPr>
          <w:p w14:paraId="6E0F559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7" w:type="dxa"/>
            <w:shd w:val="clear" w:color="auto" w:fill="FFFFFF" w:themeFill="background1"/>
            <w:tcMar>
              <w:top w:w="0" w:type="dxa"/>
              <w:left w:w="108" w:type="dxa"/>
              <w:bottom w:w="0" w:type="dxa"/>
              <w:right w:w="108" w:type="dxa"/>
            </w:tcMar>
            <w:vAlign w:val="center"/>
          </w:tcPr>
          <w:p w14:paraId="5D53E047"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94" w:type="dxa"/>
            <w:shd w:val="clear" w:color="auto" w:fill="FFFFFF" w:themeFill="background1"/>
            <w:tcMar>
              <w:top w:w="0" w:type="dxa"/>
              <w:left w:w="108" w:type="dxa"/>
              <w:bottom w:w="0" w:type="dxa"/>
              <w:right w:w="108" w:type="dxa"/>
            </w:tcMar>
            <w:vAlign w:val="center"/>
          </w:tcPr>
          <w:p w14:paraId="75CFF89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1/2</w:t>
            </w:r>
          </w:p>
        </w:tc>
        <w:tc>
          <w:tcPr>
            <w:tcW w:w="1419" w:type="dxa"/>
            <w:shd w:val="clear" w:color="auto" w:fill="FFFFFF" w:themeFill="background1"/>
            <w:tcMar>
              <w:top w:w="0" w:type="dxa"/>
              <w:left w:w="108" w:type="dxa"/>
              <w:bottom w:w="0" w:type="dxa"/>
              <w:right w:w="108" w:type="dxa"/>
            </w:tcMar>
            <w:vAlign w:val="center"/>
          </w:tcPr>
          <w:p w14:paraId="468132F7"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0,35%</w:t>
            </w:r>
          </w:p>
        </w:tc>
        <w:tc>
          <w:tcPr>
            <w:tcW w:w="852" w:type="dxa"/>
            <w:shd w:val="clear" w:color="auto" w:fill="FFFFFF" w:themeFill="background1"/>
            <w:tcMar>
              <w:top w:w="0" w:type="dxa"/>
              <w:left w:w="108" w:type="dxa"/>
              <w:bottom w:w="0" w:type="dxa"/>
              <w:right w:w="108" w:type="dxa"/>
            </w:tcMar>
            <w:vAlign w:val="center"/>
          </w:tcPr>
          <w:p w14:paraId="658D13DB"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w:t>
            </w:r>
          </w:p>
        </w:tc>
        <w:tc>
          <w:tcPr>
            <w:tcW w:w="1277" w:type="dxa"/>
            <w:shd w:val="clear" w:color="auto" w:fill="FFFFFF" w:themeFill="background1"/>
            <w:tcMar>
              <w:top w:w="0" w:type="dxa"/>
              <w:left w:w="108" w:type="dxa"/>
              <w:bottom w:w="0" w:type="dxa"/>
              <w:right w:w="108" w:type="dxa"/>
            </w:tcMar>
            <w:vAlign w:val="center"/>
          </w:tcPr>
          <w:p w14:paraId="703FA88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0,42%</w:t>
            </w:r>
          </w:p>
        </w:tc>
        <w:tc>
          <w:tcPr>
            <w:tcW w:w="994" w:type="dxa"/>
            <w:shd w:val="clear" w:color="auto" w:fill="FFFFFF" w:themeFill="background1"/>
            <w:tcMar>
              <w:top w:w="0" w:type="dxa"/>
              <w:left w:w="108" w:type="dxa"/>
              <w:bottom w:w="0" w:type="dxa"/>
              <w:right w:w="108" w:type="dxa"/>
            </w:tcMar>
            <w:vAlign w:val="center"/>
          </w:tcPr>
          <w:p w14:paraId="55301E93" w14:textId="77777777" w:rsidR="00284822" w:rsidRDefault="00F77BF8">
            <w:pPr>
              <w:spacing w:line="240" w:lineRule="auto"/>
              <w:rPr>
                <w:rFonts w:ascii="Rockwell" w:hAnsi="Rockwell"/>
                <w:b/>
                <w:bCs/>
                <w:sz w:val="18"/>
                <w:szCs w:val="18"/>
              </w:rPr>
            </w:pPr>
            <w:r>
              <w:rPr>
                <w:rFonts w:ascii="Rockwell" w:hAnsi="Rockwell"/>
                <w:b/>
                <w:bCs/>
                <w:sz w:val="18"/>
                <w:szCs w:val="18"/>
              </w:rPr>
              <w:t>1/2</w:t>
            </w:r>
          </w:p>
        </w:tc>
        <w:tc>
          <w:tcPr>
            <w:tcW w:w="1136" w:type="dxa"/>
            <w:shd w:val="clear" w:color="auto" w:fill="FFFFFF" w:themeFill="background1"/>
            <w:tcMar>
              <w:top w:w="0" w:type="dxa"/>
              <w:left w:w="108" w:type="dxa"/>
              <w:bottom w:w="0" w:type="dxa"/>
              <w:right w:w="108" w:type="dxa"/>
            </w:tcMar>
            <w:vAlign w:val="center"/>
          </w:tcPr>
          <w:p w14:paraId="3211D2C8" w14:textId="77777777" w:rsidR="00284822" w:rsidRDefault="00F77BF8">
            <w:pPr>
              <w:spacing w:line="240" w:lineRule="auto"/>
              <w:rPr>
                <w:rFonts w:ascii="Rockwell" w:hAnsi="Rockwell"/>
                <w:b/>
                <w:bCs/>
                <w:sz w:val="18"/>
                <w:szCs w:val="18"/>
              </w:rPr>
            </w:pPr>
            <w:r>
              <w:rPr>
                <w:rFonts w:ascii="Rockwell" w:hAnsi="Rockwell"/>
                <w:b/>
                <w:bCs/>
                <w:sz w:val="18"/>
                <w:szCs w:val="18"/>
              </w:rPr>
              <w:t>0,12%</w:t>
            </w:r>
          </w:p>
        </w:tc>
        <w:tc>
          <w:tcPr>
            <w:tcW w:w="851" w:type="dxa"/>
            <w:shd w:val="clear" w:color="auto" w:fill="FFFFFF" w:themeFill="background1"/>
            <w:tcMar>
              <w:top w:w="0" w:type="dxa"/>
              <w:left w:w="108" w:type="dxa"/>
              <w:bottom w:w="0" w:type="dxa"/>
              <w:right w:w="108" w:type="dxa"/>
            </w:tcMar>
            <w:vAlign w:val="center"/>
          </w:tcPr>
          <w:p w14:paraId="70D01347" w14:textId="77777777" w:rsidR="00284822" w:rsidRDefault="00F77BF8">
            <w:pPr>
              <w:spacing w:line="240" w:lineRule="auto"/>
              <w:rPr>
                <w:rFonts w:ascii="Rockwell" w:hAnsi="Rockwell"/>
                <w:b/>
                <w:bCs/>
                <w:sz w:val="18"/>
                <w:szCs w:val="18"/>
              </w:rPr>
            </w:pPr>
            <w:r>
              <w:rPr>
                <w:rFonts w:ascii="Rockwell" w:hAnsi="Rockwell"/>
                <w:b/>
                <w:bCs/>
                <w:sz w:val="18"/>
                <w:szCs w:val="18"/>
              </w:rPr>
              <w:t>1</w:t>
            </w:r>
          </w:p>
        </w:tc>
        <w:tc>
          <w:tcPr>
            <w:tcW w:w="1136" w:type="dxa"/>
            <w:shd w:val="clear" w:color="auto" w:fill="FFFFFF" w:themeFill="background1"/>
            <w:tcMar>
              <w:top w:w="0" w:type="dxa"/>
              <w:left w:w="108" w:type="dxa"/>
              <w:bottom w:w="0" w:type="dxa"/>
              <w:right w:w="108" w:type="dxa"/>
            </w:tcMar>
            <w:vAlign w:val="center"/>
          </w:tcPr>
          <w:p w14:paraId="798075B6" w14:textId="77777777" w:rsidR="00284822" w:rsidRDefault="00F77BF8">
            <w:pPr>
              <w:spacing w:line="240" w:lineRule="auto"/>
              <w:rPr>
                <w:rFonts w:ascii="Rockwell" w:hAnsi="Rockwell"/>
                <w:b/>
                <w:bCs/>
                <w:sz w:val="18"/>
                <w:szCs w:val="18"/>
              </w:rPr>
            </w:pPr>
            <w:r>
              <w:rPr>
                <w:rFonts w:ascii="Rockwell" w:hAnsi="Rockwell"/>
                <w:b/>
                <w:bCs/>
                <w:sz w:val="18"/>
                <w:szCs w:val="18"/>
              </w:rPr>
              <w:t>0,13%</w:t>
            </w:r>
          </w:p>
        </w:tc>
      </w:tr>
      <w:tr w:rsidR="00284822" w14:paraId="7429D760" w14:textId="77777777">
        <w:trPr>
          <w:gridAfter w:val="1"/>
          <w:wAfter w:w="6" w:type="dxa"/>
          <w:trHeight w:val="70"/>
        </w:trPr>
        <w:tc>
          <w:tcPr>
            <w:tcW w:w="994" w:type="dxa"/>
            <w:shd w:val="clear" w:color="auto" w:fill="FFFFFF" w:themeFill="background1"/>
            <w:noWrap/>
            <w:tcMar>
              <w:top w:w="0" w:type="dxa"/>
              <w:left w:w="108" w:type="dxa"/>
              <w:bottom w:w="0" w:type="dxa"/>
              <w:right w:w="108" w:type="dxa"/>
            </w:tcMar>
            <w:vAlign w:val="center"/>
          </w:tcPr>
          <w:p w14:paraId="7B865915"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43</w:t>
            </w:r>
          </w:p>
        </w:tc>
        <w:tc>
          <w:tcPr>
            <w:tcW w:w="1563" w:type="dxa"/>
            <w:shd w:val="clear" w:color="auto" w:fill="FFFFFF" w:themeFill="background1"/>
            <w:tcMar>
              <w:top w:w="0" w:type="dxa"/>
              <w:left w:w="108" w:type="dxa"/>
              <w:bottom w:w="0" w:type="dxa"/>
              <w:right w:w="108" w:type="dxa"/>
            </w:tcMar>
            <w:vAlign w:val="center"/>
          </w:tcPr>
          <w:p w14:paraId="6C147AC1"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RDJ</w:t>
            </w:r>
          </w:p>
        </w:tc>
        <w:tc>
          <w:tcPr>
            <w:tcW w:w="851" w:type="dxa"/>
            <w:shd w:val="clear" w:color="auto" w:fill="FFFFFF" w:themeFill="background1"/>
            <w:tcMar>
              <w:top w:w="0" w:type="dxa"/>
              <w:left w:w="108" w:type="dxa"/>
              <w:bottom w:w="0" w:type="dxa"/>
              <w:right w:w="108" w:type="dxa"/>
            </w:tcMar>
            <w:vAlign w:val="center"/>
          </w:tcPr>
          <w:p w14:paraId="68B62F54"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8" w:type="dxa"/>
            <w:shd w:val="clear" w:color="auto" w:fill="FFFFFF" w:themeFill="background1"/>
            <w:tcMar>
              <w:top w:w="0" w:type="dxa"/>
              <w:left w:w="108" w:type="dxa"/>
              <w:bottom w:w="0" w:type="dxa"/>
              <w:right w:w="108" w:type="dxa"/>
            </w:tcMar>
            <w:vAlign w:val="center"/>
          </w:tcPr>
          <w:p w14:paraId="3042950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710" w:type="dxa"/>
            <w:shd w:val="clear" w:color="auto" w:fill="FFFFFF" w:themeFill="background1"/>
            <w:tcMar>
              <w:top w:w="0" w:type="dxa"/>
              <w:left w:w="108" w:type="dxa"/>
              <w:bottom w:w="0" w:type="dxa"/>
              <w:right w:w="108" w:type="dxa"/>
            </w:tcMar>
            <w:vAlign w:val="center"/>
          </w:tcPr>
          <w:p w14:paraId="055C6D37"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7" w:type="dxa"/>
            <w:shd w:val="clear" w:color="auto" w:fill="FFFFFF" w:themeFill="background1"/>
            <w:tcMar>
              <w:top w:w="0" w:type="dxa"/>
              <w:left w:w="108" w:type="dxa"/>
              <w:bottom w:w="0" w:type="dxa"/>
              <w:right w:w="108" w:type="dxa"/>
            </w:tcMar>
            <w:vAlign w:val="center"/>
          </w:tcPr>
          <w:p w14:paraId="45D67C85"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94" w:type="dxa"/>
            <w:shd w:val="clear" w:color="auto" w:fill="FFFFFF" w:themeFill="background1"/>
            <w:tcMar>
              <w:top w:w="0" w:type="dxa"/>
              <w:left w:w="108" w:type="dxa"/>
              <w:bottom w:w="0" w:type="dxa"/>
              <w:right w:w="108" w:type="dxa"/>
            </w:tcMar>
            <w:vAlign w:val="center"/>
          </w:tcPr>
          <w:p w14:paraId="5073D43B"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1/6</w:t>
            </w:r>
          </w:p>
        </w:tc>
        <w:tc>
          <w:tcPr>
            <w:tcW w:w="1419" w:type="dxa"/>
            <w:shd w:val="clear" w:color="auto" w:fill="FFFFFF" w:themeFill="background1"/>
            <w:tcMar>
              <w:top w:w="0" w:type="dxa"/>
              <w:left w:w="108" w:type="dxa"/>
              <w:bottom w:w="0" w:type="dxa"/>
              <w:right w:w="108" w:type="dxa"/>
            </w:tcMar>
            <w:vAlign w:val="center"/>
          </w:tcPr>
          <w:p w14:paraId="06A1B414"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0,12%</w:t>
            </w:r>
          </w:p>
        </w:tc>
        <w:tc>
          <w:tcPr>
            <w:tcW w:w="852" w:type="dxa"/>
            <w:shd w:val="clear" w:color="auto" w:fill="FFFFFF" w:themeFill="background1"/>
            <w:tcMar>
              <w:top w:w="0" w:type="dxa"/>
              <w:left w:w="108" w:type="dxa"/>
              <w:bottom w:w="0" w:type="dxa"/>
              <w:right w:w="108" w:type="dxa"/>
            </w:tcMar>
            <w:vAlign w:val="center"/>
          </w:tcPr>
          <w:p w14:paraId="0486122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7" w:type="dxa"/>
            <w:shd w:val="clear" w:color="auto" w:fill="FFFFFF" w:themeFill="background1"/>
            <w:tcMar>
              <w:top w:w="0" w:type="dxa"/>
              <w:left w:w="108" w:type="dxa"/>
              <w:bottom w:w="0" w:type="dxa"/>
              <w:right w:w="108" w:type="dxa"/>
            </w:tcMar>
            <w:vAlign w:val="center"/>
          </w:tcPr>
          <w:p w14:paraId="2673F096"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94" w:type="dxa"/>
            <w:shd w:val="clear" w:color="auto" w:fill="FFFFFF" w:themeFill="background1"/>
            <w:tcMar>
              <w:top w:w="0" w:type="dxa"/>
              <w:left w:w="108" w:type="dxa"/>
              <w:bottom w:w="0" w:type="dxa"/>
              <w:right w:w="108" w:type="dxa"/>
            </w:tcMar>
            <w:vAlign w:val="center"/>
          </w:tcPr>
          <w:p w14:paraId="48E172B9" w14:textId="77777777" w:rsidR="00284822" w:rsidRDefault="00F77BF8">
            <w:pPr>
              <w:spacing w:line="240" w:lineRule="auto"/>
              <w:rPr>
                <w:rFonts w:ascii="Rockwell" w:hAnsi="Rockwell"/>
                <w:b/>
                <w:bCs/>
                <w:sz w:val="18"/>
                <w:szCs w:val="18"/>
              </w:rPr>
            </w:pPr>
            <w:r>
              <w:rPr>
                <w:rFonts w:ascii="Rockwell" w:hAnsi="Rockwell"/>
                <w:b/>
                <w:bCs/>
                <w:sz w:val="18"/>
                <w:szCs w:val="18"/>
              </w:rPr>
              <w:t>1</w:t>
            </w:r>
          </w:p>
        </w:tc>
        <w:tc>
          <w:tcPr>
            <w:tcW w:w="1136" w:type="dxa"/>
            <w:shd w:val="clear" w:color="auto" w:fill="FFFFFF" w:themeFill="background1"/>
            <w:tcMar>
              <w:top w:w="0" w:type="dxa"/>
              <w:left w:w="108" w:type="dxa"/>
              <w:bottom w:w="0" w:type="dxa"/>
              <w:right w:w="108" w:type="dxa"/>
            </w:tcMar>
            <w:vAlign w:val="center"/>
          </w:tcPr>
          <w:p w14:paraId="0BFB00F2" w14:textId="77777777" w:rsidR="00284822" w:rsidRDefault="00F77BF8">
            <w:pPr>
              <w:spacing w:line="240" w:lineRule="auto"/>
              <w:rPr>
                <w:rFonts w:ascii="Rockwell" w:hAnsi="Rockwell"/>
                <w:b/>
                <w:bCs/>
                <w:sz w:val="18"/>
                <w:szCs w:val="18"/>
              </w:rPr>
            </w:pPr>
            <w:r>
              <w:rPr>
                <w:rFonts w:ascii="Rockwell" w:hAnsi="Rockwell"/>
                <w:b/>
                <w:bCs/>
                <w:sz w:val="18"/>
                <w:szCs w:val="18"/>
              </w:rPr>
              <w:t>0,23%</w:t>
            </w:r>
          </w:p>
        </w:tc>
        <w:tc>
          <w:tcPr>
            <w:tcW w:w="851" w:type="dxa"/>
            <w:shd w:val="clear" w:color="auto" w:fill="FFFFFF" w:themeFill="background1"/>
            <w:tcMar>
              <w:top w:w="0" w:type="dxa"/>
              <w:left w:w="108" w:type="dxa"/>
              <w:bottom w:w="0" w:type="dxa"/>
              <w:right w:w="108" w:type="dxa"/>
            </w:tcMar>
            <w:vAlign w:val="center"/>
          </w:tcPr>
          <w:p w14:paraId="3760004F" w14:textId="77777777" w:rsidR="00284822" w:rsidRDefault="00F77BF8">
            <w:pPr>
              <w:spacing w:line="240" w:lineRule="auto"/>
              <w:rPr>
                <w:rFonts w:ascii="Rockwell" w:hAnsi="Rockwell"/>
                <w:b/>
                <w:bCs/>
                <w:sz w:val="18"/>
                <w:szCs w:val="18"/>
              </w:rPr>
            </w:pPr>
            <w:r>
              <w:rPr>
                <w:rFonts w:ascii="Rockwell" w:hAnsi="Rockwell"/>
                <w:b/>
                <w:bCs/>
                <w:sz w:val="18"/>
                <w:szCs w:val="18"/>
              </w:rPr>
              <w:t>2</w:t>
            </w:r>
          </w:p>
        </w:tc>
        <w:tc>
          <w:tcPr>
            <w:tcW w:w="1136" w:type="dxa"/>
            <w:shd w:val="clear" w:color="auto" w:fill="FFFFFF" w:themeFill="background1"/>
            <w:tcMar>
              <w:top w:w="0" w:type="dxa"/>
              <w:left w:w="108" w:type="dxa"/>
              <w:bottom w:w="0" w:type="dxa"/>
              <w:right w:w="108" w:type="dxa"/>
            </w:tcMar>
            <w:vAlign w:val="center"/>
          </w:tcPr>
          <w:p w14:paraId="78F8999B" w14:textId="77777777" w:rsidR="00284822" w:rsidRDefault="00F77BF8">
            <w:pPr>
              <w:spacing w:line="240" w:lineRule="auto"/>
              <w:rPr>
                <w:rFonts w:ascii="Rockwell" w:hAnsi="Rockwell"/>
                <w:b/>
                <w:bCs/>
                <w:sz w:val="18"/>
                <w:szCs w:val="18"/>
              </w:rPr>
            </w:pPr>
            <w:r>
              <w:rPr>
                <w:rFonts w:ascii="Rockwell" w:hAnsi="Rockwell"/>
                <w:b/>
                <w:bCs/>
                <w:sz w:val="18"/>
                <w:szCs w:val="18"/>
              </w:rPr>
              <w:t>0,27%</w:t>
            </w:r>
          </w:p>
        </w:tc>
      </w:tr>
      <w:tr w:rsidR="00284822" w14:paraId="69C5813D" w14:textId="77777777">
        <w:trPr>
          <w:gridAfter w:val="1"/>
          <w:wAfter w:w="6" w:type="dxa"/>
          <w:trHeight w:val="70"/>
        </w:trPr>
        <w:tc>
          <w:tcPr>
            <w:tcW w:w="994" w:type="dxa"/>
            <w:shd w:val="clear" w:color="auto" w:fill="FFFFFF" w:themeFill="background1"/>
            <w:noWrap/>
            <w:tcMar>
              <w:top w:w="0" w:type="dxa"/>
              <w:left w:w="108" w:type="dxa"/>
              <w:bottom w:w="0" w:type="dxa"/>
              <w:right w:w="108" w:type="dxa"/>
            </w:tcMar>
            <w:vAlign w:val="center"/>
          </w:tcPr>
          <w:p w14:paraId="043878B0"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44</w:t>
            </w:r>
          </w:p>
        </w:tc>
        <w:tc>
          <w:tcPr>
            <w:tcW w:w="1563" w:type="dxa"/>
            <w:shd w:val="clear" w:color="auto" w:fill="FFFFFF" w:themeFill="background1"/>
            <w:tcMar>
              <w:top w:w="0" w:type="dxa"/>
              <w:left w:w="108" w:type="dxa"/>
              <w:bottom w:w="0" w:type="dxa"/>
              <w:right w:w="108" w:type="dxa"/>
            </w:tcMar>
            <w:vAlign w:val="center"/>
          </w:tcPr>
          <w:p w14:paraId="057AA054"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RDN</w:t>
            </w:r>
          </w:p>
        </w:tc>
        <w:tc>
          <w:tcPr>
            <w:tcW w:w="851" w:type="dxa"/>
            <w:shd w:val="clear" w:color="auto" w:fill="FFFFFF" w:themeFill="background1"/>
            <w:tcMar>
              <w:top w:w="0" w:type="dxa"/>
              <w:left w:w="108" w:type="dxa"/>
              <w:bottom w:w="0" w:type="dxa"/>
              <w:right w:w="108" w:type="dxa"/>
            </w:tcMar>
            <w:vAlign w:val="center"/>
          </w:tcPr>
          <w:p w14:paraId="4C656652"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8" w:type="dxa"/>
            <w:shd w:val="clear" w:color="auto" w:fill="FFFFFF" w:themeFill="background1"/>
            <w:tcMar>
              <w:top w:w="0" w:type="dxa"/>
              <w:left w:w="108" w:type="dxa"/>
              <w:bottom w:w="0" w:type="dxa"/>
              <w:right w:w="108" w:type="dxa"/>
            </w:tcMar>
            <w:vAlign w:val="center"/>
          </w:tcPr>
          <w:p w14:paraId="69132D48"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710" w:type="dxa"/>
            <w:shd w:val="clear" w:color="auto" w:fill="FFFFFF" w:themeFill="background1"/>
            <w:tcMar>
              <w:top w:w="0" w:type="dxa"/>
              <w:left w:w="108" w:type="dxa"/>
              <w:bottom w:w="0" w:type="dxa"/>
              <w:right w:w="108" w:type="dxa"/>
            </w:tcMar>
            <w:vAlign w:val="center"/>
          </w:tcPr>
          <w:p w14:paraId="1FBD06A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7" w:type="dxa"/>
            <w:shd w:val="clear" w:color="auto" w:fill="FFFFFF" w:themeFill="background1"/>
            <w:tcMar>
              <w:top w:w="0" w:type="dxa"/>
              <w:left w:w="108" w:type="dxa"/>
              <w:bottom w:w="0" w:type="dxa"/>
              <w:right w:w="108" w:type="dxa"/>
            </w:tcMar>
            <w:vAlign w:val="center"/>
          </w:tcPr>
          <w:p w14:paraId="31B563A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94" w:type="dxa"/>
            <w:shd w:val="clear" w:color="auto" w:fill="FFFFFF" w:themeFill="background1"/>
            <w:tcMar>
              <w:top w:w="0" w:type="dxa"/>
              <w:left w:w="108" w:type="dxa"/>
              <w:bottom w:w="0" w:type="dxa"/>
              <w:right w:w="108" w:type="dxa"/>
            </w:tcMar>
            <w:vAlign w:val="center"/>
          </w:tcPr>
          <w:p w14:paraId="16BBCFF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1/4</w:t>
            </w:r>
          </w:p>
        </w:tc>
        <w:tc>
          <w:tcPr>
            <w:tcW w:w="1419" w:type="dxa"/>
            <w:shd w:val="clear" w:color="auto" w:fill="FFFFFF" w:themeFill="background1"/>
            <w:tcMar>
              <w:top w:w="0" w:type="dxa"/>
              <w:left w:w="108" w:type="dxa"/>
              <w:bottom w:w="0" w:type="dxa"/>
              <w:right w:w="108" w:type="dxa"/>
            </w:tcMar>
            <w:vAlign w:val="center"/>
          </w:tcPr>
          <w:p w14:paraId="3E26CEB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0,18%</w:t>
            </w:r>
          </w:p>
        </w:tc>
        <w:tc>
          <w:tcPr>
            <w:tcW w:w="852" w:type="dxa"/>
            <w:shd w:val="clear" w:color="auto" w:fill="FFFFFF" w:themeFill="background1"/>
            <w:tcMar>
              <w:top w:w="0" w:type="dxa"/>
              <w:left w:w="108" w:type="dxa"/>
              <w:bottom w:w="0" w:type="dxa"/>
              <w:right w:w="108" w:type="dxa"/>
            </w:tcMar>
            <w:vAlign w:val="center"/>
          </w:tcPr>
          <w:p w14:paraId="71D5FA7B"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7" w:type="dxa"/>
            <w:shd w:val="clear" w:color="auto" w:fill="FFFFFF" w:themeFill="background1"/>
            <w:tcMar>
              <w:top w:w="0" w:type="dxa"/>
              <w:left w:w="108" w:type="dxa"/>
              <w:bottom w:w="0" w:type="dxa"/>
              <w:right w:w="108" w:type="dxa"/>
            </w:tcMar>
            <w:vAlign w:val="center"/>
          </w:tcPr>
          <w:p w14:paraId="38F72803"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94" w:type="dxa"/>
            <w:shd w:val="clear" w:color="auto" w:fill="FFFFFF" w:themeFill="background1"/>
            <w:tcMar>
              <w:top w:w="0" w:type="dxa"/>
              <w:left w:w="108" w:type="dxa"/>
              <w:bottom w:w="0" w:type="dxa"/>
              <w:right w:w="108" w:type="dxa"/>
            </w:tcMar>
            <w:vAlign w:val="center"/>
          </w:tcPr>
          <w:p w14:paraId="7CC6C125" w14:textId="77777777" w:rsidR="00284822" w:rsidRDefault="00F77BF8">
            <w:pPr>
              <w:spacing w:line="240" w:lineRule="auto"/>
              <w:rPr>
                <w:rFonts w:ascii="Rockwell" w:hAnsi="Rockwell"/>
                <w:b/>
                <w:bCs/>
                <w:sz w:val="18"/>
                <w:szCs w:val="18"/>
              </w:rPr>
            </w:pPr>
            <w:r>
              <w:rPr>
                <w:rFonts w:ascii="Rockwell" w:hAnsi="Rockwell"/>
                <w:b/>
                <w:bCs/>
                <w:sz w:val="18"/>
                <w:szCs w:val="18"/>
              </w:rPr>
              <w:t>1/4</w:t>
            </w:r>
          </w:p>
        </w:tc>
        <w:tc>
          <w:tcPr>
            <w:tcW w:w="1136" w:type="dxa"/>
            <w:shd w:val="clear" w:color="auto" w:fill="FFFFFF" w:themeFill="background1"/>
            <w:tcMar>
              <w:top w:w="0" w:type="dxa"/>
              <w:left w:w="108" w:type="dxa"/>
              <w:bottom w:w="0" w:type="dxa"/>
              <w:right w:w="108" w:type="dxa"/>
            </w:tcMar>
            <w:vAlign w:val="center"/>
          </w:tcPr>
          <w:p w14:paraId="6FECA246" w14:textId="77777777" w:rsidR="00284822" w:rsidRDefault="00F77BF8">
            <w:pPr>
              <w:spacing w:line="240" w:lineRule="auto"/>
              <w:rPr>
                <w:rFonts w:ascii="Rockwell" w:hAnsi="Rockwell"/>
                <w:b/>
                <w:bCs/>
                <w:sz w:val="18"/>
                <w:szCs w:val="18"/>
              </w:rPr>
            </w:pPr>
            <w:r>
              <w:rPr>
                <w:rFonts w:ascii="Rockwell" w:hAnsi="Rockwell"/>
                <w:b/>
                <w:bCs/>
                <w:sz w:val="18"/>
                <w:szCs w:val="18"/>
              </w:rPr>
              <w:t>0,06%</w:t>
            </w:r>
          </w:p>
        </w:tc>
        <w:tc>
          <w:tcPr>
            <w:tcW w:w="851" w:type="dxa"/>
            <w:shd w:val="clear" w:color="auto" w:fill="FFFFFF" w:themeFill="background1"/>
            <w:tcMar>
              <w:top w:w="0" w:type="dxa"/>
              <w:left w:w="108" w:type="dxa"/>
              <w:bottom w:w="0" w:type="dxa"/>
              <w:right w:w="108" w:type="dxa"/>
            </w:tcMar>
            <w:vAlign w:val="center"/>
          </w:tcPr>
          <w:p w14:paraId="641A3EC1" w14:textId="77777777" w:rsidR="00284822" w:rsidRDefault="00F77BF8">
            <w:pPr>
              <w:spacing w:line="240" w:lineRule="auto"/>
              <w:rPr>
                <w:rFonts w:ascii="Rockwell" w:hAnsi="Rockwell"/>
                <w:b/>
                <w:bCs/>
                <w:sz w:val="18"/>
                <w:szCs w:val="18"/>
              </w:rPr>
            </w:pPr>
            <w:r>
              <w:rPr>
                <w:rFonts w:ascii="Rockwell" w:hAnsi="Rockwell"/>
                <w:b/>
                <w:bCs/>
                <w:sz w:val="18"/>
                <w:szCs w:val="18"/>
              </w:rPr>
              <w:t>0</w:t>
            </w:r>
          </w:p>
        </w:tc>
        <w:tc>
          <w:tcPr>
            <w:tcW w:w="1136" w:type="dxa"/>
            <w:shd w:val="clear" w:color="auto" w:fill="FFFFFF" w:themeFill="background1"/>
            <w:tcMar>
              <w:top w:w="0" w:type="dxa"/>
              <w:left w:w="108" w:type="dxa"/>
              <w:bottom w:w="0" w:type="dxa"/>
              <w:right w:w="108" w:type="dxa"/>
            </w:tcMar>
            <w:vAlign w:val="center"/>
          </w:tcPr>
          <w:p w14:paraId="5DE65E88" w14:textId="77777777" w:rsidR="00284822" w:rsidRDefault="00F77BF8">
            <w:pPr>
              <w:spacing w:line="240" w:lineRule="auto"/>
              <w:rPr>
                <w:rFonts w:ascii="Rockwell" w:hAnsi="Rockwell"/>
                <w:b/>
                <w:bCs/>
                <w:sz w:val="18"/>
                <w:szCs w:val="18"/>
              </w:rPr>
            </w:pPr>
            <w:r>
              <w:rPr>
                <w:rFonts w:ascii="Rockwell" w:hAnsi="Rockwell"/>
                <w:b/>
                <w:bCs/>
                <w:sz w:val="18"/>
                <w:szCs w:val="18"/>
              </w:rPr>
              <w:t>0,00%</w:t>
            </w:r>
          </w:p>
        </w:tc>
      </w:tr>
      <w:tr w:rsidR="00284822" w14:paraId="099E2A87" w14:textId="77777777">
        <w:trPr>
          <w:gridAfter w:val="1"/>
          <w:wAfter w:w="6" w:type="dxa"/>
          <w:trHeight w:val="70"/>
        </w:trPr>
        <w:tc>
          <w:tcPr>
            <w:tcW w:w="994" w:type="dxa"/>
            <w:shd w:val="clear" w:color="auto" w:fill="FFFFFF" w:themeFill="background1"/>
            <w:noWrap/>
            <w:tcMar>
              <w:top w:w="0" w:type="dxa"/>
              <w:left w:w="108" w:type="dxa"/>
              <w:bottom w:w="0" w:type="dxa"/>
              <w:right w:w="108" w:type="dxa"/>
            </w:tcMar>
            <w:vAlign w:val="center"/>
          </w:tcPr>
          <w:p w14:paraId="58FBE856"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45</w:t>
            </w:r>
          </w:p>
        </w:tc>
        <w:tc>
          <w:tcPr>
            <w:tcW w:w="1563" w:type="dxa"/>
            <w:shd w:val="clear" w:color="auto" w:fill="FFFFFF" w:themeFill="background1"/>
            <w:tcMar>
              <w:top w:w="0" w:type="dxa"/>
              <w:left w:w="108" w:type="dxa"/>
              <w:bottom w:w="0" w:type="dxa"/>
              <w:right w:w="108" w:type="dxa"/>
            </w:tcMar>
            <w:vAlign w:val="center"/>
          </w:tcPr>
          <w:p w14:paraId="530D09A7"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RDR</w:t>
            </w:r>
          </w:p>
        </w:tc>
        <w:tc>
          <w:tcPr>
            <w:tcW w:w="851" w:type="dxa"/>
            <w:shd w:val="clear" w:color="auto" w:fill="FFFFFF" w:themeFill="background1"/>
            <w:tcMar>
              <w:top w:w="0" w:type="dxa"/>
              <w:left w:w="108" w:type="dxa"/>
              <w:bottom w:w="0" w:type="dxa"/>
              <w:right w:w="108" w:type="dxa"/>
            </w:tcMar>
            <w:vAlign w:val="center"/>
          </w:tcPr>
          <w:p w14:paraId="3638206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8" w:type="dxa"/>
            <w:shd w:val="clear" w:color="auto" w:fill="FFFFFF" w:themeFill="background1"/>
            <w:tcMar>
              <w:top w:w="0" w:type="dxa"/>
              <w:left w:w="108" w:type="dxa"/>
              <w:bottom w:w="0" w:type="dxa"/>
              <w:right w:w="108" w:type="dxa"/>
            </w:tcMar>
            <w:vAlign w:val="center"/>
          </w:tcPr>
          <w:p w14:paraId="224046B2"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710" w:type="dxa"/>
            <w:shd w:val="clear" w:color="auto" w:fill="FFFFFF" w:themeFill="background1"/>
            <w:tcMar>
              <w:top w:w="0" w:type="dxa"/>
              <w:left w:w="108" w:type="dxa"/>
              <w:bottom w:w="0" w:type="dxa"/>
              <w:right w:w="108" w:type="dxa"/>
            </w:tcMar>
            <w:vAlign w:val="center"/>
          </w:tcPr>
          <w:p w14:paraId="16E4D962"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7" w:type="dxa"/>
            <w:shd w:val="clear" w:color="auto" w:fill="FFFFFF" w:themeFill="background1"/>
            <w:tcMar>
              <w:top w:w="0" w:type="dxa"/>
              <w:left w:w="108" w:type="dxa"/>
              <w:bottom w:w="0" w:type="dxa"/>
              <w:right w:w="108" w:type="dxa"/>
            </w:tcMar>
            <w:vAlign w:val="center"/>
          </w:tcPr>
          <w:p w14:paraId="64743959"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94" w:type="dxa"/>
            <w:shd w:val="clear" w:color="auto" w:fill="FFFFFF" w:themeFill="background1"/>
            <w:tcMar>
              <w:top w:w="0" w:type="dxa"/>
              <w:left w:w="108" w:type="dxa"/>
              <w:bottom w:w="0" w:type="dxa"/>
              <w:right w:w="108" w:type="dxa"/>
            </w:tcMar>
            <w:vAlign w:val="center"/>
          </w:tcPr>
          <w:p w14:paraId="59C906B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w:t>
            </w:r>
          </w:p>
        </w:tc>
        <w:tc>
          <w:tcPr>
            <w:tcW w:w="1419" w:type="dxa"/>
            <w:shd w:val="clear" w:color="auto" w:fill="FFFFFF" w:themeFill="background1"/>
            <w:tcMar>
              <w:top w:w="0" w:type="dxa"/>
              <w:left w:w="108" w:type="dxa"/>
              <w:bottom w:w="0" w:type="dxa"/>
              <w:right w:w="108" w:type="dxa"/>
            </w:tcMar>
            <w:vAlign w:val="center"/>
          </w:tcPr>
          <w:p w14:paraId="101460B9"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0,70%</w:t>
            </w:r>
          </w:p>
        </w:tc>
        <w:tc>
          <w:tcPr>
            <w:tcW w:w="852" w:type="dxa"/>
            <w:shd w:val="clear" w:color="auto" w:fill="FFFFFF" w:themeFill="background1"/>
            <w:tcMar>
              <w:top w:w="0" w:type="dxa"/>
              <w:left w:w="108" w:type="dxa"/>
              <w:bottom w:w="0" w:type="dxa"/>
              <w:right w:w="108" w:type="dxa"/>
            </w:tcMar>
            <w:vAlign w:val="center"/>
          </w:tcPr>
          <w:p w14:paraId="78CF476F"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w:t>
            </w:r>
          </w:p>
        </w:tc>
        <w:tc>
          <w:tcPr>
            <w:tcW w:w="1277" w:type="dxa"/>
            <w:shd w:val="clear" w:color="auto" w:fill="FFFFFF" w:themeFill="background1"/>
            <w:tcMar>
              <w:top w:w="0" w:type="dxa"/>
              <w:left w:w="108" w:type="dxa"/>
              <w:bottom w:w="0" w:type="dxa"/>
              <w:right w:w="108" w:type="dxa"/>
            </w:tcMar>
            <w:vAlign w:val="center"/>
          </w:tcPr>
          <w:p w14:paraId="42F4704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0,84%</w:t>
            </w:r>
          </w:p>
        </w:tc>
        <w:tc>
          <w:tcPr>
            <w:tcW w:w="994" w:type="dxa"/>
            <w:shd w:val="clear" w:color="auto" w:fill="FFFFFF" w:themeFill="background1"/>
            <w:tcMar>
              <w:top w:w="0" w:type="dxa"/>
              <w:left w:w="108" w:type="dxa"/>
              <w:bottom w:w="0" w:type="dxa"/>
              <w:right w:w="108" w:type="dxa"/>
            </w:tcMar>
            <w:vAlign w:val="center"/>
          </w:tcPr>
          <w:p w14:paraId="368500EE" w14:textId="77777777" w:rsidR="00284822" w:rsidRDefault="00F77BF8">
            <w:pPr>
              <w:spacing w:line="240" w:lineRule="auto"/>
              <w:rPr>
                <w:rFonts w:ascii="Rockwell" w:hAnsi="Rockwell"/>
                <w:b/>
                <w:bCs/>
                <w:sz w:val="18"/>
                <w:szCs w:val="18"/>
              </w:rPr>
            </w:pPr>
            <w:r>
              <w:rPr>
                <w:rFonts w:ascii="Rockwell" w:hAnsi="Rockwell"/>
                <w:b/>
                <w:bCs/>
                <w:sz w:val="18"/>
                <w:szCs w:val="18"/>
              </w:rPr>
              <w:t>3</w:t>
            </w:r>
          </w:p>
        </w:tc>
        <w:tc>
          <w:tcPr>
            <w:tcW w:w="1136" w:type="dxa"/>
            <w:shd w:val="clear" w:color="auto" w:fill="FFFFFF" w:themeFill="background1"/>
            <w:tcMar>
              <w:top w:w="0" w:type="dxa"/>
              <w:left w:w="108" w:type="dxa"/>
              <w:bottom w:w="0" w:type="dxa"/>
              <w:right w:w="108" w:type="dxa"/>
            </w:tcMar>
            <w:vAlign w:val="center"/>
          </w:tcPr>
          <w:p w14:paraId="278184D4" w14:textId="77777777" w:rsidR="00284822" w:rsidRDefault="00F77BF8">
            <w:pPr>
              <w:spacing w:line="240" w:lineRule="auto"/>
              <w:rPr>
                <w:rFonts w:ascii="Rockwell" w:hAnsi="Rockwell"/>
                <w:b/>
                <w:bCs/>
                <w:sz w:val="18"/>
                <w:szCs w:val="18"/>
              </w:rPr>
            </w:pPr>
            <w:r>
              <w:rPr>
                <w:rFonts w:ascii="Rockwell" w:hAnsi="Rockwell"/>
                <w:b/>
                <w:bCs/>
                <w:sz w:val="18"/>
                <w:szCs w:val="18"/>
              </w:rPr>
              <w:t>0,70%</w:t>
            </w:r>
          </w:p>
        </w:tc>
        <w:tc>
          <w:tcPr>
            <w:tcW w:w="851" w:type="dxa"/>
            <w:shd w:val="clear" w:color="auto" w:fill="FFFFFF" w:themeFill="background1"/>
            <w:tcMar>
              <w:top w:w="0" w:type="dxa"/>
              <w:left w:w="108" w:type="dxa"/>
              <w:bottom w:w="0" w:type="dxa"/>
              <w:right w:w="108" w:type="dxa"/>
            </w:tcMar>
            <w:vAlign w:val="center"/>
          </w:tcPr>
          <w:p w14:paraId="2ED16EBE" w14:textId="77777777" w:rsidR="00284822" w:rsidRDefault="00F77BF8">
            <w:pPr>
              <w:spacing w:line="240" w:lineRule="auto"/>
              <w:rPr>
                <w:rFonts w:ascii="Rockwell" w:hAnsi="Rockwell"/>
                <w:b/>
                <w:bCs/>
                <w:sz w:val="18"/>
                <w:szCs w:val="18"/>
              </w:rPr>
            </w:pPr>
            <w:r>
              <w:rPr>
                <w:rFonts w:ascii="Rockwell" w:hAnsi="Rockwell"/>
                <w:b/>
                <w:bCs/>
                <w:sz w:val="18"/>
                <w:szCs w:val="18"/>
              </w:rPr>
              <w:t>5</w:t>
            </w:r>
          </w:p>
        </w:tc>
        <w:tc>
          <w:tcPr>
            <w:tcW w:w="1136" w:type="dxa"/>
            <w:shd w:val="clear" w:color="auto" w:fill="FFFFFF" w:themeFill="background1"/>
            <w:tcMar>
              <w:top w:w="0" w:type="dxa"/>
              <w:left w:w="108" w:type="dxa"/>
              <w:bottom w:w="0" w:type="dxa"/>
              <w:right w:w="108" w:type="dxa"/>
            </w:tcMar>
            <w:vAlign w:val="center"/>
          </w:tcPr>
          <w:p w14:paraId="33922B91" w14:textId="77777777" w:rsidR="00284822" w:rsidRDefault="00F77BF8">
            <w:pPr>
              <w:spacing w:line="240" w:lineRule="auto"/>
              <w:rPr>
                <w:rFonts w:ascii="Rockwell" w:hAnsi="Rockwell"/>
                <w:b/>
                <w:bCs/>
                <w:sz w:val="18"/>
                <w:szCs w:val="18"/>
              </w:rPr>
            </w:pPr>
            <w:r>
              <w:rPr>
                <w:rFonts w:ascii="Rockwell" w:hAnsi="Rockwell"/>
                <w:b/>
                <w:bCs/>
                <w:sz w:val="18"/>
                <w:szCs w:val="18"/>
              </w:rPr>
              <w:t>0,67%</w:t>
            </w:r>
          </w:p>
        </w:tc>
      </w:tr>
      <w:tr w:rsidR="00284822" w14:paraId="1D7B0F32" w14:textId="77777777">
        <w:trPr>
          <w:gridAfter w:val="1"/>
          <w:wAfter w:w="6" w:type="dxa"/>
          <w:trHeight w:val="70"/>
        </w:trPr>
        <w:tc>
          <w:tcPr>
            <w:tcW w:w="994" w:type="dxa"/>
            <w:shd w:val="clear" w:color="auto" w:fill="FFFFFF" w:themeFill="background1"/>
            <w:noWrap/>
            <w:tcMar>
              <w:top w:w="0" w:type="dxa"/>
              <w:left w:w="108" w:type="dxa"/>
              <w:bottom w:w="0" w:type="dxa"/>
              <w:right w:w="108" w:type="dxa"/>
            </w:tcMar>
            <w:vAlign w:val="center"/>
          </w:tcPr>
          <w:p w14:paraId="13D23026"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46</w:t>
            </w:r>
          </w:p>
        </w:tc>
        <w:tc>
          <w:tcPr>
            <w:tcW w:w="1563" w:type="dxa"/>
            <w:shd w:val="clear" w:color="auto" w:fill="FFFFFF" w:themeFill="background1"/>
            <w:tcMar>
              <w:top w:w="0" w:type="dxa"/>
              <w:left w:w="108" w:type="dxa"/>
              <w:bottom w:w="0" w:type="dxa"/>
              <w:right w:w="108" w:type="dxa"/>
            </w:tcMar>
            <w:vAlign w:val="center"/>
          </w:tcPr>
          <w:p w14:paraId="018DD0A4"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RPD</w:t>
            </w:r>
          </w:p>
        </w:tc>
        <w:tc>
          <w:tcPr>
            <w:tcW w:w="851" w:type="dxa"/>
            <w:shd w:val="clear" w:color="auto" w:fill="FFFFFF" w:themeFill="background1"/>
            <w:tcMar>
              <w:top w:w="0" w:type="dxa"/>
              <w:left w:w="108" w:type="dxa"/>
              <w:bottom w:w="0" w:type="dxa"/>
              <w:right w:w="108" w:type="dxa"/>
            </w:tcMar>
            <w:vAlign w:val="center"/>
          </w:tcPr>
          <w:p w14:paraId="3889C4D9"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8" w:type="dxa"/>
            <w:shd w:val="clear" w:color="auto" w:fill="FFFFFF" w:themeFill="background1"/>
            <w:tcMar>
              <w:top w:w="0" w:type="dxa"/>
              <w:left w:w="108" w:type="dxa"/>
              <w:bottom w:w="0" w:type="dxa"/>
              <w:right w:w="108" w:type="dxa"/>
            </w:tcMar>
            <w:vAlign w:val="center"/>
          </w:tcPr>
          <w:p w14:paraId="1851853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710" w:type="dxa"/>
            <w:shd w:val="clear" w:color="auto" w:fill="FFFFFF" w:themeFill="background1"/>
            <w:tcMar>
              <w:top w:w="0" w:type="dxa"/>
              <w:left w:w="108" w:type="dxa"/>
              <w:bottom w:w="0" w:type="dxa"/>
              <w:right w:w="108" w:type="dxa"/>
            </w:tcMar>
            <w:vAlign w:val="center"/>
          </w:tcPr>
          <w:p w14:paraId="0A6F44E7"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7" w:type="dxa"/>
            <w:shd w:val="clear" w:color="auto" w:fill="FFFFFF" w:themeFill="background1"/>
            <w:tcMar>
              <w:top w:w="0" w:type="dxa"/>
              <w:left w:w="108" w:type="dxa"/>
              <w:bottom w:w="0" w:type="dxa"/>
              <w:right w:w="108" w:type="dxa"/>
            </w:tcMar>
            <w:vAlign w:val="center"/>
          </w:tcPr>
          <w:p w14:paraId="69B309D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94" w:type="dxa"/>
            <w:shd w:val="clear" w:color="auto" w:fill="FFFFFF" w:themeFill="background1"/>
            <w:tcMar>
              <w:top w:w="0" w:type="dxa"/>
              <w:left w:w="108" w:type="dxa"/>
              <w:bottom w:w="0" w:type="dxa"/>
              <w:right w:w="108" w:type="dxa"/>
            </w:tcMar>
            <w:vAlign w:val="center"/>
          </w:tcPr>
          <w:p w14:paraId="148C5DBC"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w:t>
            </w:r>
          </w:p>
        </w:tc>
        <w:tc>
          <w:tcPr>
            <w:tcW w:w="1419" w:type="dxa"/>
            <w:shd w:val="clear" w:color="auto" w:fill="FFFFFF" w:themeFill="background1"/>
            <w:tcMar>
              <w:top w:w="0" w:type="dxa"/>
              <w:left w:w="108" w:type="dxa"/>
              <w:bottom w:w="0" w:type="dxa"/>
              <w:right w:w="108" w:type="dxa"/>
            </w:tcMar>
            <w:vAlign w:val="center"/>
          </w:tcPr>
          <w:p w14:paraId="67F4C1B9"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0,70%</w:t>
            </w:r>
          </w:p>
        </w:tc>
        <w:tc>
          <w:tcPr>
            <w:tcW w:w="852" w:type="dxa"/>
            <w:shd w:val="clear" w:color="auto" w:fill="FFFFFF" w:themeFill="background1"/>
            <w:tcMar>
              <w:top w:w="0" w:type="dxa"/>
              <w:left w:w="108" w:type="dxa"/>
              <w:bottom w:w="0" w:type="dxa"/>
              <w:right w:w="108" w:type="dxa"/>
            </w:tcMar>
            <w:vAlign w:val="center"/>
          </w:tcPr>
          <w:p w14:paraId="33B8BA89"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7" w:type="dxa"/>
            <w:shd w:val="clear" w:color="auto" w:fill="FFFFFF" w:themeFill="background1"/>
            <w:tcMar>
              <w:top w:w="0" w:type="dxa"/>
              <w:left w:w="108" w:type="dxa"/>
              <w:bottom w:w="0" w:type="dxa"/>
              <w:right w:w="108" w:type="dxa"/>
            </w:tcMar>
            <w:vAlign w:val="center"/>
          </w:tcPr>
          <w:p w14:paraId="50D8FBE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94" w:type="dxa"/>
            <w:shd w:val="clear" w:color="auto" w:fill="FFFFFF" w:themeFill="background1"/>
            <w:tcMar>
              <w:top w:w="0" w:type="dxa"/>
              <w:left w:w="108" w:type="dxa"/>
              <w:bottom w:w="0" w:type="dxa"/>
              <w:right w:w="108" w:type="dxa"/>
            </w:tcMar>
            <w:vAlign w:val="center"/>
          </w:tcPr>
          <w:p w14:paraId="2F458AFD" w14:textId="77777777" w:rsidR="00284822" w:rsidRDefault="00F77BF8">
            <w:pPr>
              <w:spacing w:line="240" w:lineRule="auto"/>
              <w:rPr>
                <w:rFonts w:ascii="Rockwell" w:hAnsi="Rockwell"/>
                <w:b/>
                <w:bCs/>
                <w:sz w:val="18"/>
                <w:szCs w:val="18"/>
              </w:rPr>
            </w:pPr>
            <w:r>
              <w:rPr>
                <w:rFonts w:ascii="Rockwell" w:hAnsi="Rockwell"/>
                <w:b/>
                <w:bCs/>
                <w:sz w:val="18"/>
                <w:szCs w:val="18"/>
              </w:rPr>
              <w:t>5</w:t>
            </w:r>
          </w:p>
        </w:tc>
        <w:tc>
          <w:tcPr>
            <w:tcW w:w="1136" w:type="dxa"/>
            <w:shd w:val="clear" w:color="auto" w:fill="FFFFFF" w:themeFill="background1"/>
            <w:tcMar>
              <w:top w:w="0" w:type="dxa"/>
              <w:left w:w="108" w:type="dxa"/>
              <w:bottom w:w="0" w:type="dxa"/>
              <w:right w:w="108" w:type="dxa"/>
            </w:tcMar>
            <w:vAlign w:val="center"/>
          </w:tcPr>
          <w:p w14:paraId="19F1E839" w14:textId="77777777" w:rsidR="00284822" w:rsidRDefault="00F77BF8">
            <w:pPr>
              <w:spacing w:line="240" w:lineRule="auto"/>
              <w:rPr>
                <w:rFonts w:ascii="Rockwell" w:hAnsi="Rockwell"/>
                <w:b/>
                <w:bCs/>
                <w:sz w:val="18"/>
                <w:szCs w:val="18"/>
              </w:rPr>
            </w:pPr>
            <w:r>
              <w:rPr>
                <w:rFonts w:ascii="Rockwell" w:hAnsi="Rockwell"/>
                <w:b/>
                <w:bCs/>
                <w:sz w:val="18"/>
                <w:szCs w:val="18"/>
              </w:rPr>
              <w:t>1,16%</w:t>
            </w:r>
          </w:p>
        </w:tc>
        <w:tc>
          <w:tcPr>
            <w:tcW w:w="851" w:type="dxa"/>
            <w:shd w:val="clear" w:color="auto" w:fill="FFFFFF" w:themeFill="background1"/>
            <w:tcMar>
              <w:top w:w="0" w:type="dxa"/>
              <w:left w:w="108" w:type="dxa"/>
              <w:bottom w:w="0" w:type="dxa"/>
              <w:right w:w="108" w:type="dxa"/>
            </w:tcMar>
            <w:vAlign w:val="center"/>
          </w:tcPr>
          <w:p w14:paraId="7066A427" w14:textId="77777777" w:rsidR="00284822" w:rsidRDefault="00F77BF8">
            <w:pPr>
              <w:spacing w:line="240" w:lineRule="auto"/>
              <w:rPr>
                <w:rFonts w:ascii="Rockwell" w:hAnsi="Rockwell"/>
                <w:b/>
                <w:bCs/>
                <w:sz w:val="18"/>
                <w:szCs w:val="18"/>
              </w:rPr>
            </w:pPr>
            <w:r>
              <w:rPr>
                <w:rFonts w:ascii="Rockwell" w:hAnsi="Rockwell"/>
                <w:b/>
                <w:bCs/>
                <w:sz w:val="18"/>
                <w:szCs w:val="18"/>
              </w:rPr>
              <w:t>3</w:t>
            </w:r>
          </w:p>
        </w:tc>
        <w:tc>
          <w:tcPr>
            <w:tcW w:w="1136" w:type="dxa"/>
            <w:shd w:val="clear" w:color="auto" w:fill="FFFFFF" w:themeFill="background1"/>
            <w:tcMar>
              <w:top w:w="0" w:type="dxa"/>
              <w:left w:w="108" w:type="dxa"/>
              <w:bottom w:w="0" w:type="dxa"/>
              <w:right w:w="108" w:type="dxa"/>
            </w:tcMar>
            <w:vAlign w:val="center"/>
          </w:tcPr>
          <w:p w14:paraId="2CB45704" w14:textId="77777777" w:rsidR="00284822" w:rsidRDefault="00F77BF8">
            <w:pPr>
              <w:spacing w:line="240" w:lineRule="auto"/>
              <w:rPr>
                <w:rFonts w:ascii="Rockwell" w:hAnsi="Rockwell"/>
                <w:b/>
                <w:bCs/>
                <w:sz w:val="18"/>
                <w:szCs w:val="18"/>
              </w:rPr>
            </w:pPr>
            <w:r>
              <w:rPr>
                <w:rFonts w:ascii="Rockwell" w:hAnsi="Rockwell"/>
                <w:b/>
                <w:bCs/>
                <w:sz w:val="18"/>
                <w:szCs w:val="18"/>
              </w:rPr>
              <w:t>0,40%</w:t>
            </w:r>
          </w:p>
        </w:tc>
      </w:tr>
      <w:tr w:rsidR="00284822" w14:paraId="2D97795D" w14:textId="77777777">
        <w:trPr>
          <w:gridAfter w:val="1"/>
          <w:wAfter w:w="6" w:type="dxa"/>
          <w:trHeight w:val="70"/>
        </w:trPr>
        <w:tc>
          <w:tcPr>
            <w:tcW w:w="994" w:type="dxa"/>
            <w:shd w:val="clear" w:color="auto" w:fill="FFFFFF" w:themeFill="background1"/>
            <w:noWrap/>
            <w:tcMar>
              <w:top w:w="0" w:type="dxa"/>
              <w:left w:w="108" w:type="dxa"/>
              <w:bottom w:w="0" w:type="dxa"/>
              <w:right w:w="108" w:type="dxa"/>
            </w:tcMar>
            <w:vAlign w:val="center"/>
          </w:tcPr>
          <w:p w14:paraId="1502A35E"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47</w:t>
            </w:r>
          </w:p>
        </w:tc>
        <w:tc>
          <w:tcPr>
            <w:tcW w:w="1563" w:type="dxa"/>
            <w:shd w:val="clear" w:color="auto" w:fill="FFFFFF" w:themeFill="background1"/>
            <w:tcMar>
              <w:top w:w="0" w:type="dxa"/>
              <w:left w:w="108" w:type="dxa"/>
              <w:bottom w:w="0" w:type="dxa"/>
              <w:right w:w="108" w:type="dxa"/>
            </w:tcMar>
            <w:vAlign w:val="center"/>
          </w:tcPr>
          <w:p w14:paraId="21421B73"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RPF</w:t>
            </w:r>
          </w:p>
        </w:tc>
        <w:tc>
          <w:tcPr>
            <w:tcW w:w="851" w:type="dxa"/>
            <w:shd w:val="clear" w:color="auto" w:fill="FFFFFF" w:themeFill="background1"/>
            <w:tcMar>
              <w:top w:w="0" w:type="dxa"/>
              <w:left w:w="108" w:type="dxa"/>
              <w:bottom w:w="0" w:type="dxa"/>
              <w:right w:w="108" w:type="dxa"/>
            </w:tcMar>
            <w:vAlign w:val="center"/>
          </w:tcPr>
          <w:p w14:paraId="0023DD81"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w:t>
            </w:r>
          </w:p>
        </w:tc>
        <w:tc>
          <w:tcPr>
            <w:tcW w:w="1278" w:type="dxa"/>
            <w:shd w:val="clear" w:color="auto" w:fill="FFFFFF" w:themeFill="background1"/>
            <w:tcMar>
              <w:top w:w="0" w:type="dxa"/>
              <w:left w:w="108" w:type="dxa"/>
              <w:bottom w:w="0" w:type="dxa"/>
              <w:right w:w="108" w:type="dxa"/>
            </w:tcMar>
            <w:vAlign w:val="center"/>
          </w:tcPr>
          <w:p w14:paraId="7AF53F5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1,10%</w:t>
            </w:r>
          </w:p>
        </w:tc>
        <w:tc>
          <w:tcPr>
            <w:tcW w:w="710" w:type="dxa"/>
            <w:shd w:val="clear" w:color="auto" w:fill="FFFFFF" w:themeFill="background1"/>
            <w:tcMar>
              <w:top w:w="0" w:type="dxa"/>
              <w:left w:w="108" w:type="dxa"/>
              <w:bottom w:w="0" w:type="dxa"/>
              <w:right w:w="108" w:type="dxa"/>
            </w:tcMar>
            <w:vAlign w:val="center"/>
          </w:tcPr>
          <w:p w14:paraId="2D8C6752"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w:t>
            </w:r>
          </w:p>
        </w:tc>
        <w:tc>
          <w:tcPr>
            <w:tcW w:w="1277" w:type="dxa"/>
            <w:shd w:val="clear" w:color="auto" w:fill="FFFFFF" w:themeFill="background1"/>
            <w:tcMar>
              <w:top w:w="0" w:type="dxa"/>
              <w:left w:w="108" w:type="dxa"/>
              <w:bottom w:w="0" w:type="dxa"/>
              <w:right w:w="108" w:type="dxa"/>
            </w:tcMar>
            <w:vAlign w:val="center"/>
          </w:tcPr>
          <w:p w14:paraId="7E646DCE"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0,62%</w:t>
            </w:r>
          </w:p>
        </w:tc>
        <w:tc>
          <w:tcPr>
            <w:tcW w:w="994" w:type="dxa"/>
            <w:shd w:val="clear" w:color="auto" w:fill="FFFFFF" w:themeFill="background1"/>
            <w:tcMar>
              <w:top w:w="0" w:type="dxa"/>
              <w:left w:w="108" w:type="dxa"/>
              <w:bottom w:w="0" w:type="dxa"/>
              <w:right w:w="108" w:type="dxa"/>
            </w:tcMar>
            <w:vAlign w:val="center"/>
          </w:tcPr>
          <w:p w14:paraId="6DD580C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419" w:type="dxa"/>
            <w:shd w:val="clear" w:color="auto" w:fill="FFFFFF" w:themeFill="background1"/>
            <w:tcMar>
              <w:top w:w="0" w:type="dxa"/>
              <w:left w:w="108" w:type="dxa"/>
              <w:bottom w:w="0" w:type="dxa"/>
              <w:right w:w="108" w:type="dxa"/>
            </w:tcMar>
            <w:vAlign w:val="center"/>
          </w:tcPr>
          <w:p w14:paraId="32BB3A2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852" w:type="dxa"/>
            <w:shd w:val="clear" w:color="auto" w:fill="FFFFFF" w:themeFill="background1"/>
            <w:tcMar>
              <w:top w:w="0" w:type="dxa"/>
              <w:left w:w="108" w:type="dxa"/>
              <w:bottom w:w="0" w:type="dxa"/>
              <w:right w:w="108" w:type="dxa"/>
            </w:tcMar>
            <w:vAlign w:val="center"/>
          </w:tcPr>
          <w:p w14:paraId="53B39402"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7" w:type="dxa"/>
            <w:shd w:val="clear" w:color="auto" w:fill="FFFFFF" w:themeFill="background1"/>
            <w:tcMar>
              <w:top w:w="0" w:type="dxa"/>
              <w:left w:w="108" w:type="dxa"/>
              <w:bottom w:w="0" w:type="dxa"/>
              <w:right w:w="108" w:type="dxa"/>
            </w:tcMar>
            <w:vAlign w:val="center"/>
          </w:tcPr>
          <w:p w14:paraId="2B41EB64"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94" w:type="dxa"/>
            <w:shd w:val="clear" w:color="auto" w:fill="FFFFFF" w:themeFill="background1"/>
            <w:tcMar>
              <w:top w:w="0" w:type="dxa"/>
              <w:left w:w="108" w:type="dxa"/>
              <w:bottom w:w="0" w:type="dxa"/>
              <w:right w:w="108" w:type="dxa"/>
            </w:tcMar>
            <w:vAlign w:val="center"/>
          </w:tcPr>
          <w:p w14:paraId="1AF02CED" w14:textId="77777777" w:rsidR="00284822" w:rsidRDefault="00F77BF8">
            <w:pPr>
              <w:spacing w:line="240" w:lineRule="auto"/>
              <w:rPr>
                <w:rFonts w:ascii="Rockwell" w:hAnsi="Rockwell"/>
                <w:b/>
                <w:bCs/>
                <w:sz w:val="18"/>
                <w:szCs w:val="18"/>
              </w:rPr>
            </w:pPr>
            <w:r>
              <w:rPr>
                <w:rFonts w:ascii="Rockwell" w:hAnsi="Rockwell"/>
                <w:b/>
                <w:bCs/>
                <w:sz w:val="18"/>
                <w:szCs w:val="18"/>
              </w:rPr>
              <w:t>1</w:t>
            </w:r>
          </w:p>
        </w:tc>
        <w:tc>
          <w:tcPr>
            <w:tcW w:w="1136" w:type="dxa"/>
            <w:shd w:val="clear" w:color="auto" w:fill="FFFFFF" w:themeFill="background1"/>
            <w:tcMar>
              <w:top w:w="0" w:type="dxa"/>
              <w:left w:w="108" w:type="dxa"/>
              <w:bottom w:w="0" w:type="dxa"/>
              <w:right w:w="108" w:type="dxa"/>
            </w:tcMar>
            <w:vAlign w:val="center"/>
          </w:tcPr>
          <w:p w14:paraId="0AF85286" w14:textId="77777777" w:rsidR="00284822" w:rsidRDefault="00F77BF8">
            <w:pPr>
              <w:spacing w:line="240" w:lineRule="auto"/>
              <w:rPr>
                <w:rFonts w:ascii="Rockwell" w:hAnsi="Rockwell"/>
                <w:b/>
                <w:bCs/>
                <w:sz w:val="18"/>
                <w:szCs w:val="18"/>
              </w:rPr>
            </w:pPr>
            <w:r>
              <w:rPr>
                <w:rFonts w:ascii="Rockwell" w:hAnsi="Rockwell"/>
                <w:b/>
                <w:bCs/>
                <w:sz w:val="18"/>
                <w:szCs w:val="18"/>
              </w:rPr>
              <w:t>0,23%</w:t>
            </w:r>
          </w:p>
        </w:tc>
        <w:tc>
          <w:tcPr>
            <w:tcW w:w="851" w:type="dxa"/>
            <w:shd w:val="clear" w:color="auto" w:fill="FFFFFF" w:themeFill="background1"/>
            <w:tcMar>
              <w:top w:w="0" w:type="dxa"/>
              <w:left w:w="108" w:type="dxa"/>
              <w:bottom w:w="0" w:type="dxa"/>
              <w:right w:w="108" w:type="dxa"/>
            </w:tcMar>
            <w:vAlign w:val="center"/>
          </w:tcPr>
          <w:p w14:paraId="73828AA9" w14:textId="77777777" w:rsidR="00284822" w:rsidRDefault="00F77BF8">
            <w:pPr>
              <w:spacing w:line="240" w:lineRule="auto"/>
              <w:rPr>
                <w:rFonts w:ascii="Rockwell" w:hAnsi="Rockwell"/>
                <w:b/>
                <w:bCs/>
                <w:sz w:val="18"/>
                <w:szCs w:val="18"/>
              </w:rPr>
            </w:pPr>
            <w:r>
              <w:rPr>
                <w:rFonts w:ascii="Rockwell" w:hAnsi="Rockwell"/>
                <w:b/>
                <w:bCs/>
                <w:sz w:val="18"/>
                <w:szCs w:val="18"/>
              </w:rPr>
              <w:t>1</w:t>
            </w:r>
          </w:p>
        </w:tc>
        <w:tc>
          <w:tcPr>
            <w:tcW w:w="1136" w:type="dxa"/>
            <w:shd w:val="clear" w:color="auto" w:fill="FFFFFF" w:themeFill="background1"/>
            <w:tcMar>
              <w:top w:w="0" w:type="dxa"/>
              <w:left w:w="108" w:type="dxa"/>
              <w:bottom w:w="0" w:type="dxa"/>
              <w:right w:w="108" w:type="dxa"/>
            </w:tcMar>
            <w:vAlign w:val="center"/>
          </w:tcPr>
          <w:p w14:paraId="720E6722" w14:textId="77777777" w:rsidR="00284822" w:rsidRDefault="00F77BF8">
            <w:pPr>
              <w:spacing w:line="240" w:lineRule="auto"/>
              <w:rPr>
                <w:rFonts w:ascii="Rockwell" w:hAnsi="Rockwell"/>
                <w:b/>
                <w:bCs/>
                <w:sz w:val="18"/>
                <w:szCs w:val="18"/>
              </w:rPr>
            </w:pPr>
            <w:r>
              <w:rPr>
                <w:rFonts w:ascii="Rockwell" w:hAnsi="Rockwell"/>
                <w:b/>
                <w:bCs/>
                <w:sz w:val="18"/>
                <w:szCs w:val="18"/>
              </w:rPr>
              <w:t>0,13%</w:t>
            </w:r>
          </w:p>
        </w:tc>
      </w:tr>
      <w:tr w:rsidR="00284822" w14:paraId="61E5C2BC" w14:textId="77777777">
        <w:trPr>
          <w:gridAfter w:val="1"/>
          <w:wAfter w:w="6" w:type="dxa"/>
          <w:trHeight w:val="70"/>
        </w:trPr>
        <w:tc>
          <w:tcPr>
            <w:tcW w:w="994" w:type="dxa"/>
            <w:shd w:val="clear" w:color="auto" w:fill="FFFFFF" w:themeFill="background1"/>
            <w:noWrap/>
            <w:tcMar>
              <w:top w:w="0" w:type="dxa"/>
              <w:left w:w="108" w:type="dxa"/>
              <w:bottom w:w="0" w:type="dxa"/>
              <w:right w:w="108" w:type="dxa"/>
            </w:tcMar>
            <w:vAlign w:val="center"/>
          </w:tcPr>
          <w:p w14:paraId="2717C1EC"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48</w:t>
            </w:r>
          </w:p>
        </w:tc>
        <w:tc>
          <w:tcPr>
            <w:tcW w:w="1563" w:type="dxa"/>
            <w:shd w:val="clear" w:color="auto" w:fill="FFFFFF" w:themeFill="background1"/>
            <w:tcMar>
              <w:top w:w="0" w:type="dxa"/>
              <w:left w:w="108" w:type="dxa"/>
              <w:bottom w:w="0" w:type="dxa"/>
              <w:right w:w="108" w:type="dxa"/>
            </w:tcMar>
            <w:vAlign w:val="center"/>
          </w:tcPr>
          <w:p w14:paraId="55774C1B"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RPI</w:t>
            </w:r>
          </w:p>
        </w:tc>
        <w:tc>
          <w:tcPr>
            <w:tcW w:w="851" w:type="dxa"/>
            <w:shd w:val="clear" w:color="auto" w:fill="FFFFFF" w:themeFill="background1"/>
            <w:tcMar>
              <w:top w:w="0" w:type="dxa"/>
              <w:left w:w="108" w:type="dxa"/>
              <w:bottom w:w="0" w:type="dxa"/>
              <w:right w:w="108" w:type="dxa"/>
            </w:tcMar>
            <w:vAlign w:val="center"/>
          </w:tcPr>
          <w:p w14:paraId="5CAF8BB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4 ½</w:t>
            </w:r>
          </w:p>
        </w:tc>
        <w:tc>
          <w:tcPr>
            <w:tcW w:w="1278" w:type="dxa"/>
            <w:shd w:val="clear" w:color="auto" w:fill="FFFFFF" w:themeFill="background1"/>
            <w:tcMar>
              <w:top w:w="0" w:type="dxa"/>
              <w:left w:w="108" w:type="dxa"/>
              <w:bottom w:w="0" w:type="dxa"/>
              <w:right w:w="108" w:type="dxa"/>
            </w:tcMar>
            <w:vAlign w:val="center"/>
          </w:tcPr>
          <w:p w14:paraId="558EBDA5"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4,97%</w:t>
            </w:r>
          </w:p>
        </w:tc>
        <w:tc>
          <w:tcPr>
            <w:tcW w:w="710" w:type="dxa"/>
            <w:shd w:val="clear" w:color="auto" w:fill="FFFFFF" w:themeFill="background1"/>
            <w:tcMar>
              <w:top w:w="0" w:type="dxa"/>
              <w:left w:w="108" w:type="dxa"/>
              <w:bottom w:w="0" w:type="dxa"/>
              <w:right w:w="108" w:type="dxa"/>
            </w:tcMar>
            <w:vAlign w:val="center"/>
          </w:tcPr>
          <w:p w14:paraId="600E538F"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3</w:t>
            </w:r>
          </w:p>
        </w:tc>
        <w:tc>
          <w:tcPr>
            <w:tcW w:w="1277" w:type="dxa"/>
            <w:shd w:val="clear" w:color="auto" w:fill="FFFFFF" w:themeFill="background1"/>
            <w:tcMar>
              <w:top w:w="0" w:type="dxa"/>
              <w:left w:w="108" w:type="dxa"/>
              <w:bottom w:w="0" w:type="dxa"/>
              <w:right w:w="108" w:type="dxa"/>
            </w:tcMar>
            <w:vAlign w:val="center"/>
          </w:tcPr>
          <w:p w14:paraId="20A86F04"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1,85%</w:t>
            </w:r>
          </w:p>
        </w:tc>
        <w:tc>
          <w:tcPr>
            <w:tcW w:w="994" w:type="dxa"/>
            <w:shd w:val="clear" w:color="auto" w:fill="FFFFFF" w:themeFill="background1"/>
            <w:tcMar>
              <w:top w:w="0" w:type="dxa"/>
              <w:left w:w="108" w:type="dxa"/>
              <w:bottom w:w="0" w:type="dxa"/>
              <w:right w:w="108" w:type="dxa"/>
            </w:tcMar>
            <w:vAlign w:val="center"/>
          </w:tcPr>
          <w:p w14:paraId="78B7ACA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w:t>
            </w:r>
          </w:p>
        </w:tc>
        <w:tc>
          <w:tcPr>
            <w:tcW w:w="1419" w:type="dxa"/>
            <w:shd w:val="clear" w:color="auto" w:fill="FFFFFF" w:themeFill="background1"/>
            <w:tcMar>
              <w:top w:w="0" w:type="dxa"/>
              <w:left w:w="108" w:type="dxa"/>
              <w:bottom w:w="0" w:type="dxa"/>
              <w:right w:w="108" w:type="dxa"/>
            </w:tcMar>
            <w:vAlign w:val="center"/>
          </w:tcPr>
          <w:p w14:paraId="3967E926"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1,41%</w:t>
            </w:r>
          </w:p>
        </w:tc>
        <w:tc>
          <w:tcPr>
            <w:tcW w:w="852" w:type="dxa"/>
            <w:shd w:val="clear" w:color="auto" w:fill="FFFFFF" w:themeFill="background1"/>
            <w:tcMar>
              <w:top w:w="0" w:type="dxa"/>
              <w:left w:w="108" w:type="dxa"/>
              <w:bottom w:w="0" w:type="dxa"/>
              <w:right w:w="108" w:type="dxa"/>
            </w:tcMar>
            <w:vAlign w:val="center"/>
          </w:tcPr>
          <w:p w14:paraId="62682627"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4</w:t>
            </w:r>
          </w:p>
        </w:tc>
        <w:tc>
          <w:tcPr>
            <w:tcW w:w="1277" w:type="dxa"/>
            <w:shd w:val="clear" w:color="auto" w:fill="FFFFFF" w:themeFill="background1"/>
            <w:tcMar>
              <w:top w:w="0" w:type="dxa"/>
              <w:left w:w="108" w:type="dxa"/>
              <w:bottom w:w="0" w:type="dxa"/>
              <w:right w:w="108" w:type="dxa"/>
            </w:tcMar>
            <w:vAlign w:val="center"/>
          </w:tcPr>
          <w:p w14:paraId="508C8DB8"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1,69%</w:t>
            </w:r>
          </w:p>
        </w:tc>
        <w:tc>
          <w:tcPr>
            <w:tcW w:w="994" w:type="dxa"/>
            <w:shd w:val="clear" w:color="auto" w:fill="FFFFFF" w:themeFill="background1"/>
            <w:tcMar>
              <w:top w:w="0" w:type="dxa"/>
              <w:left w:w="108" w:type="dxa"/>
              <w:bottom w:w="0" w:type="dxa"/>
              <w:right w:w="108" w:type="dxa"/>
            </w:tcMar>
            <w:vAlign w:val="center"/>
          </w:tcPr>
          <w:p w14:paraId="3B25A6BB" w14:textId="77777777" w:rsidR="00284822" w:rsidRDefault="00F77BF8">
            <w:pPr>
              <w:spacing w:line="240" w:lineRule="auto"/>
              <w:rPr>
                <w:rFonts w:ascii="Rockwell" w:hAnsi="Rockwell"/>
                <w:b/>
                <w:bCs/>
                <w:sz w:val="18"/>
                <w:szCs w:val="18"/>
              </w:rPr>
            </w:pPr>
            <w:r>
              <w:rPr>
                <w:rFonts w:ascii="Rockwell" w:hAnsi="Rockwell"/>
                <w:b/>
                <w:bCs/>
                <w:sz w:val="18"/>
                <w:szCs w:val="18"/>
              </w:rPr>
              <w:t>9 1/6</w:t>
            </w:r>
          </w:p>
        </w:tc>
        <w:tc>
          <w:tcPr>
            <w:tcW w:w="1136" w:type="dxa"/>
            <w:shd w:val="clear" w:color="auto" w:fill="FFFFFF" w:themeFill="background1"/>
            <w:tcMar>
              <w:top w:w="0" w:type="dxa"/>
              <w:left w:w="108" w:type="dxa"/>
              <w:bottom w:w="0" w:type="dxa"/>
              <w:right w:w="108" w:type="dxa"/>
            </w:tcMar>
            <w:vAlign w:val="center"/>
          </w:tcPr>
          <w:p w14:paraId="2E7A3A70" w14:textId="77777777" w:rsidR="00284822" w:rsidRDefault="00F77BF8">
            <w:pPr>
              <w:spacing w:line="240" w:lineRule="auto"/>
              <w:rPr>
                <w:rFonts w:ascii="Rockwell" w:hAnsi="Rockwell"/>
                <w:b/>
                <w:bCs/>
                <w:sz w:val="18"/>
                <w:szCs w:val="18"/>
              </w:rPr>
            </w:pPr>
            <w:r>
              <w:rPr>
                <w:rFonts w:ascii="Rockwell" w:hAnsi="Rockwell"/>
                <w:b/>
                <w:bCs/>
                <w:sz w:val="18"/>
                <w:szCs w:val="18"/>
              </w:rPr>
              <w:t>2,13%</w:t>
            </w:r>
          </w:p>
        </w:tc>
        <w:tc>
          <w:tcPr>
            <w:tcW w:w="851" w:type="dxa"/>
            <w:shd w:val="clear" w:color="auto" w:fill="FFFFFF" w:themeFill="background1"/>
            <w:tcMar>
              <w:top w:w="0" w:type="dxa"/>
              <w:left w:w="108" w:type="dxa"/>
              <w:bottom w:w="0" w:type="dxa"/>
              <w:right w:w="108" w:type="dxa"/>
            </w:tcMar>
            <w:vAlign w:val="center"/>
          </w:tcPr>
          <w:p w14:paraId="2220A0BF" w14:textId="77777777" w:rsidR="00284822" w:rsidRDefault="00F77BF8">
            <w:pPr>
              <w:spacing w:line="240" w:lineRule="auto"/>
              <w:rPr>
                <w:rFonts w:ascii="Rockwell" w:hAnsi="Rockwell"/>
                <w:b/>
                <w:bCs/>
                <w:sz w:val="18"/>
                <w:szCs w:val="18"/>
              </w:rPr>
            </w:pPr>
            <w:r>
              <w:rPr>
                <w:rFonts w:ascii="Rockwell" w:hAnsi="Rockwell"/>
                <w:b/>
                <w:bCs/>
                <w:sz w:val="18"/>
                <w:szCs w:val="18"/>
              </w:rPr>
              <w:t>13</w:t>
            </w:r>
          </w:p>
        </w:tc>
        <w:tc>
          <w:tcPr>
            <w:tcW w:w="1136" w:type="dxa"/>
            <w:shd w:val="clear" w:color="auto" w:fill="FFFFFF" w:themeFill="background1"/>
            <w:tcMar>
              <w:top w:w="0" w:type="dxa"/>
              <w:left w:w="108" w:type="dxa"/>
              <w:bottom w:w="0" w:type="dxa"/>
              <w:right w:w="108" w:type="dxa"/>
            </w:tcMar>
            <w:vAlign w:val="center"/>
          </w:tcPr>
          <w:p w14:paraId="58C392DB" w14:textId="77777777" w:rsidR="00284822" w:rsidRDefault="00F77BF8">
            <w:pPr>
              <w:spacing w:line="240" w:lineRule="auto"/>
              <w:rPr>
                <w:rFonts w:ascii="Rockwell" w:hAnsi="Rockwell"/>
                <w:b/>
                <w:bCs/>
                <w:sz w:val="18"/>
                <w:szCs w:val="18"/>
              </w:rPr>
            </w:pPr>
            <w:r>
              <w:rPr>
                <w:rFonts w:ascii="Rockwell" w:hAnsi="Rockwell"/>
                <w:b/>
                <w:bCs/>
                <w:sz w:val="18"/>
                <w:szCs w:val="18"/>
              </w:rPr>
              <w:t>1,73%</w:t>
            </w:r>
          </w:p>
        </w:tc>
      </w:tr>
      <w:tr w:rsidR="00284822" w14:paraId="2BB6B943" w14:textId="77777777">
        <w:trPr>
          <w:gridAfter w:val="1"/>
          <w:wAfter w:w="6" w:type="dxa"/>
          <w:trHeight w:val="70"/>
        </w:trPr>
        <w:tc>
          <w:tcPr>
            <w:tcW w:w="994" w:type="dxa"/>
            <w:shd w:val="clear" w:color="auto" w:fill="FFFFFF" w:themeFill="background1"/>
            <w:noWrap/>
            <w:tcMar>
              <w:top w:w="0" w:type="dxa"/>
              <w:left w:w="108" w:type="dxa"/>
              <w:bottom w:w="0" w:type="dxa"/>
              <w:right w:w="108" w:type="dxa"/>
            </w:tcMar>
            <w:vAlign w:val="center"/>
          </w:tcPr>
          <w:p w14:paraId="466C84B5"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50</w:t>
            </w:r>
          </w:p>
        </w:tc>
        <w:tc>
          <w:tcPr>
            <w:tcW w:w="1563" w:type="dxa"/>
            <w:shd w:val="clear" w:color="auto" w:fill="FFFFFF" w:themeFill="background1"/>
            <w:tcMar>
              <w:top w:w="0" w:type="dxa"/>
              <w:left w:w="108" w:type="dxa"/>
              <w:bottom w:w="0" w:type="dxa"/>
              <w:right w:w="108" w:type="dxa"/>
            </w:tcMar>
            <w:vAlign w:val="center"/>
          </w:tcPr>
          <w:p w14:paraId="4C2BE87F"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SA</w:t>
            </w:r>
          </w:p>
        </w:tc>
        <w:tc>
          <w:tcPr>
            <w:tcW w:w="851" w:type="dxa"/>
            <w:shd w:val="clear" w:color="auto" w:fill="FFFFFF" w:themeFill="background1"/>
            <w:tcMar>
              <w:top w:w="0" w:type="dxa"/>
              <w:left w:w="108" w:type="dxa"/>
              <w:bottom w:w="0" w:type="dxa"/>
              <w:right w:w="108" w:type="dxa"/>
            </w:tcMar>
            <w:vAlign w:val="center"/>
          </w:tcPr>
          <w:p w14:paraId="4B833AAF"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8" w:type="dxa"/>
            <w:shd w:val="clear" w:color="auto" w:fill="FFFFFF" w:themeFill="background1"/>
            <w:tcMar>
              <w:top w:w="0" w:type="dxa"/>
              <w:left w:w="108" w:type="dxa"/>
              <w:bottom w:w="0" w:type="dxa"/>
              <w:right w:w="108" w:type="dxa"/>
            </w:tcMar>
            <w:vAlign w:val="center"/>
          </w:tcPr>
          <w:p w14:paraId="046F30A8"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710" w:type="dxa"/>
            <w:shd w:val="clear" w:color="auto" w:fill="FFFFFF" w:themeFill="background1"/>
            <w:tcMar>
              <w:top w:w="0" w:type="dxa"/>
              <w:left w:w="108" w:type="dxa"/>
              <w:bottom w:w="0" w:type="dxa"/>
              <w:right w:w="108" w:type="dxa"/>
            </w:tcMar>
            <w:vAlign w:val="center"/>
          </w:tcPr>
          <w:p w14:paraId="38AA51C8"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7" w:type="dxa"/>
            <w:shd w:val="clear" w:color="auto" w:fill="FFFFFF" w:themeFill="background1"/>
            <w:tcMar>
              <w:top w:w="0" w:type="dxa"/>
              <w:left w:w="108" w:type="dxa"/>
              <w:bottom w:w="0" w:type="dxa"/>
              <w:right w:w="108" w:type="dxa"/>
            </w:tcMar>
            <w:vAlign w:val="center"/>
          </w:tcPr>
          <w:p w14:paraId="79103AB2"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94" w:type="dxa"/>
            <w:shd w:val="clear" w:color="auto" w:fill="FFFFFF" w:themeFill="background1"/>
            <w:tcMar>
              <w:top w:w="0" w:type="dxa"/>
              <w:left w:w="108" w:type="dxa"/>
              <w:bottom w:w="0" w:type="dxa"/>
              <w:right w:w="108" w:type="dxa"/>
            </w:tcMar>
            <w:vAlign w:val="center"/>
          </w:tcPr>
          <w:p w14:paraId="7EA8C515"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419" w:type="dxa"/>
            <w:shd w:val="clear" w:color="auto" w:fill="FFFFFF" w:themeFill="background1"/>
            <w:tcMar>
              <w:top w:w="0" w:type="dxa"/>
              <w:left w:w="108" w:type="dxa"/>
              <w:bottom w:w="0" w:type="dxa"/>
              <w:right w:w="108" w:type="dxa"/>
            </w:tcMar>
            <w:vAlign w:val="center"/>
          </w:tcPr>
          <w:p w14:paraId="2B9DB1B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852" w:type="dxa"/>
            <w:shd w:val="clear" w:color="auto" w:fill="FFFFFF" w:themeFill="background1"/>
            <w:tcMar>
              <w:top w:w="0" w:type="dxa"/>
              <w:left w:w="108" w:type="dxa"/>
              <w:bottom w:w="0" w:type="dxa"/>
              <w:right w:w="108" w:type="dxa"/>
            </w:tcMar>
            <w:vAlign w:val="center"/>
          </w:tcPr>
          <w:p w14:paraId="5BB863EB"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7" w:type="dxa"/>
            <w:shd w:val="clear" w:color="auto" w:fill="FFFFFF" w:themeFill="background1"/>
            <w:tcMar>
              <w:top w:w="0" w:type="dxa"/>
              <w:left w:w="108" w:type="dxa"/>
              <w:bottom w:w="0" w:type="dxa"/>
              <w:right w:w="108" w:type="dxa"/>
            </w:tcMar>
            <w:vAlign w:val="center"/>
          </w:tcPr>
          <w:p w14:paraId="4BDE1A6B"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94" w:type="dxa"/>
            <w:shd w:val="clear" w:color="auto" w:fill="FFFFFF" w:themeFill="background1"/>
            <w:tcMar>
              <w:top w:w="0" w:type="dxa"/>
              <w:left w:w="108" w:type="dxa"/>
              <w:bottom w:w="0" w:type="dxa"/>
              <w:right w:w="108" w:type="dxa"/>
            </w:tcMar>
            <w:vAlign w:val="center"/>
          </w:tcPr>
          <w:p w14:paraId="22A851DD" w14:textId="77777777" w:rsidR="00284822" w:rsidRDefault="00F77BF8">
            <w:pPr>
              <w:spacing w:line="240" w:lineRule="auto"/>
              <w:rPr>
                <w:rFonts w:ascii="Rockwell" w:hAnsi="Rockwell"/>
                <w:b/>
                <w:bCs/>
                <w:sz w:val="18"/>
                <w:szCs w:val="18"/>
              </w:rPr>
            </w:pPr>
            <w:r>
              <w:rPr>
                <w:rFonts w:ascii="Rockwell" w:hAnsi="Rockwell"/>
                <w:b/>
                <w:bCs/>
                <w:sz w:val="18"/>
                <w:szCs w:val="18"/>
              </w:rPr>
              <w:t>4 5/6</w:t>
            </w:r>
          </w:p>
        </w:tc>
        <w:tc>
          <w:tcPr>
            <w:tcW w:w="1136" w:type="dxa"/>
            <w:shd w:val="clear" w:color="auto" w:fill="FFFFFF" w:themeFill="background1"/>
            <w:tcMar>
              <w:top w:w="0" w:type="dxa"/>
              <w:left w:w="108" w:type="dxa"/>
              <w:bottom w:w="0" w:type="dxa"/>
              <w:right w:w="108" w:type="dxa"/>
            </w:tcMar>
            <w:vAlign w:val="center"/>
          </w:tcPr>
          <w:p w14:paraId="2E5960B4" w14:textId="77777777" w:rsidR="00284822" w:rsidRDefault="00F77BF8">
            <w:pPr>
              <w:spacing w:line="240" w:lineRule="auto"/>
              <w:rPr>
                <w:rFonts w:ascii="Rockwell" w:hAnsi="Rockwell"/>
                <w:b/>
                <w:bCs/>
                <w:sz w:val="18"/>
                <w:szCs w:val="18"/>
              </w:rPr>
            </w:pPr>
            <w:r>
              <w:rPr>
                <w:rFonts w:ascii="Rockwell" w:hAnsi="Rockwell"/>
                <w:b/>
                <w:bCs/>
                <w:sz w:val="18"/>
                <w:szCs w:val="18"/>
              </w:rPr>
              <w:t>1,12%</w:t>
            </w:r>
          </w:p>
        </w:tc>
        <w:tc>
          <w:tcPr>
            <w:tcW w:w="851" w:type="dxa"/>
            <w:shd w:val="clear" w:color="auto" w:fill="FFFFFF" w:themeFill="background1"/>
            <w:tcMar>
              <w:top w:w="0" w:type="dxa"/>
              <w:left w:w="108" w:type="dxa"/>
              <w:bottom w:w="0" w:type="dxa"/>
              <w:right w:w="108" w:type="dxa"/>
            </w:tcMar>
            <w:vAlign w:val="center"/>
          </w:tcPr>
          <w:p w14:paraId="35DFB5EE" w14:textId="77777777" w:rsidR="00284822" w:rsidRDefault="00F77BF8">
            <w:pPr>
              <w:spacing w:line="240" w:lineRule="auto"/>
              <w:rPr>
                <w:rFonts w:ascii="Rockwell" w:hAnsi="Rockwell"/>
                <w:b/>
                <w:bCs/>
                <w:sz w:val="18"/>
                <w:szCs w:val="18"/>
              </w:rPr>
            </w:pPr>
            <w:r>
              <w:rPr>
                <w:rFonts w:ascii="Rockwell" w:hAnsi="Rockwell"/>
                <w:b/>
                <w:bCs/>
                <w:sz w:val="18"/>
                <w:szCs w:val="18"/>
              </w:rPr>
              <w:t>9</w:t>
            </w:r>
          </w:p>
        </w:tc>
        <w:tc>
          <w:tcPr>
            <w:tcW w:w="1136" w:type="dxa"/>
            <w:shd w:val="clear" w:color="auto" w:fill="FFFFFF" w:themeFill="background1"/>
            <w:tcMar>
              <w:top w:w="0" w:type="dxa"/>
              <w:left w:w="108" w:type="dxa"/>
              <w:bottom w:w="0" w:type="dxa"/>
              <w:right w:w="108" w:type="dxa"/>
            </w:tcMar>
            <w:vAlign w:val="center"/>
          </w:tcPr>
          <w:p w14:paraId="62532B73" w14:textId="77777777" w:rsidR="00284822" w:rsidRDefault="00F77BF8">
            <w:pPr>
              <w:spacing w:line="240" w:lineRule="auto"/>
              <w:rPr>
                <w:rFonts w:ascii="Rockwell" w:hAnsi="Rockwell"/>
                <w:b/>
                <w:bCs/>
                <w:sz w:val="18"/>
                <w:szCs w:val="18"/>
              </w:rPr>
            </w:pPr>
            <w:r>
              <w:rPr>
                <w:rFonts w:ascii="Rockwell" w:hAnsi="Rockwell"/>
                <w:b/>
                <w:bCs/>
                <w:sz w:val="18"/>
                <w:szCs w:val="18"/>
              </w:rPr>
              <w:t>1,20%</w:t>
            </w:r>
          </w:p>
        </w:tc>
      </w:tr>
      <w:tr w:rsidR="00284822" w14:paraId="03E5B4F4" w14:textId="77777777">
        <w:trPr>
          <w:gridAfter w:val="1"/>
          <w:wAfter w:w="6" w:type="dxa"/>
          <w:trHeight w:val="70"/>
        </w:trPr>
        <w:tc>
          <w:tcPr>
            <w:tcW w:w="994" w:type="dxa"/>
            <w:shd w:val="clear" w:color="auto" w:fill="FFFFFF" w:themeFill="background1"/>
            <w:noWrap/>
            <w:tcMar>
              <w:top w:w="0" w:type="dxa"/>
              <w:left w:w="108" w:type="dxa"/>
              <w:bottom w:w="0" w:type="dxa"/>
              <w:right w:w="108" w:type="dxa"/>
            </w:tcMar>
            <w:vAlign w:val="center"/>
          </w:tcPr>
          <w:p w14:paraId="1BEE1B0E"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51</w:t>
            </w:r>
          </w:p>
        </w:tc>
        <w:tc>
          <w:tcPr>
            <w:tcW w:w="1563" w:type="dxa"/>
            <w:shd w:val="clear" w:color="auto" w:fill="FFFFFF" w:themeFill="background1"/>
            <w:tcMar>
              <w:top w:w="0" w:type="dxa"/>
              <w:left w:w="108" w:type="dxa"/>
              <w:bottom w:w="0" w:type="dxa"/>
              <w:right w:w="108" w:type="dxa"/>
            </w:tcMar>
            <w:vAlign w:val="center"/>
          </w:tcPr>
          <w:p w14:paraId="1890A827"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SENS</w:t>
            </w:r>
          </w:p>
        </w:tc>
        <w:tc>
          <w:tcPr>
            <w:tcW w:w="851" w:type="dxa"/>
            <w:shd w:val="clear" w:color="auto" w:fill="FFFFFF" w:themeFill="background1"/>
            <w:tcMar>
              <w:top w:w="0" w:type="dxa"/>
              <w:left w:w="108" w:type="dxa"/>
              <w:bottom w:w="0" w:type="dxa"/>
              <w:right w:w="108" w:type="dxa"/>
            </w:tcMar>
            <w:vAlign w:val="center"/>
          </w:tcPr>
          <w:p w14:paraId="008F9F43"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8" w:type="dxa"/>
            <w:shd w:val="clear" w:color="auto" w:fill="FFFFFF" w:themeFill="background1"/>
            <w:tcMar>
              <w:top w:w="0" w:type="dxa"/>
              <w:left w:w="108" w:type="dxa"/>
              <w:bottom w:w="0" w:type="dxa"/>
              <w:right w:w="108" w:type="dxa"/>
            </w:tcMar>
            <w:vAlign w:val="center"/>
          </w:tcPr>
          <w:p w14:paraId="20DD7E92"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710" w:type="dxa"/>
            <w:shd w:val="clear" w:color="auto" w:fill="FFFFFF" w:themeFill="background1"/>
            <w:tcMar>
              <w:top w:w="0" w:type="dxa"/>
              <w:left w:w="108" w:type="dxa"/>
              <w:bottom w:w="0" w:type="dxa"/>
              <w:right w:w="108" w:type="dxa"/>
            </w:tcMar>
            <w:vAlign w:val="center"/>
          </w:tcPr>
          <w:p w14:paraId="6C4D677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7" w:type="dxa"/>
            <w:shd w:val="clear" w:color="auto" w:fill="FFFFFF" w:themeFill="background1"/>
            <w:tcMar>
              <w:top w:w="0" w:type="dxa"/>
              <w:left w:w="108" w:type="dxa"/>
              <w:bottom w:w="0" w:type="dxa"/>
              <w:right w:w="108" w:type="dxa"/>
            </w:tcMar>
            <w:vAlign w:val="center"/>
          </w:tcPr>
          <w:p w14:paraId="7087A0C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94" w:type="dxa"/>
            <w:shd w:val="clear" w:color="auto" w:fill="FFFFFF" w:themeFill="background1"/>
            <w:tcMar>
              <w:top w:w="0" w:type="dxa"/>
              <w:left w:w="108" w:type="dxa"/>
              <w:bottom w:w="0" w:type="dxa"/>
              <w:right w:w="108" w:type="dxa"/>
            </w:tcMar>
            <w:vAlign w:val="center"/>
          </w:tcPr>
          <w:p w14:paraId="1E2EDDD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3 1/6</w:t>
            </w:r>
          </w:p>
        </w:tc>
        <w:tc>
          <w:tcPr>
            <w:tcW w:w="1419" w:type="dxa"/>
            <w:shd w:val="clear" w:color="auto" w:fill="FFFFFF" w:themeFill="background1"/>
            <w:tcMar>
              <w:top w:w="0" w:type="dxa"/>
              <w:left w:w="108" w:type="dxa"/>
              <w:bottom w:w="0" w:type="dxa"/>
              <w:right w:w="108" w:type="dxa"/>
            </w:tcMar>
            <w:vAlign w:val="center"/>
          </w:tcPr>
          <w:p w14:paraId="0702215C"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2,23%</w:t>
            </w:r>
          </w:p>
        </w:tc>
        <w:tc>
          <w:tcPr>
            <w:tcW w:w="852" w:type="dxa"/>
            <w:shd w:val="clear" w:color="auto" w:fill="FFFFFF" w:themeFill="background1"/>
            <w:tcMar>
              <w:top w:w="0" w:type="dxa"/>
              <w:left w:w="108" w:type="dxa"/>
              <w:bottom w:w="0" w:type="dxa"/>
              <w:right w:w="108" w:type="dxa"/>
            </w:tcMar>
            <w:vAlign w:val="center"/>
          </w:tcPr>
          <w:p w14:paraId="77C67121"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3</w:t>
            </w:r>
          </w:p>
        </w:tc>
        <w:tc>
          <w:tcPr>
            <w:tcW w:w="1277" w:type="dxa"/>
            <w:shd w:val="clear" w:color="auto" w:fill="FFFFFF" w:themeFill="background1"/>
            <w:tcMar>
              <w:top w:w="0" w:type="dxa"/>
              <w:left w:w="108" w:type="dxa"/>
              <w:bottom w:w="0" w:type="dxa"/>
              <w:right w:w="108" w:type="dxa"/>
            </w:tcMar>
            <w:vAlign w:val="center"/>
          </w:tcPr>
          <w:p w14:paraId="12EEED5C"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1,27%</w:t>
            </w:r>
          </w:p>
        </w:tc>
        <w:tc>
          <w:tcPr>
            <w:tcW w:w="994" w:type="dxa"/>
            <w:shd w:val="clear" w:color="auto" w:fill="FFFFFF" w:themeFill="background1"/>
            <w:tcMar>
              <w:top w:w="0" w:type="dxa"/>
              <w:left w:w="108" w:type="dxa"/>
              <w:bottom w:w="0" w:type="dxa"/>
              <w:right w:w="108" w:type="dxa"/>
            </w:tcMar>
            <w:vAlign w:val="center"/>
          </w:tcPr>
          <w:p w14:paraId="7314AB53" w14:textId="77777777" w:rsidR="00284822" w:rsidRDefault="00F77BF8">
            <w:pPr>
              <w:spacing w:line="240" w:lineRule="auto"/>
              <w:rPr>
                <w:rFonts w:ascii="Rockwell" w:hAnsi="Rockwell"/>
                <w:b/>
                <w:bCs/>
                <w:sz w:val="18"/>
                <w:szCs w:val="18"/>
              </w:rPr>
            </w:pPr>
            <w:r>
              <w:rPr>
                <w:rFonts w:ascii="Rockwell" w:hAnsi="Rockwell"/>
                <w:b/>
                <w:bCs/>
                <w:sz w:val="18"/>
                <w:szCs w:val="18"/>
              </w:rPr>
              <w:t>4 1/6</w:t>
            </w:r>
          </w:p>
        </w:tc>
        <w:tc>
          <w:tcPr>
            <w:tcW w:w="1136" w:type="dxa"/>
            <w:shd w:val="clear" w:color="auto" w:fill="FFFFFF" w:themeFill="background1"/>
            <w:tcMar>
              <w:top w:w="0" w:type="dxa"/>
              <w:left w:w="108" w:type="dxa"/>
              <w:bottom w:w="0" w:type="dxa"/>
              <w:right w:w="108" w:type="dxa"/>
            </w:tcMar>
            <w:vAlign w:val="center"/>
          </w:tcPr>
          <w:p w14:paraId="7AFD853C" w14:textId="77777777" w:rsidR="00284822" w:rsidRDefault="00F77BF8">
            <w:pPr>
              <w:spacing w:line="240" w:lineRule="auto"/>
              <w:rPr>
                <w:rFonts w:ascii="Rockwell" w:hAnsi="Rockwell"/>
                <w:b/>
                <w:bCs/>
                <w:sz w:val="18"/>
                <w:szCs w:val="18"/>
              </w:rPr>
            </w:pPr>
            <w:r>
              <w:rPr>
                <w:rFonts w:ascii="Rockwell" w:hAnsi="Rockwell"/>
                <w:b/>
                <w:bCs/>
                <w:sz w:val="18"/>
                <w:szCs w:val="18"/>
              </w:rPr>
              <w:t>0,97%</w:t>
            </w:r>
          </w:p>
        </w:tc>
        <w:tc>
          <w:tcPr>
            <w:tcW w:w="851" w:type="dxa"/>
            <w:shd w:val="clear" w:color="auto" w:fill="FFFFFF" w:themeFill="background1"/>
            <w:tcMar>
              <w:top w:w="0" w:type="dxa"/>
              <w:left w:w="108" w:type="dxa"/>
              <w:bottom w:w="0" w:type="dxa"/>
              <w:right w:w="108" w:type="dxa"/>
            </w:tcMar>
            <w:vAlign w:val="center"/>
          </w:tcPr>
          <w:p w14:paraId="6AED5930" w14:textId="77777777" w:rsidR="00284822" w:rsidRDefault="00F77BF8">
            <w:pPr>
              <w:spacing w:line="240" w:lineRule="auto"/>
              <w:rPr>
                <w:rFonts w:ascii="Rockwell" w:hAnsi="Rockwell"/>
                <w:b/>
                <w:bCs/>
                <w:sz w:val="18"/>
                <w:szCs w:val="18"/>
              </w:rPr>
            </w:pPr>
            <w:r>
              <w:rPr>
                <w:rFonts w:ascii="Rockwell" w:hAnsi="Rockwell"/>
                <w:b/>
                <w:bCs/>
                <w:sz w:val="18"/>
                <w:szCs w:val="18"/>
              </w:rPr>
              <w:t>4</w:t>
            </w:r>
          </w:p>
        </w:tc>
        <w:tc>
          <w:tcPr>
            <w:tcW w:w="1136" w:type="dxa"/>
            <w:shd w:val="clear" w:color="auto" w:fill="FFFFFF" w:themeFill="background1"/>
            <w:tcMar>
              <w:top w:w="0" w:type="dxa"/>
              <w:left w:w="108" w:type="dxa"/>
              <w:bottom w:w="0" w:type="dxa"/>
              <w:right w:w="108" w:type="dxa"/>
            </w:tcMar>
            <w:vAlign w:val="center"/>
          </w:tcPr>
          <w:p w14:paraId="2E837329" w14:textId="77777777" w:rsidR="00284822" w:rsidRDefault="00F77BF8">
            <w:pPr>
              <w:spacing w:line="240" w:lineRule="auto"/>
              <w:rPr>
                <w:rFonts w:ascii="Rockwell" w:hAnsi="Rockwell"/>
                <w:b/>
                <w:bCs/>
                <w:sz w:val="18"/>
                <w:szCs w:val="18"/>
              </w:rPr>
            </w:pPr>
            <w:r>
              <w:rPr>
                <w:rFonts w:ascii="Rockwell" w:hAnsi="Rockwell"/>
                <w:b/>
                <w:bCs/>
                <w:sz w:val="18"/>
                <w:szCs w:val="18"/>
              </w:rPr>
              <w:t>0,53%</w:t>
            </w:r>
          </w:p>
        </w:tc>
      </w:tr>
      <w:tr w:rsidR="00284822" w14:paraId="328F3F15" w14:textId="77777777">
        <w:trPr>
          <w:gridAfter w:val="1"/>
          <w:wAfter w:w="6" w:type="dxa"/>
          <w:trHeight w:val="70"/>
        </w:trPr>
        <w:tc>
          <w:tcPr>
            <w:tcW w:w="994" w:type="dxa"/>
            <w:shd w:val="clear" w:color="auto" w:fill="FFFFFF" w:themeFill="background1"/>
            <w:noWrap/>
            <w:tcMar>
              <w:top w:w="0" w:type="dxa"/>
              <w:left w:w="108" w:type="dxa"/>
              <w:bottom w:w="0" w:type="dxa"/>
              <w:right w:w="108" w:type="dxa"/>
            </w:tcMar>
            <w:vAlign w:val="center"/>
          </w:tcPr>
          <w:p w14:paraId="1E5BABF1"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52</w:t>
            </w:r>
          </w:p>
        </w:tc>
        <w:tc>
          <w:tcPr>
            <w:tcW w:w="1563" w:type="dxa"/>
            <w:shd w:val="clear" w:color="auto" w:fill="FFFFFF" w:themeFill="background1"/>
            <w:tcMar>
              <w:top w:w="0" w:type="dxa"/>
              <w:left w:w="108" w:type="dxa"/>
              <w:bottom w:w="0" w:type="dxa"/>
              <w:right w:w="108" w:type="dxa"/>
            </w:tcMar>
            <w:vAlign w:val="center"/>
          </w:tcPr>
          <w:p w14:paraId="3DDFF1FA"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SOCL</w:t>
            </w:r>
          </w:p>
        </w:tc>
        <w:tc>
          <w:tcPr>
            <w:tcW w:w="851" w:type="dxa"/>
            <w:shd w:val="clear" w:color="auto" w:fill="FFFFFF" w:themeFill="background1"/>
            <w:tcMar>
              <w:top w:w="0" w:type="dxa"/>
              <w:left w:w="108" w:type="dxa"/>
              <w:bottom w:w="0" w:type="dxa"/>
              <w:right w:w="108" w:type="dxa"/>
            </w:tcMar>
            <w:vAlign w:val="center"/>
          </w:tcPr>
          <w:p w14:paraId="5352CAD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8" w:type="dxa"/>
            <w:shd w:val="clear" w:color="auto" w:fill="FFFFFF" w:themeFill="background1"/>
            <w:tcMar>
              <w:top w:w="0" w:type="dxa"/>
              <w:left w:w="108" w:type="dxa"/>
              <w:bottom w:w="0" w:type="dxa"/>
              <w:right w:w="108" w:type="dxa"/>
            </w:tcMar>
            <w:vAlign w:val="center"/>
          </w:tcPr>
          <w:p w14:paraId="2A3CEE87"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710" w:type="dxa"/>
            <w:shd w:val="clear" w:color="auto" w:fill="FFFFFF" w:themeFill="background1"/>
            <w:tcMar>
              <w:top w:w="0" w:type="dxa"/>
              <w:left w:w="108" w:type="dxa"/>
              <w:bottom w:w="0" w:type="dxa"/>
              <w:right w:w="108" w:type="dxa"/>
            </w:tcMar>
            <w:vAlign w:val="center"/>
          </w:tcPr>
          <w:p w14:paraId="7E978901"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7" w:type="dxa"/>
            <w:shd w:val="clear" w:color="auto" w:fill="FFFFFF" w:themeFill="background1"/>
            <w:tcMar>
              <w:top w:w="0" w:type="dxa"/>
              <w:left w:w="108" w:type="dxa"/>
              <w:bottom w:w="0" w:type="dxa"/>
              <w:right w:w="108" w:type="dxa"/>
            </w:tcMar>
            <w:vAlign w:val="center"/>
          </w:tcPr>
          <w:p w14:paraId="166FF502"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94" w:type="dxa"/>
            <w:shd w:val="clear" w:color="auto" w:fill="FFFFFF" w:themeFill="background1"/>
            <w:tcMar>
              <w:top w:w="0" w:type="dxa"/>
              <w:left w:w="108" w:type="dxa"/>
              <w:bottom w:w="0" w:type="dxa"/>
              <w:right w:w="108" w:type="dxa"/>
            </w:tcMar>
            <w:vAlign w:val="center"/>
          </w:tcPr>
          <w:p w14:paraId="60171B2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1/2</w:t>
            </w:r>
          </w:p>
        </w:tc>
        <w:tc>
          <w:tcPr>
            <w:tcW w:w="1419" w:type="dxa"/>
            <w:shd w:val="clear" w:color="auto" w:fill="FFFFFF" w:themeFill="background1"/>
            <w:tcMar>
              <w:top w:w="0" w:type="dxa"/>
              <w:left w:w="108" w:type="dxa"/>
              <w:bottom w:w="0" w:type="dxa"/>
              <w:right w:w="108" w:type="dxa"/>
            </w:tcMar>
            <w:vAlign w:val="center"/>
          </w:tcPr>
          <w:p w14:paraId="71788CD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0,35%</w:t>
            </w:r>
          </w:p>
        </w:tc>
        <w:tc>
          <w:tcPr>
            <w:tcW w:w="852" w:type="dxa"/>
            <w:shd w:val="clear" w:color="auto" w:fill="FFFFFF" w:themeFill="background1"/>
            <w:tcMar>
              <w:top w:w="0" w:type="dxa"/>
              <w:left w:w="108" w:type="dxa"/>
              <w:bottom w:w="0" w:type="dxa"/>
              <w:right w:w="108" w:type="dxa"/>
            </w:tcMar>
            <w:vAlign w:val="center"/>
          </w:tcPr>
          <w:p w14:paraId="38BF00DF"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w:t>
            </w:r>
          </w:p>
        </w:tc>
        <w:tc>
          <w:tcPr>
            <w:tcW w:w="1277" w:type="dxa"/>
            <w:shd w:val="clear" w:color="auto" w:fill="FFFFFF" w:themeFill="background1"/>
            <w:tcMar>
              <w:top w:w="0" w:type="dxa"/>
              <w:left w:w="108" w:type="dxa"/>
              <w:bottom w:w="0" w:type="dxa"/>
              <w:right w:w="108" w:type="dxa"/>
            </w:tcMar>
            <w:vAlign w:val="center"/>
          </w:tcPr>
          <w:p w14:paraId="129147D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0,42%</w:t>
            </w:r>
          </w:p>
        </w:tc>
        <w:tc>
          <w:tcPr>
            <w:tcW w:w="994" w:type="dxa"/>
            <w:shd w:val="clear" w:color="auto" w:fill="FFFFFF" w:themeFill="background1"/>
            <w:tcMar>
              <w:top w:w="0" w:type="dxa"/>
              <w:left w:w="108" w:type="dxa"/>
              <w:bottom w:w="0" w:type="dxa"/>
              <w:right w:w="108" w:type="dxa"/>
            </w:tcMar>
            <w:vAlign w:val="center"/>
          </w:tcPr>
          <w:p w14:paraId="6A7E2BB1" w14:textId="77777777" w:rsidR="00284822" w:rsidRDefault="00F77BF8">
            <w:pPr>
              <w:spacing w:line="240" w:lineRule="auto"/>
              <w:rPr>
                <w:rFonts w:ascii="Rockwell" w:hAnsi="Rockwell"/>
                <w:b/>
                <w:bCs/>
                <w:sz w:val="18"/>
                <w:szCs w:val="18"/>
              </w:rPr>
            </w:pPr>
            <w:r>
              <w:rPr>
                <w:rFonts w:ascii="Rockwell" w:hAnsi="Rockwell"/>
                <w:b/>
                <w:bCs/>
                <w:sz w:val="18"/>
                <w:szCs w:val="18"/>
              </w:rPr>
              <w:t>1/2</w:t>
            </w:r>
          </w:p>
        </w:tc>
        <w:tc>
          <w:tcPr>
            <w:tcW w:w="1136" w:type="dxa"/>
            <w:shd w:val="clear" w:color="auto" w:fill="FFFFFF" w:themeFill="background1"/>
            <w:tcMar>
              <w:top w:w="0" w:type="dxa"/>
              <w:left w:w="108" w:type="dxa"/>
              <w:bottom w:w="0" w:type="dxa"/>
              <w:right w:w="108" w:type="dxa"/>
            </w:tcMar>
            <w:vAlign w:val="center"/>
          </w:tcPr>
          <w:p w14:paraId="055F19AB" w14:textId="77777777" w:rsidR="00284822" w:rsidRDefault="00F77BF8">
            <w:pPr>
              <w:spacing w:line="240" w:lineRule="auto"/>
              <w:rPr>
                <w:rFonts w:ascii="Rockwell" w:hAnsi="Rockwell"/>
                <w:b/>
                <w:bCs/>
                <w:sz w:val="18"/>
                <w:szCs w:val="18"/>
              </w:rPr>
            </w:pPr>
            <w:r>
              <w:rPr>
                <w:rFonts w:ascii="Rockwell" w:hAnsi="Rockwell"/>
                <w:b/>
                <w:bCs/>
                <w:sz w:val="18"/>
                <w:szCs w:val="18"/>
              </w:rPr>
              <w:t>0,12%</w:t>
            </w:r>
          </w:p>
        </w:tc>
        <w:tc>
          <w:tcPr>
            <w:tcW w:w="851" w:type="dxa"/>
            <w:shd w:val="clear" w:color="auto" w:fill="FFFFFF" w:themeFill="background1"/>
            <w:tcMar>
              <w:top w:w="0" w:type="dxa"/>
              <w:left w:w="108" w:type="dxa"/>
              <w:bottom w:w="0" w:type="dxa"/>
              <w:right w:w="108" w:type="dxa"/>
            </w:tcMar>
            <w:vAlign w:val="center"/>
          </w:tcPr>
          <w:p w14:paraId="2C686BF8" w14:textId="77777777" w:rsidR="00284822" w:rsidRDefault="00F77BF8">
            <w:pPr>
              <w:spacing w:line="240" w:lineRule="auto"/>
              <w:rPr>
                <w:rFonts w:ascii="Rockwell" w:hAnsi="Rockwell"/>
                <w:b/>
                <w:bCs/>
                <w:sz w:val="18"/>
                <w:szCs w:val="18"/>
              </w:rPr>
            </w:pPr>
            <w:r>
              <w:rPr>
                <w:rFonts w:ascii="Rockwell" w:hAnsi="Rockwell"/>
                <w:b/>
                <w:bCs/>
                <w:sz w:val="18"/>
                <w:szCs w:val="18"/>
              </w:rPr>
              <w:t>1</w:t>
            </w:r>
          </w:p>
        </w:tc>
        <w:tc>
          <w:tcPr>
            <w:tcW w:w="1136" w:type="dxa"/>
            <w:shd w:val="clear" w:color="auto" w:fill="FFFFFF" w:themeFill="background1"/>
            <w:tcMar>
              <w:top w:w="0" w:type="dxa"/>
              <w:left w:w="108" w:type="dxa"/>
              <w:bottom w:w="0" w:type="dxa"/>
              <w:right w:w="108" w:type="dxa"/>
            </w:tcMar>
            <w:vAlign w:val="center"/>
          </w:tcPr>
          <w:p w14:paraId="3D02E16F" w14:textId="77777777" w:rsidR="00284822" w:rsidRDefault="00F77BF8">
            <w:pPr>
              <w:spacing w:line="240" w:lineRule="auto"/>
              <w:rPr>
                <w:rFonts w:ascii="Rockwell" w:hAnsi="Rockwell"/>
                <w:b/>
                <w:bCs/>
                <w:sz w:val="18"/>
                <w:szCs w:val="18"/>
              </w:rPr>
            </w:pPr>
            <w:r>
              <w:rPr>
                <w:rFonts w:ascii="Rockwell" w:hAnsi="Rockwell"/>
                <w:b/>
                <w:bCs/>
                <w:sz w:val="18"/>
                <w:szCs w:val="18"/>
              </w:rPr>
              <w:t>0,13%</w:t>
            </w:r>
          </w:p>
        </w:tc>
      </w:tr>
      <w:tr w:rsidR="00284822" w14:paraId="05336FBC" w14:textId="77777777">
        <w:trPr>
          <w:gridAfter w:val="1"/>
          <w:wAfter w:w="6" w:type="dxa"/>
          <w:trHeight w:val="70"/>
        </w:trPr>
        <w:tc>
          <w:tcPr>
            <w:tcW w:w="994" w:type="dxa"/>
            <w:shd w:val="clear" w:color="auto" w:fill="FFFFFF" w:themeFill="background1"/>
            <w:noWrap/>
            <w:tcMar>
              <w:top w:w="0" w:type="dxa"/>
              <w:left w:w="108" w:type="dxa"/>
              <w:bottom w:w="0" w:type="dxa"/>
              <w:right w:w="108" w:type="dxa"/>
            </w:tcMar>
            <w:vAlign w:val="center"/>
          </w:tcPr>
          <w:p w14:paraId="3C73E7B7"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53</w:t>
            </w:r>
          </w:p>
        </w:tc>
        <w:tc>
          <w:tcPr>
            <w:tcW w:w="1563" w:type="dxa"/>
            <w:shd w:val="clear" w:color="auto" w:fill="FFFFFF" w:themeFill="background1"/>
            <w:tcMar>
              <w:top w:w="0" w:type="dxa"/>
              <w:left w:w="108" w:type="dxa"/>
              <w:bottom w:w="0" w:type="dxa"/>
              <w:right w:w="108" w:type="dxa"/>
            </w:tcMar>
            <w:vAlign w:val="center"/>
          </w:tcPr>
          <w:p w14:paraId="458D1E36"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UDB/R</w:t>
            </w:r>
          </w:p>
        </w:tc>
        <w:tc>
          <w:tcPr>
            <w:tcW w:w="851" w:type="dxa"/>
            <w:shd w:val="clear" w:color="auto" w:fill="FFFFFF" w:themeFill="background1"/>
            <w:tcMar>
              <w:top w:w="0" w:type="dxa"/>
              <w:left w:w="108" w:type="dxa"/>
              <w:bottom w:w="0" w:type="dxa"/>
              <w:right w:w="108" w:type="dxa"/>
            </w:tcMar>
            <w:vAlign w:val="center"/>
          </w:tcPr>
          <w:p w14:paraId="51CCE97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8" w:type="dxa"/>
            <w:shd w:val="clear" w:color="auto" w:fill="FFFFFF" w:themeFill="background1"/>
            <w:tcMar>
              <w:top w:w="0" w:type="dxa"/>
              <w:left w:w="108" w:type="dxa"/>
              <w:bottom w:w="0" w:type="dxa"/>
              <w:right w:w="108" w:type="dxa"/>
            </w:tcMar>
            <w:vAlign w:val="center"/>
          </w:tcPr>
          <w:p w14:paraId="3D245623"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710" w:type="dxa"/>
            <w:shd w:val="clear" w:color="auto" w:fill="FFFFFF" w:themeFill="background1"/>
            <w:tcMar>
              <w:top w:w="0" w:type="dxa"/>
              <w:left w:w="108" w:type="dxa"/>
              <w:bottom w:w="0" w:type="dxa"/>
              <w:right w:w="108" w:type="dxa"/>
            </w:tcMar>
            <w:vAlign w:val="center"/>
          </w:tcPr>
          <w:p w14:paraId="36095E7F"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7" w:type="dxa"/>
            <w:shd w:val="clear" w:color="auto" w:fill="FFFFFF" w:themeFill="background1"/>
            <w:tcMar>
              <w:top w:w="0" w:type="dxa"/>
              <w:left w:w="108" w:type="dxa"/>
              <w:bottom w:w="0" w:type="dxa"/>
              <w:right w:w="108" w:type="dxa"/>
            </w:tcMar>
            <w:vAlign w:val="center"/>
          </w:tcPr>
          <w:p w14:paraId="207B098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94" w:type="dxa"/>
            <w:shd w:val="clear" w:color="auto" w:fill="FFFFFF" w:themeFill="background1"/>
            <w:tcMar>
              <w:top w:w="0" w:type="dxa"/>
              <w:left w:w="108" w:type="dxa"/>
              <w:bottom w:w="0" w:type="dxa"/>
              <w:right w:w="108" w:type="dxa"/>
            </w:tcMar>
            <w:vAlign w:val="center"/>
          </w:tcPr>
          <w:p w14:paraId="2B2A30C7"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1/6</w:t>
            </w:r>
          </w:p>
        </w:tc>
        <w:tc>
          <w:tcPr>
            <w:tcW w:w="1419" w:type="dxa"/>
            <w:shd w:val="clear" w:color="auto" w:fill="FFFFFF" w:themeFill="background1"/>
            <w:tcMar>
              <w:top w:w="0" w:type="dxa"/>
              <w:left w:w="108" w:type="dxa"/>
              <w:bottom w:w="0" w:type="dxa"/>
              <w:right w:w="108" w:type="dxa"/>
            </w:tcMar>
            <w:vAlign w:val="center"/>
          </w:tcPr>
          <w:p w14:paraId="0C9E11DF"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0,12%</w:t>
            </w:r>
          </w:p>
        </w:tc>
        <w:tc>
          <w:tcPr>
            <w:tcW w:w="852" w:type="dxa"/>
            <w:shd w:val="clear" w:color="auto" w:fill="FFFFFF" w:themeFill="background1"/>
            <w:tcMar>
              <w:top w:w="0" w:type="dxa"/>
              <w:left w:w="108" w:type="dxa"/>
              <w:bottom w:w="0" w:type="dxa"/>
              <w:right w:w="108" w:type="dxa"/>
            </w:tcMar>
            <w:vAlign w:val="center"/>
          </w:tcPr>
          <w:p w14:paraId="272047BE"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w:t>
            </w:r>
          </w:p>
        </w:tc>
        <w:tc>
          <w:tcPr>
            <w:tcW w:w="1277" w:type="dxa"/>
            <w:shd w:val="clear" w:color="auto" w:fill="FFFFFF" w:themeFill="background1"/>
            <w:tcMar>
              <w:top w:w="0" w:type="dxa"/>
              <w:left w:w="108" w:type="dxa"/>
              <w:bottom w:w="0" w:type="dxa"/>
              <w:right w:w="108" w:type="dxa"/>
            </w:tcMar>
            <w:vAlign w:val="center"/>
          </w:tcPr>
          <w:p w14:paraId="1C6D128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0,42%</w:t>
            </w:r>
          </w:p>
        </w:tc>
        <w:tc>
          <w:tcPr>
            <w:tcW w:w="994" w:type="dxa"/>
            <w:shd w:val="clear" w:color="auto" w:fill="FFFFFF" w:themeFill="background1"/>
            <w:tcMar>
              <w:top w:w="0" w:type="dxa"/>
              <w:left w:w="108" w:type="dxa"/>
              <w:bottom w:w="0" w:type="dxa"/>
              <w:right w:w="108" w:type="dxa"/>
            </w:tcMar>
            <w:vAlign w:val="center"/>
          </w:tcPr>
          <w:p w14:paraId="1F6D6C7D" w14:textId="77777777" w:rsidR="00284822" w:rsidRDefault="00F77BF8">
            <w:pPr>
              <w:spacing w:line="240" w:lineRule="auto"/>
              <w:rPr>
                <w:rFonts w:ascii="Rockwell" w:hAnsi="Rockwell"/>
                <w:b/>
                <w:bCs/>
                <w:sz w:val="18"/>
                <w:szCs w:val="18"/>
              </w:rPr>
            </w:pPr>
            <w:r>
              <w:rPr>
                <w:rFonts w:ascii="Rockwell" w:hAnsi="Rockwell"/>
                <w:b/>
                <w:bCs/>
                <w:sz w:val="18"/>
                <w:szCs w:val="18"/>
              </w:rPr>
              <w:t>1/6</w:t>
            </w:r>
          </w:p>
        </w:tc>
        <w:tc>
          <w:tcPr>
            <w:tcW w:w="1136" w:type="dxa"/>
            <w:shd w:val="clear" w:color="auto" w:fill="FFFFFF" w:themeFill="background1"/>
            <w:tcMar>
              <w:top w:w="0" w:type="dxa"/>
              <w:left w:w="108" w:type="dxa"/>
              <w:bottom w:w="0" w:type="dxa"/>
              <w:right w:w="108" w:type="dxa"/>
            </w:tcMar>
            <w:vAlign w:val="center"/>
          </w:tcPr>
          <w:p w14:paraId="43E7B2E7" w14:textId="77777777" w:rsidR="00284822" w:rsidRDefault="00F77BF8">
            <w:pPr>
              <w:spacing w:line="240" w:lineRule="auto"/>
              <w:rPr>
                <w:rFonts w:ascii="Rockwell" w:hAnsi="Rockwell"/>
                <w:b/>
                <w:bCs/>
                <w:sz w:val="18"/>
                <w:szCs w:val="18"/>
              </w:rPr>
            </w:pPr>
            <w:r>
              <w:rPr>
                <w:rFonts w:ascii="Rockwell" w:hAnsi="Rockwell"/>
                <w:b/>
                <w:bCs/>
                <w:sz w:val="18"/>
                <w:szCs w:val="18"/>
              </w:rPr>
              <w:t>0,04%</w:t>
            </w:r>
          </w:p>
        </w:tc>
        <w:tc>
          <w:tcPr>
            <w:tcW w:w="851" w:type="dxa"/>
            <w:shd w:val="clear" w:color="auto" w:fill="FFFFFF" w:themeFill="background1"/>
            <w:tcMar>
              <w:top w:w="0" w:type="dxa"/>
              <w:left w:w="108" w:type="dxa"/>
              <w:bottom w:w="0" w:type="dxa"/>
              <w:right w:w="108" w:type="dxa"/>
            </w:tcMar>
            <w:vAlign w:val="center"/>
          </w:tcPr>
          <w:p w14:paraId="2AC72A4D" w14:textId="77777777" w:rsidR="00284822" w:rsidRDefault="00F77BF8">
            <w:pPr>
              <w:spacing w:line="240" w:lineRule="auto"/>
              <w:rPr>
                <w:rFonts w:ascii="Rockwell" w:hAnsi="Rockwell"/>
                <w:b/>
                <w:bCs/>
                <w:sz w:val="18"/>
                <w:szCs w:val="18"/>
              </w:rPr>
            </w:pPr>
            <w:r>
              <w:rPr>
                <w:rFonts w:ascii="Rockwell" w:hAnsi="Rockwell"/>
                <w:b/>
                <w:bCs/>
                <w:sz w:val="18"/>
                <w:szCs w:val="18"/>
              </w:rPr>
              <w:t>1</w:t>
            </w:r>
          </w:p>
        </w:tc>
        <w:tc>
          <w:tcPr>
            <w:tcW w:w="1136" w:type="dxa"/>
            <w:shd w:val="clear" w:color="auto" w:fill="FFFFFF" w:themeFill="background1"/>
            <w:tcMar>
              <w:top w:w="0" w:type="dxa"/>
              <w:left w:w="108" w:type="dxa"/>
              <w:bottom w:w="0" w:type="dxa"/>
              <w:right w:w="108" w:type="dxa"/>
            </w:tcMar>
            <w:vAlign w:val="center"/>
          </w:tcPr>
          <w:p w14:paraId="35AE9268" w14:textId="77777777" w:rsidR="00284822" w:rsidRDefault="00F77BF8">
            <w:pPr>
              <w:spacing w:line="240" w:lineRule="auto"/>
              <w:rPr>
                <w:rFonts w:ascii="Rockwell" w:hAnsi="Rockwell"/>
                <w:b/>
                <w:bCs/>
                <w:sz w:val="18"/>
                <w:szCs w:val="18"/>
              </w:rPr>
            </w:pPr>
            <w:r>
              <w:rPr>
                <w:rFonts w:ascii="Rockwell" w:hAnsi="Rockwell"/>
                <w:b/>
                <w:bCs/>
                <w:sz w:val="18"/>
                <w:szCs w:val="18"/>
              </w:rPr>
              <w:t>0,13%</w:t>
            </w:r>
          </w:p>
        </w:tc>
      </w:tr>
      <w:tr w:rsidR="00284822" w14:paraId="6FDF1031" w14:textId="77777777">
        <w:trPr>
          <w:gridAfter w:val="1"/>
          <w:wAfter w:w="6" w:type="dxa"/>
          <w:trHeight w:val="70"/>
        </w:trPr>
        <w:tc>
          <w:tcPr>
            <w:tcW w:w="994" w:type="dxa"/>
            <w:shd w:val="clear" w:color="auto" w:fill="FFFFFF" w:themeFill="background1"/>
            <w:noWrap/>
            <w:tcMar>
              <w:top w:w="0" w:type="dxa"/>
              <w:left w:w="108" w:type="dxa"/>
              <w:bottom w:w="0" w:type="dxa"/>
              <w:right w:w="108" w:type="dxa"/>
            </w:tcMar>
            <w:vAlign w:val="center"/>
          </w:tcPr>
          <w:p w14:paraId="21522B82"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54</w:t>
            </w:r>
          </w:p>
        </w:tc>
        <w:tc>
          <w:tcPr>
            <w:tcW w:w="1563" w:type="dxa"/>
            <w:shd w:val="clear" w:color="auto" w:fill="FFFFFF" w:themeFill="background1"/>
            <w:tcMar>
              <w:top w:w="0" w:type="dxa"/>
              <w:left w:w="108" w:type="dxa"/>
              <w:bottom w:w="0" w:type="dxa"/>
              <w:right w:w="108" w:type="dxa"/>
            </w:tcMar>
            <w:vAlign w:val="center"/>
          </w:tcPr>
          <w:p w14:paraId="685BD425"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UFP</w:t>
            </w:r>
          </w:p>
        </w:tc>
        <w:tc>
          <w:tcPr>
            <w:tcW w:w="851" w:type="dxa"/>
            <w:shd w:val="clear" w:color="auto" w:fill="FFFFFF" w:themeFill="background1"/>
            <w:tcMar>
              <w:top w:w="0" w:type="dxa"/>
              <w:left w:w="108" w:type="dxa"/>
              <w:bottom w:w="0" w:type="dxa"/>
              <w:right w:w="108" w:type="dxa"/>
            </w:tcMar>
            <w:vAlign w:val="center"/>
          </w:tcPr>
          <w:p w14:paraId="25E678F1"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8" w:type="dxa"/>
            <w:shd w:val="clear" w:color="auto" w:fill="FFFFFF" w:themeFill="background1"/>
            <w:tcMar>
              <w:top w:w="0" w:type="dxa"/>
              <w:left w:w="108" w:type="dxa"/>
              <w:bottom w:w="0" w:type="dxa"/>
              <w:right w:w="108" w:type="dxa"/>
            </w:tcMar>
            <w:vAlign w:val="center"/>
          </w:tcPr>
          <w:p w14:paraId="15BA85C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710" w:type="dxa"/>
            <w:shd w:val="clear" w:color="auto" w:fill="FFFFFF" w:themeFill="background1"/>
            <w:tcMar>
              <w:top w:w="0" w:type="dxa"/>
              <w:left w:w="108" w:type="dxa"/>
              <w:bottom w:w="0" w:type="dxa"/>
              <w:right w:w="108" w:type="dxa"/>
            </w:tcMar>
            <w:vAlign w:val="center"/>
          </w:tcPr>
          <w:p w14:paraId="2FABD18E"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7" w:type="dxa"/>
            <w:shd w:val="clear" w:color="auto" w:fill="FFFFFF" w:themeFill="background1"/>
            <w:tcMar>
              <w:top w:w="0" w:type="dxa"/>
              <w:left w:w="108" w:type="dxa"/>
              <w:bottom w:w="0" w:type="dxa"/>
              <w:right w:w="108" w:type="dxa"/>
            </w:tcMar>
            <w:vAlign w:val="center"/>
          </w:tcPr>
          <w:p w14:paraId="6D930462"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94" w:type="dxa"/>
            <w:shd w:val="clear" w:color="auto" w:fill="FFFFFF" w:themeFill="background1"/>
            <w:tcMar>
              <w:top w:w="0" w:type="dxa"/>
              <w:left w:w="108" w:type="dxa"/>
              <w:bottom w:w="0" w:type="dxa"/>
              <w:right w:w="108" w:type="dxa"/>
            </w:tcMar>
            <w:vAlign w:val="center"/>
          </w:tcPr>
          <w:p w14:paraId="3C1C0E9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1/2</w:t>
            </w:r>
          </w:p>
        </w:tc>
        <w:tc>
          <w:tcPr>
            <w:tcW w:w="1419" w:type="dxa"/>
            <w:shd w:val="clear" w:color="auto" w:fill="FFFFFF" w:themeFill="background1"/>
            <w:tcMar>
              <w:top w:w="0" w:type="dxa"/>
              <w:left w:w="108" w:type="dxa"/>
              <w:bottom w:w="0" w:type="dxa"/>
              <w:right w:w="108" w:type="dxa"/>
            </w:tcMar>
            <w:vAlign w:val="center"/>
          </w:tcPr>
          <w:p w14:paraId="1B68EC1C"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0,35%</w:t>
            </w:r>
          </w:p>
        </w:tc>
        <w:tc>
          <w:tcPr>
            <w:tcW w:w="852" w:type="dxa"/>
            <w:shd w:val="clear" w:color="auto" w:fill="FFFFFF" w:themeFill="background1"/>
            <w:tcMar>
              <w:top w:w="0" w:type="dxa"/>
              <w:left w:w="108" w:type="dxa"/>
              <w:bottom w:w="0" w:type="dxa"/>
              <w:right w:w="108" w:type="dxa"/>
            </w:tcMar>
            <w:vAlign w:val="center"/>
          </w:tcPr>
          <w:p w14:paraId="2336B08F"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w:t>
            </w:r>
          </w:p>
        </w:tc>
        <w:tc>
          <w:tcPr>
            <w:tcW w:w="1277" w:type="dxa"/>
            <w:shd w:val="clear" w:color="auto" w:fill="FFFFFF" w:themeFill="background1"/>
            <w:tcMar>
              <w:top w:w="0" w:type="dxa"/>
              <w:left w:w="108" w:type="dxa"/>
              <w:bottom w:w="0" w:type="dxa"/>
              <w:right w:w="108" w:type="dxa"/>
            </w:tcMar>
            <w:vAlign w:val="center"/>
          </w:tcPr>
          <w:p w14:paraId="0420353F"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0,00%</w:t>
            </w:r>
          </w:p>
        </w:tc>
        <w:tc>
          <w:tcPr>
            <w:tcW w:w="994" w:type="dxa"/>
            <w:shd w:val="clear" w:color="auto" w:fill="FFFFFF" w:themeFill="background1"/>
            <w:tcMar>
              <w:top w:w="0" w:type="dxa"/>
              <w:left w:w="108" w:type="dxa"/>
              <w:bottom w:w="0" w:type="dxa"/>
              <w:right w:w="108" w:type="dxa"/>
            </w:tcMar>
            <w:vAlign w:val="center"/>
          </w:tcPr>
          <w:p w14:paraId="62A75673" w14:textId="77777777" w:rsidR="00284822" w:rsidRDefault="00F77BF8">
            <w:pPr>
              <w:spacing w:line="240" w:lineRule="auto"/>
              <w:rPr>
                <w:rFonts w:ascii="Rockwell" w:hAnsi="Rockwell"/>
                <w:b/>
                <w:bCs/>
                <w:sz w:val="18"/>
                <w:szCs w:val="18"/>
              </w:rPr>
            </w:pPr>
            <w:r>
              <w:rPr>
                <w:rFonts w:ascii="Rockwell" w:hAnsi="Rockwell"/>
                <w:b/>
                <w:bCs/>
                <w:sz w:val="18"/>
                <w:szCs w:val="18"/>
              </w:rPr>
              <w:t>5/6</w:t>
            </w:r>
          </w:p>
        </w:tc>
        <w:tc>
          <w:tcPr>
            <w:tcW w:w="1136" w:type="dxa"/>
            <w:shd w:val="clear" w:color="auto" w:fill="FFFFFF" w:themeFill="background1"/>
            <w:tcMar>
              <w:top w:w="0" w:type="dxa"/>
              <w:left w:w="108" w:type="dxa"/>
              <w:bottom w:w="0" w:type="dxa"/>
              <w:right w:w="108" w:type="dxa"/>
            </w:tcMar>
            <w:vAlign w:val="center"/>
          </w:tcPr>
          <w:p w14:paraId="48AC6C31" w14:textId="77777777" w:rsidR="00284822" w:rsidRDefault="00F77BF8">
            <w:pPr>
              <w:spacing w:line="240" w:lineRule="auto"/>
              <w:rPr>
                <w:rFonts w:ascii="Rockwell" w:hAnsi="Rockwell"/>
                <w:b/>
                <w:bCs/>
                <w:sz w:val="18"/>
                <w:szCs w:val="18"/>
              </w:rPr>
            </w:pPr>
            <w:r>
              <w:rPr>
                <w:rFonts w:ascii="Rockwell" w:hAnsi="Rockwell"/>
                <w:b/>
                <w:bCs/>
                <w:sz w:val="18"/>
                <w:szCs w:val="18"/>
              </w:rPr>
              <w:t>0,19%</w:t>
            </w:r>
          </w:p>
        </w:tc>
        <w:tc>
          <w:tcPr>
            <w:tcW w:w="851" w:type="dxa"/>
            <w:shd w:val="clear" w:color="auto" w:fill="FFFFFF" w:themeFill="background1"/>
            <w:tcMar>
              <w:top w:w="0" w:type="dxa"/>
              <w:left w:w="108" w:type="dxa"/>
              <w:bottom w:w="0" w:type="dxa"/>
              <w:right w:w="108" w:type="dxa"/>
            </w:tcMar>
            <w:vAlign w:val="center"/>
          </w:tcPr>
          <w:p w14:paraId="19BF7BA7" w14:textId="77777777" w:rsidR="00284822" w:rsidRDefault="00F77BF8">
            <w:pPr>
              <w:spacing w:line="240" w:lineRule="auto"/>
              <w:rPr>
                <w:rFonts w:ascii="Rockwell" w:hAnsi="Rockwell"/>
                <w:b/>
                <w:bCs/>
                <w:sz w:val="18"/>
                <w:szCs w:val="18"/>
              </w:rPr>
            </w:pPr>
            <w:r>
              <w:rPr>
                <w:rFonts w:ascii="Rockwell" w:hAnsi="Rockwell"/>
                <w:b/>
                <w:bCs/>
                <w:sz w:val="18"/>
                <w:szCs w:val="18"/>
              </w:rPr>
              <w:t>0</w:t>
            </w:r>
          </w:p>
        </w:tc>
        <w:tc>
          <w:tcPr>
            <w:tcW w:w="1136" w:type="dxa"/>
            <w:shd w:val="clear" w:color="auto" w:fill="FFFFFF" w:themeFill="background1"/>
            <w:tcMar>
              <w:top w:w="0" w:type="dxa"/>
              <w:left w:w="108" w:type="dxa"/>
              <w:bottom w:w="0" w:type="dxa"/>
              <w:right w:w="108" w:type="dxa"/>
            </w:tcMar>
            <w:vAlign w:val="center"/>
          </w:tcPr>
          <w:p w14:paraId="61F78610" w14:textId="77777777" w:rsidR="00284822" w:rsidRDefault="00F77BF8">
            <w:pPr>
              <w:spacing w:line="240" w:lineRule="auto"/>
              <w:rPr>
                <w:rFonts w:ascii="Rockwell" w:hAnsi="Rockwell"/>
                <w:b/>
                <w:bCs/>
                <w:sz w:val="18"/>
                <w:szCs w:val="18"/>
              </w:rPr>
            </w:pPr>
            <w:r>
              <w:rPr>
                <w:rFonts w:ascii="Rockwell" w:hAnsi="Rockwell"/>
                <w:b/>
                <w:bCs/>
                <w:sz w:val="18"/>
                <w:szCs w:val="18"/>
              </w:rPr>
              <w:t>0,00%</w:t>
            </w:r>
          </w:p>
        </w:tc>
      </w:tr>
      <w:tr w:rsidR="00284822" w14:paraId="05977311" w14:textId="77777777">
        <w:trPr>
          <w:gridAfter w:val="1"/>
          <w:wAfter w:w="6" w:type="dxa"/>
          <w:trHeight w:val="70"/>
        </w:trPr>
        <w:tc>
          <w:tcPr>
            <w:tcW w:w="994" w:type="dxa"/>
            <w:shd w:val="clear" w:color="auto" w:fill="FFFFFF" w:themeFill="background1"/>
            <w:noWrap/>
            <w:tcMar>
              <w:top w:w="0" w:type="dxa"/>
              <w:left w:w="108" w:type="dxa"/>
              <w:bottom w:w="0" w:type="dxa"/>
              <w:right w:w="108" w:type="dxa"/>
            </w:tcMar>
            <w:vAlign w:val="center"/>
          </w:tcPr>
          <w:p w14:paraId="5B7D15B8"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55</w:t>
            </w:r>
          </w:p>
        </w:tc>
        <w:tc>
          <w:tcPr>
            <w:tcW w:w="1563" w:type="dxa"/>
            <w:shd w:val="clear" w:color="auto" w:fill="FFFFFF" w:themeFill="background1"/>
            <w:tcMar>
              <w:top w:w="0" w:type="dxa"/>
              <w:left w:w="108" w:type="dxa"/>
              <w:bottom w:w="0" w:type="dxa"/>
              <w:right w:w="108" w:type="dxa"/>
            </w:tcMar>
            <w:vAlign w:val="center"/>
          </w:tcPr>
          <w:p w14:paraId="68B71FAA"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UNDD</w:t>
            </w:r>
          </w:p>
        </w:tc>
        <w:tc>
          <w:tcPr>
            <w:tcW w:w="851" w:type="dxa"/>
            <w:shd w:val="clear" w:color="auto" w:fill="FFFFFF" w:themeFill="background1"/>
            <w:tcMar>
              <w:top w:w="0" w:type="dxa"/>
              <w:left w:w="108" w:type="dxa"/>
              <w:bottom w:w="0" w:type="dxa"/>
              <w:right w:w="108" w:type="dxa"/>
            </w:tcMar>
            <w:vAlign w:val="center"/>
          </w:tcPr>
          <w:p w14:paraId="5446A535"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16 ¾</w:t>
            </w:r>
          </w:p>
        </w:tc>
        <w:tc>
          <w:tcPr>
            <w:tcW w:w="1278" w:type="dxa"/>
            <w:shd w:val="clear" w:color="auto" w:fill="FFFFFF" w:themeFill="background1"/>
            <w:tcMar>
              <w:top w:w="0" w:type="dxa"/>
              <w:left w:w="108" w:type="dxa"/>
              <w:bottom w:w="0" w:type="dxa"/>
              <w:right w:w="108" w:type="dxa"/>
            </w:tcMar>
            <w:vAlign w:val="center"/>
          </w:tcPr>
          <w:p w14:paraId="353CC409"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18,53%</w:t>
            </w:r>
          </w:p>
        </w:tc>
        <w:tc>
          <w:tcPr>
            <w:tcW w:w="710" w:type="dxa"/>
            <w:shd w:val="clear" w:color="auto" w:fill="FFFFFF" w:themeFill="background1"/>
            <w:tcMar>
              <w:top w:w="0" w:type="dxa"/>
              <w:left w:w="108" w:type="dxa"/>
              <w:bottom w:w="0" w:type="dxa"/>
              <w:right w:w="108" w:type="dxa"/>
            </w:tcMar>
            <w:vAlign w:val="center"/>
          </w:tcPr>
          <w:p w14:paraId="773968AE"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39</w:t>
            </w:r>
          </w:p>
        </w:tc>
        <w:tc>
          <w:tcPr>
            <w:tcW w:w="1277" w:type="dxa"/>
            <w:shd w:val="clear" w:color="auto" w:fill="FFFFFF" w:themeFill="background1"/>
            <w:tcMar>
              <w:top w:w="0" w:type="dxa"/>
              <w:left w:w="108" w:type="dxa"/>
              <w:bottom w:w="0" w:type="dxa"/>
              <w:right w:w="108" w:type="dxa"/>
            </w:tcMar>
            <w:vAlign w:val="center"/>
          </w:tcPr>
          <w:p w14:paraId="7071CC2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24,07%</w:t>
            </w:r>
          </w:p>
        </w:tc>
        <w:tc>
          <w:tcPr>
            <w:tcW w:w="994" w:type="dxa"/>
            <w:shd w:val="clear" w:color="auto" w:fill="FFFFFF" w:themeFill="background1"/>
            <w:tcMar>
              <w:top w:w="0" w:type="dxa"/>
              <w:left w:w="108" w:type="dxa"/>
              <w:bottom w:w="0" w:type="dxa"/>
              <w:right w:w="108" w:type="dxa"/>
            </w:tcMar>
            <w:vAlign w:val="center"/>
          </w:tcPr>
          <w:p w14:paraId="58B0DDA3"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w:t>
            </w:r>
          </w:p>
        </w:tc>
        <w:tc>
          <w:tcPr>
            <w:tcW w:w="1419" w:type="dxa"/>
            <w:shd w:val="clear" w:color="auto" w:fill="FFFFFF" w:themeFill="background1"/>
            <w:tcMar>
              <w:top w:w="0" w:type="dxa"/>
              <w:left w:w="108" w:type="dxa"/>
              <w:bottom w:w="0" w:type="dxa"/>
              <w:right w:w="108" w:type="dxa"/>
            </w:tcMar>
            <w:vAlign w:val="center"/>
          </w:tcPr>
          <w:p w14:paraId="1433935B"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1,41%</w:t>
            </w:r>
          </w:p>
        </w:tc>
        <w:tc>
          <w:tcPr>
            <w:tcW w:w="852" w:type="dxa"/>
            <w:shd w:val="clear" w:color="auto" w:fill="FFFFFF" w:themeFill="background1"/>
            <w:tcMar>
              <w:top w:w="0" w:type="dxa"/>
              <w:left w:w="108" w:type="dxa"/>
              <w:bottom w:w="0" w:type="dxa"/>
              <w:right w:w="108" w:type="dxa"/>
            </w:tcMar>
            <w:vAlign w:val="center"/>
          </w:tcPr>
          <w:p w14:paraId="19A8B512"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5</w:t>
            </w:r>
          </w:p>
        </w:tc>
        <w:tc>
          <w:tcPr>
            <w:tcW w:w="1277" w:type="dxa"/>
            <w:shd w:val="clear" w:color="auto" w:fill="FFFFFF" w:themeFill="background1"/>
            <w:tcMar>
              <w:top w:w="0" w:type="dxa"/>
              <w:left w:w="108" w:type="dxa"/>
              <w:bottom w:w="0" w:type="dxa"/>
              <w:right w:w="108" w:type="dxa"/>
            </w:tcMar>
            <w:vAlign w:val="center"/>
          </w:tcPr>
          <w:p w14:paraId="7837310D"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2,11%</w:t>
            </w:r>
          </w:p>
        </w:tc>
        <w:tc>
          <w:tcPr>
            <w:tcW w:w="994" w:type="dxa"/>
            <w:shd w:val="clear" w:color="auto" w:fill="FFFFFF" w:themeFill="background1"/>
            <w:tcMar>
              <w:top w:w="0" w:type="dxa"/>
              <w:left w:w="108" w:type="dxa"/>
              <w:bottom w:w="0" w:type="dxa"/>
              <w:right w:w="108" w:type="dxa"/>
            </w:tcMar>
            <w:vAlign w:val="center"/>
          </w:tcPr>
          <w:p w14:paraId="7861C4CB" w14:textId="77777777" w:rsidR="00284822" w:rsidRDefault="00F77BF8">
            <w:pPr>
              <w:spacing w:line="240" w:lineRule="auto"/>
              <w:rPr>
                <w:rFonts w:ascii="Rockwell" w:hAnsi="Rockwell"/>
                <w:b/>
                <w:bCs/>
                <w:sz w:val="18"/>
                <w:szCs w:val="18"/>
              </w:rPr>
            </w:pPr>
            <w:r>
              <w:rPr>
                <w:rFonts w:ascii="Rockwell" w:hAnsi="Rockwell"/>
                <w:b/>
                <w:bCs/>
                <w:sz w:val="18"/>
                <w:szCs w:val="18"/>
              </w:rPr>
              <w:t>24 1/4</w:t>
            </w:r>
          </w:p>
        </w:tc>
        <w:tc>
          <w:tcPr>
            <w:tcW w:w="1136" w:type="dxa"/>
            <w:shd w:val="clear" w:color="auto" w:fill="FFFFFF" w:themeFill="background1"/>
            <w:tcMar>
              <w:top w:w="0" w:type="dxa"/>
              <w:left w:w="108" w:type="dxa"/>
              <w:bottom w:w="0" w:type="dxa"/>
              <w:right w:w="108" w:type="dxa"/>
            </w:tcMar>
            <w:vAlign w:val="center"/>
          </w:tcPr>
          <w:p w14:paraId="59C7905D" w14:textId="77777777" w:rsidR="00284822" w:rsidRDefault="00F77BF8">
            <w:pPr>
              <w:spacing w:line="240" w:lineRule="auto"/>
              <w:rPr>
                <w:rFonts w:ascii="Rockwell" w:hAnsi="Rockwell"/>
                <w:b/>
                <w:bCs/>
                <w:sz w:val="18"/>
                <w:szCs w:val="18"/>
              </w:rPr>
            </w:pPr>
            <w:r>
              <w:rPr>
                <w:rFonts w:ascii="Rockwell" w:hAnsi="Rockwell"/>
                <w:b/>
                <w:bCs/>
                <w:sz w:val="18"/>
                <w:szCs w:val="18"/>
              </w:rPr>
              <w:t>5,64%</w:t>
            </w:r>
          </w:p>
        </w:tc>
        <w:tc>
          <w:tcPr>
            <w:tcW w:w="851" w:type="dxa"/>
            <w:shd w:val="clear" w:color="auto" w:fill="FFFFFF" w:themeFill="background1"/>
            <w:tcMar>
              <w:top w:w="0" w:type="dxa"/>
              <w:left w:w="108" w:type="dxa"/>
              <w:bottom w:w="0" w:type="dxa"/>
              <w:right w:w="108" w:type="dxa"/>
            </w:tcMar>
            <w:vAlign w:val="center"/>
          </w:tcPr>
          <w:p w14:paraId="57FA19EC" w14:textId="77777777" w:rsidR="00284822" w:rsidRDefault="00F77BF8">
            <w:pPr>
              <w:spacing w:line="240" w:lineRule="auto"/>
              <w:rPr>
                <w:rFonts w:ascii="Rockwell" w:hAnsi="Rockwell"/>
                <w:b/>
                <w:bCs/>
                <w:sz w:val="18"/>
                <w:szCs w:val="18"/>
              </w:rPr>
            </w:pPr>
            <w:r>
              <w:rPr>
                <w:rFonts w:ascii="Rockwell" w:hAnsi="Rockwell"/>
                <w:b/>
                <w:bCs/>
                <w:sz w:val="18"/>
                <w:szCs w:val="18"/>
              </w:rPr>
              <w:t>55</w:t>
            </w:r>
          </w:p>
        </w:tc>
        <w:tc>
          <w:tcPr>
            <w:tcW w:w="1136" w:type="dxa"/>
            <w:shd w:val="clear" w:color="auto" w:fill="FFFFFF" w:themeFill="background1"/>
            <w:tcMar>
              <w:top w:w="0" w:type="dxa"/>
              <w:left w:w="108" w:type="dxa"/>
              <w:bottom w:w="0" w:type="dxa"/>
              <w:right w:w="108" w:type="dxa"/>
            </w:tcMar>
            <w:vAlign w:val="center"/>
          </w:tcPr>
          <w:p w14:paraId="30C16048" w14:textId="77777777" w:rsidR="00284822" w:rsidRDefault="00F77BF8">
            <w:pPr>
              <w:spacing w:line="240" w:lineRule="auto"/>
              <w:rPr>
                <w:rFonts w:ascii="Rockwell" w:hAnsi="Rockwell"/>
                <w:b/>
                <w:bCs/>
                <w:sz w:val="18"/>
                <w:szCs w:val="18"/>
              </w:rPr>
            </w:pPr>
            <w:r>
              <w:rPr>
                <w:rFonts w:ascii="Rockwell" w:hAnsi="Rockwell"/>
                <w:b/>
                <w:bCs/>
                <w:sz w:val="18"/>
                <w:szCs w:val="18"/>
              </w:rPr>
              <w:t>7,32%</w:t>
            </w:r>
          </w:p>
        </w:tc>
      </w:tr>
      <w:tr w:rsidR="00284822" w14:paraId="517A2A29" w14:textId="77777777">
        <w:trPr>
          <w:gridAfter w:val="1"/>
          <w:wAfter w:w="6" w:type="dxa"/>
          <w:trHeight w:val="301"/>
        </w:trPr>
        <w:tc>
          <w:tcPr>
            <w:tcW w:w="994" w:type="dxa"/>
            <w:shd w:val="clear" w:color="auto" w:fill="FFFFFF" w:themeFill="background1"/>
            <w:noWrap/>
            <w:tcMar>
              <w:top w:w="0" w:type="dxa"/>
              <w:left w:w="108" w:type="dxa"/>
              <w:bottom w:w="0" w:type="dxa"/>
              <w:right w:w="108" w:type="dxa"/>
            </w:tcMar>
          </w:tcPr>
          <w:p w14:paraId="1E25FC8A"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56</w:t>
            </w:r>
          </w:p>
        </w:tc>
        <w:tc>
          <w:tcPr>
            <w:tcW w:w="1563" w:type="dxa"/>
            <w:shd w:val="clear" w:color="auto" w:fill="FFFFFF" w:themeFill="background1"/>
            <w:tcMar>
              <w:top w:w="0" w:type="dxa"/>
              <w:left w:w="108" w:type="dxa"/>
              <w:bottom w:w="0" w:type="dxa"/>
              <w:right w:w="108" w:type="dxa"/>
            </w:tcMar>
          </w:tcPr>
          <w:p w14:paraId="3255F7CD"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UNIR/ MPS</w:t>
            </w:r>
          </w:p>
        </w:tc>
        <w:tc>
          <w:tcPr>
            <w:tcW w:w="851" w:type="dxa"/>
            <w:shd w:val="clear" w:color="auto" w:fill="FFFFFF" w:themeFill="background1"/>
            <w:tcMar>
              <w:top w:w="0" w:type="dxa"/>
              <w:left w:w="108" w:type="dxa"/>
              <w:bottom w:w="0" w:type="dxa"/>
              <w:right w:w="108" w:type="dxa"/>
            </w:tcMar>
          </w:tcPr>
          <w:p w14:paraId="271039C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4 4/7</w:t>
            </w:r>
          </w:p>
        </w:tc>
        <w:tc>
          <w:tcPr>
            <w:tcW w:w="1278" w:type="dxa"/>
            <w:shd w:val="clear" w:color="auto" w:fill="FFFFFF" w:themeFill="background1"/>
            <w:tcMar>
              <w:top w:w="0" w:type="dxa"/>
              <w:left w:w="108" w:type="dxa"/>
              <w:bottom w:w="0" w:type="dxa"/>
              <w:right w:w="108" w:type="dxa"/>
            </w:tcMar>
          </w:tcPr>
          <w:p w14:paraId="3484897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5,06%</w:t>
            </w:r>
          </w:p>
        </w:tc>
        <w:tc>
          <w:tcPr>
            <w:tcW w:w="710" w:type="dxa"/>
            <w:shd w:val="clear" w:color="auto" w:fill="FFFFFF" w:themeFill="background1"/>
            <w:tcMar>
              <w:top w:w="0" w:type="dxa"/>
              <w:left w:w="108" w:type="dxa"/>
              <w:bottom w:w="0" w:type="dxa"/>
              <w:right w:w="108" w:type="dxa"/>
            </w:tcMar>
          </w:tcPr>
          <w:p w14:paraId="5B9B5B3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5</w:t>
            </w:r>
          </w:p>
        </w:tc>
        <w:tc>
          <w:tcPr>
            <w:tcW w:w="1277" w:type="dxa"/>
            <w:shd w:val="clear" w:color="auto" w:fill="FFFFFF" w:themeFill="background1"/>
            <w:tcMar>
              <w:top w:w="0" w:type="dxa"/>
              <w:left w:w="108" w:type="dxa"/>
              <w:bottom w:w="0" w:type="dxa"/>
              <w:right w:w="108" w:type="dxa"/>
            </w:tcMar>
          </w:tcPr>
          <w:p w14:paraId="7207793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3,09%</w:t>
            </w:r>
          </w:p>
        </w:tc>
        <w:tc>
          <w:tcPr>
            <w:tcW w:w="994" w:type="dxa"/>
            <w:shd w:val="clear" w:color="auto" w:fill="FFFFFF" w:themeFill="background1"/>
            <w:tcMar>
              <w:top w:w="0" w:type="dxa"/>
              <w:left w:w="108" w:type="dxa"/>
              <w:bottom w:w="0" w:type="dxa"/>
              <w:right w:w="108" w:type="dxa"/>
            </w:tcMar>
          </w:tcPr>
          <w:p w14:paraId="23C309B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12 5/7</w:t>
            </w:r>
          </w:p>
        </w:tc>
        <w:tc>
          <w:tcPr>
            <w:tcW w:w="1419" w:type="dxa"/>
            <w:shd w:val="clear" w:color="auto" w:fill="FFFFFF" w:themeFill="background1"/>
            <w:tcMar>
              <w:top w:w="0" w:type="dxa"/>
              <w:left w:w="108" w:type="dxa"/>
              <w:bottom w:w="0" w:type="dxa"/>
              <w:right w:w="108" w:type="dxa"/>
            </w:tcMar>
          </w:tcPr>
          <w:p w14:paraId="0C5811A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8,97%</w:t>
            </w:r>
          </w:p>
        </w:tc>
        <w:tc>
          <w:tcPr>
            <w:tcW w:w="852" w:type="dxa"/>
            <w:shd w:val="clear" w:color="auto" w:fill="FFFFFF" w:themeFill="background1"/>
            <w:tcMar>
              <w:top w:w="0" w:type="dxa"/>
              <w:left w:w="108" w:type="dxa"/>
              <w:bottom w:w="0" w:type="dxa"/>
              <w:right w:w="108" w:type="dxa"/>
            </w:tcMar>
          </w:tcPr>
          <w:p w14:paraId="29A96C7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20</w:t>
            </w:r>
          </w:p>
        </w:tc>
        <w:tc>
          <w:tcPr>
            <w:tcW w:w="1277" w:type="dxa"/>
            <w:shd w:val="clear" w:color="auto" w:fill="FFFFFF" w:themeFill="background1"/>
            <w:tcMar>
              <w:top w:w="0" w:type="dxa"/>
              <w:left w:w="108" w:type="dxa"/>
              <w:bottom w:w="0" w:type="dxa"/>
              <w:right w:w="108" w:type="dxa"/>
            </w:tcMar>
          </w:tcPr>
          <w:p w14:paraId="63B3BBD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8,44%</w:t>
            </w:r>
          </w:p>
        </w:tc>
        <w:tc>
          <w:tcPr>
            <w:tcW w:w="994" w:type="dxa"/>
            <w:shd w:val="clear" w:color="auto" w:fill="FFFFFF" w:themeFill="background1"/>
            <w:tcMar>
              <w:top w:w="0" w:type="dxa"/>
              <w:left w:w="108" w:type="dxa"/>
              <w:bottom w:w="0" w:type="dxa"/>
              <w:right w:w="108" w:type="dxa"/>
            </w:tcMar>
          </w:tcPr>
          <w:p w14:paraId="01393AEA" w14:textId="77777777" w:rsidR="00284822" w:rsidRDefault="00F77BF8">
            <w:pPr>
              <w:spacing w:line="240" w:lineRule="auto"/>
              <w:jc w:val="left"/>
              <w:rPr>
                <w:rFonts w:ascii="Rockwell" w:hAnsi="Rockwell"/>
                <w:b/>
                <w:bCs/>
                <w:sz w:val="18"/>
                <w:szCs w:val="18"/>
              </w:rPr>
            </w:pPr>
            <w:r>
              <w:rPr>
                <w:rFonts w:ascii="Rockwell" w:hAnsi="Rockwell"/>
                <w:b/>
                <w:bCs/>
                <w:sz w:val="18"/>
                <w:szCs w:val="18"/>
              </w:rPr>
              <w:t>28 4/5</w:t>
            </w:r>
          </w:p>
        </w:tc>
        <w:tc>
          <w:tcPr>
            <w:tcW w:w="1136" w:type="dxa"/>
            <w:shd w:val="clear" w:color="auto" w:fill="FFFFFF" w:themeFill="background1"/>
            <w:tcMar>
              <w:top w:w="0" w:type="dxa"/>
              <w:left w:w="108" w:type="dxa"/>
              <w:bottom w:w="0" w:type="dxa"/>
              <w:right w:w="108" w:type="dxa"/>
            </w:tcMar>
          </w:tcPr>
          <w:p w14:paraId="0B95CB66" w14:textId="77777777" w:rsidR="00284822" w:rsidRDefault="00F77BF8">
            <w:pPr>
              <w:spacing w:line="240" w:lineRule="auto"/>
              <w:jc w:val="left"/>
              <w:rPr>
                <w:rFonts w:ascii="Rockwell" w:hAnsi="Rockwell"/>
                <w:b/>
                <w:bCs/>
                <w:sz w:val="18"/>
                <w:szCs w:val="18"/>
              </w:rPr>
            </w:pPr>
            <w:r>
              <w:rPr>
                <w:rFonts w:ascii="Rockwell" w:hAnsi="Rockwell"/>
                <w:b/>
                <w:bCs/>
                <w:sz w:val="18"/>
                <w:szCs w:val="18"/>
              </w:rPr>
              <w:t>6,70%</w:t>
            </w:r>
          </w:p>
        </w:tc>
        <w:tc>
          <w:tcPr>
            <w:tcW w:w="851" w:type="dxa"/>
            <w:shd w:val="clear" w:color="auto" w:fill="FFFFFF" w:themeFill="background1"/>
            <w:tcMar>
              <w:top w:w="0" w:type="dxa"/>
              <w:left w:w="108" w:type="dxa"/>
              <w:bottom w:w="0" w:type="dxa"/>
              <w:right w:w="108" w:type="dxa"/>
            </w:tcMar>
          </w:tcPr>
          <w:p w14:paraId="0CA8B7DD" w14:textId="77777777" w:rsidR="00284822" w:rsidRDefault="00F77BF8">
            <w:pPr>
              <w:spacing w:line="240" w:lineRule="auto"/>
              <w:jc w:val="left"/>
              <w:rPr>
                <w:rFonts w:ascii="Rockwell" w:hAnsi="Rockwell"/>
                <w:b/>
                <w:bCs/>
                <w:sz w:val="18"/>
                <w:szCs w:val="18"/>
              </w:rPr>
            </w:pPr>
            <w:r>
              <w:rPr>
                <w:rFonts w:ascii="Rockwell" w:hAnsi="Rockwell"/>
                <w:b/>
                <w:bCs/>
                <w:sz w:val="18"/>
                <w:szCs w:val="18"/>
              </w:rPr>
              <w:t>41</w:t>
            </w:r>
          </w:p>
        </w:tc>
        <w:tc>
          <w:tcPr>
            <w:tcW w:w="1136" w:type="dxa"/>
            <w:shd w:val="clear" w:color="auto" w:fill="FFFFFF" w:themeFill="background1"/>
            <w:tcMar>
              <w:top w:w="0" w:type="dxa"/>
              <w:left w:w="108" w:type="dxa"/>
              <w:bottom w:w="0" w:type="dxa"/>
              <w:right w:w="108" w:type="dxa"/>
            </w:tcMar>
          </w:tcPr>
          <w:p w14:paraId="3FA253EB" w14:textId="77777777" w:rsidR="00284822" w:rsidRDefault="00F77BF8">
            <w:pPr>
              <w:spacing w:line="240" w:lineRule="auto"/>
              <w:jc w:val="left"/>
              <w:rPr>
                <w:rFonts w:ascii="Rockwell" w:hAnsi="Rockwell"/>
                <w:b/>
                <w:bCs/>
                <w:sz w:val="18"/>
                <w:szCs w:val="18"/>
              </w:rPr>
            </w:pPr>
            <w:r>
              <w:rPr>
                <w:rFonts w:ascii="Rockwell" w:hAnsi="Rockwell"/>
                <w:b/>
                <w:bCs/>
                <w:sz w:val="18"/>
                <w:szCs w:val="18"/>
              </w:rPr>
              <w:t>5,46%</w:t>
            </w:r>
          </w:p>
        </w:tc>
      </w:tr>
      <w:tr w:rsidR="00284822" w14:paraId="267B531F" w14:textId="77777777">
        <w:trPr>
          <w:gridAfter w:val="1"/>
          <w:wAfter w:w="6" w:type="dxa"/>
          <w:trHeight w:val="70"/>
        </w:trPr>
        <w:tc>
          <w:tcPr>
            <w:tcW w:w="994" w:type="dxa"/>
            <w:shd w:val="clear" w:color="auto" w:fill="FFFFFF" w:themeFill="background1"/>
            <w:noWrap/>
            <w:tcMar>
              <w:top w:w="0" w:type="dxa"/>
              <w:left w:w="108" w:type="dxa"/>
              <w:bottom w:w="0" w:type="dxa"/>
              <w:right w:w="108" w:type="dxa"/>
            </w:tcMar>
            <w:vAlign w:val="center"/>
          </w:tcPr>
          <w:p w14:paraId="56B04980"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57</w:t>
            </w:r>
          </w:p>
        </w:tc>
        <w:tc>
          <w:tcPr>
            <w:tcW w:w="1563" w:type="dxa"/>
            <w:shd w:val="clear" w:color="auto" w:fill="FFFFFF" w:themeFill="background1"/>
            <w:tcMar>
              <w:top w:w="0" w:type="dxa"/>
              <w:left w:w="108" w:type="dxa"/>
              <w:bottom w:w="0" w:type="dxa"/>
              <w:right w:w="108" w:type="dxa"/>
            </w:tcMar>
            <w:vAlign w:val="center"/>
          </w:tcPr>
          <w:p w14:paraId="44008ED6"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UPC</w:t>
            </w:r>
          </w:p>
        </w:tc>
        <w:tc>
          <w:tcPr>
            <w:tcW w:w="851" w:type="dxa"/>
            <w:shd w:val="clear" w:color="auto" w:fill="FFFFFF" w:themeFill="background1"/>
            <w:tcMar>
              <w:top w:w="0" w:type="dxa"/>
              <w:left w:w="108" w:type="dxa"/>
              <w:bottom w:w="0" w:type="dxa"/>
              <w:right w:w="108" w:type="dxa"/>
            </w:tcMar>
            <w:vAlign w:val="center"/>
          </w:tcPr>
          <w:p w14:paraId="647491B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4 ½</w:t>
            </w:r>
          </w:p>
        </w:tc>
        <w:tc>
          <w:tcPr>
            <w:tcW w:w="1278" w:type="dxa"/>
            <w:shd w:val="clear" w:color="auto" w:fill="FFFFFF" w:themeFill="background1"/>
            <w:tcMar>
              <w:top w:w="0" w:type="dxa"/>
              <w:left w:w="108" w:type="dxa"/>
              <w:bottom w:w="0" w:type="dxa"/>
              <w:right w:w="108" w:type="dxa"/>
            </w:tcMar>
            <w:vAlign w:val="center"/>
          </w:tcPr>
          <w:p w14:paraId="670606FE"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4,97%</w:t>
            </w:r>
          </w:p>
        </w:tc>
        <w:tc>
          <w:tcPr>
            <w:tcW w:w="710" w:type="dxa"/>
            <w:shd w:val="clear" w:color="auto" w:fill="FFFFFF" w:themeFill="background1"/>
            <w:tcMar>
              <w:top w:w="0" w:type="dxa"/>
              <w:left w:w="108" w:type="dxa"/>
              <w:bottom w:w="0" w:type="dxa"/>
              <w:right w:w="108" w:type="dxa"/>
            </w:tcMar>
            <w:vAlign w:val="center"/>
          </w:tcPr>
          <w:p w14:paraId="6D473A5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13</w:t>
            </w:r>
          </w:p>
        </w:tc>
        <w:tc>
          <w:tcPr>
            <w:tcW w:w="1277" w:type="dxa"/>
            <w:shd w:val="clear" w:color="auto" w:fill="FFFFFF" w:themeFill="background1"/>
            <w:tcMar>
              <w:top w:w="0" w:type="dxa"/>
              <w:left w:w="108" w:type="dxa"/>
              <w:bottom w:w="0" w:type="dxa"/>
              <w:right w:w="108" w:type="dxa"/>
            </w:tcMar>
            <w:vAlign w:val="center"/>
          </w:tcPr>
          <w:p w14:paraId="6096871A"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8,02%</w:t>
            </w:r>
          </w:p>
        </w:tc>
        <w:tc>
          <w:tcPr>
            <w:tcW w:w="994" w:type="dxa"/>
            <w:shd w:val="clear" w:color="auto" w:fill="FFFFFF" w:themeFill="background1"/>
            <w:tcMar>
              <w:top w:w="0" w:type="dxa"/>
              <w:left w:w="108" w:type="dxa"/>
              <w:bottom w:w="0" w:type="dxa"/>
              <w:right w:w="108" w:type="dxa"/>
            </w:tcMar>
            <w:vAlign w:val="center"/>
          </w:tcPr>
          <w:p w14:paraId="09C9ECC1"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3 4/7</w:t>
            </w:r>
          </w:p>
        </w:tc>
        <w:tc>
          <w:tcPr>
            <w:tcW w:w="1419" w:type="dxa"/>
            <w:shd w:val="clear" w:color="auto" w:fill="FFFFFF" w:themeFill="background1"/>
            <w:tcMar>
              <w:top w:w="0" w:type="dxa"/>
              <w:left w:w="108" w:type="dxa"/>
              <w:bottom w:w="0" w:type="dxa"/>
              <w:right w:w="108" w:type="dxa"/>
            </w:tcMar>
            <w:vAlign w:val="center"/>
          </w:tcPr>
          <w:p w14:paraId="228C68B4"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2,53%</w:t>
            </w:r>
          </w:p>
        </w:tc>
        <w:tc>
          <w:tcPr>
            <w:tcW w:w="852" w:type="dxa"/>
            <w:shd w:val="clear" w:color="auto" w:fill="FFFFFF" w:themeFill="background1"/>
            <w:tcMar>
              <w:top w:w="0" w:type="dxa"/>
              <w:left w:w="108" w:type="dxa"/>
              <w:bottom w:w="0" w:type="dxa"/>
              <w:right w:w="108" w:type="dxa"/>
            </w:tcMar>
            <w:vAlign w:val="center"/>
          </w:tcPr>
          <w:p w14:paraId="7F998AE4"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5</w:t>
            </w:r>
          </w:p>
        </w:tc>
        <w:tc>
          <w:tcPr>
            <w:tcW w:w="1277" w:type="dxa"/>
            <w:shd w:val="clear" w:color="auto" w:fill="FFFFFF" w:themeFill="background1"/>
            <w:tcMar>
              <w:top w:w="0" w:type="dxa"/>
              <w:left w:w="108" w:type="dxa"/>
              <w:bottom w:w="0" w:type="dxa"/>
              <w:right w:w="108" w:type="dxa"/>
            </w:tcMar>
            <w:vAlign w:val="center"/>
          </w:tcPr>
          <w:p w14:paraId="4072544C"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2,11%</w:t>
            </w:r>
          </w:p>
        </w:tc>
        <w:tc>
          <w:tcPr>
            <w:tcW w:w="994" w:type="dxa"/>
            <w:shd w:val="clear" w:color="auto" w:fill="FFFFFF" w:themeFill="background1"/>
            <w:tcMar>
              <w:top w:w="0" w:type="dxa"/>
              <w:left w:w="108" w:type="dxa"/>
              <w:bottom w:w="0" w:type="dxa"/>
              <w:right w:w="108" w:type="dxa"/>
            </w:tcMar>
            <w:vAlign w:val="center"/>
          </w:tcPr>
          <w:p w14:paraId="7D18D108" w14:textId="77777777" w:rsidR="00284822" w:rsidRDefault="00F77BF8">
            <w:pPr>
              <w:spacing w:line="240" w:lineRule="auto"/>
              <w:rPr>
                <w:rFonts w:ascii="Rockwell" w:hAnsi="Rockwell"/>
                <w:b/>
                <w:bCs/>
                <w:sz w:val="18"/>
                <w:szCs w:val="18"/>
              </w:rPr>
            </w:pPr>
            <w:r>
              <w:rPr>
                <w:rFonts w:ascii="Rockwell" w:hAnsi="Rockwell"/>
                <w:b/>
                <w:bCs/>
                <w:sz w:val="18"/>
                <w:szCs w:val="18"/>
              </w:rPr>
              <w:t>18 1/2</w:t>
            </w:r>
          </w:p>
        </w:tc>
        <w:tc>
          <w:tcPr>
            <w:tcW w:w="1136" w:type="dxa"/>
            <w:shd w:val="clear" w:color="auto" w:fill="FFFFFF" w:themeFill="background1"/>
            <w:tcMar>
              <w:top w:w="0" w:type="dxa"/>
              <w:left w:w="108" w:type="dxa"/>
              <w:bottom w:w="0" w:type="dxa"/>
              <w:right w:w="108" w:type="dxa"/>
            </w:tcMar>
            <w:vAlign w:val="center"/>
          </w:tcPr>
          <w:p w14:paraId="3C180F8D" w14:textId="77777777" w:rsidR="00284822" w:rsidRDefault="00F77BF8">
            <w:pPr>
              <w:spacing w:line="240" w:lineRule="auto"/>
              <w:rPr>
                <w:rFonts w:ascii="Rockwell" w:hAnsi="Rockwell"/>
                <w:b/>
                <w:bCs/>
                <w:sz w:val="18"/>
                <w:szCs w:val="18"/>
              </w:rPr>
            </w:pPr>
            <w:r>
              <w:rPr>
                <w:rFonts w:ascii="Rockwell" w:hAnsi="Rockwell"/>
                <w:b/>
                <w:bCs/>
                <w:sz w:val="18"/>
                <w:szCs w:val="18"/>
              </w:rPr>
              <w:t>4,30%</w:t>
            </w:r>
          </w:p>
        </w:tc>
        <w:tc>
          <w:tcPr>
            <w:tcW w:w="851" w:type="dxa"/>
            <w:shd w:val="clear" w:color="auto" w:fill="FFFFFF" w:themeFill="background1"/>
            <w:tcMar>
              <w:top w:w="0" w:type="dxa"/>
              <w:left w:w="108" w:type="dxa"/>
              <w:bottom w:w="0" w:type="dxa"/>
              <w:right w:w="108" w:type="dxa"/>
            </w:tcMar>
            <w:vAlign w:val="center"/>
          </w:tcPr>
          <w:p w14:paraId="02196094" w14:textId="77777777" w:rsidR="00284822" w:rsidRDefault="00F77BF8">
            <w:pPr>
              <w:spacing w:line="240" w:lineRule="auto"/>
              <w:rPr>
                <w:rFonts w:ascii="Rockwell" w:hAnsi="Rockwell"/>
                <w:b/>
                <w:bCs/>
                <w:sz w:val="18"/>
                <w:szCs w:val="18"/>
              </w:rPr>
            </w:pPr>
            <w:r>
              <w:rPr>
                <w:rFonts w:ascii="Rockwell" w:hAnsi="Rockwell"/>
                <w:b/>
                <w:bCs/>
                <w:sz w:val="18"/>
                <w:szCs w:val="18"/>
              </w:rPr>
              <w:t>38</w:t>
            </w:r>
          </w:p>
        </w:tc>
        <w:tc>
          <w:tcPr>
            <w:tcW w:w="1136" w:type="dxa"/>
            <w:shd w:val="clear" w:color="auto" w:fill="FFFFFF" w:themeFill="background1"/>
            <w:tcMar>
              <w:top w:w="0" w:type="dxa"/>
              <w:left w:w="108" w:type="dxa"/>
              <w:bottom w:w="0" w:type="dxa"/>
              <w:right w:w="108" w:type="dxa"/>
            </w:tcMar>
            <w:vAlign w:val="center"/>
          </w:tcPr>
          <w:p w14:paraId="229AC4C4" w14:textId="77777777" w:rsidR="00284822" w:rsidRDefault="00F77BF8">
            <w:pPr>
              <w:spacing w:line="240" w:lineRule="auto"/>
              <w:rPr>
                <w:rFonts w:ascii="Rockwell" w:hAnsi="Rockwell"/>
                <w:b/>
                <w:bCs/>
                <w:sz w:val="18"/>
                <w:szCs w:val="18"/>
              </w:rPr>
            </w:pPr>
            <w:r>
              <w:rPr>
                <w:rFonts w:ascii="Rockwell" w:hAnsi="Rockwell"/>
                <w:b/>
                <w:bCs/>
                <w:sz w:val="18"/>
                <w:szCs w:val="18"/>
              </w:rPr>
              <w:t>5,06%</w:t>
            </w:r>
          </w:p>
        </w:tc>
      </w:tr>
      <w:tr w:rsidR="00284822" w14:paraId="421ADF4A" w14:textId="77777777">
        <w:trPr>
          <w:gridAfter w:val="1"/>
          <w:wAfter w:w="6" w:type="dxa"/>
          <w:trHeight w:val="70"/>
        </w:trPr>
        <w:tc>
          <w:tcPr>
            <w:tcW w:w="994" w:type="dxa"/>
            <w:shd w:val="clear" w:color="auto" w:fill="FFFFFF" w:themeFill="background1"/>
            <w:noWrap/>
            <w:tcMar>
              <w:top w:w="0" w:type="dxa"/>
              <w:left w:w="108" w:type="dxa"/>
              <w:bottom w:w="0" w:type="dxa"/>
              <w:right w:w="108" w:type="dxa"/>
            </w:tcMar>
            <w:vAlign w:val="center"/>
          </w:tcPr>
          <w:p w14:paraId="6430946A" w14:textId="77777777" w:rsidR="00284822" w:rsidRDefault="00F77BF8">
            <w:pPr>
              <w:spacing w:line="240" w:lineRule="auto"/>
              <w:rPr>
                <w:rFonts w:ascii="Rockwell" w:hAnsi="Rockwell"/>
                <w:bCs/>
                <w:color w:val="000000"/>
                <w:sz w:val="18"/>
                <w:szCs w:val="18"/>
              </w:rPr>
            </w:pPr>
            <w:r>
              <w:rPr>
                <w:rFonts w:ascii="Rockwell" w:hAnsi="Rockwell"/>
                <w:bCs/>
                <w:color w:val="000000"/>
                <w:sz w:val="18"/>
                <w:szCs w:val="18"/>
              </w:rPr>
              <w:t>58</w:t>
            </w:r>
          </w:p>
        </w:tc>
        <w:tc>
          <w:tcPr>
            <w:tcW w:w="1563" w:type="dxa"/>
            <w:shd w:val="clear" w:color="auto" w:fill="FFFFFF" w:themeFill="background1"/>
            <w:tcMar>
              <w:top w:w="0" w:type="dxa"/>
              <w:left w:w="108" w:type="dxa"/>
              <w:bottom w:w="0" w:type="dxa"/>
              <w:right w:w="108" w:type="dxa"/>
            </w:tcMar>
            <w:vAlign w:val="center"/>
          </w:tcPr>
          <w:p w14:paraId="36BAA3A4"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VB</w:t>
            </w:r>
          </w:p>
        </w:tc>
        <w:tc>
          <w:tcPr>
            <w:tcW w:w="851" w:type="dxa"/>
            <w:shd w:val="clear" w:color="auto" w:fill="FFFFFF" w:themeFill="background1"/>
            <w:tcMar>
              <w:top w:w="0" w:type="dxa"/>
              <w:left w:w="108" w:type="dxa"/>
              <w:bottom w:w="0" w:type="dxa"/>
              <w:right w:w="108" w:type="dxa"/>
            </w:tcMar>
            <w:vAlign w:val="center"/>
          </w:tcPr>
          <w:p w14:paraId="31248B18"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 1/3</w:t>
            </w:r>
          </w:p>
        </w:tc>
        <w:tc>
          <w:tcPr>
            <w:tcW w:w="1278" w:type="dxa"/>
            <w:shd w:val="clear" w:color="auto" w:fill="FFFFFF" w:themeFill="background1"/>
            <w:tcMar>
              <w:top w:w="0" w:type="dxa"/>
              <w:left w:w="108" w:type="dxa"/>
              <w:bottom w:w="0" w:type="dxa"/>
              <w:right w:w="108" w:type="dxa"/>
            </w:tcMar>
            <w:vAlign w:val="center"/>
          </w:tcPr>
          <w:p w14:paraId="61F8DA41"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1,47%</w:t>
            </w:r>
          </w:p>
        </w:tc>
        <w:tc>
          <w:tcPr>
            <w:tcW w:w="710" w:type="dxa"/>
            <w:shd w:val="clear" w:color="auto" w:fill="FFFFFF" w:themeFill="background1"/>
            <w:tcMar>
              <w:top w:w="0" w:type="dxa"/>
              <w:left w:w="108" w:type="dxa"/>
              <w:bottom w:w="0" w:type="dxa"/>
              <w:right w:w="108" w:type="dxa"/>
            </w:tcMar>
            <w:vAlign w:val="center"/>
          </w:tcPr>
          <w:p w14:paraId="22D9D4D8"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2</w:t>
            </w:r>
          </w:p>
        </w:tc>
        <w:tc>
          <w:tcPr>
            <w:tcW w:w="1277" w:type="dxa"/>
            <w:shd w:val="clear" w:color="auto" w:fill="FFFFFF" w:themeFill="background1"/>
            <w:tcMar>
              <w:top w:w="0" w:type="dxa"/>
              <w:left w:w="108" w:type="dxa"/>
              <w:bottom w:w="0" w:type="dxa"/>
              <w:right w:w="108" w:type="dxa"/>
            </w:tcMar>
            <w:vAlign w:val="center"/>
          </w:tcPr>
          <w:p w14:paraId="19C72528"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1,23%</w:t>
            </w:r>
          </w:p>
        </w:tc>
        <w:tc>
          <w:tcPr>
            <w:tcW w:w="994" w:type="dxa"/>
            <w:shd w:val="clear" w:color="auto" w:fill="FFFFFF" w:themeFill="background1"/>
            <w:tcMar>
              <w:top w:w="0" w:type="dxa"/>
              <w:left w:w="108" w:type="dxa"/>
              <w:bottom w:w="0" w:type="dxa"/>
              <w:right w:w="108" w:type="dxa"/>
            </w:tcMar>
            <w:vAlign w:val="center"/>
          </w:tcPr>
          <w:p w14:paraId="07E93C56"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w:t>
            </w:r>
          </w:p>
        </w:tc>
        <w:tc>
          <w:tcPr>
            <w:tcW w:w="1419" w:type="dxa"/>
            <w:shd w:val="clear" w:color="auto" w:fill="FFFFFF" w:themeFill="background1"/>
            <w:tcMar>
              <w:top w:w="0" w:type="dxa"/>
              <w:left w:w="108" w:type="dxa"/>
              <w:bottom w:w="0" w:type="dxa"/>
              <w:right w:w="108" w:type="dxa"/>
            </w:tcMar>
            <w:vAlign w:val="center"/>
          </w:tcPr>
          <w:p w14:paraId="19BC69B0"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0,70%</w:t>
            </w:r>
          </w:p>
        </w:tc>
        <w:tc>
          <w:tcPr>
            <w:tcW w:w="852" w:type="dxa"/>
            <w:shd w:val="clear" w:color="auto" w:fill="FFFFFF" w:themeFill="background1"/>
            <w:tcMar>
              <w:top w:w="0" w:type="dxa"/>
              <w:left w:w="108" w:type="dxa"/>
              <w:bottom w:w="0" w:type="dxa"/>
              <w:right w:w="108" w:type="dxa"/>
            </w:tcMar>
            <w:vAlign w:val="center"/>
          </w:tcPr>
          <w:p w14:paraId="6C2F527C"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3</w:t>
            </w:r>
          </w:p>
        </w:tc>
        <w:tc>
          <w:tcPr>
            <w:tcW w:w="1277" w:type="dxa"/>
            <w:shd w:val="clear" w:color="auto" w:fill="FFFFFF" w:themeFill="background1"/>
            <w:tcMar>
              <w:top w:w="0" w:type="dxa"/>
              <w:left w:w="108" w:type="dxa"/>
              <w:bottom w:w="0" w:type="dxa"/>
              <w:right w:w="108" w:type="dxa"/>
            </w:tcMar>
            <w:vAlign w:val="center"/>
          </w:tcPr>
          <w:p w14:paraId="6E7C5F2C" w14:textId="77777777" w:rsidR="00284822" w:rsidRDefault="00F77BF8">
            <w:pPr>
              <w:spacing w:line="240" w:lineRule="auto"/>
              <w:rPr>
                <w:rFonts w:ascii="Rockwell" w:hAnsi="Rockwell"/>
                <w:color w:val="000000"/>
                <w:sz w:val="18"/>
                <w:szCs w:val="18"/>
              </w:rPr>
            </w:pPr>
            <w:r>
              <w:rPr>
                <w:rFonts w:ascii="Rockwell" w:hAnsi="Rockwell"/>
                <w:color w:val="000000"/>
                <w:sz w:val="18"/>
                <w:szCs w:val="18"/>
              </w:rPr>
              <w:t>1,27%</w:t>
            </w:r>
          </w:p>
        </w:tc>
        <w:tc>
          <w:tcPr>
            <w:tcW w:w="994" w:type="dxa"/>
            <w:shd w:val="clear" w:color="auto" w:fill="FFFFFF" w:themeFill="background1"/>
            <w:tcMar>
              <w:top w:w="0" w:type="dxa"/>
              <w:left w:w="108" w:type="dxa"/>
              <w:bottom w:w="0" w:type="dxa"/>
              <w:right w:w="108" w:type="dxa"/>
            </w:tcMar>
            <w:vAlign w:val="center"/>
          </w:tcPr>
          <w:p w14:paraId="345C0C34" w14:textId="77777777" w:rsidR="00284822" w:rsidRDefault="00F77BF8">
            <w:pPr>
              <w:spacing w:line="240" w:lineRule="auto"/>
              <w:rPr>
                <w:rFonts w:ascii="Rockwell" w:hAnsi="Rockwell"/>
                <w:b/>
                <w:bCs/>
                <w:sz w:val="18"/>
                <w:szCs w:val="18"/>
              </w:rPr>
            </w:pPr>
            <w:r>
              <w:rPr>
                <w:rFonts w:ascii="Rockwell" w:hAnsi="Rockwell"/>
                <w:b/>
                <w:bCs/>
                <w:sz w:val="18"/>
                <w:szCs w:val="18"/>
              </w:rPr>
              <w:t>3</w:t>
            </w:r>
          </w:p>
        </w:tc>
        <w:tc>
          <w:tcPr>
            <w:tcW w:w="1136" w:type="dxa"/>
            <w:shd w:val="clear" w:color="auto" w:fill="FFFFFF" w:themeFill="background1"/>
            <w:tcMar>
              <w:top w:w="0" w:type="dxa"/>
              <w:left w:w="108" w:type="dxa"/>
              <w:bottom w:w="0" w:type="dxa"/>
              <w:right w:w="108" w:type="dxa"/>
            </w:tcMar>
            <w:vAlign w:val="center"/>
          </w:tcPr>
          <w:p w14:paraId="4A4CEC0D" w14:textId="77777777" w:rsidR="00284822" w:rsidRDefault="00F77BF8">
            <w:pPr>
              <w:spacing w:line="240" w:lineRule="auto"/>
              <w:rPr>
                <w:rFonts w:ascii="Rockwell" w:hAnsi="Rockwell"/>
                <w:b/>
                <w:bCs/>
                <w:sz w:val="18"/>
                <w:szCs w:val="18"/>
              </w:rPr>
            </w:pPr>
            <w:r>
              <w:rPr>
                <w:rFonts w:ascii="Rockwell" w:hAnsi="Rockwell"/>
                <w:b/>
                <w:bCs/>
                <w:sz w:val="18"/>
                <w:szCs w:val="18"/>
              </w:rPr>
              <w:t>0,70%</w:t>
            </w:r>
          </w:p>
        </w:tc>
        <w:tc>
          <w:tcPr>
            <w:tcW w:w="851" w:type="dxa"/>
            <w:shd w:val="clear" w:color="auto" w:fill="FFFFFF" w:themeFill="background1"/>
            <w:tcMar>
              <w:top w:w="0" w:type="dxa"/>
              <w:left w:w="108" w:type="dxa"/>
              <w:bottom w:w="0" w:type="dxa"/>
              <w:right w:w="108" w:type="dxa"/>
            </w:tcMar>
            <w:vAlign w:val="center"/>
          </w:tcPr>
          <w:p w14:paraId="04087B4E" w14:textId="77777777" w:rsidR="00284822" w:rsidRDefault="00F77BF8">
            <w:pPr>
              <w:spacing w:line="240" w:lineRule="auto"/>
              <w:rPr>
                <w:rFonts w:ascii="Rockwell" w:hAnsi="Rockwell"/>
                <w:b/>
                <w:bCs/>
                <w:sz w:val="18"/>
                <w:szCs w:val="18"/>
              </w:rPr>
            </w:pPr>
            <w:r>
              <w:rPr>
                <w:rFonts w:ascii="Rockwell" w:hAnsi="Rockwell"/>
                <w:b/>
                <w:bCs/>
                <w:sz w:val="18"/>
                <w:szCs w:val="18"/>
              </w:rPr>
              <w:t>7</w:t>
            </w:r>
          </w:p>
        </w:tc>
        <w:tc>
          <w:tcPr>
            <w:tcW w:w="1136" w:type="dxa"/>
            <w:shd w:val="clear" w:color="auto" w:fill="FFFFFF" w:themeFill="background1"/>
            <w:tcMar>
              <w:top w:w="0" w:type="dxa"/>
              <w:left w:w="108" w:type="dxa"/>
              <w:bottom w:w="0" w:type="dxa"/>
              <w:right w:w="108" w:type="dxa"/>
            </w:tcMar>
            <w:vAlign w:val="center"/>
          </w:tcPr>
          <w:p w14:paraId="546F04E0" w14:textId="77777777" w:rsidR="00284822" w:rsidRDefault="00F77BF8">
            <w:pPr>
              <w:spacing w:line="240" w:lineRule="auto"/>
              <w:rPr>
                <w:rFonts w:ascii="Rockwell" w:hAnsi="Rockwell"/>
                <w:b/>
                <w:bCs/>
                <w:sz w:val="18"/>
                <w:szCs w:val="18"/>
              </w:rPr>
            </w:pPr>
            <w:r>
              <w:rPr>
                <w:rFonts w:ascii="Rockwell" w:hAnsi="Rockwell"/>
                <w:b/>
                <w:bCs/>
                <w:sz w:val="18"/>
                <w:szCs w:val="18"/>
              </w:rPr>
              <w:t>0,93%</w:t>
            </w:r>
          </w:p>
        </w:tc>
      </w:tr>
      <w:tr w:rsidR="00284822" w14:paraId="25206CFD" w14:textId="77777777">
        <w:trPr>
          <w:gridAfter w:val="1"/>
          <w:wAfter w:w="5" w:type="dxa"/>
          <w:trHeight w:val="321"/>
        </w:trPr>
        <w:tc>
          <w:tcPr>
            <w:tcW w:w="2558" w:type="dxa"/>
            <w:gridSpan w:val="2"/>
            <w:shd w:val="clear" w:color="auto" w:fill="FFFFFF" w:themeFill="background1"/>
            <w:noWrap/>
            <w:tcMar>
              <w:top w:w="0" w:type="dxa"/>
              <w:left w:w="108" w:type="dxa"/>
              <w:bottom w:w="0" w:type="dxa"/>
              <w:right w:w="108" w:type="dxa"/>
            </w:tcMar>
            <w:vAlign w:val="center"/>
          </w:tcPr>
          <w:p w14:paraId="1BF4F287" w14:textId="77777777" w:rsidR="00284822" w:rsidRDefault="00F77BF8">
            <w:pPr>
              <w:spacing w:line="240" w:lineRule="auto"/>
              <w:rPr>
                <w:rFonts w:ascii="Rockwell" w:hAnsi="Rockwell"/>
                <w:b/>
                <w:bCs/>
                <w:color w:val="000000"/>
                <w:sz w:val="18"/>
                <w:szCs w:val="18"/>
              </w:rPr>
            </w:pPr>
            <w:r>
              <w:rPr>
                <w:rFonts w:ascii="Rockwell" w:hAnsi="Rockwell"/>
                <w:b/>
                <w:bCs/>
                <w:color w:val="000000"/>
                <w:sz w:val="18"/>
                <w:szCs w:val="18"/>
              </w:rPr>
              <w:t>TOTAL</w:t>
            </w:r>
          </w:p>
        </w:tc>
        <w:tc>
          <w:tcPr>
            <w:tcW w:w="851" w:type="dxa"/>
            <w:shd w:val="clear" w:color="auto" w:fill="FFFFFF" w:themeFill="background1"/>
            <w:tcMar>
              <w:top w:w="0" w:type="dxa"/>
              <w:left w:w="108" w:type="dxa"/>
              <w:bottom w:w="0" w:type="dxa"/>
              <w:right w:w="108" w:type="dxa"/>
            </w:tcMar>
            <w:vAlign w:val="center"/>
          </w:tcPr>
          <w:p w14:paraId="1F08D3F3"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90 ½</w:t>
            </w:r>
          </w:p>
        </w:tc>
        <w:tc>
          <w:tcPr>
            <w:tcW w:w="1278" w:type="dxa"/>
            <w:shd w:val="clear" w:color="auto" w:fill="FFFFFF" w:themeFill="background1"/>
            <w:tcMar>
              <w:top w:w="0" w:type="dxa"/>
              <w:left w:w="108" w:type="dxa"/>
              <w:bottom w:w="0" w:type="dxa"/>
              <w:right w:w="108" w:type="dxa"/>
            </w:tcMar>
            <w:vAlign w:val="center"/>
          </w:tcPr>
          <w:p w14:paraId="30B7DFE1"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100,00%</w:t>
            </w:r>
          </w:p>
        </w:tc>
        <w:tc>
          <w:tcPr>
            <w:tcW w:w="710" w:type="dxa"/>
            <w:shd w:val="clear" w:color="auto" w:fill="FFFFFF" w:themeFill="background1"/>
            <w:tcMar>
              <w:top w:w="0" w:type="dxa"/>
              <w:left w:w="108" w:type="dxa"/>
              <w:bottom w:w="0" w:type="dxa"/>
              <w:right w:w="108" w:type="dxa"/>
            </w:tcMar>
            <w:vAlign w:val="center"/>
          </w:tcPr>
          <w:p w14:paraId="191482F9"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162</w:t>
            </w:r>
          </w:p>
        </w:tc>
        <w:tc>
          <w:tcPr>
            <w:tcW w:w="1277" w:type="dxa"/>
            <w:shd w:val="clear" w:color="auto" w:fill="FFFFFF" w:themeFill="background1"/>
            <w:tcMar>
              <w:top w:w="0" w:type="dxa"/>
              <w:left w:w="108" w:type="dxa"/>
              <w:bottom w:w="0" w:type="dxa"/>
              <w:right w:w="108" w:type="dxa"/>
            </w:tcMar>
            <w:vAlign w:val="center"/>
          </w:tcPr>
          <w:p w14:paraId="42F141D4"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100,00%</w:t>
            </w:r>
          </w:p>
        </w:tc>
        <w:tc>
          <w:tcPr>
            <w:tcW w:w="994" w:type="dxa"/>
            <w:shd w:val="clear" w:color="auto" w:fill="FFFFFF" w:themeFill="background1"/>
            <w:tcMar>
              <w:top w:w="0" w:type="dxa"/>
              <w:left w:w="108" w:type="dxa"/>
              <w:bottom w:w="0" w:type="dxa"/>
              <w:right w:w="108" w:type="dxa"/>
            </w:tcMar>
            <w:vAlign w:val="center"/>
          </w:tcPr>
          <w:p w14:paraId="3C7744C6"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141 7/8</w:t>
            </w:r>
          </w:p>
        </w:tc>
        <w:tc>
          <w:tcPr>
            <w:tcW w:w="1419" w:type="dxa"/>
            <w:shd w:val="clear" w:color="auto" w:fill="FFFFFF" w:themeFill="background1"/>
            <w:tcMar>
              <w:top w:w="0" w:type="dxa"/>
              <w:left w:w="108" w:type="dxa"/>
              <w:bottom w:w="0" w:type="dxa"/>
              <w:right w:w="108" w:type="dxa"/>
            </w:tcMar>
            <w:vAlign w:val="center"/>
          </w:tcPr>
          <w:p w14:paraId="469622D7"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100,00%</w:t>
            </w:r>
          </w:p>
        </w:tc>
        <w:tc>
          <w:tcPr>
            <w:tcW w:w="852" w:type="dxa"/>
            <w:shd w:val="clear" w:color="auto" w:fill="FFFFFF" w:themeFill="background1"/>
            <w:tcMar>
              <w:top w:w="0" w:type="dxa"/>
              <w:left w:w="108" w:type="dxa"/>
              <w:bottom w:w="0" w:type="dxa"/>
              <w:right w:w="108" w:type="dxa"/>
            </w:tcMar>
            <w:vAlign w:val="center"/>
          </w:tcPr>
          <w:p w14:paraId="08C373D1"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237</w:t>
            </w:r>
          </w:p>
        </w:tc>
        <w:tc>
          <w:tcPr>
            <w:tcW w:w="1277" w:type="dxa"/>
            <w:shd w:val="clear" w:color="auto" w:fill="FFFFFF" w:themeFill="background1"/>
            <w:tcMar>
              <w:top w:w="0" w:type="dxa"/>
              <w:left w:w="108" w:type="dxa"/>
              <w:bottom w:w="0" w:type="dxa"/>
              <w:right w:w="108" w:type="dxa"/>
            </w:tcMar>
            <w:vAlign w:val="center"/>
          </w:tcPr>
          <w:p w14:paraId="4D3EC702" w14:textId="77777777" w:rsidR="00284822" w:rsidRDefault="00F77BF8">
            <w:pPr>
              <w:spacing w:line="240" w:lineRule="auto"/>
              <w:rPr>
                <w:rFonts w:ascii="Rockwell" w:hAnsi="Rockwell"/>
                <w:b/>
                <w:color w:val="000000"/>
                <w:sz w:val="18"/>
                <w:szCs w:val="18"/>
              </w:rPr>
            </w:pPr>
            <w:r>
              <w:rPr>
                <w:rFonts w:ascii="Rockwell" w:hAnsi="Rockwell"/>
                <w:b/>
                <w:color w:val="000000"/>
                <w:sz w:val="18"/>
                <w:szCs w:val="18"/>
              </w:rPr>
              <w:t>100,00%</w:t>
            </w:r>
          </w:p>
        </w:tc>
        <w:tc>
          <w:tcPr>
            <w:tcW w:w="994" w:type="dxa"/>
            <w:shd w:val="clear" w:color="auto" w:fill="FFFFFF" w:themeFill="background1"/>
            <w:tcMar>
              <w:top w:w="0" w:type="dxa"/>
              <w:left w:w="108" w:type="dxa"/>
              <w:bottom w:w="0" w:type="dxa"/>
              <w:right w:w="108" w:type="dxa"/>
            </w:tcMar>
            <w:vAlign w:val="center"/>
          </w:tcPr>
          <w:p w14:paraId="7C656666" w14:textId="77777777" w:rsidR="00284822" w:rsidRDefault="00F77BF8">
            <w:pPr>
              <w:spacing w:line="240" w:lineRule="auto"/>
              <w:rPr>
                <w:rFonts w:ascii="Rockwell" w:hAnsi="Rockwell"/>
                <w:b/>
                <w:bCs/>
                <w:sz w:val="18"/>
                <w:szCs w:val="18"/>
              </w:rPr>
            </w:pPr>
            <w:r>
              <w:rPr>
                <w:rFonts w:ascii="Rockwell" w:hAnsi="Rockwell"/>
                <w:b/>
                <w:bCs/>
                <w:sz w:val="18"/>
                <w:szCs w:val="18"/>
              </w:rPr>
              <w:t>430 1/6</w:t>
            </w:r>
          </w:p>
        </w:tc>
        <w:tc>
          <w:tcPr>
            <w:tcW w:w="1136" w:type="dxa"/>
            <w:shd w:val="clear" w:color="auto" w:fill="FFFFFF" w:themeFill="background1"/>
            <w:tcMar>
              <w:top w:w="0" w:type="dxa"/>
              <w:left w:w="108" w:type="dxa"/>
              <w:bottom w:w="0" w:type="dxa"/>
              <w:right w:w="108" w:type="dxa"/>
            </w:tcMar>
            <w:vAlign w:val="center"/>
          </w:tcPr>
          <w:p w14:paraId="59164C9E" w14:textId="77777777" w:rsidR="00284822" w:rsidRDefault="00F77BF8">
            <w:pPr>
              <w:spacing w:line="240" w:lineRule="auto"/>
              <w:rPr>
                <w:rFonts w:ascii="Rockwell" w:hAnsi="Rockwell"/>
                <w:b/>
                <w:bCs/>
                <w:sz w:val="18"/>
                <w:szCs w:val="18"/>
              </w:rPr>
            </w:pPr>
            <w:r>
              <w:rPr>
                <w:rFonts w:ascii="Rockwell" w:hAnsi="Rockwell"/>
                <w:b/>
                <w:bCs/>
                <w:sz w:val="18"/>
                <w:szCs w:val="18"/>
              </w:rPr>
              <w:t>100,00%</w:t>
            </w:r>
          </w:p>
        </w:tc>
        <w:tc>
          <w:tcPr>
            <w:tcW w:w="851" w:type="dxa"/>
            <w:shd w:val="clear" w:color="auto" w:fill="FFFFFF" w:themeFill="background1"/>
            <w:tcMar>
              <w:top w:w="0" w:type="dxa"/>
              <w:left w:w="108" w:type="dxa"/>
              <w:bottom w:w="0" w:type="dxa"/>
              <w:right w:w="108" w:type="dxa"/>
            </w:tcMar>
            <w:vAlign w:val="center"/>
          </w:tcPr>
          <w:p w14:paraId="47862316" w14:textId="77777777" w:rsidR="00284822" w:rsidRDefault="00F77BF8">
            <w:pPr>
              <w:spacing w:line="240" w:lineRule="auto"/>
              <w:rPr>
                <w:rFonts w:ascii="Rockwell" w:hAnsi="Rockwell"/>
                <w:b/>
                <w:bCs/>
                <w:sz w:val="18"/>
                <w:szCs w:val="18"/>
              </w:rPr>
            </w:pPr>
            <w:r>
              <w:rPr>
                <w:rFonts w:ascii="Rockwell" w:hAnsi="Rockwell"/>
                <w:b/>
                <w:bCs/>
                <w:sz w:val="18"/>
                <w:szCs w:val="18"/>
              </w:rPr>
              <w:t>751</w:t>
            </w:r>
          </w:p>
        </w:tc>
        <w:tc>
          <w:tcPr>
            <w:tcW w:w="1136" w:type="dxa"/>
            <w:shd w:val="clear" w:color="auto" w:fill="FFFFFF" w:themeFill="background1"/>
            <w:tcMar>
              <w:top w:w="0" w:type="dxa"/>
              <w:left w:w="108" w:type="dxa"/>
              <w:bottom w:w="0" w:type="dxa"/>
              <w:right w:w="108" w:type="dxa"/>
            </w:tcMar>
            <w:vAlign w:val="center"/>
          </w:tcPr>
          <w:p w14:paraId="7FFCED16" w14:textId="77777777" w:rsidR="00284822" w:rsidRDefault="00F77BF8">
            <w:pPr>
              <w:spacing w:line="240" w:lineRule="auto"/>
              <w:rPr>
                <w:rFonts w:ascii="Rockwell" w:hAnsi="Rockwell"/>
                <w:b/>
                <w:bCs/>
                <w:sz w:val="18"/>
                <w:szCs w:val="18"/>
              </w:rPr>
            </w:pPr>
            <w:r>
              <w:rPr>
                <w:rFonts w:ascii="Rockwell" w:hAnsi="Rockwell"/>
                <w:b/>
                <w:bCs/>
                <w:sz w:val="18"/>
                <w:szCs w:val="18"/>
              </w:rPr>
              <w:t>100,00%</w:t>
            </w:r>
          </w:p>
        </w:tc>
      </w:tr>
    </w:tbl>
    <w:p w14:paraId="653A412E" w14:textId="77777777" w:rsidR="00284822" w:rsidRDefault="00284822">
      <w:pPr>
        <w:spacing w:before="120" w:after="120"/>
        <w:rPr>
          <w:rFonts w:ascii="Rockwell" w:hAnsi="Rockwell"/>
          <w:szCs w:val="26"/>
        </w:rPr>
        <w:sectPr w:rsidR="00284822">
          <w:pgSz w:w="16838" w:h="11906" w:orient="landscape"/>
          <w:pgMar w:top="1418" w:right="1418" w:bottom="1418" w:left="1418" w:header="720" w:footer="720" w:gutter="0"/>
          <w:cols w:space="720"/>
        </w:sectPr>
      </w:pPr>
    </w:p>
    <w:tbl>
      <w:tblPr>
        <w:tblW w:w="15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10" w:type="dxa"/>
          <w:right w:w="10" w:type="dxa"/>
        </w:tblCellMar>
        <w:tblLook w:val="04A0" w:firstRow="1" w:lastRow="0" w:firstColumn="1" w:lastColumn="0" w:noHBand="0" w:noVBand="1"/>
      </w:tblPr>
      <w:tblGrid>
        <w:gridCol w:w="851"/>
        <w:gridCol w:w="1696"/>
        <w:gridCol w:w="567"/>
        <w:gridCol w:w="850"/>
        <w:gridCol w:w="851"/>
        <w:gridCol w:w="992"/>
        <w:gridCol w:w="709"/>
        <w:gridCol w:w="1134"/>
        <w:gridCol w:w="709"/>
        <w:gridCol w:w="992"/>
        <w:gridCol w:w="850"/>
        <w:gridCol w:w="993"/>
        <w:gridCol w:w="708"/>
        <w:gridCol w:w="993"/>
        <w:gridCol w:w="425"/>
        <w:gridCol w:w="850"/>
        <w:gridCol w:w="567"/>
        <w:gridCol w:w="851"/>
      </w:tblGrid>
      <w:tr w:rsidR="00284822" w14:paraId="0A016083" w14:textId="77777777">
        <w:trPr>
          <w:trHeight w:val="436"/>
          <w:jc w:val="center"/>
        </w:trPr>
        <w:tc>
          <w:tcPr>
            <w:tcW w:w="851" w:type="dxa"/>
            <w:vMerge w:val="restart"/>
            <w:shd w:val="clear" w:color="auto" w:fill="9CC2E5" w:themeFill="accent1" w:themeFillTint="99"/>
            <w:noWrap/>
            <w:tcMar>
              <w:top w:w="0" w:type="dxa"/>
              <w:left w:w="108" w:type="dxa"/>
              <w:bottom w:w="0" w:type="dxa"/>
              <w:right w:w="108" w:type="dxa"/>
            </w:tcMar>
          </w:tcPr>
          <w:p w14:paraId="2DE5CFA2" w14:textId="77777777" w:rsidR="00284822" w:rsidRDefault="00F77BF8">
            <w:pPr>
              <w:spacing w:line="240" w:lineRule="auto"/>
              <w:jc w:val="left"/>
              <w:rPr>
                <w:rFonts w:ascii="Rockwell" w:hAnsi="Rockwell"/>
                <w:b/>
                <w:bCs/>
                <w:sz w:val="18"/>
                <w:szCs w:val="18"/>
              </w:rPr>
            </w:pPr>
            <w:r>
              <w:rPr>
                <w:rFonts w:ascii="Rockwell" w:hAnsi="Rockwell"/>
                <w:b/>
                <w:bCs/>
                <w:sz w:val="18"/>
                <w:szCs w:val="18"/>
              </w:rPr>
              <w:lastRenderedPageBreak/>
              <w:t>Rang</w:t>
            </w:r>
          </w:p>
        </w:tc>
        <w:tc>
          <w:tcPr>
            <w:tcW w:w="1696" w:type="dxa"/>
            <w:vMerge w:val="restart"/>
            <w:shd w:val="clear" w:color="auto" w:fill="9CC2E5" w:themeFill="accent1" w:themeFillTint="99"/>
            <w:tcMar>
              <w:top w:w="0" w:type="dxa"/>
              <w:left w:w="108" w:type="dxa"/>
              <w:bottom w:w="0" w:type="dxa"/>
              <w:right w:w="108" w:type="dxa"/>
            </w:tcMar>
          </w:tcPr>
          <w:p w14:paraId="645B448E" w14:textId="77777777" w:rsidR="00284822" w:rsidRDefault="00F77BF8">
            <w:pPr>
              <w:spacing w:line="240" w:lineRule="auto"/>
              <w:jc w:val="left"/>
              <w:rPr>
                <w:rFonts w:ascii="Rockwell" w:hAnsi="Rockwell"/>
                <w:sz w:val="18"/>
                <w:szCs w:val="18"/>
              </w:rPr>
            </w:pPr>
            <w:r>
              <w:rPr>
                <w:rFonts w:ascii="Rockwell" w:hAnsi="Rockwell"/>
                <w:b/>
                <w:bCs/>
                <w:color w:val="000000"/>
                <w:sz w:val="18"/>
                <w:szCs w:val="18"/>
              </w:rPr>
              <w:t>ACTEURS POLITIQUES</w:t>
            </w:r>
          </w:p>
        </w:tc>
        <w:tc>
          <w:tcPr>
            <w:tcW w:w="3260" w:type="dxa"/>
            <w:gridSpan w:val="4"/>
            <w:shd w:val="clear" w:color="auto" w:fill="9CC2E5" w:themeFill="accent1" w:themeFillTint="99"/>
            <w:tcMar>
              <w:top w:w="0" w:type="dxa"/>
              <w:left w:w="108" w:type="dxa"/>
              <w:bottom w:w="0" w:type="dxa"/>
              <w:right w:w="108" w:type="dxa"/>
            </w:tcMar>
          </w:tcPr>
          <w:p w14:paraId="1C61D919" w14:textId="77777777" w:rsidR="00284822" w:rsidRDefault="003148F1">
            <w:pPr>
              <w:spacing w:line="240" w:lineRule="auto"/>
              <w:jc w:val="left"/>
              <w:rPr>
                <w:rFonts w:ascii="Rockwell" w:hAnsi="Rockwell"/>
                <w:sz w:val="18"/>
                <w:szCs w:val="18"/>
              </w:rPr>
            </w:pPr>
            <w:hyperlink r:id="rId304" w:history="1">
              <w:r w:rsidR="00F77BF8">
                <w:rPr>
                  <w:rFonts w:ascii="Rockwell" w:hAnsi="Rockwell"/>
                  <w:b/>
                  <w:bCs/>
                  <w:sz w:val="18"/>
                  <w:szCs w:val="18"/>
                </w:rPr>
                <w:t>lefaso.net</w:t>
              </w:r>
            </w:hyperlink>
          </w:p>
        </w:tc>
        <w:tc>
          <w:tcPr>
            <w:tcW w:w="3544" w:type="dxa"/>
            <w:gridSpan w:val="4"/>
            <w:shd w:val="clear" w:color="auto" w:fill="9CC2E5" w:themeFill="accent1" w:themeFillTint="99"/>
            <w:tcMar>
              <w:top w:w="0" w:type="dxa"/>
              <w:left w:w="108" w:type="dxa"/>
              <w:bottom w:w="0" w:type="dxa"/>
              <w:right w:w="108" w:type="dxa"/>
            </w:tcMar>
          </w:tcPr>
          <w:p w14:paraId="70D261EE" w14:textId="77777777" w:rsidR="00284822" w:rsidRDefault="00F77BF8">
            <w:pPr>
              <w:spacing w:line="240" w:lineRule="auto"/>
              <w:jc w:val="left"/>
              <w:rPr>
                <w:rFonts w:ascii="Rockwell" w:hAnsi="Rockwell"/>
                <w:b/>
                <w:bCs/>
                <w:sz w:val="18"/>
                <w:szCs w:val="18"/>
              </w:rPr>
            </w:pPr>
            <w:r>
              <w:rPr>
                <w:rFonts w:ascii="Rockwell" w:hAnsi="Rockwell"/>
                <w:b/>
                <w:bCs/>
                <w:sz w:val="18"/>
                <w:szCs w:val="18"/>
              </w:rPr>
              <w:t>minute.bf</w:t>
            </w:r>
          </w:p>
        </w:tc>
        <w:tc>
          <w:tcPr>
            <w:tcW w:w="3544" w:type="dxa"/>
            <w:gridSpan w:val="4"/>
            <w:shd w:val="clear" w:color="auto" w:fill="9CC2E5" w:themeFill="accent1" w:themeFillTint="99"/>
            <w:tcMar>
              <w:top w:w="0" w:type="dxa"/>
              <w:left w:w="108" w:type="dxa"/>
              <w:bottom w:w="0" w:type="dxa"/>
              <w:right w:w="108" w:type="dxa"/>
            </w:tcMar>
          </w:tcPr>
          <w:p w14:paraId="5203DD19" w14:textId="77777777" w:rsidR="00284822" w:rsidRDefault="00F77BF8">
            <w:pPr>
              <w:spacing w:line="240" w:lineRule="auto"/>
              <w:jc w:val="left"/>
              <w:rPr>
                <w:rFonts w:ascii="Rockwell" w:hAnsi="Rockwell"/>
                <w:b/>
                <w:bCs/>
                <w:sz w:val="18"/>
                <w:szCs w:val="18"/>
              </w:rPr>
            </w:pPr>
            <w:r>
              <w:rPr>
                <w:rFonts w:ascii="Rockwell" w:hAnsi="Rockwell"/>
                <w:b/>
                <w:bCs/>
                <w:sz w:val="18"/>
                <w:szCs w:val="18"/>
              </w:rPr>
              <w:t>actualites.bf</w:t>
            </w:r>
          </w:p>
        </w:tc>
        <w:tc>
          <w:tcPr>
            <w:tcW w:w="2693" w:type="dxa"/>
            <w:gridSpan w:val="4"/>
            <w:shd w:val="clear" w:color="auto" w:fill="9CC2E5" w:themeFill="accent1" w:themeFillTint="99"/>
            <w:tcMar>
              <w:top w:w="0" w:type="dxa"/>
              <w:left w:w="108" w:type="dxa"/>
              <w:bottom w:w="0" w:type="dxa"/>
              <w:right w:w="108" w:type="dxa"/>
            </w:tcMar>
          </w:tcPr>
          <w:p w14:paraId="7945E8D0" w14:textId="77777777" w:rsidR="00284822" w:rsidRDefault="00F77BF8">
            <w:pPr>
              <w:spacing w:line="240" w:lineRule="auto"/>
              <w:jc w:val="left"/>
              <w:rPr>
                <w:rFonts w:ascii="Rockwell" w:hAnsi="Rockwell"/>
                <w:sz w:val="18"/>
                <w:szCs w:val="18"/>
              </w:rPr>
            </w:pPr>
            <w:r>
              <w:rPr>
                <w:rFonts w:ascii="Rockwell" w:hAnsi="Rockwell"/>
                <w:b/>
                <w:bCs/>
                <w:sz w:val="18"/>
                <w:szCs w:val="18"/>
              </w:rPr>
              <w:t>kaceto.net</w:t>
            </w:r>
          </w:p>
        </w:tc>
      </w:tr>
      <w:tr w:rsidR="00284822" w14:paraId="6E5E28E5" w14:textId="77777777">
        <w:trPr>
          <w:trHeight w:val="530"/>
          <w:jc w:val="center"/>
        </w:trPr>
        <w:tc>
          <w:tcPr>
            <w:tcW w:w="851" w:type="dxa"/>
            <w:vMerge/>
            <w:shd w:val="clear" w:color="auto" w:fill="9CC2E5" w:themeFill="accent1" w:themeFillTint="99"/>
            <w:noWrap/>
            <w:tcMar>
              <w:top w:w="0" w:type="dxa"/>
              <w:left w:w="108" w:type="dxa"/>
              <w:bottom w:w="0" w:type="dxa"/>
              <w:right w:w="108" w:type="dxa"/>
            </w:tcMar>
          </w:tcPr>
          <w:p w14:paraId="71E03942" w14:textId="77777777" w:rsidR="00284822" w:rsidRDefault="00284822">
            <w:pPr>
              <w:spacing w:line="240" w:lineRule="auto"/>
              <w:jc w:val="left"/>
              <w:rPr>
                <w:rFonts w:ascii="Rockwell" w:hAnsi="Rockwell"/>
                <w:b/>
                <w:bCs/>
                <w:sz w:val="18"/>
                <w:szCs w:val="18"/>
              </w:rPr>
            </w:pPr>
          </w:p>
        </w:tc>
        <w:tc>
          <w:tcPr>
            <w:tcW w:w="1696" w:type="dxa"/>
            <w:vMerge/>
            <w:shd w:val="clear" w:color="auto" w:fill="9CC2E5" w:themeFill="accent1" w:themeFillTint="99"/>
            <w:tcMar>
              <w:top w:w="0" w:type="dxa"/>
              <w:left w:w="108" w:type="dxa"/>
              <w:bottom w:w="0" w:type="dxa"/>
              <w:right w:w="108" w:type="dxa"/>
            </w:tcMar>
          </w:tcPr>
          <w:p w14:paraId="4201979B" w14:textId="77777777" w:rsidR="00284822" w:rsidRDefault="00284822">
            <w:pPr>
              <w:spacing w:line="240" w:lineRule="auto"/>
              <w:jc w:val="left"/>
              <w:rPr>
                <w:rFonts w:ascii="Rockwell" w:hAnsi="Rockwell"/>
                <w:sz w:val="18"/>
                <w:szCs w:val="18"/>
              </w:rPr>
            </w:pPr>
          </w:p>
        </w:tc>
        <w:tc>
          <w:tcPr>
            <w:tcW w:w="567" w:type="dxa"/>
            <w:shd w:val="clear" w:color="auto" w:fill="9CC2E5" w:themeFill="accent1" w:themeFillTint="99"/>
            <w:tcMar>
              <w:top w:w="0" w:type="dxa"/>
              <w:left w:w="108" w:type="dxa"/>
              <w:bottom w:w="0" w:type="dxa"/>
              <w:right w:w="108" w:type="dxa"/>
            </w:tcMar>
          </w:tcPr>
          <w:p w14:paraId="5221EE3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NA</w:t>
            </w:r>
          </w:p>
        </w:tc>
        <w:tc>
          <w:tcPr>
            <w:tcW w:w="850" w:type="dxa"/>
            <w:shd w:val="clear" w:color="auto" w:fill="9CC2E5" w:themeFill="accent1" w:themeFillTint="99"/>
            <w:tcMar>
              <w:top w:w="0" w:type="dxa"/>
              <w:left w:w="108" w:type="dxa"/>
              <w:bottom w:w="0" w:type="dxa"/>
              <w:right w:w="108" w:type="dxa"/>
            </w:tcMar>
          </w:tcPr>
          <w:p w14:paraId="7ABDD80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 NA</w:t>
            </w:r>
          </w:p>
        </w:tc>
        <w:tc>
          <w:tcPr>
            <w:tcW w:w="851" w:type="dxa"/>
            <w:shd w:val="clear" w:color="auto" w:fill="9CC2E5" w:themeFill="accent1" w:themeFillTint="99"/>
            <w:tcMar>
              <w:top w:w="0" w:type="dxa"/>
              <w:left w:w="108" w:type="dxa"/>
              <w:bottom w:w="0" w:type="dxa"/>
              <w:right w:w="108" w:type="dxa"/>
            </w:tcMar>
          </w:tcPr>
          <w:p w14:paraId="6015690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NI</w:t>
            </w:r>
          </w:p>
        </w:tc>
        <w:tc>
          <w:tcPr>
            <w:tcW w:w="992" w:type="dxa"/>
            <w:shd w:val="clear" w:color="auto" w:fill="9CC2E5" w:themeFill="accent1" w:themeFillTint="99"/>
            <w:tcMar>
              <w:top w:w="0" w:type="dxa"/>
              <w:left w:w="108" w:type="dxa"/>
              <w:bottom w:w="0" w:type="dxa"/>
              <w:right w:w="108" w:type="dxa"/>
            </w:tcMar>
          </w:tcPr>
          <w:p w14:paraId="306AD4F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 NI</w:t>
            </w:r>
          </w:p>
        </w:tc>
        <w:tc>
          <w:tcPr>
            <w:tcW w:w="709" w:type="dxa"/>
            <w:shd w:val="clear" w:color="auto" w:fill="9CC2E5" w:themeFill="accent1" w:themeFillTint="99"/>
            <w:tcMar>
              <w:top w:w="0" w:type="dxa"/>
              <w:left w:w="108" w:type="dxa"/>
              <w:bottom w:w="0" w:type="dxa"/>
              <w:right w:w="108" w:type="dxa"/>
            </w:tcMar>
          </w:tcPr>
          <w:p w14:paraId="0D799E2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NA</w:t>
            </w:r>
          </w:p>
        </w:tc>
        <w:tc>
          <w:tcPr>
            <w:tcW w:w="1134" w:type="dxa"/>
            <w:shd w:val="clear" w:color="auto" w:fill="9CC2E5" w:themeFill="accent1" w:themeFillTint="99"/>
            <w:tcMar>
              <w:top w:w="0" w:type="dxa"/>
              <w:left w:w="108" w:type="dxa"/>
              <w:bottom w:w="0" w:type="dxa"/>
              <w:right w:w="108" w:type="dxa"/>
            </w:tcMar>
          </w:tcPr>
          <w:p w14:paraId="0DB58A3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 NA</w:t>
            </w:r>
          </w:p>
        </w:tc>
        <w:tc>
          <w:tcPr>
            <w:tcW w:w="709" w:type="dxa"/>
            <w:shd w:val="clear" w:color="auto" w:fill="9CC2E5" w:themeFill="accent1" w:themeFillTint="99"/>
            <w:tcMar>
              <w:top w:w="0" w:type="dxa"/>
              <w:left w:w="108" w:type="dxa"/>
              <w:bottom w:w="0" w:type="dxa"/>
              <w:right w:w="108" w:type="dxa"/>
            </w:tcMar>
          </w:tcPr>
          <w:p w14:paraId="0883914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NI</w:t>
            </w:r>
          </w:p>
        </w:tc>
        <w:tc>
          <w:tcPr>
            <w:tcW w:w="992" w:type="dxa"/>
            <w:shd w:val="clear" w:color="auto" w:fill="9CC2E5" w:themeFill="accent1" w:themeFillTint="99"/>
            <w:tcMar>
              <w:top w:w="0" w:type="dxa"/>
              <w:left w:w="108" w:type="dxa"/>
              <w:bottom w:w="0" w:type="dxa"/>
              <w:right w:w="108" w:type="dxa"/>
            </w:tcMar>
          </w:tcPr>
          <w:p w14:paraId="3A6A41D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 NI</w:t>
            </w:r>
          </w:p>
        </w:tc>
        <w:tc>
          <w:tcPr>
            <w:tcW w:w="850" w:type="dxa"/>
            <w:shd w:val="clear" w:color="auto" w:fill="9CC2E5" w:themeFill="accent1" w:themeFillTint="99"/>
            <w:tcMar>
              <w:top w:w="0" w:type="dxa"/>
              <w:left w:w="108" w:type="dxa"/>
              <w:bottom w:w="0" w:type="dxa"/>
              <w:right w:w="108" w:type="dxa"/>
            </w:tcMar>
          </w:tcPr>
          <w:p w14:paraId="196BB8A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NA</w:t>
            </w:r>
          </w:p>
        </w:tc>
        <w:tc>
          <w:tcPr>
            <w:tcW w:w="993" w:type="dxa"/>
            <w:shd w:val="clear" w:color="auto" w:fill="9CC2E5" w:themeFill="accent1" w:themeFillTint="99"/>
            <w:tcMar>
              <w:top w:w="0" w:type="dxa"/>
              <w:left w:w="108" w:type="dxa"/>
              <w:bottom w:w="0" w:type="dxa"/>
              <w:right w:w="108" w:type="dxa"/>
            </w:tcMar>
          </w:tcPr>
          <w:p w14:paraId="5497D4A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 NA</w:t>
            </w:r>
          </w:p>
        </w:tc>
        <w:tc>
          <w:tcPr>
            <w:tcW w:w="708" w:type="dxa"/>
            <w:shd w:val="clear" w:color="auto" w:fill="9CC2E5" w:themeFill="accent1" w:themeFillTint="99"/>
            <w:tcMar>
              <w:top w:w="0" w:type="dxa"/>
              <w:left w:w="108" w:type="dxa"/>
              <w:bottom w:w="0" w:type="dxa"/>
              <w:right w:w="108" w:type="dxa"/>
            </w:tcMar>
          </w:tcPr>
          <w:p w14:paraId="5FC6F44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NI</w:t>
            </w:r>
          </w:p>
        </w:tc>
        <w:tc>
          <w:tcPr>
            <w:tcW w:w="993" w:type="dxa"/>
            <w:shd w:val="clear" w:color="auto" w:fill="9CC2E5" w:themeFill="accent1" w:themeFillTint="99"/>
            <w:tcMar>
              <w:top w:w="0" w:type="dxa"/>
              <w:left w:w="108" w:type="dxa"/>
              <w:bottom w:w="0" w:type="dxa"/>
              <w:right w:w="108" w:type="dxa"/>
            </w:tcMar>
          </w:tcPr>
          <w:p w14:paraId="6E95EBD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 NI</w:t>
            </w:r>
          </w:p>
        </w:tc>
        <w:tc>
          <w:tcPr>
            <w:tcW w:w="425" w:type="dxa"/>
            <w:shd w:val="clear" w:color="auto" w:fill="9CC2E5" w:themeFill="accent1" w:themeFillTint="99"/>
            <w:tcMar>
              <w:top w:w="0" w:type="dxa"/>
              <w:left w:w="108" w:type="dxa"/>
              <w:bottom w:w="0" w:type="dxa"/>
              <w:right w:w="108" w:type="dxa"/>
            </w:tcMar>
          </w:tcPr>
          <w:p w14:paraId="0885326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NA</w:t>
            </w:r>
          </w:p>
        </w:tc>
        <w:tc>
          <w:tcPr>
            <w:tcW w:w="850" w:type="dxa"/>
            <w:shd w:val="clear" w:color="auto" w:fill="9CC2E5" w:themeFill="accent1" w:themeFillTint="99"/>
            <w:tcMar>
              <w:top w:w="0" w:type="dxa"/>
              <w:left w:w="108" w:type="dxa"/>
              <w:bottom w:w="0" w:type="dxa"/>
              <w:right w:w="108" w:type="dxa"/>
            </w:tcMar>
          </w:tcPr>
          <w:p w14:paraId="78EA919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 NA</w:t>
            </w:r>
          </w:p>
        </w:tc>
        <w:tc>
          <w:tcPr>
            <w:tcW w:w="567" w:type="dxa"/>
            <w:shd w:val="clear" w:color="auto" w:fill="9CC2E5" w:themeFill="accent1" w:themeFillTint="99"/>
            <w:tcMar>
              <w:top w:w="0" w:type="dxa"/>
              <w:left w:w="108" w:type="dxa"/>
              <w:bottom w:w="0" w:type="dxa"/>
              <w:right w:w="108" w:type="dxa"/>
            </w:tcMar>
          </w:tcPr>
          <w:p w14:paraId="59DF822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NI</w:t>
            </w:r>
          </w:p>
        </w:tc>
        <w:tc>
          <w:tcPr>
            <w:tcW w:w="851" w:type="dxa"/>
            <w:shd w:val="clear" w:color="auto" w:fill="9CC2E5" w:themeFill="accent1" w:themeFillTint="99"/>
            <w:tcMar>
              <w:top w:w="0" w:type="dxa"/>
              <w:left w:w="108" w:type="dxa"/>
              <w:bottom w:w="0" w:type="dxa"/>
              <w:right w:w="108" w:type="dxa"/>
            </w:tcMar>
          </w:tcPr>
          <w:p w14:paraId="6E91E72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 NI</w:t>
            </w:r>
          </w:p>
        </w:tc>
      </w:tr>
      <w:tr w:rsidR="00284822" w14:paraId="5319804F" w14:textId="77777777">
        <w:trPr>
          <w:trHeight w:val="70"/>
          <w:jc w:val="center"/>
        </w:trPr>
        <w:tc>
          <w:tcPr>
            <w:tcW w:w="851" w:type="dxa"/>
            <w:shd w:val="clear" w:color="auto" w:fill="FFFFFF" w:themeFill="background1"/>
            <w:noWrap/>
            <w:tcMar>
              <w:top w:w="0" w:type="dxa"/>
              <w:left w:w="108" w:type="dxa"/>
              <w:bottom w:w="0" w:type="dxa"/>
              <w:right w:w="108" w:type="dxa"/>
            </w:tcMar>
          </w:tcPr>
          <w:p w14:paraId="2D53D619"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1</w:t>
            </w:r>
          </w:p>
        </w:tc>
        <w:tc>
          <w:tcPr>
            <w:tcW w:w="1696" w:type="dxa"/>
            <w:shd w:val="clear" w:color="auto" w:fill="FFFFFF" w:themeFill="background1"/>
            <w:tcMar>
              <w:top w:w="0" w:type="dxa"/>
              <w:left w:w="108" w:type="dxa"/>
              <w:bottom w:w="0" w:type="dxa"/>
              <w:right w:w="108" w:type="dxa"/>
            </w:tcMar>
          </w:tcPr>
          <w:p w14:paraId="04494F22"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ADF/RDA</w:t>
            </w:r>
          </w:p>
        </w:tc>
        <w:tc>
          <w:tcPr>
            <w:tcW w:w="567" w:type="dxa"/>
            <w:shd w:val="clear" w:color="auto" w:fill="FFFFFF" w:themeFill="background1"/>
            <w:tcMar>
              <w:top w:w="0" w:type="dxa"/>
              <w:left w:w="108" w:type="dxa"/>
              <w:bottom w:w="0" w:type="dxa"/>
              <w:right w:w="108" w:type="dxa"/>
            </w:tcMar>
          </w:tcPr>
          <w:p w14:paraId="0B6D7AD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w:t>
            </w:r>
          </w:p>
        </w:tc>
        <w:tc>
          <w:tcPr>
            <w:tcW w:w="850" w:type="dxa"/>
            <w:shd w:val="clear" w:color="auto" w:fill="FFFFFF" w:themeFill="background1"/>
            <w:tcMar>
              <w:top w:w="0" w:type="dxa"/>
              <w:left w:w="108" w:type="dxa"/>
              <w:bottom w:w="0" w:type="dxa"/>
              <w:right w:w="108" w:type="dxa"/>
            </w:tcMar>
          </w:tcPr>
          <w:p w14:paraId="020F038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1,27%</w:t>
            </w:r>
          </w:p>
        </w:tc>
        <w:tc>
          <w:tcPr>
            <w:tcW w:w="851" w:type="dxa"/>
            <w:shd w:val="clear" w:color="auto" w:fill="FFFFFF" w:themeFill="background1"/>
            <w:tcMar>
              <w:top w:w="0" w:type="dxa"/>
              <w:left w:w="108" w:type="dxa"/>
              <w:bottom w:w="0" w:type="dxa"/>
              <w:right w:w="108" w:type="dxa"/>
            </w:tcMar>
          </w:tcPr>
          <w:p w14:paraId="1507B92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w:t>
            </w:r>
          </w:p>
        </w:tc>
        <w:tc>
          <w:tcPr>
            <w:tcW w:w="992" w:type="dxa"/>
            <w:shd w:val="clear" w:color="auto" w:fill="FFFFFF" w:themeFill="background1"/>
            <w:tcMar>
              <w:top w:w="0" w:type="dxa"/>
              <w:left w:w="108" w:type="dxa"/>
              <w:bottom w:w="0" w:type="dxa"/>
              <w:right w:w="108" w:type="dxa"/>
            </w:tcMar>
          </w:tcPr>
          <w:p w14:paraId="6455BAF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0,61%</w:t>
            </w:r>
          </w:p>
        </w:tc>
        <w:tc>
          <w:tcPr>
            <w:tcW w:w="709" w:type="dxa"/>
            <w:shd w:val="clear" w:color="auto" w:fill="FFFFFF" w:themeFill="background1"/>
            <w:tcMar>
              <w:top w:w="0" w:type="dxa"/>
              <w:left w:w="108" w:type="dxa"/>
              <w:bottom w:w="0" w:type="dxa"/>
              <w:right w:w="108" w:type="dxa"/>
            </w:tcMar>
          </w:tcPr>
          <w:p w14:paraId="47F3A63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6</w:t>
            </w:r>
          </w:p>
        </w:tc>
        <w:tc>
          <w:tcPr>
            <w:tcW w:w="1134" w:type="dxa"/>
            <w:shd w:val="clear" w:color="auto" w:fill="FFFFFF" w:themeFill="background1"/>
            <w:tcMar>
              <w:top w:w="0" w:type="dxa"/>
              <w:left w:w="108" w:type="dxa"/>
              <w:bottom w:w="0" w:type="dxa"/>
              <w:right w:w="108" w:type="dxa"/>
            </w:tcMar>
          </w:tcPr>
          <w:p w14:paraId="693CAD8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3,80%</w:t>
            </w:r>
          </w:p>
        </w:tc>
        <w:tc>
          <w:tcPr>
            <w:tcW w:w="709" w:type="dxa"/>
            <w:shd w:val="clear" w:color="auto" w:fill="FFFFFF" w:themeFill="background1"/>
            <w:tcMar>
              <w:top w:w="0" w:type="dxa"/>
              <w:left w:w="108" w:type="dxa"/>
              <w:bottom w:w="0" w:type="dxa"/>
              <w:right w:w="108" w:type="dxa"/>
            </w:tcMar>
          </w:tcPr>
          <w:p w14:paraId="57D9DF3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8</w:t>
            </w:r>
          </w:p>
        </w:tc>
        <w:tc>
          <w:tcPr>
            <w:tcW w:w="992" w:type="dxa"/>
            <w:shd w:val="clear" w:color="auto" w:fill="FFFFFF" w:themeFill="background1"/>
            <w:tcMar>
              <w:top w:w="0" w:type="dxa"/>
              <w:left w:w="108" w:type="dxa"/>
              <w:bottom w:w="0" w:type="dxa"/>
              <w:right w:w="108" w:type="dxa"/>
            </w:tcMar>
          </w:tcPr>
          <w:p w14:paraId="5C54621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4,04%</w:t>
            </w:r>
          </w:p>
        </w:tc>
        <w:tc>
          <w:tcPr>
            <w:tcW w:w="850" w:type="dxa"/>
            <w:shd w:val="clear" w:color="auto" w:fill="FFFFFF" w:themeFill="background1"/>
            <w:tcMar>
              <w:top w:w="0" w:type="dxa"/>
              <w:left w:w="108" w:type="dxa"/>
              <w:bottom w:w="0" w:type="dxa"/>
              <w:right w:w="108" w:type="dxa"/>
            </w:tcMar>
          </w:tcPr>
          <w:p w14:paraId="2C451AC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w:t>
            </w:r>
          </w:p>
        </w:tc>
        <w:tc>
          <w:tcPr>
            <w:tcW w:w="993" w:type="dxa"/>
            <w:shd w:val="clear" w:color="auto" w:fill="FFFFFF" w:themeFill="background1"/>
            <w:tcMar>
              <w:top w:w="0" w:type="dxa"/>
              <w:left w:w="108" w:type="dxa"/>
              <w:bottom w:w="0" w:type="dxa"/>
              <w:right w:w="108" w:type="dxa"/>
            </w:tcMar>
          </w:tcPr>
          <w:p w14:paraId="7220094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2,65%</w:t>
            </w:r>
          </w:p>
        </w:tc>
        <w:tc>
          <w:tcPr>
            <w:tcW w:w="708" w:type="dxa"/>
            <w:shd w:val="clear" w:color="auto" w:fill="FFFFFF" w:themeFill="background1"/>
            <w:tcMar>
              <w:top w:w="0" w:type="dxa"/>
              <w:left w:w="108" w:type="dxa"/>
              <w:bottom w:w="0" w:type="dxa"/>
              <w:right w:w="108" w:type="dxa"/>
            </w:tcMar>
          </w:tcPr>
          <w:p w14:paraId="52108DE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w:t>
            </w:r>
          </w:p>
        </w:tc>
        <w:tc>
          <w:tcPr>
            <w:tcW w:w="993" w:type="dxa"/>
            <w:shd w:val="clear" w:color="auto" w:fill="FFFFFF" w:themeFill="background1"/>
            <w:tcMar>
              <w:top w:w="0" w:type="dxa"/>
              <w:left w:w="108" w:type="dxa"/>
              <w:bottom w:w="0" w:type="dxa"/>
              <w:right w:w="108" w:type="dxa"/>
            </w:tcMar>
          </w:tcPr>
          <w:p w14:paraId="601FEDA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1,69%</w:t>
            </w:r>
          </w:p>
        </w:tc>
        <w:tc>
          <w:tcPr>
            <w:tcW w:w="425" w:type="dxa"/>
            <w:shd w:val="clear" w:color="auto" w:fill="FFFFFF" w:themeFill="background1"/>
            <w:tcMar>
              <w:top w:w="0" w:type="dxa"/>
              <w:left w:w="108" w:type="dxa"/>
              <w:bottom w:w="0" w:type="dxa"/>
              <w:right w:w="108" w:type="dxa"/>
            </w:tcMar>
          </w:tcPr>
          <w:p w14:paraId="43ECA4E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687F73E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567" w:type="dxa"/>
            <w:shd w:val="clear" w:color="auto" w:fill="FFFFFF" w:themeFill="background1"/>
            <w:tcMar>
              <w:top w:w="0" w:type="dxa"/>
              <w:left w:w="108" w:type="dxa"/>
              <w:bottom w:w="0" w:type="dxa"/>
              <w:right w:w="108" w:type="dxa"/>
            </w:tcMar>
          </w:tcPr>
          <w:p w14:paraId="7C8E6F6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1" w:type="dxa"/>
            <w:shd w:val="clear" w:color="auto" w:fill="FFFFFF" w:themeFill="background1"/>
            <w:tcMar>
              <w:top w:w="0" w:type="dxa"/>
              <w:left w:w="108" w:type="dxa"/>
              <w:bottom w:w="0" w:type="dxa"/>
              <w:right w:w="108" w:type="dxa"/>
            </w:tcMar>
          </w:tcPr>
          <w:p w14:paraId="7F53F63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r>
      <w:tr w:rsidR="00284822" w14:paraId="076C4A8F" w14:textId="77777777">
        <w:trPr>
          <w:trHeight w:val="70"/>
          <w:jc w:val="center"/>
        </w:trPr>
        <w:tc>
          <w:tcPr>
            <w:tcW w:w="851" w:type="dxa"/>
            <w:shd w:val="clear" w:color="auto" w:fill="FFFFFF" w:themeFill="background1"/>
            <w:noWrap/>
            <w:tcMar>
              <w:top w:w="0" w:type="dxa"/>
              <w:left w:w="108" w:type="dxa"/>
              <w:bottom w:w="0" w:type="dxa"/>
              <w:right w:w="108" w:type="dxa"/>
            </w:tcMar>
          </w:tcPr>
          <w:p w14:paraId="145C38EF"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2</w:t>
            </w:r>
          </w:p>
        </w:tc>
        <w:tc>
          <w:tcPr>
            <w:tcW w:w="1696" w:type="dxa"/>
            <w:shd w:val="clear" w:color="auto" w:fill="FFFFFF" w:themeFill="background1"/>
            <w:tcMar>
              <w:top w:w="0" w:type="dxa"/>
              <w:left w:w="108" w:type="dxa"/>
              <w:bottom w:w="0" w:type="dxa"/>
              <w:right w:w="108" w:type="dxa"/>
            </w:tcMar>
          </w:tcPr>
          <w:p w14:paraId="3100E152"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ADP</w:t>
            </w:r>
          </w:p>
        </w:tc>
        <w:tc>
          <w:tcPr>
            <w:tcW w:w="567" w:type="dxa"/>
            <w:shd w:val="clear" w:color="auto" w:fill="FFFFFF" w:themeFill="background1"/>
            <w:tcMar>
              <w:top w:w="0" w:type="dxa"/>
              <w:left w:w="108" w:type="dxa"/>
              <w:bottom w:w="0" w:type="dxa"/>
              <w:right w:w="108" w:type="dxa"/>
            </w:tcMar>
          </w:tcPr>
          <w:p w14:paraId="09D0DEF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2D07150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1" w:type="dxa"/>
            <w:shd w:val="clear" w:color="auto" w:fill="FFFFFF" w:themeFill="background1"/>
            <w:tcMar>
              <w:top w:w="0" w:type="dxa"/>
              <w:left w:w="108" w:type="dxa"/>
              <w:bottom w:w="0" w:type="dxa"/>
              <w:right w:w="108" w:type="dxa"/>
            </w:tcMar>
          </w:tcPr>
          <w:p w14:paraId="03BDAEB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1EE3824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1909F70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1134" w:type="dxa"/>
            <w:shd w:val="clear" w:color="auto" w:fill="FFFFFF" w:themeFill="background1"/>
            <w:tcMar>
              <w:top w:w="0" w:type="dxa"/>
              <w:left w:w="108" w:type="dxa"/>
              <w:bottom w:w="0" w:type="dxa"/>
              <w:right w:w="108" w:type="dxa"/>
            </w:tcMar>
          </w:tcPr>
          <w:p w14:paraId="2E56661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4398449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438B6D4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0" w:type="dxa"/>
            <w:shd w:val="clear" w:color="auto" w:fill="FFFFFF" w:themeFill="background1"/>
            <w:tcMar>
              <w:top w:w="0" w:type="dxa"/>
              <w:left w:w="108" w:type="dxa"/>
              <w:bottom w:w="0" w:type="dxa"/>
              <w:right w:w="108" w:type="dxa"/>
            </w:tcMar>
          </w:tcPr>
          <w:p w14:paraId="56ED222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3" w:type="dxa"/>
            <w:shd w:val="clear" w:color="auto" w:fill="FFFFFF" w:themeFill="background1"/>
            <w:tcMar>
              <w:top w:w="0" w:type="dxa"/>
              <w:left w:w="108" w:type="dxa"/>
              <w:bottom w:w="0" w:type="dxa"/>
              <w:right w:w="108" w:type="dxa"/>
            </w:tcMar>
          </w:tcPr>
          <w:p w14:paraId="624308D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0,88%</w:t>
            </w:r>
          </w:p>
        </w:tc>
        <w:tc>
          <w:tcPr>
            <w:tcW w:w="708" w:type="dxa"/>
            <w:shd w:val="clear" w:color="auto" w:fill="FFFFFF" w:themeFill="background1"/>
            <w:tcMar>
              <w:top w:w="0" w:type="dxa"/>
              <w:left w:w="108" w:type="dxa"/>
              <w:bottom w:w="0" w:type="dxa"/>
              <w:right w:w="108" w:type="dxa"/>
            </w:tcMar>
          </w:tcPr>
          <w:p w14:paraId="40B699B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w:t>
            </w:r>
          </w:p>
        </w:tc>
        <w:tc>
          <w:tcPr>
            <w:tcW w:w="993" w:type="dxa"/>
            <w:shd w:val="clear" w:color="auto" w:fill="FFFFFF" w:themeFill="background1"/>
            <w:tcMar>
              <w:top w:w="0" w:type="dxa"/>
              <w:left w:w="108" w:type="dxa"/>
              <w:bottom w:w="0" w:type="dxa"/>
              <w:right w:w="108" w:type="dxa"/>
            </w:tcMar>
          </w:tcPr>
          <w:p w14:paraId="3834B0A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1,13%</w:t>
            </w:r>
          </w:p>
        </w:tc>
        <w:tc>
          <w:tcPr>
            <w:tcW w:w="425" w:type="dxa"/>
            <w:shd w:val="clear" w:color="auto" w:fill="FFFFFF" w:themeFill="background1"/>
            <w:tcMar>
              <w:top w:w="0" w:type="dxa"/>
              <w:left w:w="108" w:type="dxa"/>
              <w:bottom w:w="0" w:type="dxa"/>
              <w:right w:w="108" w:type="dxa"/>
            </w:tcMar>
          </w:tcPr>
          <w:p w14:paraId="58695A4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5CB8E8F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567" w:type="dxa"/>
            <w:shd w:val="clear" w:color="auto" w:fill="FFFFFF" w:themeFill="background1"/>
            <w:tcMar>
              <w:top w:w="0" w:type="dxa"/>
              <w:left w:w="108" w:type="dxa"/>
              <w:bottom w:w="0" w:type="dxa"/>
              <w:right w:w="108" w:type="dxa"/>
            </w:tcMar>
          </w:tcPr>
          <w:p w14:paraId="3CCE857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1" w:type="dxa"/>
            <w:shd w:val="clear" w:color="auto" w:fill="FFFFFF" w:themeFill="background1"/>
            <w:tcMar>
              <w:top w:w="0" w:type="dxa"/>
              <w:left w:w="108" w:type="dxa"/>
              <w:bottom w:w="0" w:type="dxa"/>
              <w:right w:w="108" w:type="dxa"/>
            </w:tcMar>
          </w:tcPr>
          <w:p w14:paraId="59E37E2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r>
      <w:tr w:rsidR="00284822" w14:paraId="2ACBEE58" w14:textId="77777777">
        <w:trPr>
          <w:trHeight w:val="70"/>
          <w:jc w:val="center"/>
        </w:trPr>
        <w:tc>
          <w:tcPr>
            <w:tcW w:w="851" w:type="dxa"/>
            <w:shd w:val="clear" w:color="auto" w:fill="FFFFFF" w:themeFill="background1"/>
            <w:noWrap/>
            <w:tcMar>
              <w:top w:w="0" w:type="dxa"/>
              <w:left w:w="108" w:type="dxa"/>
              <w:bottom w:w="0" w:type="dxa"/>
              <w:right w:w="108" w:type="dxa"/>
            </w:tcMar>
          </w:tcPr>
          <w:p w14:paraId="60750AFE"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3</w:t>
            </w:r>
          </w:p>
        </w:tc>
        <w:tc>
          <w:tcPr>
            <w:tcW w:w="1696" w:type="dxa"/>
            <w:shd w:val="clear" w:color="auto" w:fill="FFFFFF" w:themeFill="background1"/>
            <w:tcMar>
              <w:top w:w="0" w:type="dxa"/>
              <w:left w:w="108" w:type="dxa"/>
              <w:bottom w:w="0" w:type="dxa"/>
              <w:right w:w="108" w:type="dxa"/>
            </w:tcMar>
          </w:tcPr>
          <w:p w14:paraId="05339136"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APP/B</w:t>
            </w:r>
          </w:p>
        </w:tc>
        <w:tc>
          <w:tcPr>
            <w:tcW w:w="567" w:type="dxa"/>
            <w:shd w:val="clear" w:color="auto" w:fill="FFFFFF" w:themeFill="background1"/>
            <w:tcMar>
              <w:top w:w="0" w:type="dxa"/>
              <w:left w:w="108" w:type="dxa"/>
              <w:bottom w:w="0" w:type="dxa"/>
              <w:right w:w="108" w:type="dxa"/>
            </w:tcMar>
          </w:tcPr>
          <w:p w14:paraId="26567D6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w:t>
            </w:r>
          </w:p>
        </w:tc>
        <w:tc>
          <w:tcPr>
            <w:tcW w:w="850" w:type="dxa"/>
            <w:shd w:val="clear" w:color="auto" w:fill="FFFFFF" w:themeFill="background1"/>
            <w:tcMar>
              <w:top w:w="0" w:type="dxa"/>
              <w:left w:w="108" w:type="dxa"/>
              <w:bottom w:w="0" w:type="dxa"/>
              <w:right w:w="108" w:type="dxa"/>
            </w:tcMar>
          </w:tcPr>
          <w:p w14:paraId="5F16193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1,27%</w:t>
            </w:r>
          </w:p>
        </w:tc>
        <w:tc>
          <w:tcPr>
            <w:tcW w:w="851" w:type="dxa"/>
            <w:shd w:val="clear" w:color="auto" w:fill="FFFFFF" w:themeFill="background1"/>
            <w:tcMar>
              <w:top w:w="0" w:type="dxa"/>
              <w:left w:w="108" w:type="dxa"/>
              <w:bottom w:w="0" w:type="dxa"/>
              <w:right w:w="108" w:type="dxa"/>
            </w:tcMar>
          </w:tcPr>
          <w:p w14:paraId="6DD1EDF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w:t>
            </w:r>
          </w:p>
        </w:tc>
        <w:tc>
          <w:tcPr>
            <w:tcW w:w="992" w:type="dxa"/>
            <w:shd w:val="clear" w:color="auto" w:fill="FFFFFF" w:themeFill="background1"/>
            <w:tcMar>
              <w:top w:w="0" w:type="dxa"/>
              <w:left w:w="108" w:type="dxa"/>
              <w:bottom w:w="0" w:type="dxa"/>
              <w:right w:w="108" w:type="dxa"/>
            </w:tcMar>
          </w:tcPr>
          <w:p w14:paraId="29A2927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0,61%</w:t>
            </w:r>
          </w:p>
        </w:tc>
        <w:tc>
          <w:tcPr>
            <w:tcW w:w="709" w:type="dxa"/>
            <w:shd w:val="clear" w:color="auto" w:fill="FFFFFF" w:themeFill="background1"/>
            <w:tcMar>
              <w:top w:w="0" w:type="dxa"/>
              <w:left w:w="108" w:type="dxa"/>
              <w:bottom w:w="0" w:type="dxa"/>
              <w:right w:w="108" w:type="dxa"/>
            </w:tcMar>
          </w:tcPr>
          <w:p w14:paraId="5CD9BD9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1134" w:type="dxa"/>
            <w:shd w:val="clear" w:color="auto" w:fill="FFFFFF" w:themeFill="background1"/>
            <w:tcMar>
              <w:top w:w="0" w:type="dxa"/>
              <w:left w:w="108" w:type="dxa"/>
              <w:bottom w:w="0" w:type="dxa"/>
              <w:right w:w="108" w:type="dxa"/>
            </w:tcMar>
          </w:tcPr>
          <w:p w14:paraId="284A317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4157F77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66BCB51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0" w:type="dxa"/>
            <w:shd w:val="clear" w:color="auto" w:fill="FFFFFF" w:themeFill="background1"/>
            <w:tcMar>
              <w:top w:w="0" w:type="dxa"/>
              <w:left w:w="108" w:type="dxa"/>
              <w:bottom w:w="0" w:type="dxa"/>
              <w:right w:w="108" w:type="dxa"/>
            </w:tcMar>
          </w:tcPr>
          <w:p w14:paraId="707D1E8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0B09310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8" w:type="dxa"/>
            <w:shd w:val="clear" w:color="auto" w:fill="FFFFFF" w:themeFill="background1"/>
            <w:tcMar>
              <w:top w:w="0" w:type="dxa"/>
              <w:left w:w="108" w:type="dxa"/>
              <w:bottom w:w="0" w:type="dxa"/>
              <w:right w:w="108" w:type="dxa"/>
            </w:tcMar>
          </w:tcPr>
          <w:p w14:paraId="7AABC46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2A9B310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425" w:type="dxa"/>
            <w:shd w:val="clear" w:color="auto" w:fill="FFFFFF" w:themeFill="background1"/>
            <w:tcMar>
              <w:top w:w="0" w:type="dxa"/>
              <w:left w:w="108" w:type="dxa"/>
              <w:bottom w:w="0" w:type="dxa"/>
              <w:right w:w="108" w:type="dxa"/>
            </w:tcMar>
          </w:tcPr>
          <w:p w14:paraId="1EB4088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7BB8AF2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567" w:type="dxa"/>
            <w:shd w:val="clear" w:color="auto" w:fill="FFFFFF" w:themeFill="background1"/>
            <w:tcMar>
              <w:top w:w="0" w:type="dxa"/>
              <w:left w:w="108" w:type="dxa"/>
              <w:bottom w:w="0" w:type="dxa"/>
              <w:right w:w="108" w:type="dxa"/>
            </w:tcMar>
          </w:tcPr>
          <w:p w14:paraId="7723A81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1" w:type="dxa"/>
            <w:shd w:val="clear" w:color="auto" w:fill="FFFFFF" w:themeFill="background1"/>
            <w:tcMar>
              <w:top w:w="0" w:type="dxa"/>
              <w:left w:w="108" w:type="dxa"/>
              <w:bottom w:w="0" w:type="dxa"/>
              <w:right w:w="108" w:type="dxa"/>
            </w:tcMar>
          </w:tcPr>
          <w:p w14:paraId="2DF4FE4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r>
      <w:tr w:rsidR="00284822" w14:paraId="28A86523" w14:textId="77777777">
        <w:trPr>
          <w:trHeight w:val="399"/>
          <w:jc w:val="center"/>
        </w:trPr>
        <w:tc>
          <w:tcPr>
            <w:tcW w:w="851" w:type="dxa"/>
            <w:shd w:val="clear" w:color="auto" w:fill="FFFFFF" w:themeFill="background1"/>
            <w:noWrap/>
            <w:tcMar>
              <w:top w:w="0" w:type="dxa"/>
              <w:left w:w="108" w:type="dxa"/>
              <w:bottom w:w="0" w:type="dxa"/>
              <w:right w:w="108" w:type="dxa"/>
            </w:tcMar>
          </w:tcPr>
          <w:p w14:paraId="6C8365CE"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4</w:t>
            </w:r>
          </w:p>
        </w:tc>
        <w:tc>
          <w:tcPr>
            <w:tcW w:w="1696" w:type="dxa"/>
            <w:shd w:val="clear" w:color="auto" w:fill="FFFFFF" w:themeFill="background1"/>
            <w:tcMar>
              <w:top w:w="0" w:type="dxa"/>
              <w:left w:w="108" w:type="dxa"/>
              <w:bottom w:w="0" w:type="dxa"/>
              <w:right w:w="108" w:type="dxa"/>
            </w:tcMar>
          </w:tcPr>
          <w:p w14:paraId="07E586C0"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ATD</w:t>
            </w:r>
          </w:p>
        </w:tc>
        <w:tc>
          <w:tcPr>
            <w:tcW w:w="567" w:type="dxa"/>
            <w:shd w:val="clear" w:color="auto" w:fill="FFFFFF" w:themeFill="background1"/>
            <w:tcMar>
              <w:top w:w="0" w:type="dxa"/>
              <w:left w:w="108" w:type="dxa"/>
              <w:bottom w:w="0" w:type="dxa"/>
              <w:right w:w="108" w:type="dxa"/>
            </w:tcMar>
          </w:tcPr>
          <w:p w14:paraId="0B6F316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43C79C2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1" w:type="dxa"/>
            <w:shd w:val="clear" w:color="auto" w:fill="FFFFFF" w:themeFill="background1"/>
            <w:tcMar>
              <w:top w:w="0" w:type="dxa"/>
              <w:left w:w="108" w:type="dxa"/>
              <w:bottom w:w="0" w:type="dxa"/>
              <w:right w:w="108" w:type="dxa"/>
            </w:tcMar>
          </w:tcPr>
          <w:p w14:paraId="5BBE6C8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3356EB4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288E153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1134" w:type="dxa"/>
            <w:shd w:val="clear" w:color="auto" w:fill="FFFFFF" w:themeFill="background1"/>
            <w:tcMar>
              <w:top w:w="0" w:type="dxa"/>
              <w:left w:w="108" w:type="dxa"/>
              <w:bottom w:w="0" w:type="dxa"/>
              <w:right w:w="108" w:type="dxa"/>
            </w:tcMar>
          </w:tcPr>
          <w:p w14:paraId="6DD168F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0,63%</w:t>
            </w:r>
          </w:p>
        </w:tc>
        <w:tc>
          <w:tcPr>
            <w:tcW w:w="709" w:type="dxa"/>
            <w:shd w:val="clear" w:color="auto" w:fill="FFFFFF" w:themeFill="background1"/>
            <w:tcMar>
              <w:top w:w="0" w:type="dxa"/>
              <w:left w:w="108" w:type="dxa"/>
              <w:bottom w:w="0" w:type="dxa"/>
              <w:right w:w="108" w:type="dxa"/>
            </w:tcMar>
          </w:tcPr>
          <w:p w14:paraId="15B511E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2" w:type="dxa"/>
            <w:shd w:val="clear" w:color="auto" w:fill="FFFFFF" w:themeFill="background1"/>
            <w:tcMar>
              <w:top w:w="0" w:type="dxa"/>
              <w:left w:w="108" w:type="dxa"/>
              <w:bottom w:w="0" w:type="dxa"/>
              <w:right w:w="108" w:type="dxa"/>
            </w:tcMar>
          </w:tcPr>
          <w:p w14:paraId="5E7D28C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0,51%</w:t>
            </w:r>
          </w:p>
        </w:tc>
        <w:tc>
          <w:tcPr>
            <w:tcW w:w="850" w:type="dxa"/>
            <w:shd w:val="clear" w:color="auto" w:fill="FFFFFF" w:themeFill="background1"/>
            <w:tcMar>
              <w:top w:w="0" w:type="dxa"/>
              <w:left w:w="108" w:type="dxa"/>
              <w:bottom w:w="0" w:type="dxa"/>
              <w:right w:w="108" w:type="dxa"/>
            </w:tcMar>
          </w:tcPr>
          <w:p w14:paraId="0292544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42B7F68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8" w:type="dxa"/>
            <w:shd w:val="clear" w:color="auto" w:fill="FFFFFF" w:themeFill="background1"/>
            <w:tcMar>
              <w:top w:w="0" w:type="dxa"/>
              <w:left w:w="108" w:type="dxa"/>
              <w:bottom w:w="0" w:type="dxa"/>
              <w:right w:w="108" w:type="dxa"/>
            </w:tcMar>
          </w:tcPr>
          <w:p w14:paraId="267A08A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32AB4E4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425" w:type="dxa"/>
            <w:shd w:val="clear" w:color="auto" w:fill="FFFFFF" w:themeFill="background1"/>
            <w:tcMar>
              <w:top w:w="0" w:type="dxa"/>
              <w:left w:w="108" w:type="dxa"/>
              <w:bottom w:w="0" w:type="dxa"/>
              <w:right w:w="108" w:type="dxa"/>
            </w:tcMar>
          </w:tcPr>
          <w:p w14:paraId="70E5EE0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3FEA4BC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567" w:type="dxa"/>
            <w:shd w:val="clear" w:color="auto" w:fill="FFFFFF" w:themeFill="background1"/>
            <w:tcMar>
              <w:top w:w="0" w:type="dxa"/>
              <w:left w:w="108" w:type="dxa"/>
              <w:bottom w:w="0" w:type="dxa"/>
              <w:right w:w="108" w:type="dxa"/>
            </w:tcMar>
          </w:tcPr>
          <w:p w14:paraId="1A69F03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1" w:type="dxa"/>
            <w:shd w:val="clear" w:color="auto" w:fill="FFFFFF" w:themeFill="background1"/>
            <w:tcMar>
              <w:top w:w="0" w:type="dxa"/>
              <w:left w:w="108" w:type="dxa"/>
              <w:bottom w:w="0" w:type="dxa"/>
              <w:right w:w="108" w:type="dxa"/>
            </w:tcMar>
          </w:tcPr>
          <w:p w14:paraId="6D31C03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r>
      <w:tr w:rsidR="00284822" w14:paraId="4A8E819C" w14:textId="77777777">
        <w:trPr>
          <w:trHeight w:val="391"/>
          <w:jc w:val="center"/>
        </w:trPr>
        <w:tc>
          <w:tcPr>
            <w:tcW w:w="851" w:type="dxa"/>
            <w:shd w:val="clear" w:color="auto" w:fill="FFFFFF" w:themeFill="background1"/>
            <w:noWrap/>
            <w:tcMar>
              <w:top w:w="0" w:type="dxa"/>
              <w:left w:w="108" w:type="dxa"/>
              <w:bottom w:w="0" w:type="dxa"/>
              <w:right w:w="108" w:type="dxa"/>
            </w:tcMar>
          </w:tcPr>
          <w:p w14:paraId="5F3CB120"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5</w:t>
            </w:r>
          </w:p>
        </w:tc>
        <w:tc>
          <w:tcPr>
            <w:tcW w:w="1696" w:type="dxa"/>
            <w:shd w:val="clear" w:color="auto" w:fill="FFFFFF" w:themeFill="background1"/>
            <w:tcMar>
              <w:top w:w="0" w:type="dxa"/>
              <w:left w:w="108" w:type="dxa"/>
              <w:bottom w:w="0" w:type="dxa"/>
              <w:right w:w="108" w:type="dxa"/>
            </w:tcMar>
          </w:tcPr>
          <w:p w14:paraId="3664086B"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CDP</w:t>
            </w:r>
          </w:p>
        </w:tc>
        <w:tc>
          <w:tcPr>
            <w:tcW w:w="567" w:type="dxa"/>
            <w:shd w:val="clear" w:color="auto" w:fill="FFFFFF" w:themeFill="background1"/>
            <w:tcMar>
              <w:top w:w="0" w:type="dxa"/>
              <w:left w:w="108" w:type="dxa"/>
              <w:bottom w:w="0" w:type="dxa"/>
              <w:right w:w="108" w:type="dxa"/>
            </w:tcMar>
          </w:tcPr>
          <w:p w14:paraId="36A3CB0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34</w:t>
            </w:r>
          </w:p>
        </w:tc>
        <w:tc>
          <w:tcPr>
            <w:tcW w:w="850" w:type="dxa"/>
            <w:shd w:val="clear" w:color="auto" w:fill="FFFFFF" w:themeFill="background1"/>
            <w:tcMar>
              <w:top w:w="0" w:type="dxa"/>
              <w:left w:w="108" w:type="dxa"/>
              <w:bottom w:w="0" w:type="dxa"/>
              <w:right w:w="108" w:type="dxa"/>
            </w:tcMar>
          </w:tcPr>
          <w:p w14:paraId="44AFF94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21,66%</w:t>
            </w:r>
          </w:p>
        </w:tc>
        <w:tc>
          <w:tcPr>
            <w:tcW w:w="851" w:type="dxa"/>
            <w:shd w:val="clear" w:color="auto" w:fill="FFFFFF" w:themeFill="background1"/>
            <w:tcMar>
              <w:top w:w="0" w:type="dxa"/>
              <w:left w:w="108" w:type="dxa"/>
              <w:bottom w:w="0" w:type="dxa"/>
              <w:right w:w="108" w:type="dxa"/>
            </w:tcMar>
          </w:tcPr>
          <w:p w14:paraId="2DFABB5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69</w:t>
            </w:r>
          </w:p>
        </w:tc>
        <w:tc>
          <w:tcPr>
            <w:tcW w:w="992" w:type="dxa"/>
            <w:shd w:val="clear" w:color="auto" w:fill="FFFFFF" w:themeFill="background1"/>
            <w:tcMar>
              <w:top w:w="0" w:type="dxa"/>
              <w:left w:w="108" w:type="dxa"/>
              <w:bottom w:w="0" w:type="dxa"/>
              <w:right w:w="108" w:type="dxa"/>
            </w:tcMar>
          </w:tcPr>
          <w:p w14:paraId="06F1A1F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20,91%</w:t>
            </w:r>
          </w:p>
        </w:tc>
        <w:tc>
          <w:tcPr>
            <w:tcW w:w="709" w:type="dxa"/>
            <w:shd w:val="clear" w:color="auto" w:fill="FFFFFF" w:themeFill="background1"/>
            <w:tcMar>
              <w:top w:w="0" w:type="dxa"/>
              <w:left w:w="108" w:type="dxa"/>
              <w:bottom w:w="0" w:type="dxa"/>
              <w:right w:w="108" w:type="dxa"/>
            </w:tcMar>
          </w:tcPr>
          <w:p w14:paraId="7EDF64C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17</w:t>
            </w:r>
          </w:p>
        </w:tc>
        <w:tc>
          <w:tcPr>
            <w:tcW w:w="1134" w:type="dxa"/>
            <w:shd w:val="clear" w:color="auto" w:fill="FFFFFF" w:themeFill="background1"/>
            <w:tcMar>
              <w:top w:w="0" w:type="dxa"/>
              <w:left w:w="108" w:type="dxa"/>
              <w:bottom w:w="0" w:type="dxa"/>
              <w:right w:w="108" w:type="dxa"/>
            </w:tcMar>
          </w:tcPr>
          <w:p w14:paraId="5B29531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10,76%</w:t>
            </w:r>
          </w:p>
        </w:tc>
        <w:tc>
          <w:tcPr>
            <w:tcW w:w="709" w:type="dxa"/>
            <w:shd w:val="clear" w:color="auto" w:fill="FFFFFF" w:themeFill="background1"/>
            <w:tcMar>
              <w:top w:w="0" w:type="dxa"/>
              <w:left w:w="108" w:type="dxa"/>
              <w:bottom w:w="0" w:type="dxa"/>
              <w:right w:w="108" w:type="dxa"/>
            </w:tcMar>
          </w:tcPr>
          <w:p w14:paraId="5B66B4C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15</w:t>
            </w:r>
          </w:p>
        </w:tc>
        <w:tc>
          <w:tcPr>
            <w:tcW w:w="992" w:type="dxa"/>
            <w:shd w:val="clear" w:color="auto" w:fill="FFFFFF" w:themeFill="background1"/>
            <w:tcMar>
              <w:top w:w="0" w:type="dxa"/>
              <w:left w:w="108" w:type="dxa"/>
              <w:bottom w:w="0" w:type="dxa"/>
              <w:right w:w="108" w:type="dxa"/>
            </w:tcMar>
          </w:tcPr>
          <w:p w14:paraId="0E326BC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13,00%</w:t>
            </w:r>
          </w:p>
        </w:tc>
        <w:tc>
          <w:tcPr>
            <w:tcW w:w="850" w:type="dxa"/>
            <w:shd w:val="clear" w:color="auto" w:fill="FFFFFF" w:themeFill="background1"/>
            <w:tcMar>
              <w:top w:w="0" w:type="dxa"/>
              <w:left w:w="108" w:type="dxa"/>
              <w:bottom w:w="0" w:type="dxa"/>
              <w:right w:w="108" w:type="dxa"/>
            </w:tcMar>
          </w:tcPr>
          <w:p w14:paraId="3F5D3BD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27</w:t>
            </w:r>
          </w:p>
        </w:tc>
        <w:tc>
          <w:tcPr>
            <w:tcW w:w="993" w:type="dxa"/>
            <w:shd w:val="clear" w:color="auto" w:fill="FFFFFF" w:themeFill="background1"/>
            <w:tcMar>
              <w:top w:w="0" w:type="dxa"/>
              <w:left w:w="108" w:type="dxa"/>
              <w:bottom w:w="0" w:type="dxa"/>
              <w:right w:w="108" w:type="dxa"/>
            </w:tcMar>
          </w:tcPr>
          <w:p w14:paraId="76CE31D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23,89%</w:t>
            </w:r>
          </w:p>
        </w:tc>
        <w:tc>
          <w:tcPr>
            <w:tcW w:w="708" w:type="dxa"/>
            <w:shd w:val="clear" w:color="auto" w:fill="FFFFFF" w:themeFill="background1"/>
            <w:tcMar>
              <w:top w:w="0" w:type="dxa"/>
              <w:left w:w="108" w:type="dxa"/>
              <w:bottom w:w="0" w:type="dxa"/>
              <w:right w:w="108" w:type="dxa"/>
            </w:tcMar>
          </w:tcPr>
          <w:p w14:paraId="5F5B443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43</w:t>
            </w:r>
          </w:p>
        </w:tc>
        <w:tc>
          <w:tcPr>
            <w:tcW w:w="993" w:type="dxa"/>
            <w:shd w:val="clear" w:color="auto" w:fill="FFFFFF" w:themeFill="background1"/>
            <w:tcMar>
              <w:top w:w="0" w:type="dxa"/>
              <w:left w:w="108" w:type="dxa"/>
              <w:bottom w:w="0" w:type="dxa"/>
              <w:right w:w="108" w:type="dxa"/>
            </w:tcMar>
          </w:tcPr>
          <w:p w14:paraId="4B560CD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24,29%</w:t>
            </w:r>
          </w:p>
        </w:tc>
        <w:tc>
          <w:tcPr>
            <w:tcW w:w="425" w:type="dxa"/>
            <w:shd w:val="clear" w:color="auto" w:fill="FFFFFF" w:themeFill="background1"/>
            <w:tcMar>
              <w:top w:w="0" w:type="dxa"/>
              <w:left w:w="108" w:type="dxa"/>
              <w:bottom w:w="0" w:type="dxa"/>
              <w:right w:w="108" w:type="dxa"/>
            </w:tcMar>
          </w:tcPr>
          <w:p w14:paraId="3F365EE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10</w:t>
            </w:r>
          </w:p>
        </w:tc>
        <w:tc>
          <w:tcPr>
            <w:tcW w:w="850" w:type="dxa"/>
            <w:shd w:val="clear" w:color="auto" w:fill="FFFFFF" w:themeFill="background1"/>
            <w:tcMar>
              <w:top w:w="0" w:type="dxa"/>
              <w:left w:w="108" w:type="dxa"/>
              <w:bottom w:w="0" w:type="dxa"/>
              <w:right w:w="108" w:type="dxa"/>
            </w:tcMar>
          </w:tcPr>
          <w:p w14:paraId="23E4A25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20,41%</w:t>
            </w:r>
          </w:p>
        </w:tc>
        <w:tc>
          <w:tcPr>
            <w:tcW w:w="567" w:type="dxa"/>
            <w:shd w:val="clear" w:color="auto" w:fill="FFFFFF" w:themeFill="background1"/>
            <w:tcMar>
              <w:top w:w="0" w:type="dxa"/>
              <w:left w:w="108" w:type="dxa"/>
              <w:bottom w:w="0" w:type="dxa"/>
              <w:right w:w="108" w:type="dxa"/>
            </w:tcMar>
          </w:tcPr>
          <w:p w14:paraId="15356B5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14</w:t>
            </w:r>
          </w:p>
        </w:tc>
        <w:tc>
          <w:tcPr>
            <w:tcW w:w="851" w:type="dxa"/>
            <w:shd w:val="clear" w:color="auto" w:fill="FFFFFF" w:themeFill="background1"/>
            <w:tcMar>
              <w:top w:w="0" w:type="dxa"/>
              <w:left w:w="108" w:type="dxa"/>
              <w:bottom w:w="0" w:type="dxa"/>
              <w:right w:w="108" w:type="dxa"/>
            </w:tcMar>
          </w:tcPr>
          <w:p w14:paraId="3D6443E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19,72%</w:t>
            </w:r>
          </w:p>
        </w:tc>
      </w:tr>
      <w:tr w:rsidR="00284822" w14:paraId="6D721F96" w14:textId="77777777">
        <w:trPr>
          <w:trHeight w:val="70"/>
          <w:jc w:val="center"/>
        </w:trPr>
        <w:tc>
          <w:tcPr>
            <w:tcW w:w="851" w:type="dxa"/>
            <w:shd w:val="clear" w:color="auto" w:fill="FFFFFF" w:themeFill="background1"/>
            <w:noWrap/>
            <w:tcMar>
              <w:top w:w="0" w:type="dxa"/>
              <w:left w:w="108" w:type="dxa"/>
              <w:bottom w:w="0" w:type="dxa"/>
              <w:right w:w="108" w:type="dxa"/>
            </w:tcMar>
          </w:tcPr>
          <w:p w14:paraId="580F2572"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6</w:t>
            </w:r>
          </w:p>
        </w:tc>
        <w:tc>
          <w:tcPr>
            <w:tcW w:w="1696" w:type="dxa"/>
            <w:shd w:val="clear" w:color="auto" w:fill="FFFFFF" w:themeFill="background1"/>
            <w:tcMar>
              <w:top w:w="0" w:type="dxa"/>
              <w:left w:w="108" w:type="dxa"/>
              <w:bottom w:w="0" w:type="dxa"/>
              <w:right w:w="108" w:type="dxa"/>
            </w:tcMar>
          </w:tcPr>
          <w:p w14:paraId="581C7635"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CRP</w:t>
            </w:r>
          </w:p>
        </w:tc>
        <w:tc>
          <w:tcPr>
            <w:tcW w:w="567" w:type="dxa"/>
            <w:shd w:val="clear" w:color="auto" w:fill="FFFFFF" w:themeFill="background1"/>
            <w:tcMar>
              <w:top w:w="0" w:type="dxa"/>
              <w:left w:w="108" w:type="dxa"/>
              <w:bottom w:w="0" w:type="dxa"/>
              <w:right w:w="108" w:type="dxa"/>
            </w:tcMar>
          </w:tcPr>
          <w:p w14:paraId="56EFA96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43424EE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1" w:type="dxa"/>
            <w:shd w:val="clear" w:color="auto" w:fill="FFFFFF" w:themeFill="background1"/>
            <w:tcMar>
              <w:top w:w="0" w:type="dxa"/>
              <w:left w:w="108" w:type="dxa"/>
              <w:bottom w:w="0" w:type="dxa"/>
              <w:right w:w="108" w:type="dxa"/>
            </w:tcMar>
          </w:tcPr>
          <w:p w14:paraId="61D8B04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50EF89E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108960C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1134" w:type="dxa"/>
            <w:shd w:val="clear" w:color="auto" w:fill="FFFFFF" w:themeFill="background1"/>
            <w:tcMar>
              <w:top w:w="0" w:type="dxa"/>
              <w:left w:w="108" w:type="dxa"/>
              <w:bottom w:w="0" w:type="dxa"/>
              <w:right w:w="108" w:type="dxa"/>
            </w:tcMar>
          </w:tcPr>
          <w:p w14:paraId="01522BD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0,63%</w:t>
            </w:r>
          </w:p>
        </w:tc>
        <w:tc>
          <w:tcPr>
            <w:tcW w:w="709" w:type="dxa"/>
            <w:shd w:val="clear" w:color="auto" w:fill="FFFFFF" w:themeFill="background1"/>
            <w:tcMar>
              <w:top w:w="0" w:type="dxa"/>
              <w:left w:w="108" w:type="dxa"/>
              <w:bottom w:w="0" w:type="dxa"/>
              <w:right w:w="108" w:type="dxa"/>
            </w:tcMar>
          </w:tcPr>
          <w:p w14:paraId="48690C3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2" w:type="dxa"/>
            <w:shd w:val="clear" w:color="auto" w:fill="FFFFFF" w:themeFill="background1"/>
            <w:tcMar>
              <w:top w:w="0" w:type="dxa"/>
              <w:left w:w="108" w:type="dxa"/>
              <w:bottom w:w="0" w:type="dxa"/>
              <w:right w:w="108" w:type="dxa"/>
            </w:tcMar>
          </w:tcPr>
          <w:p w14:paraId="0106281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0,51%</w:t>
            </w:r>
          </w:p>
        </w:tc>
        <w:tc>
          <w:tcPr>
            <w:tcW w:w="850" w:type="dxa"/>
            <w:shd w:val="clear" w:color="auto" w:fill="FFFFFF" w:themeFill="background1"/>
            <w:tcMar>
              <w:top w:w="0" w:type="dxa"/>
              <w:left w:w="108" w:type="dxa"/>
              <w:bottom w:w="0" w:type="dxa"/>
              <w:right w:w="108" w:type="dxa"/>
            </w:tcMar>
          </w:tcPr>
          <w:p w14:paraId="643BFF2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6CB9238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8" w:type="dxa"/>
            <w:shd w:val="clear" w:color="auto" w:fill="FFFFFF" w:themeFill="background1"/>
            <w:tcMar>
              <w:top w:w="0" w:type="dxa"/>
              <w:left w:w="108" w:type="dxa"/>
              <w:bottom w:w="0" w:type="dxa"/>
              <w:right w:w="108" w:type="dxa"/>
            </w:tcMar>
          </w:tcPr>
          <w:p w14:paraId="1594267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6F938C6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425" w:type="dxa"/>
            <w:shd w:val="clear" w:color="auto" w:fill="FFFFFF" w:themeFill="background1"/>
            <w:tcMar>
              <w:top w:w="0" w:type="dxa"/>
              <w:left w:w="108" w:type="dxa"/>
              <w:bottom w:w="0" w:type="dxa"/>
              <w:right w:w="108" w:type="dxa"/>
            </w:tcMar>
          </w:tcPr>
          <w:p w14:paraId="0A7E0C9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20B6715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567" w:type="dxa"/>
            <w:shd w:val="clear" w:color="auto" w:fill="FFFFFF" w:themeFill="background1"/>
            <w:tcMar>
              <w:top w:w="0" w:type="dxa"/>
              <w:left w:w="108" w:type="dxa"/>
              <w:bottom w:w="0" w:type="dxa"/>
              <w:right w:w="108" w:type="dxa"/>
            </w:tcMar>
          </w:tcPr>
          <w:p w14:paraId="1227316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1" w:type="dxa"/>
            <w:shd w:val="clear" w:color="auto" w:fill="FFFFFF" w:themeFill="background1"/>
            <w:tcMar>
              <w:top w:w="0" w:type="dxa"/>
              <w:left w:w="108" w:type="dxa"/>
              <w:bottom w:w="0" w:type="dxa"/>
              <w:right w:w="108" w:type="dxa"/>
            </w:tcMar>
          </w:tcPr>
          <w:p w14:paraId="049F46F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r>
      <w:tr w:rsidR="00284822" w14:paraId="431A82A2" w14:textId="77777777">
        <w:trPr>
          <w:trHeight w:val="381"/>
          <w:jc w:val="center"/>
        </w:trPr>
        <w:tc>
          <w:tcPr>
            <w:tcW w:w="851" w:type="dxa"/>
            <w:shd w:val="clear" w:color="auto" w:fill="FFFFFF" w:themeFill="background1"/>
            <w:noWrap/>
            <w:tcMar>
              <w:top w:w="0" w:type="dxa"/>
              <w:left w:w="108" w:type="dxa"/>
              <w:bottom w:w="0" w:type="dxa"/>
              <w:right w:w="108" w:type="dxa"/>
            </w:tcMar>
          </w:tcPr>
          <w:p w14:paraId="4E329DA0"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7</w:t>
            </w:r>
          </w:p>
        </w:tc>
        <w:tc>
          <w:tcPr>
            <w:tcW w:w="1696" w:type="dxa"/>
            <w:shd w:val="clear" w:color="auto" w:fill="FFFFFF" w:themeFill="background1"/>
            <w:tcMar>
              <w:top w:w="0" w:type="dxa"/>
              <w:left w:w="108" w:type="dxa"/>
              <w:bottom w:w="0" w:type="dxa"/>
              <w:right w:w="108" w:type="dxa"/>
            </w:tcMar>
          </w:tcPr>
          <w:p w14:paraId="06D5DEC4"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FA</w:t>
            </w:r>
          </w:p>
        </w:tc>
        <w:tc>
          <w:tcPr>
            <w:tcW w:w="567" w:type="dxa"/>
            <w:shd w:val="clear" w:color="auto" w:fill="FFFFFF" w:themeFill="background1"/>
            <w:tcMar>
              <w:top w:w="0" w:type="dxa"/>
              <w:left w:w="108" w:type="dxa"/>
              <w:bottom w:w="0" w:type="dxa"/>
              <w:right w:w="108" w:type="dxa"/>
            </w:tcMar>
          </w:tcPr>
          <w:p w14:paraId="55CFBE4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6</w:t>
            </w:r>
          </w:p>
        </w:tc>
        <w:tc>
          <w:tcPr>
            <w:tcW w:w="850" w:type="dxa"/>
            <w:shd w:val="clear" w:color="auto" w:fill="FFFFFF" w:themeFill="background1"/>
            <w:tcMar>
              <w:top w:w="0" w:type="dxa"/>
              <w:left w:w="108" w:type="dxa"/>
              <w:bottom w:w="0" w:type="dxa"/>
              <w:right w:w="108" w:type="dxa"/>
            </w:tcMar>
          </w:tcPr>
          <w:p w14:paraId="1DC4533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3,82%</w:t>
            </w:r>
          </w:p>
        </w:tc>
        <w:tc>
          <w:tcPr>
            <w:tcW w:w="851" w:type="dxa"/>
            <w:shd w:val="clear" w:color="auto" w:fill="FFFFFF" w:themeFill="background1"/>
            <w:tcMar>
              <w:top w:w="0" w:type="dxa"/>
              <w:left w:w="108" w:type="dxa"/>
              <w:bottom w:w="0" w:type="dxa"/>
              <w:right w:w="108" w:type="dxa"/>
            </w:tcMar>
          </w:tcPr>
          <w:p w14:paraId="0FB8094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7</w:t>
            </w:r>
          </w:p>
        </w:tc>
        <w:tc>
          <w:tcPr>
            <w:tcW w:w="992" w:type="dxa"/>
            <w:shd w:val="clear" w:color="auto" w:fill="FFFFFF" w:themeFill="background1"/>
            <w:tcMar>
              <w:top w:w="0" w:type="dxa"/>
              <w:left w:w="108" w:type="dxa"/>
              <w:bottom w:w="0" w:type="dxa"/>
              <w:right w:w="108" w:type="dxa"/>
            </w:tcMar>
          </w:tcPr>
          <w:p w14:paraId="2249463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2,12%</w:t>
            </w:r>
          </w:p>
        </w:tc>
        <w:tc>
          <w:tcPr>
            <w:tcW w:w="709" w:type="dxa"/>
            <w:shd w:val="clear" w:color="auto" w:fill="FFFFFF" w:themeFill="background1"/>
            <w:tcMar>
              <w:top w:w="0" w:type="dxa"/>
              <w:left w:w="108" w:type="dxa"/>
              <w:bottom w:w="0" w:type="dxa"/>
              <w:right w:w="108" w:type="dxa"/>
            </w:tcMar>
          </w:tcPr>
          <w:p w14:paraId="70172F6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9</w:t>
            </w:r>
          </w:p>
        </w:tc>
        <w:tc>
          <w:tcPr>
            <w:tcW w:w="1134" w:type="dxa"/>
            <w:shd w:val="clear" w:color="auto" w:fill="FFFFFF" w:themeFill="background1"/>
            <w:tcMar>
              <w:top w:w="0" w:type="dxa"/>
              <w:left w:w="108" w:type="dxa"/>
              <w:bottom w:w="0" w:type="dxa"/>
              <w:right w:w="108" w:type="dxa"/>
            </w:tcMar>
          </w:tcPr>
          <w:p w14:paraId="4483501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5,70%</w:t>
            </w:r>
          </w:p>
        </w:tc>
        <w:tc>
          <w:tcPr>
            <w:tcW w:w="709" w:type="dxa"/>
            <w:shd w:val="clear" w:color="auto" w:fill="FFFFFF" w:themeFill="background1"/>
            <w:tcMar>
              <w:top w:w="0" w:type="dxa"/>
              <w:left w:w="108" w:type="dxa"/>
              <w:bottom w:w="0" w:type="dxa"/>
              <w:right w:w="108" w:type="dxa"/>
            </w:tcMar>
          </w:tcPr>
          <w:p w14:paraId="7CA3BCE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10</w:t>
            </w:r>
          </w:p>
        </w:tc>
        <w:tc>
          <w:tcPr>
            <w:tcW w:w="992" w:type="dxa"/>
            <w:shd w:val="clear" w:color="auto" w:fill="FFFFFF" w:themeFill="background1"/>
            <w:tcMar>
              <w:top w:w="0" w:type="dxa"/>
              <w:left w:w="108" w:type="dxa"/>
              <w:bottom w:w="0" w:type="dxa"/>
              <w:right w:w="108" w:type="dxa"/>
            </w:tcMar>
          </w:tcPr>
          <w:p w14:paraId="30928EC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5,05%</w:t>
            </w:r>
          </w:p>
        </w:tc>
        <w:tc>
          <w:tcPr>
            <w:tcW w:w="850" w:type="dxa"/>
            <w:shd w:val="clear" w:color="auto" w:fill="FFFFFF" w:themeFill="background1"/>
            <w:tcMar>
              <w:top w:w="0" w:type="dxa"/>
              <w:left w:w="108" w:type="dxa"/>
              <w:bottom w:w="0" w:type="dxa"/>
              <w:right w:w="108" w:type="dxa"/>
            </w:tcMar>
          </w:tcPr>
          <w:p w14:paraId="017C769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5</w:t>
            </w:r>
          </w:p>
        </w:tc>
        <w:tc>
          <w:tcPr>
            <w:tcW w:w="993" w:type="dxa"/>
            <w:shd w:val="clear" w:color="auto" w:fill="FFFFFF" w:themeFill="background1"/>
            <w:tcMar>
              <w:top w:w="0" w:type="dxa"/>
              <w:left w:w="108" w:type="dxa"/>
              <w:bottom w:w="0" w:type="dxa"/>
              <w:right w:w="108" w:type="dxa"/>
            </w:tcMar>
          </w:tcPr>
          <w:p w14:paraId="1EDE097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4,42%</w:t>
            </w:r>
          </w:p>
        </w:tc>
        <w:tc>
          <w:tcPr>
            <w:tcW w:w="708" w:type="dxa"/>
            <w:shd w:val="clear" w:color="auto" w:fill="FFFFFF" w:themeFill="background1"/>
            <w:tcMar>
              <w:top w:w="0" w:type="dxa"/>
              <w:left w:w="108" w:type="dxa"/>
              <w:bottom w:w="0" w:type="dxa"/>
              <w:right w:w="108" w:type="dxa"/>
            </w:tcMar>
          </w:tcPr>
          <w:p w14:paraId="471F1F0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6</w:t>
            </w:r>
          </w:p>
        </w:tc>
        <w:tc>
          <w:tcPr>
            <w:tcW w:w="993" w:type="dxa"/>
            <w:shd w:val="clear" w:color="auto" w:fill="FFFFFF" w:themeFill="background1"/>
            <w:tcMar>
              <w:top w:w="0" w:type="dxa"/>
              <w:left w:w="108" w:type="dxa"/>
              <w:bottom w:w="0" w:type="dxa"/>
              <w:right w:w="108" w:type="dxa"/>
            </w:tcMar>
          </w:tcPr>
          <w:p w14:paraId="0FF66FB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3,39%</w:t>
            </w:r>
          </w:p>
        </w:tc>
        <w:tc>
          <w:tcPr>
            <w:tcW w:w="425" w:type="dxa"/>
            <w:shd w:val="clear" w:color="auto" w:fill="FFFFFF" w:themeFill="background1"/>
            <w:tcMar>
              <w:top w:w="0" w:type="dxa"/>
              <w:left w:w="108" w:type="dxa"/>
              <w:bottom w:w="0" w:type="dxa"/>
              <w:right w:w="108" w:type="dxa"/>
            </w:tcMar>
          </w:tcPr>
          <w:p w14:paraId="7C281CD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850" w:type="dxa"/>
            <w:shd w:val="clear" w:color="auto" w:fill="FFFFFF" w:themeFill="background1"/>
            <w:tcMar>
              <w:top w:w="0" w:type="dxa"/>
              <w:left w:w="108" w:type="dxa"/>
              <w:bottom w:w="0" w:type="dxa"/>
              <w:right w:w="108" w:type="dxa"/>
            </w:tcMar>
          </w:tcPr>
          <w:p w14:paraId="29E8274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2,04%</w:t>
            </w:r>
          </w:p>
        </w:tc>
        <w:tc>
          <w:tcPr>
            <w:tcW w:w="567" w:type="dxa"/>
            <w:shd w:val="clear" w:color="auto" w:fill="FFFFFF" w:themeFill="background1"/>
            <w:tcMar>
              <w:top w:w="0" w:type="dxa"/>
              <w:left w:w="108" w:type="dxa"/>
              <w:bottom w:w="0" w:type="dxa"/>
              <w:right w:w="108" w:type="dxa"/>
            </w:tcMar>
          </w:tcPr>
          <w:p w14:paraId="4A376BF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851" w:type="dxa"/>
            <w:shd w:val="clear" w:color="auto" w:fill="FFFFFF" w:themeFill="background1"/>
            <w:tcMar>
              <w:top w:w="0" w:type="dxa"/>
              <w:left w:w="108" w:type="dxa"/>
              <w:bottom w:w="0" w:type="dxa"/>
              <w:right w:w="108" w:type="dxa"/>
            </w:tcMar>
          </w:tcPr>
          <w:p w14:paraId="4B34C94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1,41%</w:t>
            </w:r>
          </w:p>
        </w:tc>
      </w:tr>
      <w:tr w:rsidR="00284822" w14:paraId="4A179701" w14:textId="77777777">
        <w:trPr>
          <w:trHeight w:val="211"/>
          <w:jc w:val="center"/>
        </w:trPr>
        <w:tc>
          <w:tcPr>
            <w:tcW w:w="851" w:type="dxa"/>
            <w:shd w:val="clear" w:color="auto" w:fill="FFFFFF" w:themeFill="background1"/>
            <w:noWrap/>
            <w:tcMar>
              <w:top w:w="0" w:type="dxa"/>
              <w:left w:w="108" w:type="dxa"/>
              <w:bottom w:w="0" w:type="dxa"/>
              <w:right w:w="108" w:type="dxa"/>
            </w:tcMar>
          </w:tcPr>
          <w:p w14:paraId="79D03E5E"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8</w:t>
            </w:r>
          </w:p>
        </w:tc>
        <w:tc>
          <w:tcPr>
            <w:tcW w:w="1696" w:type="dxa"/>
            <w:shd w:val="clear" w:color="auto" w:fill="FFFFFF" w:themeFill="background1"/>
            <w:tcMar>
              <w:top w:w="0" w:type="dxa"/>
              <w:left w:w="108" w:type="dxa"/>
              <w:bottom w:w="0" w:type="dxa"/>
              <w:right w:w="108" w:type="dxa"/>
            </w:tcMar>
          </w:tcPr>
          <w:p w14:paraId="44F5A2CB"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FCD</w:t>
            </w:r>
          </w:p>
        </w:tc>
        <w:tc>
          <w:tcPr>
            <w:tcW w:w="567" w:type="dxa"/>
            <w:shd w:val="clear" w:color="auto" w:fill="FFFFFF" w:themeFill="background1"/>
            <w:tcMar>
              <w:top w:w="0" w:type="dxa"/>
              <w:left w:w="108" w:type="dxa"/>
              <w:bottom w:w="0" w:type="dxa"/>
              <w:right w:w="108" w:type="dxa"/>
            </w:tcMar>
          </w:tcPr>
          <w:p w14:paraId="1E732F5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850" w:type="dxa"/>
            <w:shd w:val="clear" w:color="auto" w:fill="FFFFFF" w:themeFill="background1"/>
            <w:tcMar>
              <w:top w:w="0" w:type="dxa"/>
              <w:left w:w="108" w:type="dxa"/>
              <w:bottom w:w="0" w:type="dxa"/>
              <w:right w:w="108" w:type="dxa"/>
            </w:tcMar>
          </w:tcPr>
          <w:p w14:paraId="43EB340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0,64%</w:t>
            </w:r>
          </w:p>
        </w:tc>
        <w:tc>
          <w:tcPr>
            <w:tcW w:w="851" w:type="dxa"/>
            <w:shd w:val="clear" w:color="auto" w:fill="FFFFFF" w:themeFill="background1"/>
            <w:tcMar>
              <w:top w:w="0" w:type="dxa"/>
              <w:left w:w="108" w:type="dxa"/>
              <w:bottom w:w="0" w:type="dxa"/>
              <w:right w:w="108" w:type="dxa"/>
            </w:tcMar>
          </w:tcPr>
          <w:p w14:paraId="3136F4B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2" w:type="dxa"/>
            <w:shd w:val="clear" w:color="auto" w:fill="FFFFFF" w:themeFill="background1"/>
            <w:tcMar>
              <w:top w:w="0" w:type="dxa"/>
              <w:left w:w="108" w:type="dxa"/>
              <w:bottom w:w="0" w:type="dxa"/>
              <w:right w:w="108" w:type="dxa"/>
            </w:tcMar>
          </w:tcPr>
          <w:p w14:paraId="2455D41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0,30%</w:t>
            </w:r>
          </w:p>
        </w:tc>
        <w:tc>
          <w:tcPr>
            <w:tcW w:w="709" w:type="dxa"/>
            <w:shd w:val="clear" w:color="auto" w:fill="FFFFFF" w:themeFill="background1"/>
            <w:tcMar>
              <w:top w:w="0" w:type="dxa"/>
              <w:left w:w="108" w:type="dxa"/>
              <w:bottom w:w="0" w:type="dxa"/>
              <w:right w:w="108" w:type="dxa"/>
            </w:tcMar>
          </w:tcPr>
          <w:p w14:paraId="0BB71DA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1134" w:type="dxa"/>
            <w:shd w:val="clear" w:color="auto" w:fill="FFFFFF" w:themeFill="background1"/>
            <w:tcMar>
              <w:top w:w="0" w:type="dxa"/>
              <w:left w:w="108" w:type="dxa"/>
              <w:bottom w:w="0" w:type="dxa"/>
              <w:right w:w="108" w:type="dxa"/>
            </w:tcMar>
          </w:tcPr>
          <w:p w14:paraId="0AF93D3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16AE9E5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43FCE89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0" w:type="dxa"/>
            <w:shd w:val="clear" w:color="auto" w:fill="FFFFFF" w:themeFill="background1"/>
            <w:tcMar>
              <w:top w:w="0" w:type="dxa"/>
              <w:left w:w="108" w:type="dxa"/>
              <w:bottom w:w="0" w:type="dxa"/>
              <w:right w:w="108" w:type="dxa"/>
            </w:tcMar>
          </w:tcPr>
          <w:p w14:paraId="5872B34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43558CC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8" w:type="dxa"/>
            <w:shd w:val="clear" w:color="auto" w:fill="FFFFFF" w:themeFill="background1"/>
            <w:tcMar>
              <w:top w:w="0" w:type="dxa"/>
              <w:left w:w="108" w:type="dxa"/>
              <w:bottom w:w="0" w:type="dxa"/>
              <w:right w:w="108" w:type="dxa"/>
            </w:tcMar>
          </w:tcPr>
          <w:p w14:paraId="4405A4A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278A5AA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425" w:type="dxa"/>
            <w:shd w:val="clear" w:color="auto" w:fill="FFFFFF" w:themeFill="background1"/>
            <w:tcMar>
              <w:top w:w="0" w:type="dxa"/>
              <w:left w:w="108" w:type="dxa"/>
              <w:bottom w:w="0" w:type="dxa"/>
              <w:right w:w="108" w:type="dxa"/>
            </w:tcMar>
          </w:tcPr>
          <w:p w14:paraId="01C4BD8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73A74CA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567" w:type="dxa"/>
            <w:shd w:val="clear" w:color="auto" w:fill="FFFFFF" w:themeFill="background1"/>
            <w:tcMar>
              <w:top w:w="0" w:type="dxa"/>
              <w:left w:w="108" w:type="dxa"/>
              <w:bottom w:w="0" w:type="dxa"/>
              <w:right w:w="108" w:type="dxa"/>
            </w:tcMar>
          </w:tcPr>
          <w:p w14:paraId="7434FC2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1" w:type="dxa"/>
            <w:shd w:val="clear" w:color="auto" w:fill="FFFFFF" w:themeFill="background1"/>
            <w:tcMar>
              <w:top w:w="0" w:type="dxa"/>
              <w:left w:w="108" w:type="dxa"/>
              <w:bottom w:w="0" w:type="dxa"/>
              <w:right w:w="108" w:type="dxa"/>
            </w:tcMar>
          </w:tcPr>
          <w:p w14:paraId="2FBB938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r>
      <w:tr w:rsidR="00284822" w14:paraId="3366966F" w14:textId="77777777">
        <w:trPr>
          <w:trHeight w:val="203"/>
          <w:jc w:val="center"/>
        </w:trPr>
        <w:tc>
          <w:tcPr>
            <w:tcW w:w="851" w:type="dxa"/>
            <w:shd w:val="clear" w:color="auto" w:fill="FFFFFF" w:themeFill="background1"/>
            <w:noWrap/>
            <w:tcMar>
              <w:top w:w="0" w:type="dxa"/>
              <w:left w:w="108" w:type="dxa"/>
              <w:bottom w:w="0" w:type="dxa"/>
              <w:right w:w="108" w:type="dxa"/>
            </w:tcMar>
          </w:tcPr>
          <w:p w14:paraId="0608EFF6"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9</w:t>
            </w:r>
          </w:p>
        </w:tc>
        <w:tc>
          <w:tcPr>
            <w:tcW w:w="1696" w:type="dxa"/>
            <w:shd w:val="clear" w:color="auto" w:fill="FFFFFF" w:themeFill="background1"/>
            <w:tcMar>
              <w:top w:w="0" w:type="dxa"/>
              <w:left w:w="108" w:type="dxa"/>
              <w:bottom w:w="0" w:type="dxa"/>
              <w:right w:w="108" w:type="dxa"/>
            </w:tcMar>
          </w:tcPr>
          <w:p w14:paraId="1FEA67BE"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FP</w:t>
            </w:r>
          </w:p>
        </w:tc>
        <w:tc>
          <w:tcPr>
            <w:tcW w:w="567" w:type="dxa"/>
            <w:shd w:val="clear" w:color="auto" w:fill="FFFFFF" w:themeFill="background1"/>
            <w:tcMar>
              <w:top w:w="0" w:type="dxa"/>
              <w:left w:w="108" w:type="dxa"/>
              <w:bottom w:w="0" w:type="dxa"/>
              <w:right w:w="108" w:type="dxa"/>
            </w:tcMar>
          </w:tcPr>
          <w:p w14:paraId="7E9AA06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850" w:type="dxa"/>
            <w:shd w:val="clear" w:color="auto" w:fill="FFFFFF" w:themeFill="background1"/>
            <w:tcMar>
              <w:top w:w="0" w:type="dxa"/>
              <w:left w:w="108" w:type="dxa"/>
              <w:bottom w:w="0" w:type="dxa"/>
              <w:right w:w="108" w:type="dxa"/>
            </w:tcMar>
          </w:tcPr>
          <w:p w14:paraId="0D08EBC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0,64%</w:t>
            </w:r>
          </w:p>
        </w:tc>
        <w:tc>
          <w:tcPr>
            <w:tcW w:w="851" w:type="dxa"/>
            <w:shd w:val="clear" w:color="auto" w:fill="FFFFFF" w:themeFill="background1"/>
            <w:tcMar>
              <w:top w:w="0" w:type="dxa"/>
              <w:left w:w="108" w:type="dxa"/>
              <w:bottom w:w="0" w:type="dxa"/>
              <w:right w:w="108" w:type="dxa"/>
            </w:tcMar>
          </w:tcPr>
          <w:p w14:paraId="2A4A397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2" w:type="dxa"/>
            <w:shd w:val="clear" w:color="auto" w:fill="FFFFFF" w:themeFill="background1"/>
            <w:tcMar>
              <w:top w:w="0" w:type="dxa"/>
              <w:left w:w="108" w:type="dxa"/>
              <w:bottom w:w="0" w:type="dxa"/>
              <w:right w:w="108" w:type="dxa"/>
            </w:tcMar>
          </w:tcPr>
          <w:p w14:paraId="7C8A591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0,30%</w:t>
            </w:r>
          </w:p>
        </w:tc>
        <w:tc>
          <w:tcPr>
            <w:tcW w:w="709" w:type="dxa"/>
            <w:shd w:val="clear" w:color="auto" w:fill="FFFFFF" w:themeFill="background1"/>
            <w:tcMar>
              <w:top w:w="0" w:type="dxa"/>
              <w:left w:w="108" w:type="dxa"/>
              <w:bottom w:w="0" w:type="dxa"/>
              <w:right w:w="108" w:type="dxa"/>
            </w:tcMar>
          </w:tcPr>
          <w:p w14:paraId="628904F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1134" w:type="dxa"/>
            <w:shd w:val="clear" w:color="auto" w:fill="FFFFFF" w:themeFill="background1"/>
            <w:tcMar>
              <w:top w:w="0" w:type="dxa"/>
              <w:left w:w="108" w:type="dxa"/>
              <w:bottom w:w="0" w:type="dxa"/>
              <w:right w:w="108" w:type="dxa"/>
            </w:tcMar>
          </w:tcPr>
          <w:p w14:paraId="3D91A0A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16CCDD5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4C55298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0" w:type="dxa"/>
            <w:shd w:val="clear" w:color="auto" w:fill="FFFFFF" w:themeFill="background1"/>
            <w:tcMar>
              <w:top w:w="0" w:type="dxa"/>
              <w:left w:w="108" w:type="dxa"/>
              <w:bottom w:w="0" w:type="dxa"/>
              <w:right w:w="108" w:type="dxa"/>
            </w:tcMar>
          </w:tcPr>
          <w:p w14:paraId="7A27EE3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3" w:type="dxa"/>
            <w:shd w:val="clear" w:color="auto" w:fill="FFFFFF" w:themeFill="background1"/>
            <w:tcMar>
              <w:top w:w="0" w:type="dxa"/>
              <w:left w:w="108" w:type="dxa"/>
              <w:bottom w:w="0" w:type="dxa"/>
              <w:right w:w="108" w:type="dxa"/>
            </w:tcMar>
          </w:tcPr>
          <w:p w14:paraId="68EADF0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0,88%</w:t>
            </w:r>
          </w:p>
        </w:tc>
        <w:tc>
          <w:tcPr>
            <w:tcW w:w="708" w:type="dxa"/>
            <w:shd w:val="clear" w:color="auto" w:fill="FFFFFF" w:themeFill="background1"/>
            <w:tcMar>
              <w:top w:w="0" w:type="dxa"/>
              <w:left w:w="108" w:type="dxa"/>
              <w:bottom w:w="0" w:type="dxa"/>
              <w:right w:w="108" w:type="dxa"/>
            </w:tcMar>
          </w:tcPr>
          <w:p w14:paraId="157B76D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w:t>
            </w:r>
          </w:p>
        </w:tc>
        <w:tc>
          <w:tcPr>
            <w:tcW w:w="993" w:type="dxa"/>
            <w:shd w:val="clear" w:color="auto" w:fill="FFFFFF" w:themeFill="background1"/>
            <w:tcMar>
              <w:top w:w="0" w:type="dxa"/>
              <w:left w:w="108" w:type="dxa"/>
              <w:bottom w:w="0" w:type="dxa"/>
              <w:right w:w="108" w:type="dxa"/>
            </w:tcMar>
          </w:tcPr>
          <w:p w14:paraId="3C8B321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1,13%</w:t>
            </w:r>
          </w:p>
        </w:tc>
        <w:tc>
          <w:tcPr>
            <w:tcW w:w="425" w:type="dxa"/>
            <w:shd w:val="clear" w:color="auto" w:fill="FFFFFF" w:themeFill="background1"/>
            <w:tcMar>
              <w:top w:w="0" w:type="dxa"/>
              <w:left w:w="108" w:type="dxa"/>
              <w:bottom w:w="0" w:type="dxa"/>
              <w:right w:w="108" w:type="dxa"/>
            </w:tcMar>
          </w:tcPr>
          <w:p w14:paraId="430E166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0E7DD95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567" w:type="dxa"/>
            <w:shd w:val="clear" w:color="auto" w:fill="FFFFFF" w:themeFill="background1"/>
            <w:tcMar>
              <w:top w:w="0" w:type="dxa"/>
              <w:left w:w="108" w:type="dxa"/>
              <w:bottom w:w="0" w:type="dxa"/>
              <w:right w:w="108" w:type="dxa"/>
            </w:tcMar>
          </w:tcPr>
          <w:p w14:paraId="0D079E5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1" w:type="dxa"/>
            <w:shd w:val="clear" w:color="auto" w:fill="FFFFFF" w:themeFill="background1"/>
            <w:tcMar>
              <w:top w:w="0" w:type="dxa"/>
              <w:left w:w="108" w:type="dxa"/>
              <w:bottom w:w="0" w:type="dxa"/>
              <w:right w:w="108" w:type="dxa"/>
            </w:tcMar>
          </w:tcPr>
          <w:p w14:paraId="78536C1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r>
      <w:tr w:rsidR="00284822" w14:paraId="498B9ABA" w14:textId="77777777">
        <w:trPr>
          <w:trHeight w:val="70"/>
          <w:jc w:val="center"/>
        </w:trPr>
        <w:tc>
          <w:tcPr>
            <w:tcW w:w="851" w:type="dxa"/>
            <w:shd w:val="clear" w:color="auto" w:fill="FFFFFF" w:themeFill="background1"/>
            <w:noWrap/>
            <w:tcMar>
              <w:top w:w="0" w:type="dxa"/>
              <w:left w:w="108" w:type="dxa"/>
              <w:bottom w:w="0" w:type="dxa"/>
              <w:right w:w="108" w:type="dxa"/>
            </w:tcMar>
          </w:tcPr>
          <w:p w14:paraId="01A5DF58"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10</w:t>
            </w:r>
          </w:p>
        </w:tc>
        <w:tc>
          <w:tcPr>
            <w:tcW w:w="1696" w:type="dxa"/>
            <w:shd w:val="clear" w:color="auto" w:fill="FFFFFF" w:themeFill="background1"/>
            <w:tcMar>
              <w:top w:w="0" w:type="dxa"/>
              <w:left w:w="108" w:type="dxa"/>
              <w:bottom w:w="0" w:type="dxa"/>
              <w:right w:w="108" w:type="dxa"/>
            </w:tcMar>
          </w:tcPr>
          <w:p w14:paraId="5375DD3A"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FPC/Y</w:t>
            </w:r>
          </w:p>
        </w:tc>
        <w:tc>
          <w:tcPr>
            <w:tcW w:w="567" w:type="dxa"/>
            <w:shd w:val="clear" w:color="auto" w:fill="FFFFFF" w:themeFill="background1"/>
            <w:tcMar>
              <w:top w:w="0" w:type="dxa"/>
              <w:left w:w="108" w:type="dxa"/>
              <w:bottom w:w="0" w:type="dxa"/>
              <w:right w:w="108" w:type="dxa"/>
            </w:tcMar>
          </w:tcPr>
          <w:p w14:paraId="6BB4E4F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15C1D14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1" w:type="dxa"/>
            <w:shd w:val="clear" w:color="auto" w:fill="FFFFFF" w:themeFill="background1"/>
            <w:tcMar>
              <w:top w:w="0" w:type="dxa"/>
              <w:left w:w="108" w:type="dxa"/>
              <w:bottom w:w="0" w:type="dxa"/>
              <w:right w:w="108" w:type="dxa"/>
            </w:tcMar>
          </w:tcPr>
          <w:p w14:paraId="47870F2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235DFE8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67FA37F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1134" w:type="dxa"/>
            <w:shd w:val="clear" w:color="auto" w:fill="FFFFFF" w:themeFill="background1"/>
            <w:tcMar>
              <w:top w:w="0" w:type="dxa"/>
              <w:left w:w="108" w:type="dxa"/>
              <w:bottom w:w="0" w:type="dxa"/>
              <w:right w:w="108" w:type="dxa"/>
            </w:tcMar>
          </w:tcPr>
          <w:p w14:paraId="0541DE0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4AF0014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746D938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0" w:type="dxa"/>
            <w:shd w:val="clear" w:color="auto" w:fill="FFFFFF" w:themeFill="background1"/>
            <w:tcMar>
              <w:top w:w="0" w:type="dxa"/>
              <w:left w:w="108" w:type="dxa"/>
              <w:bottom w:w="0" w:type="dxa"/>
              <w:right w:w="108" w:type="dxa"/>
            </w:tcMar>
          </w:tcPr>
          <w:p w14:paraId="2AC1654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585645E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8" w:type="dxa"/>
            <w:shd w:val="clear" w:color="auto" w:fill="FFFFFF" w:themeFill="background1"/>
            <w:tcMar>
              <w:top w:w="0" w:type="dxa"/>
              <w:left w:w="108" w:type="dxa"/>
              <w:bottom w:w="0" w:type="dxa"/>
              <w:right w:w="108" w:type="dxa"/>
            </w:tcMar>
          </w:tcPr>
          <w:p w14:paraId="00C4A03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124303A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425" w:type="dxa"/>
            <w:shd w:val="clear" w:color="auto" w:fill="FFFFFF" w:themeFill="background1"/>
            <w:tcMar>
              <w:top w:w="0" w:type="dxa"/>
              <w:left w:w="108" w:type="dxa"/>
              <w:bottom w:w="0" w:type="dxa"/>
              <w:right w:w="108" w:type="dxa"/>
            </w:tcMar>
          </w:tcPr>
          <w:p w14:paraId="2FF09EF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3D0F925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567" w:type="dxa"/>
            <w:shd w:val="clear" w:color="auto" w:fill="FFFFFF" w:themeFill="background1"/>
            <w:tcMar>
              <w:top w:w="0" w:type="dxa"/>
              <w:left w:w="108" w:type="dxa"/>
              <w:bottom w:w="0" w:type="dxa"/>
              <w:right w:w="108" w:type="dxa"/>
            </w:tcMar>
          </w:tcPr>
          <w:p w14:paraId="196E91B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1" w:type="dxa"/>
            <w:shd w:val="clear" w:color="auto" w:fill="FFFFFF" w:themeFill="background1"/>
            <w:tcMar>
              <w:top w:w="0" w:type="dxa"/>
              <w:left w:w="108" w:type="dxa"/>
              <w:bottom w:w="0" w:type="dxa"/>
              <w:right w:w="108" w:type="dxa"/>
            </w:tcMar>
          </w:tcPr>
          <w:p w14:paraId="41D9548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r>
      <w:tr w:rsidR="00284822" w14:paraId="7870CD35" w14:textId="77777777">
        <w:trPr>
          <w:trHeight w:val="70"/>
          <w:jc w:val="center"/>
        </w:trPr>
        <w:tc>
          <w:tcPr>
            <w:tcW w:w="851" w:type="dxa"/>
            <w:shd w:val="clear" w:color="auto" w:fill="FFFFFF" w:themeFill="background1"/>
            <w:noWrap/>
            <w:tcMar>
              <w:top w:w="0" w:type="dxa"/>
              <w:left w:w="108" w:type="dxa"/>
              <w:bottom w:w="0" w:type="dxa"/>
              <w:right w:w="108" w:type="dxa"/>
            </w:tcMar>
          </w:tcPr>
          <w:p w14:paraId="0BBB9E73"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11</w:t>
            </w:r>
          </w:p>
        </w:tc>
        <w:tc>
          <w:tcPr>
            <w:tcW w:w="1696" w:type="dxa"/>
            <w:shd w:val="clear" w:color="auto" w:fill="FFFFFF" w:themeFill="background1"/>
            <w:tcMar>
              <w:top w:w="0" w:type="dxa"/>
              <w:left w:w="108" w:type="dxa"/>
              <w:bottom w:w="0" w:type="dxa"/>
              <w:right w:w="108" w:type="dxa"/>
            </w:tcMar>
          </w:tcPr>
          <w:p w14:paraId="37BA6331"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FPR</w:t>
            </w:r>
          </w:p>
        </w:tc>
        <w:tc>
          <w:tcPr>
            <w:tcW w:w="567" w:type="dxa"/>
            <w:shd w:val="clear" w:color="auto" w:fill="FFFFFF" w:themeFill="background1"/>
            <w:tcMar>
              <w:top w:w="0" w:type="dxa"/>
              <w:left w:w="108" w:type="dxa"/>
              <w:bottom w:w="0" w:type="dxa"/>
              <w:right w:w="108" w:type="dxa"/>
            </w:tcMar>
          </w:tcPr>
          <w:p w14:paraId="047C183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27BA699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1" w:type="dxa"/>
            <w:shd w:val="clear" w:color="auto" w:fill="FFFFFF" w:themeFill="background1"/>
            <w:tcMar>
              <w:top w:w="0" w:type="dxa"/>
              <w:left w:w="108" w:type="dxa"/>
              <w:bottom w:w="0" w:type="dxa"/>
              <w:right w:w="108" w:type="dxa"/>
            </w:tcMar>
          </w:tcPr>
          <w:p w14:paraId="3570F39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493D8A6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58F33AC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1134" w:type="dxa"/>
            <w:shd w:val="clear" w:color="auto" w:fill="FFFFFF" w:themeFill="background1"/>
            <w:tcMar>
              <w:top w:w="0" w:type="dxa"/>
              <w:left w:w="108" w:type="dxa"/>
              <w:bottom w:w="0" w:type="dxa"/>
              <w:right w:w="108" w:type="dxa"/>
            </w:tcMar>
          </w:tcPr>
          <w:p w14:paraId="0622C85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7F6BDE6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684130B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0" w:type="dxa"/>
            <w:shd w:val="clear" w:color="auto" w:fill="FFFFFF" w:themeFill="background1"/>
            <w:tcMar>
              <w:top w:w="0" w:type="dxa"/>
              <w:left w:w="108" w:type="dxa"/>
              <w:bottom w:w="0" w:type="dxa"/>
              <w:right w:w="108" w:type="dxa"/>
            </w:tcMar>
          </w:tcPr>
          <w:p w14:paraId="27F61DE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27E6808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8" w:type="dxa"/>
            <w:shd w:val="clear" w:color="auto" w:fill="FFFFFF" w:themeFill="background1"/>
            <w:tcMar>
              <w:top w:w="0" w:type="dxa"/>
              <w:left w:w="108" w:type="dxa"/>
              <w:bottom w:w="0" w:type="dxa"/>
              <w:right w:w="108" w:type="dxa"/>
            </w:tcMar>
          </w:tcPr>
          <w:p w14:paraId="50DCE7A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45AF9EC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425" w:type="dxa"/>
            <w:shd w:val="clear" w:color="auto" w:fill="FFFFFF" w:themeFill="background1"/>
            <w:tcMar>
              <w:top w:w="0" w:type="dxa"/>
              <w:left w:w="108" w:type="dxa"/>
              <w:bottom w:w="0" w:type="dxa"/>
              <w:right w:w="108" w:type="dxa"/>
            </w:tcMar>
          </w:tcPr>
          <w:p w14:paraId="7D6AF91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850" w:type="dxa"/>
            <w:shd w:val="clear" w:color="auto" w:fill="FFFFFF" w:themeFill="background1"/>
            <w:tcMar>
              <w:top w:w="0" w:type="dxa"/>
              <w:left w:w="108" w:type="dxa"/>
              <w:bottom w:w="0" w:type="dxa"/>
              <w:right w:w="108" w:type="dxa"/>
            </w:tcMar>
          </w:tcPr>
          <w:p w14:paraId="0BE35F3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2,04%</w:t>
            </w:r>
          </w:p>
        </w:tc>
        <w:tc>
          <w:tcPr>
            <w:tcW w:w="567" w:type="dxa"/>
            <w:shd w:val="clear" w:color="auto" w:fill="FFFFFF" w:themeFill="background1"/>
            <w:tcMar>
              <w:top w:w="0" w:type="dxa"/>
              <w:left w:w="108" w:type="dxa"/>
              <w:bottom w:w="0" w:type="dxa"/>
              <w:right w:w="108" w:type="dxa"/>
            </w:tcMar>
          </w:tcPr>
          <w:p w14:paraId="2CC8BC1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851" w:type="dxa"/>
            <w:shd w:val="clear" w:color="auto" w:fill="FFFFFF" w:themeFill="background1"/>
            <w:tcMar>
              <w:top w:w="0" w:type="dxa"/>
              <w:left w:w="108" w:type="dxa"/>
              <w:bottom w:w="0" w:type="dxa"/>
              <w:right w:w="108" w:type="dxa"/>
            </w:tcMar>
          </w:tcPr>
          <w:p w14:paraId="2BE4828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1,41%</w:t>
            </w:r>
          </w:p>
        </w:tc>
      </w:tr>
      <w:tr w:rsidR="00284822" w14:paraId="6F1B40CC" w14:textId="77777777">
        <w:trPr>
          <w:trHeight w:val="70"/>
          <w:jc w:val="center"/>
        </w:trPr>
        <w:tc>
          <w:tcPr>
            <w:tcW w:w="851" w:type="dxa"/>
            <w:shd w:val="clear" w:color="auto" w:fill="FFFFFF" w:themeFill="background1"/>
            <w:noWrap/>
            <w:tcMar>
              <w:top w:w="0" w:type="dxa"/>
              <w:left w:w="108" w:type="dxa"/>
              <w:bottom w:w="0" w:type="dxa"/>
              <w:right w:w="108" w:type="dxa"/>
            </w:tcMar>
          </w:tcPr>
          <w:p w14:paraId="1A7D6BBC"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12</w:t>
            </w:r>
          </w:p>
        </w:tc>
        <w:tc>
          <w:tcPr>
            <w:tcW w:w="1696" w:type="dxa"/>
            <w:shd w:val="clear" w:color="auto" w:fill="FFFFFF" w:themeFill="background1"/>
            <w:tcMar>
              <w:top w:w="0" w:type="dxa"/>
              <w:left w:w="108" w:type="dxa"/>
              <w:bottom w:w="0" w:type="dxa"/>
              <w:right w:w="108" w:type="dxa"/>
            </w:tcMar>
          </w:tcPr>
          <w:p w14:paraId="589AB9FA"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L'AB/PSR</w:t>
            </w:r>
          </w:p>
        </w:tc>
        <w:tc>
          <w:tcPr>
            <w:tcW w:w="567" w:type="dxa"/>
            <w:shd w:val="clear" w:color="auto" w:fill="FFFFFF" w:themeFill="background1"/>
            <w:tcMar>
              <w:top w:w="0" w:type="dxa"/>
              <w:left w:w="108" w:type="dxa"/>
              <w:bottom w:w="0" w:type="dxa"/>
              <w:right w:w="108" w:type="dxa"/>
            </w:tcMar>
          </w:tcPr>
          <w:p w14:paraId="42DD8BE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484C0B5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1" w:type="dxa"/>
            <w:shd w:val="clear" w:color="auto" w:fill="FFFFFF" w:themeFill="background1"/>
            <w:tcMar>
              <w:top w:w="0" w:type="dxa"/>
              <w:left w:w="108" w:type="dxa"/>
              <w:bottom w:w="0" w:type="dxa"/>
              <w:right w:w="108" w:type="dxa"/>
            </w:tcMar>
          </w:tcPr>
          <w:p w14:paraId="285B987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5CF5E0B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5FBB404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1134" w:type="dxa"/>
            <w:shd w:val="clear" w:color="auto" w:fill="FFFFFF" w:themeFill="background1"/>
            <w:tcMar>
              <w:top w:w="0" w:type="dxa"/>
              <w:left w:w="108" w:type="dxa"/>
              <w:bottom w:w="0" w:type="dxa"/>
              <w:right w:w="108" w:type="dxa"/>
            </w:tcMar>
          </w:tcPr>
          <w:p w14:paraId="2D9E7FB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3495B29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6DF05BE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0" w:type="dxa"/>
            <w:shd w:val="clear" w:color="auto" w:fill="FFFFFF" w:themeFill="background1"/>
            <w:tcMar>
              <w:top w:w="0" w:type="dxa"/>
              <w:left w:w="108" w:type="dxa"/>
              <w:bottom w:w="0" w:type="dxa"/>
              <w:right w:w="108" w:type="dxa"/>
            </w:tcMar>
          </w:tcPr>
          <w:p w14:paraId="3901ECE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19EB3BC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8" w:type="dxa"/>
            <w:shd w:val="clear" w:color="auto" w:fill="FFFFFF" w:themeFill="background1"/>
            <w:tcMar>
              <w:top w:w="0" w:type="dxa"/>
              <w:left w:w="108" w:type="dxa"/>
              <w:bottom w:w="0" w:type="dxa"/>
              <w:right w:w="108" w:type="dxa"/>
            </w:tcMar>
          </w:tcPr>
          <w:p w14:paraId="7062236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7FF510E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425" w:type="dxa"/>
            <w:shd w:val="clear" w:color="auto" w:fill="FFFFFF" w:themeFill="background1"/>
            <w:tcMar>
              <w:top w:w="0" w:type="dxa"/>
              <w:left w:w="108" w:type="dxa"/>
              <w:bottom w:w="0" w:type="dxa"/>
              <w:right w:w="108" w:type="dxa"/>
            </w:tcMar>
          </w:tcPr>
          <w:p w14:paraId="7795D90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4AB32E5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567" w:type="dxa"/>
            <w:shd w:val="clear" w:color="auto" w:fill="FFFFFF" w:themeFill="background1"/>
            <w:tcMar>
              <w:top w:w="0" w:type="dxa"/>
              <w:left w:w="108" w:type="dxa"/>
              <w:bottom w:w="0" w:type="dxa"/>
              <w:right w:w="108" w:type="dxa"/>
            </w:tcMar>
          </w:tcPr>
          <w:p w14:paraId="5706A3B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1" w:type="dxa"/>
            <w:shd w:val="clear" w:color="auto" w:fill="FFFFFF" w:themeFill="background1"/>
            <w:tcMar>
              <w:top w:w="0" w:type="dxa"/>
              <w:left w:w="108" w:type="dxa"/>
              <w:bottom w:w="0" w:type="dxa"/>
              <w:right w:w="108" w:type="dxa"/>
            </w:tcMar>
          </w:tcPr>
          <w:p w14:paraId="34C4707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r>
      <w:tr w:rsidR="00284822" w14:paraId="531FECE8" w14:textId="77777777">
        <w:trPr>
          <w:trHeight w:val="70"/>
          <w:jc w:val="center"/>
        </w:trPr>
        <w:tc>
          <w:tcPr>
            <w:tcW w:w="851" w:type="dxa"/>
            <w:shd w:val="clear" w:color="auto" w:fill="FFFFFF" w:themeFill="background1"/>
            <w:noWrap/>
            <w:tcMar>
              <w:top w:w="0" w:type="dxa"/>
              <w:left w:w="108" w:type="dxa"/>
              <w:bottom w:w="0" w:type="dxa"/>
              <w:right w:w="108" w:type="dxa"/>
            </w:tcMar>
          </w:tcPr>
          <w:p w14:paraId="0391BB76"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13</w:t>
            </w:r>
          </w:p>
        </w:tc>
        <w:tc>
          <w:tcPr>
            <w:tcW w:w="1696" w:type="dxa"/>
            <w:shd w:val="clear" w:color="auto" w:fill="FFFFFF" w:themeFill="background1"/>
            <w:tcMar>
              <w:top w:w="0" w:type="dxa"/>
              <w:left w:w="108" w:type="dxa"/>
              <w:bottom w:w="0" w:type="dxa"/>
              <w:right w:w="108" w:type="dxa"/>
            </w:tcMar>
          </w:tcPr>
          <w:p w14:paraId="08D16055"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LES DEMOC</w:t>
            </w:r>
          </w:p>
        </w:tc>
        <w:tc>
          <w:tcPr>
            <w:tcW w:w="567" w:type="dxa"/>
            <w:shd w:val="clear" w:color="auto" w:fill="FFFFFF" w:themeFill="background1"/>
            <w:tcMar>
              <w:top w:w="0" w:type="dxa"/>
              <w:left w:w="108" w:type="dxa"/>
              <w:bottom w:w="0" w:type="dxa"/>
              <w:right w:w="108" w:type="dxa"/>
            </w:tcMar>
          </w:tcPr>
          <w:p w14:paraId="636954C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5AE61D1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1" w:type="dxa"/>
            <w:shd w:val="clear" w:color="auto" w:fill="FFFFFF" w:themeFill="background1"/>
            <w:tcMar>
              <w:top w:w="0" w:type="dxa"/>
              <w:left w:w="108" w:type="dxa"/>
              <w:bottom w:w="0" w:type="dxa"/>
              <w:right w:w="108" w:type="dxa"/>
            </w:tcMar>
          </w:tcPr>
          <w:p w14:paraId="48F73AD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4F9A615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709528C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1134" w:type="dxa"/>
            <w:shd w:val="clear" w:color="auto" w:fill="FFFFFF" w:themeFill="background1"/>
            <w:tcMar>
              <w:top w:w="0" w:type="dxa"/>
              <w:left w:w="108" w:type="dxa"/>
              <w:bottom w:w="0" w:type="dxa"/>
              <w:right w:w="108" w:type="dxa"/>
            </w:tcMar>
          </w:tcPr>
          <w:p w14:paraId="254998B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13751A5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0E7F943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0" w:type="dxa"/>
            <w:shd w:val="clear" w:color="auto" w:fill="FFFFFF" w:themeFill="background1"/>
            <w:tcMar>
              <w:top w:w="0" w:type="dxa"/>
              <w:left w:w="108" w:type="dxa"/>
              <w:bottom w:w="0" w:type="dxa"/>
              <w:right w:w="108" w:type="dxa"/>
            </w:tcMar>
          </w:tcPr>
          <w:p w14:paraId="4F65759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w:t>
            </w:r>
          </w:p>
        </w:tc>
        <w:tc>
          <w:tcPr>
            <w:tcW w:w="993" w:type="dxa"/>
            <w:shd w:val="clear" w:color="auto" w:fill="FFFFFF" w:themeFill="background1"/>
            <w:tcMar>
              <w:top w:w="0" w:type="dxa"/>
              <w:left w:w="108" w:type="dxa"/>
              <w:bottom w:w="0" w:type="dxa"/>
              <w:right w:w="108" w:type="dxa"/>
            </w:tcMar>
          </w:tcPr>
          <w:p w14:paraId="025E095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1,77%</w:t>
            </w:r>
          </w:p>
        </w:tc>
        <w:tc>
          <w:tcPr>
            <w:tcW w:w="708" w:type="dxa"/>
            <w:shd w:val="clear" w:color="auto" w:fill="FFFFFF" w:themeFill="background1"/>
            <w:tcMar>
              <w:top w:w="0" w:type="dxa"/>
              <w:left w:w="108" w:type="dxa"/>
              <w:bottom w:w="0" w:type="dxa"/>
              <w:right w:w="108" w:type="dxa"/>
            </w:tcMar>
          </w:tcPr>
          <w:p w14:paraId="6C99FBE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5</w:t>
            </w:r>
          </w:p>
        </w:tc>
        <w:tc>
          <w:tcPr>
            <w:tcW w:w="993" w:type="dxa"/>
            <w:shd w:val="clear" w:color="auto" w:fill="FFFFFF" w:themeFill="background1"/>
            <w:tcMar>
              <w:top w:w="0" w:type="dxa"/>
              <w:left w:w="108" w:type="dxa"/>
              <w:bottom w:w="0" w:type="dxa"/>
              <w:right w:w="108" w:type="dxa"/>
            </w:tcMar>
          </w:tcPr>
          <w:p w14:paraId="6A61422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2,82%</w:t>
            </w:r>
          </w:p>
        </w:tc>
        <w:tc>
          <w:tcPr>
            <w:tcW w:w="425" w:type="dxa"/>
            <w:shd w:val="clear" w:color="auto" w:fill="FFFFFF" w:themeFill="background1"/>
            <w:tcMar>
              <w:top w:w="0" w:type="dxa"/>
              <w:left w:w="108" w:type="dxa"/>
              <w:bottom w:w="0" w:type="dxa"/>
              <w:right w:w="108" w:type="dxa"/>
            </w:tcMar>
          </w:tcPr>
          <w:p w14:paraId="3032D6E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850" w:type="dxa"/>
            <w:shd w:val="clear" w:color="auto" w:fill="FFFFFF" w:themeFill="background1"/>
            <w:tcMar>
              <w:top w:w="0" w:type="dxa"/>
              <w:left w:w="108" w:type="dxa"/>
              <w:bottom w:w="0" w:type="dxa"/>
              <w:right w:w="108" w:type="dxa"/>
            </w:tcMar>
          </w:tcPr>
          <w:p w14:paraId="296B8A34" w14:textId="77777777" w:rsidR="00284822" w:rsidRDefault="00284822">
            <w:pPr>
              <w:spacing w:line="240" w:lineRule="auto"/>
              <w:jc w:val="left"/>
              <w:rPr>
                <w:rFonts w:ascii="Rockwell" w:hAnsi="Rockwell"/>
                <w:color w:val="000000"/>
                <w:sz w:val="18"/>
                <w:szCs w:val="18"/>
              </w:rPr>
            </w:pPr>
          </w:p>
        </w:tc>
        <w:tc>
          <w:tcPr>
            <w:tcW w:w="567" w:type="dxa"/>
            <w:shd w:val="clear" w:color="auto" w:fill="FFFFFF" w:themeFill="background1"/>
            <w:tcMar>
              <w:top w:w="0" w:type="dxa"/>
              <w:left w:w="108" w:type="dxa"/>
              <w:bottom w:w="0" w:type="dxa"/>
              <w:right w:w="108" w:type="dxa"/>
            </w:tcMar>
          </w:tcPr>
          <w:p w14:paraId="1DA1B36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w:t>
            </w:r>
          </w:p>
        </w:tc>
        <w:tc>
          <w:tcPr>
            <w:tcW w:w="851" w:type="dxa"/>
            <w:shd w:val="clear" w:color="auto" w:fill="FFFFFF" w:themeFill="background1"/>
            <w:tcMar>
              <w:top w:w="0" w:type="dxa"/>
              <w:left w:w="108" w:type="dxa"/>
              <w:bottom w:w="0" w:type="dxa"/>
              <w:right w:w="108" w:type="dxa"/>
            </w:tcMar>
          </w:tcPr>
          <w:p w14:paraId="5F6C26F8" w14:textId="77777777" w:rsidR="00284822" w:rsidRDefault="00284822">
            <w:pPr>
              <w:spacing w:line="240" w:lineRule="auto"/>
              <w:jc w:val="left"/>
              <w:rPr>
                <w:rFonts w:ascii="Rockwell" w:hAnsi="Rockwell"/>
                <w:color w:val="000000"/>
                <w:sz w:val="18"/>
                <w:szCs w:val="18"/>
              </w:rPr>
            </w:pPr>
          </w:p>
        </w:tc>
      </w:tr>
      <w:tr w:rsidR="00284822" w14:paraId="17D503BC" w14:textId="77777777">
        <w:trPr>
          <w:trHeight w:val="70"/>
          <w:jc w:val="center"/>
        </w:trPr>
        <w:tc>
          <w:tcPr>
            <w:tcW w:w="851" w:type="dxa"/>
            <w:shd w:val="clear" w:color="auto" w:fill="FFFFFF" w:themeFill="background1"/>
            <w:noWrap/>
            <w:tcMar>
              <w:top w:w="0" w:type="dxa"/>
              <w:left w:w="108" w:type="dxa"/>
              <w:bottom w:w="0" w:type="dxa"/>
              <w:right w:w="108" w:type="dxa"/>
            </w:tcMar>
          </w:tcPr>
          <w:p w14:paraId="0AD060F1"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14</w:t>
            </w:r>
          </w:p>
        </w:tc>
        <w:tc>
          <w:tcPr>
            <w:tcW w:w="1696" w:type="dxa"/>
            <w:shd w:val="clear" w:color="auto" w:fill="FFFFFF" w:themeFill="background1"/>
            <w:tcMar>
              <w:top w:w="0" w:type="dxa"/>
              <w:left w:w="108" w:type="dxa"/>
              <w:bottom w:w="0" w:type="dxa"/>
              <w:right w:w="108" w:type="dxa"/>
            </w:tcMar>
          </w:tcPr>
          <w:p w14:paraId="7723BD29"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LMP</w:t>
            </w:r>
          </w:p>
        </w:tc>
        <w:tc>
          <w:tcPr>
            <w:tcW w:w="567" w:type="dxa"/>
            <w:shd w:val="clear" w:color="auto" w:fill="FFFFFF" w:themeFill="background1"/>
            <w:tcMar>
              <w:top w:w="0" w:type="dxa"/>
              <w:left w:w="108" w:type="dxa"/>
              <w:bottom w:w="0" w:type="dxa"/>
              <w:right w:w="108" w:type="dxa"/>
            </w:tcMar>
          </w:tcPr>
          <w:p w14:paraId="311CD64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3A54B8A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1" w:type="dxa"/>
            <w:shd w:val="clear" w:color="auto" w:fill="FFFFFF" w:themeFill="background1"/>
            <w:tcMar>
              <w:top w:w="0" w:type="dxa"/>
              <w:left w:w="108" w:type="dxa"/>
              <w:bottom w:w="0" w:type="dxa"/>
              <w:right w:w="108" w:type="dxa"/>
            </w:tcMar>
          </w:tcPr>
          <w:p w14:paraId="5F3CE99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3ED9F03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49E0535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1134" w:type="dxa"/>
            <w:shd w:val="clear" w:color="auto" w:fill="FFFFFF" w:themeFill="background1"/>
            <w:tcMar>
              <w:top w:w="0" w:type="dxa"/>
              <w:left w:w="108" w:type="dxa"/>
              <w:bottom w:w="0" w:type="dxa"/>
              <w:right w:w="108" w:type="dxa"/>
            </w:tcMar>
          </w:tcPr>
          <w:p w14:paraId="3DE99AF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0,63%</w:t>
            </w:r>
          </w:p>
        </w:tc>
        <w:tc>
          <w:tcPr>
            <w:tcW w:w="709" w:type="dxa"/>
            <w:shd w:val="clear" w:color="auto" w:fill="FFFFFF" w:themeFill="background1"/>
            <w:tcMar>
              <w:top w:w="0" w:type="dxa"/>
              <w:left w:w="108" w:type="dxa"/>
              <w:bottom w:w="0" w:type="dxa"/>
              <w:right w:w="108" w:type="dxa"/>
            </w:tcMar>
          </w:tcPr>
          <w:p w14:paraId="45EA498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2" w:type="dxa"/>
            <w:shd w:val="clear" w:color="auto" w:fill="FFFFFF" w:themeFill="background1"/>
            <w:tcMar>
              <w:top w:w="0" w:type="dxa"/>
              <w:left w:w="108" w:type="dxa"/>
              <w:bottom w:w="0" w:type="dxa"/>
              <w:right w:w="108" w:type="dxa"/>
            </w:tcMar>
          </w:tcPr>
          <w:p w14:paraId="48136D1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0,51%</w:t>
            </w:r>
          </w:p>
        </w:tc>
        <w:tc>
          <w:tcPr>
            <w:tcW w:w="850" w:type="dxa"/>
            <w:shd w:val="clear" w:color="auto" w:fill="FFFFFF" w:themeFill="background1"/>
            <w:tcMar>
              <w:top w:w="0" w:type="dxa"/>
              <w:left w:w="108" w:type="dxa"/>
              <w:bottom w:w="0" w:type="dxa"/>
              <w:right w:w="108" w:type="dxa"/>
            </w:tcMar>
          </w:tcPr>
          <w:p w14:paraId="2C4C521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06F6DEB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8" w:type="dxa"/>
            <w:shd w:val="clear" w:color="auto" w:fill="FFFFFF" w:themeFill="background1"/>
            <w:tcMar>
              <w:top w:w="0" w:type="dxa"/>
              <w:left w:w="108" w:type="dxa"/>
              <w:bottom w:w="0" w:type="dxa"/>
              <w:right w:w="108" w:type="dxa"/>
            </w:tcMar>
          </w:tcPr>
          <w:p w14:paraId="47CA73C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3CC7C78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425" w:type="dxa"/>
            <w:shd w:val="clear" w:color="auto" w:fill="FFFFFF" w:themeFill="background1"/>
            <w:tcMar>
              <w:top w:w="0" w:type="dxa"/>
              <w:left w:w="108" w:type="dxa"/>
              <w:bottom w:w="0" w:type="dxa"/>
              <w:right w:w="108" w:type="dxa"/>
            </w:tcMar>
          </w:tcPr>
          <w:p w14:paraId="573F192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2AB5D2F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567" w:type="dxa"/>
            <w:shd w:val="clear" w:color="auto" w:fill="FFFFFF" w:themeFill="background1"/>
            <w:tcMar>
              <w:top w:w="0" w:type="dxa"/>
              <w:left w:w="108" w:type="dxa"/>
              <w:bottom w:w="0" w:type="dxa"/>
              <w:right w:w="108" w:type="dxa"/>
            </w:tcMar>
          </w:tcPr>
          <w:p w14:paraId="1C6A9AE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1" w:type="dxa"/>
            <w:shd w:val="clear" w:color="auto" w:fill="FFFFFF" w:themeFill="background1"/>
            <w:tcMar>
              <w:top w:w="0" w:type="dxa"/>
              <w:left w:w="108" w:type="dxa"/>
              <w:bottom w:w="0" w:type="dxa"/>
              <w:right w:w="108" w:type="dxa"/>
            </w:tcMar>
          </w:tcPr>
          <w:p w14:paraId="40C6707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r>
      <w:tr w:rsidR="00284822" w14:paraId="03C95D1D" w14:textId="77777777">
        <w:trPr>
          <w:trHeight w:val="237"/>
          <w:jc w:val="center"/>
        </w:trPr>
        <w:tc>
          <w:tcPr>
            <w:tcW w:w="851" w:type="dxa"/>
            <w:shd w:val="clear" w:color="auto" w:fill="FFFFFF" w:themeFill="background1"/>
            <w:noWrap/>
            <w:tcMar>
              <w:top w:w="0" w:type="dxa"/>
              <w:left w:w="108" w:type="dxa"/>
              <w:bottom w:w="0" w:type="dxa"/>
              <w:right w:w="108" w:type="dxa"/>
            </w:tcMar>
          </w:tcPr>
          <w:p w14:paraId="61FD04DB"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w:t>
            </w:r>
          </w:p>
        </w:tc>
        <w:tc>
          <w:tcPr>
            <w:tcW w:w="1696" w:type="dxa"/>
            <w:shd w:val="clear" w:color="auto" w:fill="FFFFFF" w:themeFill="background1"/>
            <w:tcMar>
              <w:top w:w="0" w:type="dxa"/>
              <w:left w:w="108" w:type="dxa"/>
              <w:bottom w:w="0" w:type="dxa"/>
              <w:right w:w="108" w:type="dxa"/>
            </w:tcMar>
          </w:tcPr>
          <w:p w14:paraId="42B0434A"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MAE</w:t>
            </w:r>
          </w:p>
        </w:tc>
        <w:tc>
          <w:tcPr>
            <w:tcW w:w="567" w:type="dxa"/>
            <w:shd w:val="clear" w:color="auto" w:fill="FFFFFF" w:themeFill="background1"/>
            <w:tcMar>
              <w:top w:w="0" w:type="dxa"/>
              <w:left w:w="108" w:type="dxa"/>
              <w:bottom w:w="0" w:type="dxa"/>
              <w:right w:w="108" w:type="dxa"/>
            </w:tcMar>
          </w:tcPr>
          <w:p w14:paraId="7F123FC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w:t>
            </w:r>
          </w:p>
        </w:tc>
        <w:tc>
          <w:tcPr>
            <w:tcW w:w="850" w:type="dxa"/>
            <w:shd w:val="clear" w:color="auto" w:fill="FFFFFF" w:themeFill="background1"/>
            <w:tcMar>
              <w:top w:w="0" w:type="dxa"/>
              <w:left w:w="108" w:type="dxa"/>
              <w:bottom w:w="0" w:type="dxa"/>
              <w:right w:w="108" w:type="dxa"/>
            </w:tcMar>
          </w:tcPr>
          <w:p w14:paraId="7A25A39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1,27%</w:t>
            </w:r>
          </w:p>
        </w:tc>
        <w:tc>
          <w:tcPr>
            <w:tcW w:w="851" w:type="dxa"/>
            <w:shd w:val="clear" w:color="auto" w:fill="FFFFFF" w:themeFill="background1"/>
            <w:tcMar>
              <w:top w:w="0" w:type="dxa"/>
              <w:left w:w="108" w:type="dxa"/>
              <w:bottom w:w="0" w:type="dxa"/>
              <w:right w:w="108" w:type="dxa"/>
            </w:tcMar>
          </w:tcPr>
          <w:p w14:paraId="110199B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5</w:t>
            </w:r>
          </w:p>
        </w:tc>
        <w:tc>
          <w:tcPr>
            <w:tcW w:w="992" w:type="dxa"/>
            <w:shd w:val="clear" w:color="auto" w:fill="FFFFFF" w:themeFill="background1"/>
            <w:tcMar>
              <w:top w:w="0" w:type="dxa"/>
              <w:left w:w="108" w:type="dxa"/>
              <w:bottom w:w="0" w:type="dxa"/>
              <w:right w:w="108" w:type="dxa"/>
            </w:tcMar>
          </w:tcPr>
          <w:p w14:paraId="0572F4C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1,52%</w:t>
            </w:r>
          </w:p>
        </w:tc>
        <w:tc>
          <w:tcPr>
            <w:tcW w:w="709" w:type="dxa"/>
            <w:shd w:val="clear" w:color="auto" w:fill="FFFFFF" w:themeFill="background1"/>
            <w:tcMar>
              <w:top w:w="0" w:type="dxa"/>
              <w:left w:w="108" w:type="dxa"/>
              <w:bottom w:w="0" w:type="dxa"/>
              <w:right w:w="108" w:type="dxa"/>
            </w:tcMar>
          </w:tcPr>
          <w:p w14:paraId="2625FE7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1134" w:type="dxa"/>
            <w:shd w:val="clear" w:color="auto" w:fill="FFFFFF" w:themeFill="background1"/>
            <w:tcMar>
              <w:top w:w="0" w:type="dxa"/>
              <w:left w:w="108" w:type="dxa"/>
              <w:bottom w:w="0" w:type="dxa"/>
              <w:right w:w="108" w:type="dxa"/>
            </w:tcMar>
          </w:tcPr>
          <w:p w14:paraId="1AA0ED1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0,63%</w:t>
            </w:r>
          </w:p>
        </w:tc>
        <w:tc>
          <w:tcPr>
            <w:tcW w:w="709" w:type="dxa"/>
            <w:shd w:val="clear" w:color="auto" w:fill="FFFFFF" w:themeFill="background1"/>
            <w:tcMar>
              <w:top w:w="0" w:type="dxa"/>
              <w:left w:w="108" w:type="dxa"/>
              <w:bottom w:w="0" w:type="dxa"/>
              <w:right w:w="108" w:type="dxa"/>
            </w:tcMar>
          </w:tcPr>
          <w:p w14:paraId="2AB4192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2" w:type="dxa"/>
            <w:shd w:val="clear" w:color="auto" w:fill="FFFFFF" w:themeFill="background1"/>
            <w:tcMar>
              <w:top w:w="0" w:type="dxa"/>
              <w:left w:w="108" w:type="dxa"/>
              <w:bottom w:w="0" w:type="dxa"/>
              <w:right w:w="108" w:type="dxa"/>
            </w:tcMar>
          </w:tcPr>
          <w:p w14:paraId="5A35641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0,51%</w:t>
            </w:r>
          </w:p>
        </w:tc>
        <w:tc>
          <w:tcPr>
            <w:tcW w:w="850" w:type="dxa"/>
            <w:shd w:val="clear" w:color="auto" w:fill="FFFFFF" w:themeFill="background1"/>
            <w:tcMar>
              <w:top w:w="0" w:type="dxa"/>
              <w:left w:w="108" w:type="dxa"/>
              <w:bottom w:w="0" w:type="dxa"/>
              <w:right w:w="108" w:type="dxa"/>
            </w:tcMar>
          </w:tcPr>
          <w:p w14:paraId="4D4E141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476647C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8" w:type="dxa"/>
            <w:shd w:val="clear" w:color="auto" w:fill="FFFFFF" w:themeFill="background1"/>
            <w:tcMar>
              <w:top w:w="0" w:type="dxa"/>
              <w:left w:w="108" w:type="dxa"/>
              <w:bottom w:w="0" w:type="dxa"/>
              <w:right w:w="108" w:type="dxa"/>
            </w:tcMar>
          </w:tcPr>
          <w:p w14:paraId="39DC22F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4D37164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425" w:type="dxa"/>
            <w:shd w:val="clear" w:color="auto" w:fill="FFFFFF" w:themeFill="background1"/>
            <w:tcMar>
              <w:top w:w="0" w:type="dxa"/>
              <w:left w:w="108" w:type="dxa"/>
              <w:bottom w:w="0" w:type="dxa"/>
              <w:right w:w="108" w:type="dxa"/>
            </w:tcMar>
          </w:tcPr>
          <w:p w14:paraId="555DAD5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850" w:type="dxa"/>
            <w:shd w:val="clear" w:color="auto" w:fill="FFFFFF" w:themeFill="background1"/>
            <w:tcMar>
              <w:top w:w="0" w:type="dxa"/>
              <w:left w:w="108" w:type="dxa"/>
              <w:bottom w:w="0" w:type="dxa"/>
              <w:right w:w="108" w:type="dxa"/>
            </w:tcMar>
          </w:tcPr>
          <w:p w14:paraId="05D04B9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2,04%</w:t>
            </w:r>
          </w:p>
        </w:tc>
        <w:tc>
          <w:tcPr>
            <w:tcW w:w="567" w:type="dxa"/>
            <w:shd w:val="clear" w:color="auto" w:fill="FFFFFF" w:themeFill="background1"/>
            <w:tcMar>
              <w:top w:w="0" w:type="dxa"/>
              <w:left w:w="108" w:type="dxa"/>
              <w:bottom w:w="0" w:type="dxa"/>
              <w:right w:w="108" w:type="dxa"/>
            </w:tcMar>
          </w:tcPr>
          <w:p w14:paraId="22EF7C1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851" w:type="dxa"/>
            <w:shd w:val="clear" w:color="auto" w:fill="FFFFFF" w:themeFill="background1"/>
            <w:tcMar>
              <w:top w:w="0" w:type="dxa"/>
              <w:left w:w="108" w:type="dxa"/>
              <w:bottom w:w="0" w:type="dxa"/>
              <w:right w:w="108" w:type="dxa"/>
            </w:tcMar>
          </w:tcPr>
          <w:p w14:paraId="5877B78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1,41%</w:t>
            </w:r>
          </w:p>
        </w:tc>
      </w:tr>
      <w:tr w:rsidR="00284822" w14:paraId="0B664E1D" w14:textId="77777777">
        <w:trPr>
          <w:trHeight w:val="247"/>
          <w:jc w:val="center"/>
        </w:trPr>
        <w:tc>
          <w:tcPr>
            <w:tcW w:w="851" w:type="dxa"/>
            <w:shd w:val="clear" w:color="auto" w:fill="FFFFFF" w:themeFill="background1"/>
            <w:noWrap/>
            <w:tcMar>
              <w:top w:w="0" w:type="dxa"/>
              <w:left w:w="108" w:type="dxa"/>
              <w:bottom w:w="0" w:type="dxa"/>
              <w:right w:w="108" w:type="dxa"/>
            </w:tcMar>
          </w:tcPr>
          <w:p w14:paraId="5F05E08C"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16</w:t>
            </w:r>
          </w:p>
        </w:tc>
        <w:tc>
          <w:tcPr>
            <w:tcW w:w="1696" w:type="dxa"/>
            <w:shd w:val="clear" w:color="auto" w:fill="FFFFFF" w:themeFill="background1"/>
            <w:tcMar>
              <w:top w:w="0" w:type="dxa"/>
              <w:left w:w="108" w:type="dxa"/>
              <w:bottom w:w="0" w:type="dxa"/>
              <w:right w:w="108" w:type="dxa"/>
            </w:tcMar>
          </w:tcPr>
          <w:p w14:paraId="7F8451D8"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MBF</w:t>
            </w:r>
          </w:p>
        </w:tc>
        <w:tc>
          <w:tcPr>
            <w:tcW w:w="567" w:type="dxa"/>
            <w:shd w:val="clear" w:color="auto" w:fill="FFFFFF" w:themeFill="background1"/>
            <w:tcMar>
              <w:top w:w="0" w:type="dxa"/>
              <w:left w:w="108" w:type="dxa"/>
              <w:bottom w:w="0" w:type="dxa"/>
              <w:right w:w="108" w:type="dxa"/>
            </w:tcMar>
          </w:tcPr>
          <w:p w14:paraId="1244B66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850" w:type="dxa"/>
            <w:shd w:val="clear" w:color="auto" w:fill="FFFFFF" w:themeFill="background1"/>
            <w:tcMar>
              <w:top w:w="0" w:type="dxa"/>
              <w:left w:w="108" w:type="dxa"/>
              <w:bottom w:w="0" w:type="dxa"/>
              <w:right w:w="108" w:type="dxa"/>
            </w:tcMar>
          </w:tcPr>
          <w:p w14:paraId="7115FBF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0,64%</w:t>
            </w:r>
          </w:p>
        </w:tc>
        <w:tc>
          <w:tcPr>
            <w:tcW w:w="851" w:type="dxa"/>
            <w:shd w:val="clear" w:color="auto" w:fill="FFFFFF" w:themeFill="background1"/>
            <w:tcMar>
              <w:top w:w="0" w:type="dxa"/>
              <w:left w:w="108" w:type="dxa"/>
              <w:bottom w:w="0" w:type="dxa"/>
              <w:right w:w="108" w:type="dxa"/>
            </w:tcMar>
          </w:tcPr>
          <w:p w14:paraId="736FD9D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w:t>
            </w:r>
          </w:p>
        </w:tc>
        <w:tc>
          <w:tcPr>
            <w:tcW w:w="992" w:type="dxa"/>
            <w:shd w:val="clear" w:color="auto" w:fill="FFFFFF" w:themeFill="background1"/>
            <w:tcMar>
              <w:top w:w="0" w:type="dxa"/>
              <w:left w:w="108" w:type="dxa"/>
              <w:bottom w:w="0" w:type="dxa"/>
              <w:right w:w="108" w:type="dxa"/>
            </w:tcMar>
          </w:tcPr>
          <w:p w14:paraId="2505066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0,61%</w:t>
            </w:r>
          </w:p>
        </w:tc>
        <w:tc>
          <w:tcPr>
            <w:tcW w:w="709" w:type="dxa"/>
            <w:shd w:val="clear" w:color="auto" w:fill="FFFFFF" w:themeFill="background1"/>
            <w:tcMar>
              <w:top w:w="0" w:type="dxa"/>
              <w:left w:w="108" w:type="dxa"/>
              <w:bottom w:w="0" w:type="dxa"/>
              <w:right w:w="108" w:type="dxa"/>
            </w:tcMar>
          </w:tcPr>
          <w:p w14:paraId="4CD3ED5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1134" w:type="dxa"/>
            <w:shd w:val="clear" w:color="auto" w:fill="FFFFFF" w:themeFill="background1"/>
            <w:tcMar>
              <w:top w:w="0" w:type="dxa"/>
              <w:left w:w="108" w:type="dxa"/>
              <w:bottom w:w="0" w:type="dxa"/>
              <w:right w:w="108" w:type="dxa"/>
            </w:tcMar>
          </w:tcPr>
          <w:p w14:paraId="794524D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0,63%</w:t>
            </w:r>
          </w:p>
        </w:tc>
        <w:tc>
          <w:tcPr>
            <w:tcW w:w="709" w:type="dxa"/>
            <w:shd w:val="clear" w:color="auto" w:fill="FFFFFF" w:themeFill="background1"/>
            <w:tcMar>
              <w:top w:w="0" w:type="dxa"/>
              <w:left w:w="108" w:type="dxa"/>
              <w:bottom w:w="0" w:type="dxa"/>
              <w:right w:w="108" w:type="dxa"/>
            </w:tcMar>
          </w:tcPr>
          <w:p w14:paraId="6CA2CD6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2" w:type="dxa"/>
            <w:shd w:val="clear" w:color="auto" w:fill="FFFFFF" w:themeFill="background1"/>
            <w:tcMar>
              <w:top w:w="0" w:type="dxa"/>
              <w:left w:w="108" w:type="dxa"/>
              <w:bottom w:w="0" w:type="dxa"/>
              <w:right w:w="108" w:type="dxa"/>
            </w:tcMar>
          </w:tcPr>
          <w:p w14:paraId="3CADDF8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0,51%</w:t>
            </w:r>
          </w:p>
        </w:tc>
        <w:tc>
          <w:tcPr>
            <w:tcW w:w="850" w:type="dxa"/>
            <w:shd w:val="clear" w:color="auto" w:fill="FFFFFF" w:themeFill="background1"/>
            <w:tcMar>
              <w:top w:w="0" w:type="dxa"/>
              <w:left w:w="108" w:type="dxa"/>
              <w:bottom w:w="0" w:type="dxa"/>
              <w:right w:w="108" w:type="dxa"/>
            </w:tcMar>
          </w:tcPr>
          <w:p w14:paraId="7564F70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3D67036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8" w:type="dxa"/>
            <w:shd w:val="clear" w:color="auto" w:fill="FFFFFF" w:themeFill="background1"/>
            <w:tcMar>
              <w:top w:w="0" w:type="dxa"/>
              <w:left w:w="108" w:type="dxa"/>
              <w:bottom w:w="0" w:type="dxa"/>
              <w:right w:w="108" w:type="dxa"/>
            </w:tcMar>
          </w:tcPr>
          <w:p w14:paraId="33FAFB3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3E840A3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425" w:type="dxa"/>
            <w:shd w:val="clear" w:color="auto" w:fill="FFFFFF" w:themeFill="background1"/>
            <w:tcMar>
              <w:top w:w="0" w:type="dxa"/>
              <w:left w:w="108" w:type="dxa"/>
              <w:bottom w:w="0" w:type="dxa"/>
              <w:right w:w="108" w:type="dxa"/>
            </w:tcMar>
          </w:tcPr>
          <w:p w14:paraId="6A88409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0822903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567" w:type="dxa"/>
            <w:shd w:val="clear" w:color="auto" w:fill="FFFFFF" w:themeFill="background1"/>
            <w:tcMar>
              <w:top w:w="0" w:type="dxa"/>
              <w:left w:w="108" w:type="dxa"/>
              <w:bottom w:w="0" w:type="dxa"/>
              <w:right w:w="108" w:type="dxa"/>
            </w:tcMar>
          </w:tcPr>
          <w:p w14:paraId="310339A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1" w:type="dxa"/>
            <w:shd w:val="clear" w:color="auto" w:fill="FFFFFF" w:themeFill="background1"/>
            <w:tcMar>
              <w:top w:w="0" w:type="dxa"/>
              <w:left w:w="108" w:type="dxa"/>
              <w:bottom w:w="0" w:type="dxa"/>
              <w:right w:w="108" w:type="dxa"/>
            </w:tcMar>
          </w:tcPr>
          <w:p w14:paraId="63C804A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r>
      <w:tr w:rsidR="00284822" w14:paraId="489BE72B" w14:textId="77777777">
        <w:trPr>
          <w:trHeight w:val="229"/>
          <w:jc w:val="center"/>
        </w:trPr>
        <w:tc>
          <w:tcPr>
            <w:tcW w:w="851" w:type="dxa"/>
            <w:shd w:val="clear" w:color="auto" w:fill="FFFFFF" w:themeFill="background1"/>
            <w:noWrap/>
            <w:tcMar>
              <w:top w:w="0" w:type="dxa"/>
              <w:left w:w="108" w:type="dxa"/>
              <w:bottom w:w="0" w:type="dxa"/>
              <w:right w:w="108" w:type="dxa"/>
            </w:tcMar>
          </w:tcPr>
          <w:p w14:paraId="6ECF55CC"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17</w:t>
            </w:r>
          </w:p>
        </w:tc>
        <w:tc>
          <w:tcPr>
            <w:tcW w:w="1696" w:type="dxa"/>
            <w:shd w:val="clear" w:color="auto" w:fill="FFFFFF" w:themeFill="background1"/>
            <w:tcMar>
              <w:top w:w="0" w:type="dxa"/>
              <w:left w:w="108" w:type="dxa"/>
              <w:bottom w:w="0" w:type="dxa"/>
              <w:right w:w="108" w:type="dxa"/>
            </w:tcMar>
          </w:tcPr>
          <w:p w14:paraId="231B53D8"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MBU</w:t>
            </w:r>
          </w:p>
        </w:tc>
        <w:tc>
          <w:tcPr>
            <w:tcW w:w="567" w:type="dxa"/>
            <w:shd w:val="clear" w:color="auto" w:fill="FFFFFF" w:themeFill="background1"/>
            <w:tcMar>
              <w:top w:w="0" w:type="dxa"/>
              <w:left w:w="108" w:type="dxa"/>
              <w:bottom w:w="0" w:type="dxa"/>
              <w:right w:w="108" w:type="dxa"/>
            </w:tcMar>
          </w:tcPr>
          <w:p w14:paraId="6A6C4C2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57B14C7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1" w:type="dxa"/>
            <w:shd w:val="clear" w:color="auto" w:fill="FFFFFF" w:themeFill="background1"/>
            <w:tcMar>
              <w:top w:w="0" w:type="dxa"/>
              <w:left w:w="108" w:type="dxa"/>
              <w:bottom w:w="0" w:type="dxa"/>
              <w:right w:w="108" w:type="dxa"/>
            </w:tcMar>
          </w:tcPr>
          <w:p w14:paraId="47CFD0E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0A8D9C3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75AF88B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1134" w:type="dxa"/>
            <w:shd w:val="clear" w:color="auto" w:fill="FFFFFF" w:themeFill="background1"/>
            <w:tcMar>
              <w:top w:w="0" w:type="dxa"/>
              <w:left w:w="108" w:type="dxa"/>
              <w:bottom w:w="0" w:type="dxa"/>
              <w:right w:w="108" w:type="dxa"/>
            </w:tcMar>
          </w:tcPr>
          <w:p w14:paraId="6A1D4D1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01235F9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4516335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0" w:type="dxa"/>
            <w:shd w:val="clear" w:color="auto" w:fill="FFFFFF" w:themeFill="background1"/>
            <w:tcMar>
              <w:top w:w="0" w:type="dxa"/>
              <w:left w:w="108" w:type="dxa"/>
              <w:bottom w:w="0" w:type="dxa"/>
              <w:right w:w="108" w:type="dxa"/>
            </w:tcMar>
          </w:tcPr>
          <w:p w14:paraId="7FBB64A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3" w:type="dxa"/>
            <w:shd w:val="clear" w:color="auto" w:fill="FFFFFF" w:themeFill="background1"/>
            <w:tcMar>
              <w:top w:w="0" w:type="dxa"/>
              <w:left w:w="108" w:type="dxa"/>
              <w:bottom w:w="0" w:type="dxa"/>
              <w:right w:w="108" w:type="dxa"/>
            </w:tcMar>
          </w:tcPr>
          <w:p w14:paraId="5310F86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0,88%</w:t>
            </w:r>
          </w:p>
        </w:tc>
        <w:tc>
          <w:tcPr>
            <w:tcW w:w="708" w:type="dxa"/>
            <w:shd w:val="clear" w:color="auto" w:fill="FFFFFF" w:themeFill="background1"/>
            <w:tcMar>
              <w:top w:w="0" w:type="dxa"/>
              <w:left w:w="108" w:type="dxa"/>
              <w:bottom w:w="0" w:type="dxa"/>
              <w:right w:w="108" w:type="dxa"/>
            </w:tcMar>
          </w:tcPr>
          <w:p w14:paraId="4D16D8B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3" w:type="dxa"/>
            <w:shd w:val="clear" w:color="auto" w:fill="FFFFFF" w:themeFill="background1"/>
            <w:tcMar>
              <w:top w:w="0" w:type="dxa"/>
              <w:left w:w="108" w:type="dxa"/>
              <w:bottom w:w="0" w:type="dxa"/>
              <w:right w:w="108" w:type="dxa"/>
            </w:tcMar>
          </w:tcPr>
          <w:p w14:paraId="0083E48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0,56%</w:t>
            </w:r>
          </w:p>
        </w:tc>
        <w:tc>
          <w:tcPr>
            <w:tcW w:w="425" w:type="dxa"/>
            <w:shd w:val="clear" w:color="auto" w:fill="FFFFFF" w:themeFill="background1"/>
            <w:tcMar>
              <w:top w:w="0" w:type="dxa"/>
              <w:left w:w="108" w:type="dxa"/>
              <w:bottom w:w="0" w:type="dxa"/>
              <w:right w:w="108" w:type="dxa"/>
            </w:tcMar>
          </w:tcPr>
          <w:p w14:paraId="5EE1F96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1E2A151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567" w:type="dxa"/>
            <w:shd w:val="clear" w:color="auto" w:fill="FFFFFF" w:themeFill="background1"/>
            <w:tcMar>
              <w:top w:w="0" w:type="dxa"/>
              <w:left w:w="108" w:type="dxa"/>
              <w:bottom w:w="0" w:type="dxa"/>
              <w:right w:w="108" w:type="dxa"/>
            </w:tcMar>
          </w:tcPr>
          <w:p w14:paraId="4F78513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1" w:type="dxa"/>
            <w:shd w:val="clear" w:color="auto" w:fill="FFFFFF" w:themeFill="background1"/>
            <w:tcMar>
              <w:top w:w="0" w:type="dxa"/>
              <w:left w:w="108" w:type="dxa"/>
              <w:bottom w:w="0" w:type="dxa"/>
              <w:right w:w="108" w:type="dxa"/>
            </w:tcMar>
          </w:tcPr>
          <w:p w14:paraId="55D0DC2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r>
      <w:tr w:rsidR="00284822" w14:paraId="067DA361" w14:textId="77777777">
        <w:trPr>
          <w:trHeight w:val="381"/>
          <w:jc w:val="center"/>
        </w:trPr>
        <w:tc>
          <w:tcPr>
            <w:tcW w:w="851" w:type="dxa"/>
            <w:shd w:val="clear" w:color="auto" w:fill="FFFFFF" w:themeFill="background1"/>
            <w:noWrap/>
            <w:tcMar>
              <w:top w:w="0" w:type="dxa"/>
              <w:left w:w="108" w:type="dxa"/>
              <w:bottom w:w="0" w:type="dxa"/>
              <w:right w:w="108" w:type="dxa"/>
            </w:tcMar>
          </w:tcPr>
          <w:p w14:paraId="20002C46"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18</w:t>
            </w:r>
          </w:p>
        </w:tc>
        <w:tc>
          <w:tcPr>
            <w:tcW w:w="1696" w:type="dxa"/>
            <w:shd w:val="clear" w:color="auto" w:fill="FFFFFF" w:themeFill="background1"/>
            <w:tcMar>
              <w:top w:w="0" w:type="dxa"/>
              <w:left w:w="108" w:type="dxa"/>
              <w:bottom w:w="0" w:type="dxa"/>
              <w:right w:w="108" w:type="dxa"/>
            </w:tcMar>
          </w:tcPr>
          <w:p w14:paraId="41AF3021"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MCR</w:t>
            </w:r>
          </w:p>
        </w:tc>
        <w:tc>
          <w:tcPr>
            <w:tcW w:w="567" w:type="dxa"/>
            <w:shd w:val="clear" w:color="auto" w:fill="FFFFFF" w:themeFill="background1"/>
            <w:tcMar>
              <w:top w:w="0" w:type="dxa"/>
              <w:left w:w="108" w:type="dxa"/>
              <w:bottom w:w="0" w:type="dxa"/>
              <w:right w:w="108" w:type="dxa"/>
            </w:tcMar>
          </w:tcPr>
          <w:p w14:paraId="78D62C6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w:t>
            </w:r>
          </w:p>
        </w:tc>
        <w:tc>
          <w:tcPr>
            <w:tcW w:w="850" w:type="dxa"/>
            <w:shd w:val="clear" w:color="auto" w:fill="FFFFFF" w:themeFill="background1"/>
            <w:tcMar>
              <w:top w:w="0" w:type="dxa"/>
              <w:left w:w="108" w:type="dxa"/>
              <w:bottom w:w="0" w:type="dxa"/>
              <w:right w:w="108" w:type="dxa"/>
            </w:tcMar>
          </w:tcPr>
          <w:p w14:paraId="4B71E05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1,27%</w:t>
            </w:r>
          </w:p>
        </w:tc>
        <w:tc>
          <w:tcPr>
            <w:tcW w:w="851" w:type="dxa"/>
            <w:shd w:val="clear" w:color="auto" w:fill="FFFFFF" w:themeFill="background1"/>
            <w:tcMar>
              <w:top w:w="0" w:type="dxa"/>
              <w:left w:w="108" w:type="dxa"/>
              <w:bottom w:w="0" w:type="dxa"/>
              <w:right w:w="108" w:type="dxa"/>
            </w:tcMar>
          </w:tcPr>
          <w:p w14:paraId="6AB7D4D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5</w:t>
            </w:r>
          </w:p>
        </w:tc>
        <w:tc>
          <w:tcPr>
            <w:tcW w:w="992" w:type="dxa"/>
            <w:shd w:val="clear" w:color="auto" w:fill="FFFFFF" w:themeFill="background1"/>
            <w:tcMar>
              <w:top w:w="0" w:type="dxa"/>
              <w:left w:w="108" w:type="dxa"/>
              <w:bottom w:w="0" w:type="dxa"/>
              <w:right w:w="108" w:type="dxa"/>
            </w:tcMar>
          </w:tcPr>
          <w:p w14:paraId="296D7CF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1,52%</w:t>
            </w:r>
          </w:p>
        </w:tc>
        <w:tc>
          <w:tcPr>
            <w:tcW w:w="709" w:type="dxa"/>
            <w:shd w:val="clear" w:color="auto" w:fill="FFFFFF" w:themeFill="background1"/>
            <w:tcMar>
              <w:top w:w="0" w:type="dxa"/>
              <w:left w:w="108" w:type="dxa"/>
              <w:bottom w:w="0" w:type="dxa"/>
              <w:right w:w="108" w:type="dxa"/>
            </w:tcMar>
          </w:tcPr>
          <w:p w14:paraId="686024C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1134" w:type="dxa"/>
            <w:shd w:val="clear" w:color="auto" w:fill="FFFFFF" w:themeFill="background1"/>
            <w:tcMar>
              <w:top w:w="0" w:type="dxa"/>
              <w:left w:w="108" w:type="dxa"/>
              <w:bottom w:w="0" w:type="dxa"/>
              <w:right w:w="108" w:type="dxa"/>
            </w:tcMar>
          </w:tcPr>
          <w:p w14:paraId="4B6F318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03CC802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575C5BA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0" w:type="dxa"/>
            <w:shd w:val="clear" w:color="auto" w:fill="FFFFFF" w:themeFill="background1"/>
            <w:tcMar>
              <w:top w:w="0" w:type="dxa"/>
              <w:left w:w="108" w:type="dxa"/>
              <w:bottom w:w="0" w:type="dxa"/>
              <w:right w:w="108" w:type="dxa"/>
            </w:tcMar>
          </w:tcPr>
          <w:p w14:paraId="0D345A6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w:t>
            </w:r>
          </w:p>
        </w:tc>
        <w:tc>
          <w:tcPr>
            <w:tcW w:w="993" w:type="dxa"/>
            <w:shd w:val="clear" w:color="auto" w:fill="FFFFFF" w:themeFill="background1"/>
            <w:tcMar>
              <w:top w:w="0" w:type="dxa"/>
              <w:left w:w="108" w:type="dxa"/>
              <w:bottom w:w="0" w:type="dxa"/>
              <w:right w:w="108" w:type="dxa"/>
            </w:tcMar>
          </w:tcPr>
          <w:p w14:paraId="2C7CE14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1,77%</w:t>
            </w:r>
          </w:p>
        </w:tc>
        <w:tc>
          <w:tcPr>
            <w:tcW w:w="708" w:type="dxa"/>
            <w:shd w:val="clear" w:color="auto" w:fill="FFFFFF" w:themeFill="background1"/>
            <w:tcMar>
              <w:top w:w="0" w:type="dxa"/>
              <w:left w:w="108" w:type="dxa"/>
              <w:bottom w:w="0" w:type="dxa"/>
              <w:right w:w="108" w:type="dxa"/>
            </w:tcMar>
          </w:tcPr>
          <w:p w14:paraId="4DDA718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w:t>
            </w:r>
          </w:p>
        </w:tc>
        <w:tc>
          <w:tcPr>
            <w:tcW w:w="993" w:type="dxa"/>
            <w:shd w:val="clear" w:color="auto" w:fill="FFFFFF" w:themeFill="background1"/>
            <w:tcMar>
              <w:top w:w="0" w:type="dxa"/>
              <w:left w:w="108" w:type="dxa"/>
              <w:bottom w:w="0" w:type="dxa"/>
              <w:right w:w="108" w:type="dxa"/>
            </w:tcMar>
          </w:tcPr>
          <w:p w14:paraId="504205A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1,13%</w:t>
            </w:r>
          </w:p>
        </w:tc>
        <w:tc>
          <w:tcPr>
            <w:tcW w:w="425" w:type="dxa"/>
            <w:shd w:val="clear" w:color="auto" w:fill="FFFFFF" w:themeFill="background1"/>
            <w:tcMar>
              <w:top w:w="0" w:type="dxa"/>
              <w:left w:w="108" w:type="dxa"/>
              <w:bottom w:w="0" w:type="dxa"/>
              <w:right w:w="108" w:type="dxa"/>
            </w:tcMar>
          </w:tcPr>
          <w:p w14:paraId="0FDEFD8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78B1108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567" w:type="dxa"/>
            <w:shd w:val="clear" w:color="auto" w:fill="FFFFFF" w:themeFill="background1"/>
            <w:tcMar>
              <w:top w:w="0" w:type="dxa"/>
              <w:left w:w="108" w:type="dxa"/>
              <w:bottom w:w="0" w:type="dxa"/>
              <w:right w:w="108" w:type="dxa"/>
            </w:tcMar>
          </w:tcPr>
          <w:p w14:paraId="3BD4589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1" w:type="dxa"/>
            <w:shd w:val="clear" w:color="auto" w:fill="FFFFFF" w:themeFill="background1"/>
            <w:tcMar>
              <w:top w:w="0" w:type="dxa"/>
              <w:left w:w="108" w:type="dxa"/>
              <w:bottom w:w="0" w:type="dxa"/>
              <w:right w:w="108" w:type="dxa"/>
            </w:tcMar>
          </w:tcPr>
          <w:p w14:paraId="5C56BC2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r>
      <w:tr w:rsidR="00284822" w14:paraId="1FD57431" w14:textId="77777777">
        <w:trPr>
          <w:trHeight w:val="70"/>
          <w:jc w:val="center"/>
        </w:trPr>
        <w:tc>
          <w:tcPr>
            <w:tcW w:w="851" w:type="dxa"/>
            <w:shd w:val="clear" w:color="auto" w:fill="FFFFFF" w:themeFill="background1"/>
            <w:noWrap/>
            <w:tcMar>
              <w:top w:w="0" w:type="dxa"/>
              <w:left w:w="108" w:type="dxa"/>
              <w:bottom w:w="0" w:type="dxa"/>
              <w:right w:w="108" w:type="dxa"/>
            </w:tcMar>
          </w:tcPr>
          <w:p w14:paraId="1CF166FB"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19</w:t>
            </w:r>
          </w:p>
        </w:tc>
        <w:tc>
          <w:tcPr>
            <w:tcW w:w="1696" w:type="dxa"/>
            <w:shd w:val="clear" w:color="auto" w:fill="FFFFFF" w:themeFill="background1"/>
            <w:tcMar>
              <w:top w:w="0" w:type="dxa"/>
              <w:left w:w="108" w:type="dxa"/>
              <w:bottom w:w="0" w:type="dxa"/>
              <w:right w:w="108" w:type="dxa"/>
            </w:tcMar>
          </w:tcPr>
          <w:p w14:paraId="74085B23"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MDP-BF</w:t>
            </w:r>
          </w:p>
        </w:tc>
        <w:tc>
          <w:tcPr>
            <w:tcW w:w="567" w:type="dxa"/>
            <w:shd w:val="clear" w:color="auto" w:fill="FFFFFF" w:themeFill="background1"/>
            <w:tcMar>
              <w:top w:w="0" w:type="dxa"/>
              <w:left w:w="108" w:type="dxa"/>
              <w:bottom w:w="0" w:type="dxa"/>
              <w:right w:w="108" w:type="dxa"/>
            </w:tcMar>
          </w:tcPr>
          <w:p w14:paraId="7F9D312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4C7333C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1" w:type="dxa"/>
            <w:shd w:val="clear" w:color="auto" w:fill="FFFFFF" w:themeFill="background1"/>
            <w:tcMar>
              <w:top w:w="0" w:type="dxa"/>
              <w:left w:w="108" w:type="dxa"/>
              <w:bottom w:w="0" w:type="dxa"/>
              <w:right w:w="108" w:type="dxa"/>
            </w:tcMar>
          </w:tcPr>
          <w:p w14:paraId="7A96435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71A1551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554A251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1134" w:type="dxa"/>
            <w:shd w:val="clear" w:color="auto" w:fill="FFFFFF" w:themeFill="background1"/>
            <w:tcMar>
              <w:top w:w="0" w:type="dxa"/>
              <w:left w:w="108" w:type="dxa"/>
              <w:bottom w:w="0" w:type="dxa"/>
              <w:right w:w="108" w:type="dxa"/>
            </w:tcMar>
          </w:tcPr>
          <w:p w14:paraId="187E36E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3D0C26D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1639C19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0" w:type="dxa"/>
            <w:shd w:val="clear" w:color="auto" w:fill="FFFFFF" w:themeFill="background1"/>
            <w:tcMar>
              <w:top w:w="0" w:type="dxa"/>
              <w:left w:w="108" w:type="dxa"/>
              <w:bottom w:w="0" w:type="dxa"/>
              <w:right w:w="108" w:type="dxa"/>
            </w:tcMar>
          </w:tcPr>
          <w:p w14:paraId="40C3C6D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3" w:type="dxa"/>
            <w:shd w:val="clear" w:color="auto" w:fill="FFFFFF" w:themeFill="background1"/>
            <w:tcMar>
              <w:top w:w="0" w:type="dxa"/>
              <w:left w:w="108" w:type="dxa"/>
              <w:bottom w:w="0" w:type="dxa"/>
              <w:right w:w="108" w:type="dxa"/>
            </w:tcMar>
          </w:tcPr>
          <w:p w14:paraId="31B121C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0,88%</w:t>
            </w:r>
          </w:p>
        </w:tc>
        <w:tc>
          <w:tcPr>
            <w:tcW w:w="708" w:type="dxa"/>
            <w:shd w:val="clear" w:color="auto" w:fill="FFFFFF" w:themeFill="background1"/>
            <w:tcMar>
              <w:top w:w="0" w:type="dxa"/>
              <w:left w:w="108" w:type="dxa"/>
              <w:bottom w:w="0" w:type="dxa"/>
              <w:right w:w="108" w:type="dxa"/>
            </w:tcMar>
          </w:tcPr>
          <w:p w14:paraId="7369445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3" w:type="dxa"/>
            <w:shd w:val="clear" w:color="auto" w:fill="FFFFFF" w:themeFill="background1"/>
            <w:tcMar>
              <w:top w:w="0" w:type="dxa"/>
              <w:left w:w="108" w:type="dxa"/>
              <w:bottom w:w="0" w:type="dxa"/>
              <w:right w:w="108" w:type="dxa"/>
            </w:tcMar>
          </w:tcPr>
          <w:p w14:paraId="28701CF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0,56%</w:t>
            </w:r>
          </w:p>
        </w:tc>
        <w:tc>
          <w:tcPr>
            <w:tcW w:w="425" w:type="dxa"/>
            <w:shd w:val="clear" w:color="auto" w:fill="FFFFFF" w:themeFill="background1"/>
            <w:tcMar>
              <w:top w:w="0" w:type="dxa"/>
              <w:left w:w="108" w:type="dxa"/>
              <w:bottom w:w="0" w:type="dxa"/>
              <w:right w:w="108" w:type="dxa"/>
            </w:tcMar>
          </w:tcPr>
          <w:p w14:paraId="70141BB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4E77986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567" w:type="dxa"/>
            <w:shd w:val="clear" w:color="auto" w:fill="FFFFFF" w:themeFill="background1"/>
            <w:tcMar>
              <w:top w:w="0" w:type="dxa"/>
              <w:left w:w="108" w:type="dxa"/>
              <w:bottom w:w="0" w:type="dxa"/>
              <w:right w:w="108" w:type="dxa"/>
            </w:tcMar>
          </w:tcPr>
          <w:p w14:paraId="5D1EF40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1" w:type="dxa"/>
            <w:shd w:val="clear" w:color="auto" w:fill="FFFFFF" w:themeFill="background1"/>
            <w:tcMar>
              <w:top w:w="0" w:type="dxa"/>
              <w:left w:w="108" w:type="dxa"/>
              <w:bottom w:w="0" w:type="dxa"/>
              <w:right w:w="108" w:type="dxa"/>
            </w:tcMar>
          </w:tcPr>
          <w:p w14:paraId="07854C8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r>
      <w:tr w:rsidR="00284822" w14:paraId="1D9C6CEE" w14:textId="77777777">
        <w:trPr>
          <w:trHeight w:val="70"/>
          <w:jc w:val="center"/>
        </w:trPr>
        <w:tc>
          <w:tcPr>
            <w:tcW w:w="851" w:type="dxa"/>
            <w:shd w:val="clear" w:color="auto" w:fill="FFFFFF" w:themeFill="background1"/>
            <w:noWrap/>
            <w:tcMar>
              <w:top w:w="0" w:type="dxa"/>
              <w:left w:w="108" w:type="dxa"/>
              <w:bottom w:w="0" w:type="dxa"/>
              <w:right w:w="108" w:type="dxa"/>
            </w:tcMar>
          </w:tcPr>
          <w:p w14:paraId="5AD74887"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20</w:t>
            </w:r>
          </w:p>
        </w:tc>
        <w:tc>
          <w:tcPr>
            <w:tcW w:w="1696" w:type="dxa"/>
            <w:shd w:val="clear" w:color="auto" w:fill="FFFFFF" w:themeFill="background1"/>
            <w:tcMar>
              <w:top w:w="0" w:type="dxa"/>
              <w:left w:w="108" w:type="dxa"/>
              <w:bottom w:w="0" w:type="dxa"/>
              <w:right w:w="108" w:type="dxa"/>
            </w:tcMar>
          </w:tcPr>
          <w:p w14:paraId="10063CE3"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MODEM</w:t>
            </w:r>
          </w:p>
        </w:tc>
        <w:tc>
          <w:tcPr>
            <w:tcW w:w="567" w:type="dxa"/>
            <w:shd w:val="clear" w:color="auto" w:fill="FFFFFF" w:themeFill="background1"/>
            <w:tcMar>
              <w:top w:w="0" w:type="dxa"/>
              <w:left w:w="108" w:type="dxa"/>
              <w:bottom w:w="0" w:type="dxa"/>
              <w:right w:w="108" w:type="dxa"/>
            </w:tcMar>
          </w:tcPr>
          <w:p w14:paraId="5A5A7BC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850" w:type="dxa"/>
            <w:shd w:val="clear" w:color="auto" w:fill="FFFFFF" w:themeFill="background1"/>
            <w:tcMar>
              <w:top w:w="0" w:type="dxa"/>
              <w:left w:w="108" w:type="dxa"/>
              <w:bottom w:w="0" w:type="dxa"/>
              <w:right w:w="108" w:type="dxa"/>
            </w:tcMar>
          </w:tcPr>
          <w:p w14:paraId="5C4B345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0,64%</w:t>
            </w:r>
          </w:p>
        </w:tc>
        <w:tc>
          <w:tcPr>
            <w:tcW w:w="851" w:type="dxa"/>
            <w:shd w:val="clear" w:color="auto" w:fill="FFFFFF" w:themeFill="background1"/>
            <w:tcMar>
              <w:top w:w="0" w:type="dxa"/>
              <w:left w:w="108" w:type="dxa"/>
              <w:bottom w:w="0" w:type="dxa"/>
              <w:right w:w="108" w:type="dxa"/>
            </w:tcMar>
          </w:tcPr>
          <w:p w14:paraId="4C22FC0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2" w:type="dxa"/>
            <w:shd w:val="clear" w:color="auto" w:fill="FFFFFF" w:themeFill="background1"/>
            <w:tcMar>
              <w:top w:w="0" w:type="dxa"/>
              <w:left w:w="108" w:type="dxa"/>
              <w:bottom w:w="0" w:type="dxa"/>
              <w:right w:w="108" w:type="dxa"/>
            </w:tcMar>
          </w:tcPr>
          <w:p w14:paraId="752AF13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0,30%</w:t>
            </w:r>
          </w:p>
        </w:tc>
        <w:tc>
          <w:tcPr>
            <w:tcW w:w="709" w:type="dxa"/>
            <w:shd w:val="clear" w:color="auto" w:fill="FFFFFF" w:themeFill="background1"/>
            <w:tcMar>
              <w:top w:w="0" w:type="dxa"/>
              <w:left w:w="108" w:type="dxa"/>
              <w:bottom w:w="0" w:type="dxa"/>
              <w:right w:w="108" w:type="dxa"/>
            </w:tcMar>
          </w:tcPr>
          <w:p w14:paraId="0B744A3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1134" w:type="dxa"/>
            <w:shd w:val="clear" w:color="auto" w:fill="FFFFFF" w:themeFill="background1"/>
            <w:tcMar>
              <w:top w:w="0" w:type="dxa"/>
              <w:left w:w="108" w:type="dxa"/>
              <w:bottom w:w="0" w:type="dxa"/>
              <w:right w:w="108" w:type="dxa"/>
            </w:tcMar>
          </w:tcPr>
          <w:p w14:paraId="07509A7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0,63%</w:t>
            </w:r>
          </w:p>
        </w:tc>
        <w:tc>
          <w:tcPr>
            <w:tcW w:w="709" w:type="dxa"/>
            <w:shd w:val="clear" w:color="auto" w:fill="FFFFFF" w:themeFill="background1"/>
            <w:tcMar>
              <w:top w:w="0" w:type="dxa"/>
              <w:left w:w="108" w:type="dxa"/>
              <w:bottom w:w="0" w:type="dxa"/>
              <w:right w:w="108" w:type="dxa"/>
            </w:tcMar>
          </w:tcPr>
          <w:p w14:paraId="3A42A9B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2" w:type="dxa"/>
            <w:shd w:val="clear" w:color="auto" w:fill="FFFFFF" w:themeFill="background1"/>
            <w:tcMar>
              <w:top w:w="0" w:type="dxa"/>
              <w:left w:w="108" w:type="dxa"/>
              <w:bottom w:w="0" w:type="dxa"/>
              <w:right w:w="108" w:type="dxa"/>
            </w:tcMar>
          </w:tcPr>
          <w:p w14:paraId="2A74925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0,51%</w:t>
            </w:r>
          </w:p>
        </w:tc>
        <w:tc>
          <w:tcPr>
            <w:tcW w:w="850" w:type="dxa"/>
            <w:shd w:val="clear" w:color="auto" w:fill="FFFFFF" w:themeFill="background1"/>
            <w:tcMar>
              <w:top w:w="0" w:type="dxa"/>
              <w:left w:w="108" w:type="dxa"/>
              <w:bottom w:w="0" w:type="dxa"/>
              <w:right w:w="108" w:type="dxa"/>
            </w:tcMar>
          </w:tcPr>
          <w:p w14:paraId="551EDF6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3" w:type="dxa"/>
            <w:shd w:val="clear" w:color="auto" w:fill="FFFFFF" w:themeFill="background1"/>
            <w:tcMar>
              <w:top w:w="0" w:type="dxa"/>
              <w:left w:w="108" w:type="dxa"/>
              <w:bottom w:w="0" w:type="dxa"/>
              <w:right w:w="108" w:type="dxa"/>
            </w:tcMar>
          </w:tcPr>
          <w:p w14:paraId="1C6E784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0,88%</w:t>
            </w:r>
          </w:p>
        </w:tc>
        <w:tc>
          <w:tcPr>
            <w:tcW w:w="708" w:type="dxa"/>
            <w:shd w:val="clear" w:color="auto" w:fill="FFFFFF" w:themeFill="background1"/>
            <w:tcMar>
              <w:top w:w="0" w:type="dxa"/>
              <w:left w:w="108" w:type="dxa"/>
              <w:bottom w:w="0" w:type="dxa"/>
              <w:right w:w="108" w:type="dxa"/>
            </w:tcMar>
          </w:tcPr>
          <w:p w14:paraId="5508CBD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3" w:type="dxa"/>
            <w:shd w:val="clear" w:color="auto" w:fill="FFFFFF" w:themeFill="background1"/>
            <w:tcMar>
              <w:top w:w="0" w:type="dxa"/>
              <w:left w:w="108" w:type="dxa"/>
              <w:bottom w:w="0" w:type="dxa"/>
              <w:right w:w="108" w:type="dxa"/>
            </w:tcMar>
          </w:tcPr>
          <w:p w14:paraId="4D8058E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0,56%</w:t>
            </w:r>
          </w:p>
        </w:tc>
        <w:tc>
          <w:tcPr>
            <w:tcW w:w="425" w:type="dxa"/>
            <w:shd w:val="clear" w:color="auto" w:fill="FFFFFF" w:themeFill="background1"/>
            <w:tcMar>
              <w:top w:w="0" w:type="dxa"/>
              <w:left w:w="108" w:type="dxa"/>
              <w:bottom w:w="0" w:type="dxa"/>
              <w:right w:w="108" w:type="dxa"/>
            </w:tcMar>
          </w:tcPr>
          <w:p w14:paraId="4FDFB4C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5426A00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567" w:type="dxa"/>
            <w:shd w:val="clear" w:color="auto" w:fill="FFFFFF" w:themeFill="background1"/>
            <w:tcMar>
              <w:top w:w="0" w:type="dxa"/>
              <w:left w:w="108" w:type="dxa"/>
              <w:bottom w:w="0" w:type="dxa"/>
              <w:right w:w="108" w:type="dxa"/>
            </w:tcMar>
          </w:tcPr>
          <w:p w14:paraId="68D67B7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1" w:type="dxa"/>
            <w:shd w:val="clear" w:color="auto" w:fill="FFFFFF" w:themeFill="background1"/>
            <w:tcMar>
              <w:top w:w="0" w:type="dxa"/>
              <w:left w:w="108" w:type="dxa"/>
              <w:bottom w:w="0" w:type="dxa"/>
              <w:right w:w="108" w:type="dxa"/>
            </w:tcMar>
          </w:tcPr>
          <w:p w14:paraId="074C852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r>
      <w:tr w:rsidR="00284822" w14:paraId="73129138" w14:textId="77777777">
        <w:trPr>
          <w:trHeight w:val="70"/>
          <w:jc w:val="center"/>
        </w:trPr>
        <w:tc>
          <w:tcPr>
            <w:tcW w:w="851" w:type="dxa"/>
            <w:shd w:val="clear" w:color="auto" w:fill="FFFFFF" w:themeFill="background1"/>
            <w:noWrap/>
            <w:tcMar>
              <w:top w:w="0" w:type="dxa"/>
              <w:left w:w="108" w:type="dxa"/>
              <w:bottom w:w="0" w:type="dxa"/>
              <w:right w:w="108" w:type="dxa"/>
            </w:tcMar>
          </w:tcPr>
          <w:p w14:paraId="150B9871"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21</w:t>
            </w:r>
          </w:p>
        </w:tc>
        <w:tc>
          <w:tcPr>
            <w:tcW w:w="1696" w:type="dxa"/>
            <w:shd w:val="clear" w:color="auto" w:fill="FFFFFF" w:themeFill="background1"/>
            <w:tcMar>
              <w:top w:w="0" w:type="dxa"/>
              <w:left w:w="108" w:type="dxa"/>
              <w:bottom w:w="0" w:type="dxa"/>
              <w:right w:w="108" w:type="dxa"/>
            </w:tcMar>
          </w:tcPr>
          <w:p w14:paraId="78E3E071"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MPP</w:t>
            </w:r>
          </w:p>
        </w:tc>
        <w:tc>
          <w:tcPr>
            <w:tcW w:w="567" w:type="dxa"/>
            <w:shd w:val="clear" w:color="auto" w:fill="FFFFFF" w:themeFill="background1"/>
            <w:tcMar>
              <w:top w:w="0" w:type="dxa"/>
              <w:left w:w="108" w:type="dxa"/>
              <w:bottom w:w="0" w:type="dxa"/>
              <w:right w:w="108" w:type="dxa"/>
            </w:tcMar>
          </w:tcPr>
          <w:p w14:paraId="5926547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31</w:t>
            </w:r>
          </w:p>
        </w:tc>
        <w:tc>
          <w:tcPr>
            <w:tcW w:w="850" w:type="dxa"/>
            <w:shd w:val="clear" w:color="auto" w:fill="FFFFFF" w:themeFill="background1"/>
            <w:tcMar>
              <w:top w:w="0" w:type="dxa"/>
              <w:left w:w="108" w:type="dxa"/>
              <w:bottom w:w="0" w:type="dxa"/>
              <w:right w:w="108" w:type="dxa"/>
            </w:tcMar>
          </w:tcPr>
          <w:p w14:paraId="2E84794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19,75%</w:t>
            </w:r>
          </w:p>
        </w:tc>
        <w:tc>
          <w:tcPr>
            <w:tcW w:w="851" w:type="dxa"/>
            <w:shd w:val="clear" w:color="auto" w:fill="FFFFFF" w:themeFill="background1"/>
            <w:tcMar>
              <w:top w:w="0" w:type="dxa"/>
              <w:left w:w="108" w:type="dxa"/>
              <w:bottom w:w="0" w:type="dxa"/>
              <w:right w:w="108" w:type="dxa"/>
            </w:tcMar>
          </w:tcPr>
          <w:p w14:paraId="2B2E982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69</w:t>
            </w:r>
          </w:p>
        </w:tc>
        <w:tc>
          <w:tcPr>
            <w:tcW w:w="992" w:type="dxa"/>
            <w:shd w:val="clear" w:color="auto" w:fill="FFFFFF" w:themeFill="background1"/>
            <w:tcMar>
              <w:top w:w="0" w:type="dxa"/>
              <w:left w:w="108" w:type="dxa"/>
              <w:bottom w:w="0" w:type="dxa"/>
              <w:right w:w="108" w:type="dxa"/>
            </w:tcMar>
          </w:tcPr>
          <w:p w14:paraId="358EE7F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20,91%</w:t>
            </w:r>
          </w:p>
        </w:tc>
        <w:tc>
          <w:tcPr>
            <w:tcW w:w="709" w:type="dxa"/>
            <w:shd w:val="clear" w:color="auto" w:fill="FFFFFF" w:themeFill="background1"/>
            <w:tcMar>
              <w:top w:w="0" w:type="dxa"/>
              <w:left w:w="108" w:type="dxa"/>
              <w:bottom w:w="0" w:type="dxa"/>
              <w:right w:w="108" w:type="dxa"/>
            </w:tcMar>
          </w:tcPr>
          <w:p w14:paraId="46655DC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39</w:t>
            </w:r>
          </w:p>
        </w:tc>
        <w:tc>
          <w:tcPr>
            <w:tcW w:w="1134" w:type="dxa"/>
            <w:shd w:val="clear" w:color="auto" w:fill="FFFFFF" w:themeFill="background1"/>
            <w:tcMar>
              <w:top w:w="0" w:type="dxa"/>
              <w:left w:w="108" w:type="dxa"/>
              <w:bottom w:w="0" w:type="dxa"/>
              <w:right w:w="108" w:type="dxa"/>
            </w:tcMar>
          </w:tcPr>
          <w:p w14:paraId="39CC330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24,68%</w:t>
            </w:r>
          </w:p>
        </w:tc>
        <w:tc>
          <w:tcPr>
            <w:tcW w:w="709" w:type="dxa"/>
            <w:shd w:val="clear" w:color="auto" w:fill="FFFFFF" w:themeFill="background1"/>
            <w:tcMar>
              <w:top w:w="0" w:type="dxa"/>
              <w:left w:w="108" w:type="dxa"/>
              <w:bottom w:w="0" w:type="dxa"/>
              <w:right w:w="108" w:type="dxa"/>
            </w:tcMar>
          </w:tcPr>
          <w:p w14:paraId="69CD634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54</w:t>
            </w:r>
          </w:p>
        </w:tc>
        <w:tc>
          <w:tcPr>
            <w:tcW w:w="992" w:type="dxa"/>
            <w:shd w:val="clear" w:color="auto" w:fill="FFFFFF" w:themeFill="background1"/>
            <w:tcMar>
              <w:top w:w="0" w:type="dxa"/>
              <w:left w:w="108" w:type="dxa"/>
              <w:bottom w:w="0" w:type="dxa"/>
              <w:right w:w="108" w:type="dxa"/>
            </w:tcMar>
          </w:tcPr>
          <w:p w14:paraId="0767C58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27,27%</w:t>
            </w:r>
          </w:p>
        </w:tc>
        <w:tc>
          <w:tcPr>
            <w:tcW w:w="850" w:type="dxa"/>
            <w:shd w:val="clear" w:color="auto" w:fill="FFFFFF" w:themeFill="background1"/>
            <w:tcMar>
              <w:top w:w="0" w:type="dxa"/>
              <w:left w:w="108" w:type="dxa"/>
              <w:bottom w:w="0" w:type="dxa"/>
              <w:right w:w="108" w:type="dxa"/>
            </w:tcMar>
          </w:tcPr>
          <w:p w14:paraId="3310F71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25</w:t>
            </w:r>
          </w:p>
        </w:tc>
        <w:tc>
          <w:tcPr>
            <w:tcW w:w="993" w:type="dxa"/>
            <w:shd w:val="clear" w:color="auto" w:fill="FFFFFF" w:themeFill="background1"/>
            <w:tcMar>
              <w:top w:w="0" w:type="dxa"/>
              <w:left w:w="108" w:type="dxa"/>
              <w:bottom w:w="0" w:type="dxa"/>
              <w:right w:w="108" w:type="dxa"/>
            </w:tcMar>
          </w:tcPr>
          <w:p w14:paraId="2CE36E7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22,12%</w:t>
            </w:r>
          </w:p>
        </w:tc>
        <w:tc>
          <w:tcPr>
            <w:tcW w:w="708" w:type="dxa"/>
            <w:shd w:val="clear" w:color="auto" w:fill="FFFFFF" w:themeFill="background1"/>
            <w:tcMar>
              <w:top w:w="0" w:type="dxa"/>
              <w:left w:w="108" w:type="dxa"/>
              <w:bottom w:w="0" w:type="dxa"/>
              <w:right w:w="108" w:type="dxa"/>
            </w:tcMar>
          </w:tcPr>
          <w:p w14:paraId="2C12A26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61</w:t>
            </w:r>
          </w:p>
        </w:tc>
        <w:tc>
          <w:tcPr>
            <w:tcW w:w="993" w:type="dxa"/>
            <w:shd w:val="clear" w:color="auto" w:fill="FFFFFF" w:themeFill="background1"/>
            <w:tcMar>
              <w:top w:w="0" w:type="dxa"/>
              <w:left w:w="108" w:type="dxa"/>
              <w:bottom w:w="0" w:type="dxa"/>
              <w:right w:w="108" w:type="dxa"/>
            </w:tcMar>
          </w:tcPr>
          <w:p w14:paraId="61ED1FF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34,46%</w:t>
            </w:r>
          </w:p>
        </w:tc>
        <w:tc>
          <w:tcPr>
            <w:tcW w:w="425" w:type="dxa"/>
            <w:shd w:val="clear" w:color="auto" w:fill="FFFFFF" w:themeFill="background1"/>
            <w:tcMar>
              <w:top w:w="0" w:type="dxa"/>
              <w:left w:w="108" w:type="dxa"/>
              <w:bottom w:w="0" w:type="dxa"/>
              <w:right w:w="108" w:type="dxa"/>
            </w:tcMar>
          </w:tcPr>
          <w:p w14:paraId="60EFF25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16</w:t>
            </w:r>
          </w:p>
        </w:tc>
        <w:tc>
          <w:tcPr>
            <w:tcW w:w="850" w:type="dxa"/>
            <w:shd w:val="clear" w:color="auto" w:fill="FFFFFF" w:themeFill="background1"/>
            <w:tcMar>
              <w:top w:w="0" w:type="dxa"/>
              <w:left w:w="108" w:type="dxa"/>
              <w:bottom w:w="0" w:type="dxa"/>
              <w:right w:w="108" w:type="dxa"/>
            </w:tcMar>
          </w:tcPr>
          <w:p w14:paraId="7030C28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32,65%</w:t>
            </w:r>
          </w:p>
        </w:tc>
        <w:tc>
          <w:tcPr>
            <w:tcW w:w="567" w:type="dxa"/>
            <w:shd w:val="clear" w:color="auto" w:fill="FFFFFF" w:themeFill="background1"/>
            <w:tcMar>
              <w:top w:w="0" w:type="dxa"/>
              <w:left w:w="108" w:type="dxa"/>
              <w:bottom w:w="0" w:type="dxa"/>
              <w:right w:w="108" w:type="dxa"/>
            </w:tcMar>
          </w:tcPr>
          <w:p w14:paraId="19A2B2F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32</w:t>
            </w:r>
          </w:p>
        </w:tc>
        <w:tc>
          <w:tcPr>
            <w:tcW w:w="851" w:type="dxa"/>
            <w:shd w:val="clear" w:color="auto" w:fill="FFFFFF" w:themeFill="background1"/>
            <w:tcMar>
              <w:top w:w="0" w:type="dxa"/>
              <w:left w:w="108" w:type="dxa"/>
              <w:bottom w:w="0" w:type="dxa"/>
              <w:right w:w="108" w:type="dxa"/>
            </w:tcMar>
          </w:tcPr>
          <w:p w14:paraId="11B8A15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45,07%</w:t>
            </w:r>
          </w:p>
        </w:tc>
      </w:tr>
      <w:tr w:rsidR="00284822" w14:paraId="62634A22" w14:textId="77777777">
        <w:trPr>
          <w:trHeight w:val="70"/>
          <w:jc w:val="center"/>
        </w:trPr>
        <w:tc>
          <w:tcPr>
            <w:tcW w:w="851" w:type="dxa"/>
            <w:shd w:val="clear" w:color="auto" w:fill="FFFFFF" w:themeFill="background1"/>
            <w:noWrap/>
            <w:tcMar>
              <w:top w:w="0" w:type="dxa"/>
              <w:left w:w="108" w:type="dxa"/>
              <w:bottom w:w="0" w:type="dxa"/>
              <w:right w:w="108" w:type="dxa"/>
            </w:tcMar>
          </w:tcPr>
          <w:p w14:paraId="2A5A12E5"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22</w:t>
            </w:r>
          </w:p>
        </w:tc>
        <w:tc>
          <w:tcPr>
            <w:tcW w:w="1696" w:type="dxa"/>
            <w:shd w:val="clear" w:color="auto" w:fill="FFFFFF" w:themeFill="background1"/>
            <w:tcMar>
              <w:top w:w="0" w:type="dxa"/>
              <w:left w:w="108" w:type="dxa"/>
              <w:bottom w:w="0" w:type="dxa"/>
              <w:right w:w="108" w:type="dxa"/>
            </w:tcMar>
          </w:tcPr>
          <w:p w14:paraId="5C93B747"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MRB</w:t>
            </w:r>
          </w:p>
        </w:tc>
        <w:tc>
          <w:tcPr>
            <w:tcW w:w="567" w:type="dxa"/>
            <w:shd w:val="clear" w:color="auto" w:fill="FFFFFF" w:themeFill="background1"/>
            <w:tcMar>
              <w:top w:w="0" w:type="dxa"/>
              <w:left w:w="108" w:type="dxa"/>
              <w:bottom w:w="0" w:type="dxa"/>
              <w:right w:w="108" w:type="dxa"/>
            </w:tcMar>
          </w:tcPr>
          <w:p w14:paraId="29EB01B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w:t>
            </w:r>
          </w:p>
        </w:tc>
        <w:tc>
          <w:tcPr>
            <w:tcW w:w="850" w:type="dxa"/>
            <w:shd w:val="clear" w:color="auto" w:fill="FFFFFF" w:themeFill="background1"/>
            <w:tcMar>
              <w:top w:w="0" w:type="dxa"/>
              <w:left w:w="108" w:type="dxa"/>
              <w:bottom w:w="0" w:type="dxa"/>
              <w:right w:w="108" w:type="dxa"/>
            </w:tcMar>
          </w:tcPr>
          <w:p w14:paraId="37AD00E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1,91%</w:t>
            </w:r>
          </w:p>
        </w:tc>
        <w:tc>
          <w:tcPr>
            <w:tcW w:w="851" w:type="dxa"/>
            <w:shd w:val="clear" w:color="auto" w:fill="FFFFFF" w:themeFill="background1"/>
            <w:tcMar>
              <w:top w:w="0" w:type="dxa"/>
              <w:left w:w="108" w:type="dxa"/>
              <w:bottom w:w="0" w:type="dxa"/>
              <w:right w:w="108" w:type="dxa"/>
            </w:tcMar>
          </w:tcPr>
          <w:p w14:paraId="03076AD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12</w:t>
            </w:r>
          </w:p>
        </w:tc>
        <w:tc>
          <w:tcPr>
            <w:tcW w:w="992" w:type="dxa"/>
            <w:shd w:val="clear" w:color="auto" w:fill="FFFFFF" w:themeFill="background1"/>
            <w:tcMar>
              <w:top w:w="0" w:type="dxa"/>
              <w:left w:w="108" w:type="dxa"/>
              <w:bottom w:w="0" w:type="dxa"/>
              <w:right w:w="108" w:type="dxa"/>
            </w:tcMar>
          </w:tcPr>
          <w:p w14:paraId="4E9A8F4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3,64%</w:t>
            </w:r>
          </w:p>
        </w:tc>
        <w:tc>
          <w:tcPr>
            <w:tcW w:w="709" w:type="dxa"/>
            <w:shd w:val="clear" w:color="auto" w:fill="FFFFFF" w:themeFill="background1"/>
            <w:tcMar>
              <w:top w:w="0" w:type="dxa"/>
              <w:left w:w="108" w:type="dxa"/>
              <w:bottom w:w="0" w:type="dxa"/>
              <w:right w:w="108" w:type="dxa"/>
            </w:tcMar>
          </w:tcPr>
          <w:p w14:paraId="1A78449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12</w:t>
            </w:r>
          </w:p>
        </w:tc>
        <w:tc>
          <w:tcPr>
            <w:tcW w:w="1134" w:type="dxa"/>
            <w:shd w:val="clear" w:color="auto" w:fill="FFFFFF" w:themeFill="background1"/>
            <w:tcMar>
              <w:top w:w="0" w:type="dxa"/>
              <w:left w:w="108" w:type="dxa"/>
              <w:bottom w:w="0" w:type="dxa"/>
              <w:right w:w="108" w:type="dxa"/>
            </w:tcMar>
          </w:tcPr>
          <w:p w14:paraId="12ECD1A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7,59%</w:t>
            </w:r>
          </w:p>
        </w:tc>
        <w:tc>
          <w:tcPr>
            <w:tcW w:w="709" w:type="dxa"/>
            <w:shd w:val="clear" w:color="auto" w:fill="FFFFFF" w:themeFill="background1"/>
            <w:tcMar>
              <w:top w:w="0" w:type="dxa"/>
              <w:left w:w="108" w:type="dxa"/>
              <w:bottom w:w="0" w:type="dxa"/>
              <w:right w:w="108" w:type="dxa"/>
            </w:tcMar>
          </w:tcPr>
          <w:p w14:paraId="22343B0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13</w:t>
            </w:r>
          </w:p>
        </w:tc>
        <w:tc>
          <w:tcPr>
            <w:tcW w:w="992" w:type="dxa"/>
            <w:shd w:val="clear" w:color="auto" w:fill="FFFFFF" w:themeFill="background1"/>
            <w:tcMar>
              <w:top w:w="0" w:type="dxa"/>
              <w:left w:w="108" w:type="dxa"/>
              <w:bottom w:w="0" w:type="dxa"/>
              <w:right w:w="108" w:type="dxa"/>
            </w:tcMar>
          </w:tcPr>
          <w:p w14:paraId="48CA48D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6,57%</w:t>
            </w:r>
          </w:p>
        </w:tc>
        <w:tc>
          <w:tcPr>
            <w:tcW w:w="850" w:type="dxa"/>
            <w:shd w:val="clear" w:color="auto" w:fill="FFFFFF" w:themeFill="background1"/>
            <w:tcMar>
              <w:top w:w="0" w:type="dxa"/>
              <w:left w:w="108" w:type="dxa"/>
              <w:bottom w:w="0" w:type="dxa"/>
              <w:right w:w="108" w:type="dxa"/>
            </w:tcMar>
          </w:tcPr>
          <w:p w14:paraId="13589E1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5</w:t>
            </w:r>
          </w:p>
        </w:tc>
        <w:tc>
          <w:tcPr>
            <w:tcW w:w="993" w:type="dxa"/>
            <w:shd w:val="clear" w:color="auto" w:fill="FFFFFF" w:themeFill="background1"/>
            <w:tcMar>
              <w:top w:w="0" w:type="dxa"/>
              <w:left w:w="108" w:type="dxa"/>
              <w:bottom w:w="0" w:type="dxa"/>
              <w:right w:w="108" w:type="dxa"/>
            </w:tcMar>
          </w:tcPr>
          <w:p w14:paraId="49B5D79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4,42%</w:t>
            </w:r>
          </w:p>
        </w:tc>
        <w:tc>
          <w:tcPr>
            <w:tcW w:w="708" w:type="dxa"/>
            <w:shd w:val="clear" w:color="auto" w:fill="FFFFFF" w:themeFill="background1"/>
            <w:tcMar>
              <w:top w:w="0" w:type="dxa"/>
              <w:left w:w="108" w:type="dxa"/>
              <w:bottom w:w="0" w:type="dxa"/>
              <w:right w:w="108" w:type="dxa"/>
            </w:tcMar>
          </w:tcPr>
          <w:p w14:paraId="601C594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6</w:t>
            </w:r>
          </w:p>
        </w:tc>
        <w:tc>
          <w:tcPr>
            <w:tcW w:w="993" w:type="dxa"/>
            <w:shd w:val="clear" w:color="auto" w:fill="FFFFFF" w:themeFill="background1"/>
            <w:tcMar>
              <w:top w:w="0" w:type="dxa"/>
              <w:left w:w="108" w:type="dxa"/>
              <w:bottom w:w="0" w:type="dxa"/>
              <w:right w:w="108" w:type="dxa"/>
            </w:tcMar>
          </w:tcPr>
          <w:p w14:paraId="3A9AC79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3,39%</w:t>
            </w:r>
          </w:p>
        </w:tc>
        <w:tc>
          <w:tcPr>
            <w:tcW w:w="425" w:type="dxa"/>
            <w:shd w:val="clear" w:color="auto" w:fill="FFFFFF" w:themeFill="background1"/>
            <w:tcMar>
              <w:top w:w="0" w:type="dxa"/>
              <w:left w:w="108" w:type="dxa"/>
              <w:bottom w:w="0" w:type="dxa"/>
              <w:right w:w="108" w:type="dxa"/>
            </w:tcMar>
          </w:tcPr>
          <w:p w14:paraId="5EE71BC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850" w:type="dxa"/>
            <w:shd w:val="clear" w:color="auto" w:fill="FFFFFF" w:themeFill="background1"/>
            <w:tcMar>
              <w:top w:w="0" w:type="dxa"/>
              <w:left w:w="108" w:type="dxa"/>
              <w:bottom w:w="0" w:type="dxa"/>
              <w:right w:w="108" w:type="dxa"/>
            </w:tcMar>
          </w:tcPr>
          <w:p w14:paraId="6320B4A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2,04%</w:t>
            </w:r>
          </w:p>
        </w:tc>
        <w:tc>
          <w:tcPr>
            <w:tcW w:w="567" w:type="dxa"/>
            <w:shd w:val="clear" w:color="auto" w:fill="FFFFFF" w:themeFill="background1"/>
            <w:tcMar>
              <w:top w:w="0" w:type="dxa"/>
              <w:left w:w="108" w:type="dxa"/>
              <w:bottom w:w="0" w:type="dxa"/>
              <w:right w:w="108" w:type="dxa"/>
            </w:tcMar>
          </w:tcPr>
          <w:p w14:paraId="78BF0F9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851" w:type="dxa"/>
            <w:shd w:val="clear" w:color="auto" w:fill="FFFFFF" w:themeFill="background1"/>
            <w:tcMar>
              <w:top w:w="0" w:type="dxa"/>
              <w:left w:w="108" w:type="dxa"/>
              <w:bottom w:w="0" w:type="dxa"/>
              <w:right w:w="108" w:type="dxa"/>
            </w:tcMar>
          </w:tcPr>
          <w:p w14:paraId="54C69C3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1,41%</w:t>
            </w:r>
          </w:p>
        </w:tc>
      </w:tr>
      <w:tr w:rsidR="00284822" w14:paraId="6C6B7263" w14:textId="77777777">
        <w:trPr>
          <w:trHeight w:val="315"/>
          <w:jc w:val="center"/>
        </w:trPr>
        <w:tc>
          <w:tcPr>
            <w:tcW w:w="851" w:type="dxa"/>
            <w:shd w:val="clear" w:color="auto" w:fill="FFFFFF" w:themeFill="background1"/>
            <w:noWrap/>
            <w:tcMar>
              <w:top w:w="0" w:type="dxa"/>
              <w:left w:w="108" w:type="dxa"/>
              <w:bottom w:w="0" w:type="dxa"/>
              <w:right w:w="108" w:type="dxa"/>
            </w:tcMar>
          </w:tcPr>
          <w:p w14:paraId="161FF2FD"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23</w:t>
            </w:r>
          </w:p>
        </w:tc>
        <w:tc>
          <w:tcPr>
            <w:tcW w:w="1696" w:type="dxa"/>
            <w:shd w:val="clear" w:color="auto" w:fill="FFFFFF" w:themeFill="background1"/>
            <w:tcMar>
              <w:top w:w="0" w:type="dxa"/>
              <w:left w:w="108" w:type="dxa"/>
              <w:bottom w:w="0" w:type="dxa"/>
              <w:right w:w="108" w:type="dxa"/>
            </w:tcMar>
          </w:tcPr>
          <w:p w14:paraId="62B99851"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NAFA</w:t>
            </w:r>
          </w:p>
        </w:tc>
        <w:tc>
          <w:tcPr>
            <w:tcW w:w="567" w:type="dxa"/>
            <w:shd w:val="clear" w:color="auto" w:fill="FFFFFF" w:themeFill="background1"/>
            <w:tcMar>
              <w:top w:w="0" w:type="dxa"/>
              <w:left w:w="108" w:type="dxa"/>
              <w:bottom w:w="0" w:type="dxa"/>
              <w:right w:w="108" w:type="dxa"/>
            </w:tcMar>
          </w:tcPr>
          <w:p w14:paraId="0515556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w:t>
            </w:r>
          </w:p>
        </w:tc>
        <w:tc>
          <w:tcPr>
            <w:tcW w:w="850" w:type="dxa"/>
            <w:shd w:val="clear" w:color="auto" w:fill="FFFFFF" w:themeFill="background1"/>
            <w:tcMar>
              <w:top w:w="0" w:type="dxa"/>
              <w:left w:w="108" w:type="dxa"/>
              <w:bottom w:w="0" w:type="dxa"/>
              <w:right w:w="108" w:type="dxa"/>
            </w:tcMar>
          </w:tcPr>
          <w:p w14:paraId="1E7A6BE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1,27%</w:t>
            </w:r>
          </w:p>
        </w:tc>
        <w:tc>
          <w:tcPr>
            <w:tcW w:w="851" w:type="dxa"/>
            <w:shd w:val="clear" w:color="auto" w:fill="FFFFFF" w:themeFill="background1"/>
            <w:tcMar>
              <w:top w:w="0" w:type="dxa"/>
              <w:left w:w="108" w:type="dxa"/>
              <w:bottom w:w="0" w:type="dxa"/>
              <w:right w:w="108" w:type="dxa"/>
            </w:tcMar>
          </w:tcPr>
          <w:p w14:paraId="598A065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w:t>
            </w:r>
          </w:p>
        </w:tc>
        <w:tc>
          <w:tcPr>
            <w:tcW w:w="992" w:type="dxa"/>
            <w:shd w:val="clear" w:color="auto" w:fill="FFFFFF" w:themeFill="background1"/>
            <w:tcMar>
              <w:top w:w="0" w:type="dxa"/>
              <w:left w:w="108" w:type="dxa"/>
              <w:bottom w:w="0" w:type="dxa"/>
              <w:right w:w="108" w:type="dxa"/>
            </w:tcMar>
          </w:tcPr>
          <w:p w14:paraId="1F22CCE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0,61%</w:t>
            </w:r>
          </w:p>
        </w:tc>
        <w:tc>
          <w:tcPr>
            <w:tcW w:w="709" w:type="dxa"/>
            <w:shd w:val="clear" w:color="auto" w:fill="FFFFFF" w:themeFill="background1"/>
            <w:tcMar>
              <w:top w:w="0" w:type="dxa"/>
              <w:left w:w="108" w:type="dxa"/>
              <w:bottom w:w="0" w:type="dxa"/>
              <w:right w:w="108" w:type="dxa"/>
            </w:tcMar>
          </w:tcPr>
          <w:p w14:paraId="151C108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1134" w:type="dxa"/>
            <w:shd w:val="clear" w:color="auto" w:fill="FFFFFF" w:themeFill="background1"/>
            <w:tcMar>
              <w:top w:w="0" w:type="dxa"/>
              <w:left w:w="108" w:type="dxa"/>
              <w:bottom w:w="0" w:type="dxa"/>
              <w:right w:w="108" w:type="dxa"/>
            </w:tcMar>
          </w:tcPr>
          <w:p w14:paraId="70B253D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0,63%</w:t>
            </w:r>
          </w:p>
        </w:tc>
        <w:tc>
          <w:tcPr>
            <w:tcW w:w="709" w:type="dxa"/>
            <w:shd w:val="clear" w:color="auto" w:fill="FFFFFF" w:themeFill="background1"/>
            <w:tcMar>
              <w:top w:w="0" w:type="dxa"/>
              <w:left w:w="108" w:type="dxa"/>
              <w:bottom w:w="0" w:type="dxa"/>
              <w:right w:w="108" w:type="dxa"/>
            </w:tcMar>
          </w:tcPr>
          <w:p w14:paraId="04467E2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2" w:type="dxa"/>
            <w:shd w:val="clear" w:color="auto" w:fill="FFFFFF" w:themeFill="background1"/>
            <w:tcMar>
              <w:top w:w="0" w:type="dxa"/>
              <w:left w:w="108" w:type="dxa"/>
              <w:bottom w:w="0" w:type="dxa"/>
              <w:right w:w="108" w:type="dxa"/>
            </w:tcMar>
          </w:tcPr>
          <w:p w14:paraId="1F62502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0,51%</w:t>
            </w:r>
          </w:p>
        </w:tc>
        <w:tc>
          <w:tcPr>
            <w:tcW w:w="850" w:type="dxa"/>
            <w:shd w:val="clear" w:color="auto" w:fill="FFFFFF" w:themeFill="background1"/>
            <w:tcMar>
              <w:top w:w="0" w:type="dxa"/>
              <w:left w:w="108" w:type="dxa"/>
              <w:bottom w:w="0" w:type="dxa"/>
              <w:right w:w="108" w:type="dxa"/>
            </w:tcMar>
          </w:tcPr>
          <w:p w14:paraId="19A97B3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15E8329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8" w:type="dxa"/>
            <w:shd w:val="clear" w:color="auto" w:fill="FFFFFF" w:themeFill="background1"/>
            <w:tcMar>
              <w:top w:w="0" w:type="dxa"/>
              <w:left w:w="108" w:type="dxa"/>
              <w:bottom w:w="0" w:type="dxa"/>
              <w:right w:w="108" w:type="dxa"/>
            </w:tcMar>
          </w:tcPr>
          <w:p w14:paraId="07EA77C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4901860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425" w:type="dxa"/>
            <w:shd w:val="clear" w:color="auto" w:fill="FFFFFF" w:themeFill="background1"/>
            <w:tcMar>
              <w:top w:w="0" w:type="dxa"/>
              <w:left w:w="108" w:type="dxa"/>
              <w:bottom w:w="0" w:type="dxa"/>
              <w:right w:w="108" w:type="dxa"/>
            </w:tcMar>
          </w:tcPr>
          <w:p w14:paraId="5A7F7CA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850" w:type="dxa"/>
            <w:shd w:val="clear" w:color="auto" w:fill="FFFFFF" w:themeFill="background1"/>
            <w:tcMar>
              <w:top w:w="0" w:type="dxa"/>
              <w:left w:w="108" w:type="dxa"/>
              <w:bottom w:w="0" w:type="dxa"/>
              <w:right w:w="108" w:type="dxa"/>
            </w:tcMar>
          </w:tcPr>
          <w:p w14:paraId="67DD0E4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2,04%</w:t>
            </w:r>
          </w:p>
        </w:tc>
        <w:tc>
          <w:tcPr>
            <w:tcW w:w="567" w:type="dxa"/>
            <w:shd w:val="clear" w:color="auto" w:fill="FFFFFF" w:themeFill="background1"/>
            <w:tcMar>
              <w:top w:w="0" w:type="dxa"/>
              <w:left w:w="10" w:type="dxa"/>
              <w:bottom w:w="0" w:type="dxa"/>
              <w:right w:w="10" w:type="dxa"/>
            </w:tcMar>
          </w:tcPr>
          <w:p w14:paraId="2679487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p w14:paraId="15DE613D" w14:textId="77777777" w:rsidR="00284822" w:rsidRDefault="00284822">
            <w:pPr>
              <w:spacing w:line="240" w:lineRule="auto"/>
              <w:jc w:val="left"/>
              <w:rPr>
                <w:rFonts w:ascii="Rockwell" w:hAnsi="Rockwell"/>
                <w:color w:val="000000"/>
                <w:sz w:val="18"/>
                <w:szCs w:val="18"/>
              </w:rPr>
            </w:pPr>
          </w:p>
        </w:tc>
        <w:tc>
          <w:tcPr>
            <w:tcW w:w="851" w:type="dxa"/>
            <w:shd w:val="clear" w:color="auto" w:fill="FFFFFF" w:themeFill="background1"/>
            <w:tcMar>
              <w:top w:w="0" w:type="dxa"/>
              <w:left w:w="108" w:type="dxa"/>
              <w:bottom w:w="0" w:type="dxa"/>
              <w:right w:w="108" w:type="dxa"/>
            </w:tcMar>
          </w:tcPr>
          <w:p w14:paraId="0F4530B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1,41%</w:t>
            </w:r>
          </w:p>
        </w:tc>
      </w:tr>
      <w:tr w:rsidR="00284822" w14:paraId="1D2216F4" w14:textId="77777777">
        <w:trPr>
          <w:trHeight w:val="373"/>
          <w:jc w:val="center"/>
        </w:trPr>
        <w:tc>
          <w:tcPr>
            <w:tcW w:w="851" w:type="dxa"/>
            <w:shd w:val="clear" w:color="auto" w:fill="FFFFFF" w:themeFill="background1"/>
            <w:noWrap/>
            <w:tcMar>
              <w:top w:w="0" w:type="dxa"/>
              <w:left w:w="108" w:type="dxa"/>
              <w:bottom w:w="0" w:type="dxa"/>
              <w:right w:w="108" w:type="dxa"/>
            </w:tcMar>
          </w:tcPr>
          <w:p w14:paraId="711034DA"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24</w:t>
            </w:r>
          </w:p>
        </w:tc>
        <w:tc>
          <w:tcPr>
            <w:tcW w:w="1696" w:type="dxa"/>
            <w:shd w:val="clear" w:color="auto" w:fill="FFFFFF" w:themeFill="background1"/>
            <w:tcMar>
              <w:top w:w="0" w:type="dxa"/>
              <w:left w:w="108" w:type="dxa"/>
              <w:bottom w:w="0" w:type="dxa"/>
              <w:right w:w="108" w:type="dxa"/>
            </w:tcMar>
          </w:tcPr>
          <w:p w14:paraId="15C876D3"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NOVI</w:t>
            </w:r>
          </w:p>
        </w:tc>
        <w:tc>
          <w:tcPr>
            <w:tcW w:w="567" w:type="dxa"/>
            <w:shd w:val="clear" w:color="auto" w:fill="FFFFFF" w:themeFill="background1"/>
            <w:tcMar>
              <w:top w:w="0" w:type="dxa"/>
              <w:left w:w="108" w:type="dxa"/>
              <w:bottom w:w="0" w:type="dxa"/>
              <w:right w:w="108" w:type="dxa"/>
            </w:tcMar>
          </w:tcPr>
          <w:p w14:paraId="4683383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w:t>
            </w:r>
          </w:p>
        </w:tc>
        <w:tc>
          <w:tcPr>
            <w:tcW w:w="850" w:type="dxa"/>
            <w:shd w:val="clear" w:color="auto" w:fill="FFFFFF" w:themeFill="background1"/>
            <w:tcMar>
              <w:top w:w="0" w:type="dxa"/>
              <w:left w:w="108" w:type="dxa"/>
              <w:bottom w:w="0" w:type="dxa"/>
              <w:right w:w="108" w:type="dxa"/>
            </w:tcMar>
          </w:tcPr>
          <w:p w14:paraId="3310A5B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1,27%</w:t>
            </w:r>
          </w:p>
        </w:tc>
        <w:tc>
          <w:tcPr>
            <w:tcW w:w="851" w:type="dxa"/>
            <w:shd w:val="clear" w:color="auto" w:fill="FFFFFF" w:themeFill="background1"/>
            <w:tcMar>
              <w:top w:w="0" w:type="dxa"/>
              <w:left w:w="108" w:type="dxa"/>
              <w:bottom w:w="0" w:type="dxa"/>
              <w:right w:w="108" w:type="dxa"/>
            </w:tcMar>
          </w:tcPr>
          <w:p w14:paraId="20B15FF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5</w:t>
            </w:r>
          </w:p>
        </w:tc>
        <w:tc>
          <w:tcPr>
            <w:tcW w:w="992" w:type="dxa"/>
            <w:shd w:val="clear" w:color="auto" w:fill="FFFFFF" w:themeFill="background1"/>
            <w:tcMar>
              <w:top w:w="0" w:type="dxa"/>
              <w:left w:w="108" w:type="dxa"/>
              <w:bottom w:w="0" w:type="dxa"/>
              <w:right w:w="108" w:type="dxa"/>
            </w:tcMar>
          </w:tcPr>
          <w:p w14:paraId="4FBBCA2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1,52%</w:t>
            </w:r>
          </w:p>
        </w:tc>
        <w:tc>
          <w:tcPr>
            <w:tcW w:w="709" w:type="dxa"/>
            <w:shd w:val="clear" w:color="auto" w:fill="FFFFFF" w:themeFill="background1"/>
            <w:tcMar>
              <w:top w:w="0" w:type="dxa"/>
              <w:left w:w="108" w:type="dxa"/>
              <w:bottom w:w="0" w:type="dxa"/>
              <w:right w:w="108" w:type="dxa"/>
            </w:tcMar>
          </w:tcPr>
          <w:p w14:paraId="7246BC7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1134" w:type="dxa"/>
            <w:shd w:val="clear" w:color="auto" w:fill="FFFFFF" w:themeFill="background1"/>
            <w:tcMar>
              <w:top w:w="0" w:type="dxa"/>
              <w:left w:w="108" w:type="dxa"/>
              <w:bottom w:w="0" w:type="dxa"/>
              <w:right w:w="108" w:type="dxa"/>
            </w:tcMar>
          </w:tcPr>
          <w:p w14:paraId="1EB9F97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0,63%</w:t>
            </w:r>
          </w:p>
        </w:tc>
        <w:tc>
          <w:tcPr>
            <w:tcW w:w="709" w:type="dxa"/>
            <w:shd w:val="clear" w:color="auto" w:fill="FFFFFF" w:themeFill="background1"/>
            <w:tcMar>
              <w:top w:w="0" w:type="dxa"/>
              <w:left w:w="108" w:type="dxa"/>
              <w:bottom w:w="0" w:type="dxa"/>
              <w:right w:w="108" w:type="dxa"/>
            </w:tcMar>
          </w:tcPr>
          <w:p w14:paraId="5FA39C4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2" w:type="dxa"/>
            <w:shd w:val="clear" w:color="auto" w:fill="FFFFFF" w:themeFill="background1"/>
            <w:tcMar>
              <w:top w:w="0" w:type="dxa"/>
              <w:left w:w="108" w:type="dxa"/>
              <w:bottom w:w="0" w:type="dxa"/>
              <w:right w:w="108" w:type="dxa"/>
            </w:tcMar>
          </w:tcPr>
          <w:p w14:paraId="22B0028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0,51%</w:t>
            </w:r>
          </w:p>
        </w:tc>
        <w:tc>
          <w:tcPr>
            <w:tcW w:w="850" w:type="dxa"/>
            <w:shd w:val="clear" w:color="auto" w:fill="FFFFFF" w:themeFill="background1"/>
            <w:tcMar>
              <w:top w:w="0" w:type="dxa"/>
              <w:left w:w="108" w:type="dxa"/>
              <w:bottom w:w="0" w:type="dxa"/>
              <w:right w:w="108" w:type="dxa"/>
            </w:tcMar>
          </w:tcPr>
          <w:p w14:paraId="555EA72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2B3E508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8" w:type="dxa"/>
            <w:shd w:val="clear" w:color="auto" w:fill="FFFFFF" w:themeFill="background1"/>
            <w:tcMar>
              <w:top w:w="0" w:type="dxa"/>
              <w:left w:w="108" w:type="dxa"/>
              <w:bottom w:w="0" w:type="dxa"/>
              <w:right w:w="108" w:type="dxa"/>
            </w:tcMar>
          </w:tcPr>
          <w:p w14:paraId="10A496C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1538FF3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425" w:type="dxa"/>
            <w:shd w:val="clear" w:color="auto" w:fill="FFFFFF" w:themeFill="background1"/>
            <w:tcMar>
              <w:top w:w="0" w:type="dxa"/>
              <w:left w:w="108" w:type="dxa"/>
              <w:bottom w:w="0" w:type="dxa"/>
              <w:right w:w="108" w:type="dxa"/>
            </w:tcMar>
          </w:tcPr>
          <w:p w14:paraId="46A3162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850" w:type="dxa"/>
            <w:shd w:val="clear" w:color="auto" w:fill="FFFFFF" w:themeFill="background1"/>
            <w:tcMar>
              <w:top w:w="0" w:type="dxa"/>
              <w:left w:w="108" w:type="dxa"/>
              <w:bottom w:w="0" w:type="dxa"/>
              <w:right w:w="108" w:type="dxa"/>
            </w:tcMar>
          </w:tcPr>
          <w:p w14:paraId="7994B83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2,04%</w:t>
            </w:r>
          </w:p>
        </w:tc>
        <w:tc>
          <w:tcPr>
            <w:tcW w:w="567" w:type="dxa"/>
            <w:shd w:val="clear" w:color="auto" w:fill="FFFFFF" w:themeFill="background1"/>
            <w:tcMar>
              <w:top w:w="0" w:type="dxa"/>
              <w:left w:w="10" w:type="dxa"/>
              <w:bottom w:w="0" w:type="dxa"/>
              <w:right w:w="10" w:type="dxa"/>
            </w:tcMar>
          </w:tcPr>
          <w:p w14:paraId="596C1A1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p w14:paraId="23315419" w14:textId="77777777" w:rsidR="00284822" w:rsidRDefault="00284822">
            <w:pPr>
              <w:spacing w:line="240" w:lineRule="auto"/>
              <w:jc w:val="left"/>
              <w:rPr>
                <w:rFonts w:ascii="Rockwell" w:hAnsi="Rockwell"/>
                <w:color w:val="000000"/>
                <w:sz w:val="18"/>
                <w:szCs w:val="18"/>
              </w:rPr>
            </w:pPr>
          </w:p>
        </w:tc>
        <w:tc>
          <w:tcPr>
            <w:tcW w:w="851" w:type="dxa"/>
            <w:shd w:val="clear" w:color="auto" w:fill="FFFFFF" w:themeFill="background1"/>
            <w:tcMar>
              <w:top w:w="0" w:type="dxa"/>
              <w:left w:w="108" w:type="dxa"/>
              <w:bottom w:w="0" w:type="dxa"/>
              <w:right w:w="108" w:type="dxa"/>
            </w:tcMar>
          </w:tcPr>
          <w:p w14:paraId="36740CF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1,41%</w:t>
            </w:r>
          </w:p>
        </w:tc>
      </w:tr>
      <w:tr w:rsidR="00284822" w14:paraId="2B098A21" w14:textId="77777777">
        <w:trPr>
          <w:trHeight w:val="436"/>
          <w:jc w:val="center"/>
        </w:trPr>
        <w:tc>
          <w:tcPr>
            <w:tcW w:w="851" w:type="dxa"/>
            <w:shd w:val="clear" w:color="auto" w:fill="FFFFFF" w:themeFill="background1"/>
            <w:noWrap/>
            <w:tcMar>
              <w:top w:w="0" w:type="dxa"/>
              <w:left w:w="108" w:type="dxa"/>
              <w:bottom w:w="0" w:type="dxa"/>
              <w:right w:w="108" w:type="dxa"/>
            </w:tcMar>
          </w:tcPr>
          <w:p w14:paraId="3FD76376"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25</w:t>
            </w:r>
          </w:p>
        </w:tc>
        <w:tc>
          <w:tcPr>
            <w:tcW w:w="1696" w:type="dxa"/>
            <w:shd w:val="clear" w:color="auto" w:fill="FFFFFF" w:themeFill="background1"/>
            <w:tcMar>
              <w:top w:w="0" w:type="dxa"/>
              <w:left w:w="108" w:type="dxa"/>
              <w:bottom w:w="0" w:type="dxa"/>
              <w:right w:w="108" w:type="dxa"/>
            </w:tcMar>
          </w:tcPr>
          <w:p w14:paraId="450F7105"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NTD</w:t>
            </w:r>
          </w:p>
        </w:tc>
        <w:tc>
          <w:tcPr>
            <w:tcW w:w="567" w:type="dxa"/>
            <w:shd w:val="clear" w:color="auto" w:fill="FFFFFF" w:themeFill="background1"/>
            <w:tcMar>
              <w:top w:w="0" w:type="dxa"/>
              <w:left w:w="108" w:type="dxa"/>
              <w:bottom w:w="0" w:type="dxa"/>
              <w:right w:w="108" w:type="dxa"/>
            </w:tcMar>
          </w:tcPr>
          <w:p w14:paraId="7C6FADC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4</w:t>
            </w:r>
          </w:p>
        </w:tc>
        <w:tc>
          <w:tcPr>
            <w:tcW w:w="850" w:type="dxa"/>
            <w:shd w:val="clear" w:color="auto" w:fill="FFFFFF" w:themeFill="background1"/>
            <w:tcMar>
              <w:top w:w="0" w:type="dxa"/>
              <w:left w:w="108" w:type="dxa"/>
              <w:bottom w:w="0" w:type="dxa"/>
              <w:right w:w="108" w:type="dxa"/>
            </w:tcMar>
          </w:tcPr>
          <w:p w14:paraId="636A606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2,55%</w:t>
            </w:r>
          </w:p>
        </w:tc>
        <w:tc>
          <w:tcPr>
            <w:tcW w:w="851" w:type="dxa"/>
            <w:shd w:val="clear" w:color="auto" w:fill="FFFFFF" w:themeFill="background1"/>
            <w:tcMar>
              <w:top w:w="0" w:type="dxa"/>
              <w:left w:w="108" w:type="dxa"/>
              <w:bottom w:w="0" w:type="dxa"/>
              <w:right w:w="108" w:type="dxa"/>
            </w:tcMar>
          </w:tcPr>
          <w:p w14:paraId="0301BA7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8</w:t>
            </w:r>
          </w:p>
        </w:tc>
        <w:tc>
          <w:tcPr>
            <w:tcW w:w="992" w:type="dxa"/>
            <w:shd w:val="clear" w:color="auto" w:fill="FFFFFF" w:themeFill="background1"/>
            <w:tcMar>
              <w:top w:w="0" w:type="dxa"/>
              <w:left w:w="108" w:type="dxa"/>
              <w:bottom w:w="0" w:type="dxa"/>
              <w:right w:w="108" w:type="dxa"/>
            </w:tcMar>
          </w:tcPr>
          <w:p w14:paraId="745B600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2,42%</w:t>
            </w:r>
          </w:p>
        </w:tc>
        <w:tc>
          <w:tcPr>
            <w:tcW w:w="709" w:type="dxa"/>
            <w:shd w:val="clear" w:color="auto" w:fill="FFFFFF" w:themeFill="background1"/>
            <w:tcMar>
              <w:top w:w="0" w:type="dxa"/>
              <w:left w:w="108" w:type="dxa"/>
              <w:bottom w:w="0" w:type="dxa"/>
              <w:right w:w="108" w:type="dxa"/>
            </w:tcMar>
          </w:tcPr>
          <w:p w14:paraId="707F4BC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5</w:t>
            </w:r>
          </w:p>
        </w:tc>
        <w:tc>
          <w:tcPr>
            <w:tcW w:w="1134" w:type="dxa"/>
            <w:shd w:val="clear" w:color="auto" w:fill="FFFFFF" w:themeFill="background1"/>
            <w:tcMar>
              <w:top w:w="0" w:type="dxa"/>
              <w:left w:w="108" w:type="dxa"/>
              <w:bottom w:w="0" w:type="dxa"/>
              <w:right w:w="108" w:type="dxa"/>
            </w:tcMar>
          </w:tcPr>
          <w:p w14:paraId="5E8BD9D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3,16%</w:t>
            </w:r>
          </w:p>
        </w:tc>
        <w:tc>
          <w:tcPr>
            <w:tcW w:w="709" w:type="dxa"/>
            <w:shd w:val="clear" w:color="auto" w:fill="FFFFFF" w:themeFill="background1"/>
            <w:tcMar>
              <w:top w:w="0" w:type="dxa"/>
              <w:left w:w="108" w:type="dxa"/>
              <w:bottom w:w="0" w:type="dxa"/>
              <w:right w:w="108" w:type="dxa"/>
            </w:tcMar>
          </w:tcPr>
          <w:p w14:paraId="36316D1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5</w:t>
            </w:r>
          </w:p>
        </w:tc>
        <w:tc>
          <w:tcPr>
            <w:tcW w:w="992" w:type="dxa"/>
            <w:shd w:val="clear" w:color="auto" w:fill="FFFFFF" w:themeFill="background1"/>
            <w:tcMar>
              <w:top w:w="0" w:type="dxa"/>
              <w:left w:w="108" w:type="dxa"/>
              <w:bottom w:w="0" w:type="dxa"/>
              <w:right w:w="108" w:type="dxa"/>
            </w:tcMar>
          </w:tcPr>
          <w:p w14:paraId="2131FC1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2,53%</w:t>
            </w:r>
          </w:p>
        </w:tc>
        <w:tc>
          <w:tcPr>
            <w:tcW w:w="850" w:type="dxa"/>
            <w:shd w:val="clear" w:color="auto" w:fill="FFFFFF" w:themeFill="background1"/>
            <w:tcMar>
              <w:top w:w="0" w:type="dxa"/>
              <w:left w:w="108" w:type="dxa"/>
              <w:bottom w:w="0" w:type="dxa"/>
              <w:right w:w="108" w:type="dxa"/>
            </w:tcMar>
          </w:tcPr>
          <w:p w14:paraId="15A0F32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5A9D994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8" w:type="dxa"/>
            <w:shd w:val="clear" w:color="auto" w:fill="FFFFFF" w:themeFill="background1"/>
            <w:tcMar>
              <w:top w:w="0" w:type="dxa"/>
              <w:left w:w="108" w:type="dxa"/>
              <w:bottom w:w="0" w:type="dxa"/>
              <w:right w:w="108" w:type="dxa"/>
            </w:tcMar>
          </w:tcPr>
          <w:p w14:paraId="6B0E1EC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17BF4D9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425" w:type="dxa"/>
            <w:shd w:val="clear" w:color="auto" w:fill="FFFFFF" w:themeFill="background1"/>
            <w:tcMar>
              <w:top w:w="0" w:type="dxa"/>
              <w:left w:w="108" w:type="dxa"/>
              <w:bottom w:w="0" w:type="dxa"/>
              <w:right w:w="108" w:type="dxa"/>
            </w:tcMar>
          </w:tcPr>
          <w:p w14:paraId="210FCA5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850" w:type="dxa"/>
            <w:shd w:val="clear" w:color="auto" w:fill="FFFFFF" w:themeFill="background1"/>
            <w:tcMar>
              <w:top w:w="0" w:type="dxa"/>
              <w:left w:w="108" w:type="dxa"/>
              <w:bottom w:w="0" w:type="dxa"/>
              <w:right w:w="108" w:type="dxa"/>
            </w:tcMar>
          </w:tcPr>
          <w:p w14:paraId="75D2E99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2,04%</w:t>
            </w:r>
          </w:p>
        </w:tc>
        <w:tc>
          <w:tcPr>
            <w:tcW w:w="567" w:type="dxa"/>
            <w:shd w:val="clear" w:color="auto" w:fill="FFFFFF" w:themeFill="background1"/>
            <w:tcMar>
              <w:top w:w="0" w:type="dxa"/>
              <w:left w:w="10" w:type="dxa"/>
              <w:bottom w:w="0" w:type="dxa"/>
              <w:right w:w="10" w:type="dxa"/>
            </w:tcMar>
          </w:tcPr>
          <w:p w14:paraId="3758FCB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p w14:paraId="6BE483E6" w14:textId="77777777" w:rsidR="00284822" w:rsidRDefault="00284822">
            <w:pPr>
              <w:spacing w:line="240" w:lineRule="auto"/>
              <w:jc w:val="left"/>
              <w:rPr>
                <w:rFonts w:ascii="Rockwell" w:hAnsi="Rockwell"/>
                <w:color w:val="000000"/>
                <w:sz w:val="18"/>
                <w:szCs w:val="18"/>
              </w:rPr>
            </w:pPr>
          </w:p>
        </w:tc>
        <w:tc>
          <w:tcPr>
            <w:tcW w:w="851" w:type="dxa"/>
            <w:shd w:val="clear" w:color="auto" w:fill="FFFFFF" w:themeFill="background1"/>
            <w:tcMar>
              <w:top w:w="0" w:type="dxa"/>
              <w:left w:w="108" w:type="dxa"/>
              <w:bottom w:w="0" w:type="dxa"/>
              <w:right w:w="108" w:type="dxa"/>
            </w:tcMar>
          </w:tcPr>
          <w:p w14:paraId="38A4F2F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1,41%</w:t>
            </w:r>
          </w:p>
        </w:tc>
      </w:tr>
      <w:tr w:rsidR="00284822" w14:paraId="53C34349" w14:textId="77777777">
        <w:trPr>
          <w:trHeight w:val="70"/>
          <w:jc w:val="center"/>
        </w:trPr>
        <w:tc>
          <w:tcPr>
            <w:tcW w:w="851" w:type="dxa"/>
            <w:shd w:val="clear" w:color="auto" w:fill="FFFFFF" w:themeFill="background1"/>
            <w:noWrap/>
            <w:tcMar>
              <w:top w:w="0" w:type="dxa"/>
              <w:left w:w="108" w:type="dxa"/>
              <w:bottom w:w="0" w:type="dxa"/>
              <w:right w:w="108" w:type="dxa"/>
            </w:tcMar>
          </w:tcPr>
          <w:p w14:paraId="2804E7C3"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26</w:t>
            </w:r>
          </w:p>
        </w:tc>
        <w:tc>
          <w:tcPr>
            <w:tcW w:w="1696" w:type="dxa"/>
            <w:shd w:val="clear" w:color="auto" w:fill="FFFFFF" w:themeFill="background1"/>
            <w:tcMar>
              <w:top w:w="0" w:type="dxa"/>
              <w:left w:w="108" w:type="dxa"/>
              <w:bottom w:w="0" w:type="dxa"/>
              <w:right w:w="108" w:type="dxa"/>
            </w:tcMar>
          </w:tcPr>
          <w:p w14:paraId="5F3BDA29"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PAREN</w:t>
            </w:r>
          </w:p>
        </w:tc>
        <w:tc>
          <w:tcPr>
            <w:tcW w:w="567" w:type="dxa"/>
            <w:shd w:val="clear" w:color="auto" w:fill="FFFFFF" w:themeFill="background1"/>
            <w:tcMar>
              <w:top w:w="0" w:type="dxa"/>
              <w:left w:w="108" w:type="dxa"/>
              <w:bottom w:w="0" w:type="dxa"/>
              <w:right w:w="108" w:type="dxa"/>
            </w:tcMar>
          </w:tcPr>
          <w:p w14:paraId="162D4B3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850" w:type="dxa"/>
            <w:shd w:val="clear" w:color="auto" w:fill="FFFFFF" w:themeFill="background1"/>
            <w:tcMar>
              <w:top w:w="0" w:type="dxa"/>
              <w:left w:w="108" w:type="dxa"/>
              <w:bottom w:w="0" w:type="dxa"/>
              <w:right w:w="108" w:type="dxa"/>
            </w:tcMar>
          </w:tcPr>
          <w:p w14:paraId="62AA205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0,64%</w:t>
            </w:r>
          </w:p>
        </w:tc>
        <w:tc>
          <w:tcPr>
            <w:tcW w:w="851" w:type="dxa"/>
            <w:shd w:val="clear" w:color="auto" w:fill="FFFFFF" w:themeFill="background1"/>
            <w:tcMar>
              <w:top w:w="0" w:type="dxa"/>
              <w:left w:w="108" w:type="dxa"/>
              <w:bottom w:w="0" w:type="dxa"/>
              <w:right w:w="108" w:type="dxa"/>
            </w:tcMar>
          </w:tcPr>
          <w:p w14:paraId="33A69FE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4</w:t>
            </w:r>
          </w:p>
        </w:tc>
        <w:tc>
          <w:tcPr>
            <w:tcW w:w="992" w:type="dxa"/>
            <w:shd w:val="clear" w:color="auto" w:fill="FFFFFF" w:themeFill="background1"/>
            <w:tcMar>
              <w:top w:w="0" w:type="dxa"/>
              <w:left w:w="108" w:type="dxa"/>
              <w:bottom w:w="0" w:type="dxa"/>
              <w:right w:w="108" w:type="dxa"/>
            </w:tcMar>
          </w:tcPr>
          <w:p w14:paraId="1A50A6D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1,21%</w:t>
            </w:r>
          </w:p>
        </w:tc>
        <w:tc>
          <w:tcPr>
            <w:tcW w:w="709" w:type="dxa"/>
            <w:shd w:val="clear" w:color="auto" w:fill="FFFFFF" w:themeFill="background1"/>
            <w:tcMar>
              <w:top w:w="0" w:type="dxa"/>
              <w:left w:w="108" w:type="dxa"/>
              <w:bottom w:w="0" w:type="dxa"/>
              <w:right w:w="108" w:type="dxa"/>
            </w:tcMar>
          </w:tcPr>
          <w:p w14:paraId="231DB57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w:t>
            </w:r>
          </w:p>
        </w:tc>
        <w:tc>
          <w:tcPr>
            <w:tcW w:w="1134" w:type="dxa"/>
            <w:shd w:val="clear" w:color="auto" w:fill="FFFFFF" w:themeFill="background1"/>
            <w:tcMar>
              <w:top w:w="0" w:type="dxa"/>
              <w:left w:w="108" w:type="dxa"/>
              <w:bottom w:w="0" w:type="dxa"/>
              <w:right w:w="108" w:type="dxa"/>
            </w:tcMar>
          </w:tcPr>
          <w:p w14:paraId="45C6650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1,90%</w:t>
            </w:r>
          </w:p>
        </w:tc>
        <w:tc>
          <w:tcPr>
            <w:tcW w:w="709" w:type="dxa"/>
            <w:shd w:val="clear" w:color="auto" w:fill="FFFFFF" w:themeFill="background1"/>
            <w:tcMar>
              <w:top w:w="0" w:type="dxa"/>
              <w:left w:w="108" w:type="dxa"/>
              <w:bottom w:w="0" w:type="dxa"/>
              <w:right w:w="108" w:type="dxa"/>
            </w:tcMar>
          </w:tcPr>
          <w:p w14:paraId="671E812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w:t>
            </w:r>
          </w:p>
        </w:tc>
        <w:tc>
          <w:tcPr>
            <w:tcW w:w="992" w:type="dxa"/>
            <w:shd w:val="clear" w:color="auto" w:fill="FFFFFF" w:themeFill="background1"/>
            <w:tcMar>
              <w:top w:w="0" w:type="dxa"/>
              <w:left w:w="108" w:type="dxa"/>
              <w:bottom w:w="0" w:type="dxa"/>
              <w:right w:w="108" w:type="dxa"/>
            </w:tcMar>
          </w:tcPr>
          <w:p w14:paraId="184CA2B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1,52%</w:t>
            </w:r>
          </w:p>
        </w:tc>
        <w:tc>
          <w:tcPr>
            <w:tcW w:w="850" w:type="dxa"/>
            <w:shd w:val="clear" w:color="auto" w:fill="FFFFFF" w:themeFill="background1"/>
            <w:tcMar>
              <w:top w:w="0" w:type="dxa"/>
              <w:left w:w="108" w:type="dxa"/>
              <w:bottom w:w="0" w:type="dxa"/>
              <w:right w:w="108" w:type="dxa"/>
            </w:tcMar>
          </w:tcPr>
          <w:p w14:paraId="4F09E94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4A47B44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8" w:type="dxa"/>
            <w:shd w:val="clear" w:color="auto" w:fill="FFFFFF" w:themeFill="background1"/>
            <w:tcMar>
              <w:top w:w="0" w:type="dxa"/>
              <w:left w:w="108" w:type="dxa"/>
              <w:bottom w:w="0" w:type="dxa"/>
              <w:right w:w="108" w:type="dxa"/>
            </w:tcMar>
          </w:tcPr>
          <w:p w14:paraId="3BDC771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13D2738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425" w:type="dxa"/>
            <w:shd w:val="clear" w:color="auto" w:fill="FFFFFF" w:themeFill="background1"/>
            <w:tcMar>
              <w:top w:w="0" w:type="dxa"/>
              <w:left w:w="108" w:type="dxa"/>
              <w:bottom w:w="0" w:type="dxa"/>
              <w:right w:w="108" w:type="dxa"/>
            </w:tcMar>
          </w:tcPr>
          <w:p w14:paraId="0BA682F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0DFA384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567" w:type="dxa"/>
            <w:shd w:val="clear" w:color="auto" w:fill="FFFFFF" w:themeFill="background1"/>
            <w:tcMar>
              <w:top w:w="0" w:type="dxa"/>
              <w:left w:w="10" w:type="dxa"/>
              <w:bottom w:w="0" w:type="dxa"/>
              <w:right w:w="10" w:type="dxa"/>
            </w:tcMar>
          </w:tcPr>
          <w:p w14:paraId="534E0F1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p w14:paraId="74A63654" w14:textId="77777777" w:rsidR="00284822" w:rsidRDefault="00284822">
            <w:pPr>
              <w:spacing w:line="240" w:lineRule="auto"/>
              <w:jc w:val="left"/>
              <w:rPr>
                <w:rFonts w:ascii="Rockwell" w:hAnsi="Rockwell"/>
                <w:color w:val="000000"/>
                <w:sz w:val="18"/>
                <w:szCs w:val="18"/>
              </w:rPr>
            </w:pPr>
          </w:p>
        </w:tc>
        <w:tc>
          <w:tcPr>
            <w:tcW w:w="851" w:type="dxa"/>
            <w:shd w:val="clear" w:color="auto" w:fill="FFFFFF" w:themeFill="background1"/>
            <w:tcMar>
              <w:top w:w="0" w:type="dxa"/>
              <w:left w:w="108" w:type="dxa"/>
              <w:bottom w:w="0" w:type="dxa"/>
              <w:right w:w="108" w:type="dxa"/>
            </w:tcMar>
          </w:tcPr>
          <w:p w14:paraId="277F253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r>
      <w:tr w:rsidR="00284822" w14:paraId="4B193075" w14:textId="77777777">
        <w:trPr>
          <w:trHeight w:val="70"/>
          <w:jc w:val="center"/>
        </w:trPr>
        <w:tc>
          <w:tcPr>
            <w:tcW w:w="851" w:type="dxa"/>
            <w:shd w:val="clear" w:color="auto" w:fill="FFFFFF" w:themeFill="background1"/>
            <w:noWrap/>
            <w:tcMar>
              <w:top w:w="0" w:type="dxa"/>
              <w:left w:w="108" w:type="dxa"/>
              <w:bottom w:w="0" w:type="dxa"/>
              <w:right w:w="108" w:type="dxa"/>
            </w:tcMar>
          </w:tcPr>
          <w:p w14:paraId="04F929FB"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27</w:t>
            </w:r>
          </w:p>
        </w:tc>
        <w:tc>
          <w:tcPr>
            <w:tcW w:w="1696" w:type="dxa"/>
            <w:shd w:val="clear" w:color="auto" w:fill="FFFFFF" w:themeFill="background1"/>
            <w:tcMar>
              <w:top w:w="0" w:type="dxa"/>
              <w:left w:w="108" w:type="dxa"/>
              <w:bottom w:w="0" w:type="dxa"/>
              <w:right w:w="108" w:type="dxa"/>
            </w:tcMar>
          </w:tcPr>
          <w:p w14:paraId="65CC2938"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PDIS L</w:t>
            </w:r>
          </w:p>
        </w:tc>
        <w:tc>
          <w:tcPr>
            <w:tcW w:w="567" w:type="dxa"/>
            <w:shd w:val="clear" w:color="auto" w:fill="FFFFFF" w:themeFill="background1"/>
            <w:tcMar>
              <w:top w:w="0" w:type="dxa"/>
              <w:left w:w="108" w:type="dxa"/>
              <w:bottom w:w="0" w:type="dxa"/>
              <w:right w:w="108" w:type="dxa"/>
            </w:tcMar>
          </w:tcPr>
          <w:p w14:paraId="64563B8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5B36C9B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1" w:type="dxa"/>
            <w:shd w:val="clear" w:color="auto" w:fill="FFFFFF" w:themeFill="background1"/>
            <w:tcMar>
              <w:top w:w="0" w:type="dxa"/>
              <w:left w:w="108" w:type="dxa"/>
              <w:bottom w:w="0" w:type="dxa"/>
              <w:right w:w="108" w:type="dxa"/>
            </w:tcMar>
          </w:tcPr>
          <w:p w14:paraId="5FE54E3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7AF7756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02605BF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w:t>
            </w:r>
          </w:p>
        </w:tc>
        <w:tc>
          <w:tcPr>
            <w:tcW w:w="1134" w:type="dxa"/>
            <w:shd w:val="clear" w:color="auto" w:fill="FFFFFF" w:themeFill="background1"/>
            <w:tcMar>
              <w:top w:w="0" w:type="dxa"/>
              <w:left w:w="108" w:type="dxa"/>
              <w:bottom w:w="0" w:type="dxa"/>
              <w:right w:w="108" w:type="dxa"/>
            </w:tcMar>
          </w:tcPr>
          <w:p w14:paraId="45B5FC1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1,27%</w:t>
            </w:r>
          </w:p>
        </w:tc>
        <w:tc>
          <w:tcPr>
            <w:tcW w:w="709" w:type="dxa"/>
            <w:shd w:val="clear" w:color="auto" w:fill="FFFFFF" w:themeFill="background1"/>
            <w:tcMar>
              <w:top w:w="0" w:type="dxa"/>
              <w:left w:w="108" w:type="dxa"/>
              <w:bottom w:w="0" w:type="dxa"/>
              <w:right w:w="108" w:type="dxa"/>
            </w:tcMar>
          </w:tcPr>
          <w:p w14:paraId="71959A0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w:t>
            </w:r>
          </w:p>
        </w:tc>
        <w:tc>
          <w:tcPr>
            <w:tcW w:w="992" w:type="dxa"/>
            <w:shd w:val="clear" w:color="auto" w:fill="FFFFFF" w:themeFill="background1"/>
            <w:tcMar>
              <w:top w:w="0" w:type="dxa"/>
              <w:left w:w="108" w:type="dxa"/>
              <w:bottom w:w="0" w:type="dxa"/>
              <w:right w:w="108" w:type="dxa"/>
            </w:tcMar>
          </w:tcPr>
          <w:p w14:paraId="1343304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1,01%</w:t>
            </w:r>
          </w:p>
        </w:tc>
        <w:tc>
          <w:tcPr>
            <w:tcW w:w="850" w:type="dxa"/>
            <w:shd w:val="clear" w:color="auto" w:fill="FFFFFF" w:themeFill="background1"/>
            <w:tcMar>
              <w:top w:w="0" w:type="dxa"/>
              <w:left w:w="108" w:type="dxa"/>
              <w:bottom w:w="0" w:type="dxa"/>
              <w:right w:w="108" w:type="dxa"/>
            </w:tcMar>
          </w:tcPr>
          <w:p w14:paraId="139FC19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3" w:type="dxa"/>
            <w:shd w:val="clear" w:color="auto" w:fill="FFFFFF" w:themeFill="background1"/>
            <w:tcMar>
              <w:top w:w="0" w:type="dxa"/>
              <w:left w:w="108" w:type="dxa"/>
              <w:bottom w:w="0" w:type="dxa"/>
              <w:right w:w="108" w:type="dxa"/>
            </w:tcMar>
          </w:tcPr>
          <w:p w14:paraId="72D1FD9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0,88%</w:t>
            </w:r>
          </w:p>
        </w:tc>
        <w:tc>
          <w:tcPr>
            <w:tcW w:w="708" w:type="dxa"/>
            <w:shd w:val="clear" w:color="auto" w:fill="FFFFFF" w:themeFill="background1"/>
            <w:tcMar>
              <w:top w:w="0" w:type="dxa"/>
              <w:left w:w="108" w:type="dxa"/>
              <w:bottom w:w="0" w:type="dxa"/>
              <w:right w:w="108" w:type="dxa"/>
            </w:tcMar>
          </w:tcPr>
          <w:p w14:paraId="7CF9835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3" w:type="dxa"/>
            <w:shd w:val="clear" w:color="auto" w:fill="FFFFFF" w:themeFill="background1"/>
            <w:tcMar>
              <w:top w:w="0" w:type="dxa"/>
              <w:left w:w="108" w:type="dxa"/>
              <w:bottom w:w="0" w:type="dxa"/>
              <w:right w:w="108" w:type="dxa"/>
            </w:tcMar>
          </w:tcPr>
          <w:p w14:paraId="0B31389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0,56%</w:t>
            </w:r>
          </w:p>
        </w:tc>
        <w:tc>
          <w:tcPr>
            <w:tcW w:w="425" w:type="dxa"/>
            <w:shd w:val="clear" w:color="auto" w:fill="FFFFFF" w:themeFill="background1"/>
            <w:tcMar>
              <w:top w:w="0" w:type="dxa"/>
              <w:left w:w="108" w:type="dxa"/>
              <w:bottom w:w="0" w:type="dxa"/>
              <w:right w:w="108" w:type="dxa"/>
            </w:tcMar>
          </w:tcPr>
          <w:p w14:paraId="7A55B0E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447188C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567" w:type="dxa"/>
            <w:shd w:val="clear" w:color="auto" w:fill="FFFFFF" w:themeFill="background1"/>
            <w:tcMar>
              <w:top w:w="0" w:type="dxa"/>
              <w:left w:w="10" w:type="dxa"/>
              <w:bottom w:w="0" w:type="dxa"/>
              <w:right w:w="10" w:type="dxa"/>
            </w:tcMar>
          </w:tcPr>
          <w:p w14:paraId="52983C5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1" w:type="dxa"/>
            <w:shd w:val="clear" w:color="auto" w:fill="FFFFFF" w:themeFill="background1"/>
            <w:tcMar>
              <w:top w:w="0" w:type="dxa"/>
              <w:left w:w="108" w:type="dxa"/>
              <w:bottom w:w="0" w:type="dxa"/>
              <w:right w:w="108" w:type="dxa"/>
            </w:tcMar>
          </w:tcPr>
          <w:p w14:paraId="354FA27C" w14:textId="77777777" w:rsidR="00284822" w:rsidRDefault="00284822">
            <w:pPr>
              <w:spacing w:line="240" w:lineRule="auto"/>
              <w:jc w:val="left"/>
              <w:rPr>
                <w:rFonts w:ascii="Rockwell" w:hAnsi="Rockwell"/>
                <w:color w:val="000000"/>
                <w:sz w:val="18"/>
                <w:szCs w:val="18"/>
              </w:rPr>
            </w:pPr>
          </w:p>
        </w:tc>
      </w:tr>
      <w:tr w:rsidR="00284822" w14:paraId="16FC80F0" w14:textId="77777777">
        <w:trPr>
          <w:trHeight w:val="70"/>
          <w:jc w:val="center"/>
        </w:trPr>
        <w:tc>
          <w:tcPr>
            <w:tcW w:w="851" w:type="dxa"/>
            <w:shd w:val="clear" w:color="auto" w:fill="FFFFFF" w:themeFill="background1"/>
            <w:noWrap/>
            <w:tcMar>
              <w:top w:w="0" w:type="dxa"/>
              <w:left w:w="108" w:type="dxa"/>
              <w:bottom w:w="0" w:type="dxa"/>
              <w:right w:w="108" w:type="dxa"/>
            </w:tcMar>
          </w:tcPr>
          <w:p w14:paraId="2064E84D"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28</w:t>
            </w:r>
          </w:p>
        </w:tc>
        <w:tc>
          <w:tcPr>
            <w:tcW w:w="1696" w:type="dxa"/>
            <w:shd w:val="clear" w:color="auto" w:fill="FFFFFF" w:themeFill="background1"/>
            <w:tcMar>
              <w:top w:w="0" w:type="dxa"/>
              <w:left w:w="108" w:type="dxa"/>
              <w:bottom w:w="0" w:type="dxa"/>
              <w:right w:w="108" w:type="dxa"/>
            </w:tcMar>
          </w:tcPr>
          <w:p w14:paraId="5A3085BF"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PDP/PS</w:t>
            </w:r>
          </w:p>
        </w:tc>
        <w:tc>
          <w:tcPr>
            <w:tcW w:w="567" w:type="dxa"/>
            <w:shd w:val="clear" w:color="auto" w:fill="FFFFFF" w:themeFill="background1"/>
            <w:tcMar>
              <w:top w:w="0" w:type="dxa"/>
              <w:left w:w="108" w:type="dxa"/>
              <w:bottom w:w="0" w:type="dxa"/>
              <w:right w:w="108" w:type="dxa"/>
            </w:tcMar>
          </w:tcPr>
          <w:p w14:paraId="1287DDE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w:t>
            </w:r>
          </w:p>
        </w:tc>
        <w:tc>
          <w:tcPr>
            <w:tcW w:w="850" w:type="dxa"/>
            <w:shd w:val="clear" w:color="auto" w:fill="FFFFFF" w:themeFill="background1"/>
            <w:tcMar>
              <w:top w:w="0" w:type="dxa"/>
              <w:left w:w="108" w:type="dxa"/>
              <w:bottom w:w="0" w:type="dxa"/>
              <w:right w:w="108" w:type="dxa"/>
            </w:tcMar>
          </w:tcPr>
          <w:p w14:paraId="0159E2B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1,91%</w:t>
            </w:r>
          </w:p>
        </w:tc>
        <w:tc>
          <w:tcPr>
            <w:tcW w:w="851" w:type="dxa"/>
            <w:shd w:val="clear" w:color="auto" w:fill="FFFFFF" w:themeFill="background1"/>
            <w:tcMar>
              <w:top w:w="0" w:type="dxa"/>
              <w:left w:w="108" w:type="dxa"/>
              <w:bottom w:w="0" w:type="dxa"/>
              <w:right w:w="108" w:type="dxa"/>
            </w:tcMar>
          </w:tcPr>
          <w:p w14:paraId="705BEFA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w:t>
            </w:r>
          </w:p>
        </w:tc>
        <w:tc>
          <w:tcPr>
            <w:tcW w:w="992" w:type="dxa"/>
            <w:shd w:val="clear" w:color="auto" w:fill="FFFFFF" w:themeFill="background1"/>
            <w:tcMar>
              <w:top w:w="0" w:type="dxa"/>
              <w:left w:w="108" w:type="dxa"/>
              <w:bottom w:w="0" w:type="dxa"/>
              <w:right w:w="108" w:type="dxa"/>
            </w:tcMar>
          </w:tcPr>
          <w:p w14:paraId="1205E41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0,91%</w:t>
            </w:r>
          </w:p>
        </w:tc>
        <w:tc>
          <w:tcPr>
            <w:tcW w:w="709" w:type="dxa"/>
            <w:shd w:val="clear" w:color="auto" w:fill="FFFFFF" w:themeFill="background1"/>
            <w:tcMar>
              <w:top w:w="0" w:type="dxa"/>
              <w:left w:w="108" w:type="dxa"/>
              <w:bottom w:w="0" w:type="dxa"/>
              <w:right w:w="108" w:type="dxa"/>
            </w:tcMar>
          </w:tcPr>
          <w:p w14:paraId="070B0BB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w:t>
            </w:r>
          </w:p>
        </w:tc>
        <w:tc>
          <w:tcPr>
            <w:tcW w:w="1134" w:type="dxa"/>
            <w:shd w:val="clear" w:color="auto" w:fill="FFFFFF" w:themeFill="background1"/>
            <w:tcMar>
              <w:top w:w="0" w:type="dxa"/>
              <w:left w:w="108" w:type="dxa"/>
              <w:bottom w:w="0" w:type="dxa"/>
              <w:right w:w="108" w:type="dxa"/>
            </w:tcMar>
          </w:tcPr>
          <w:p w14:paraId="4DCD0D0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1,90%</w:t>
            </w:r>
          </w:p>
        </w:tc>
        <w:tc>
          <w:tcPr>
            <w:tcW w:w="709" w:type="dxa"/>
            <w:shd w:val="clear" w:color="auto" w:fill="FFFFFF" w:themeFill="background1"/>
            <w:tcMar>
              <w:top w:w="0" w:type="dxa"/>
              <w:left w:w="108" w:type="dxa"/>
              <w:bottom w:w="0" w:type="dxa"/>
              <w:right w:w="108" w:type="dxa"/>
            </w:tcMar>
          </w:tcPr>
          <w:p w14:paraId="4E7A6D9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4</w:t>
            </w:r>
          </w:p>
        </w:tc>
        <w:tc>
          <w:tcPr>
            <w:tcW w:w="992" w:type="dxa"/>
            <w:shd w:val="clear" w:color="auto" w:fill="FFFFFF" w:themeFill="background1"/>
            <w:tcMar>
              <w:top w:w="0" w:type="dxa"/>
              <w:left w:w="108" w:type="dxa"/>
              <w:bottom w:w="0" w:type="dxa"/>
              <w:right w:w="108" w:type="dxa"/>
            </w:tcMar>
          </w:tcPr>
          <w:p w14:paraId="49CAE05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2,02%</w:t>
            </w:r>
          </w:p>
        </w:tc>
        <w:tc>
          <w:tcPr>
            <w:tcW w:w="850" w:type="dxa"/>
            <w:shd w:val="clear" w:color="auto" w:fill="FFFFFF" w:themeFill="background1"/>
            <w:tcMar>
              <w:top w:w="0" w:type="dxa"/>
              <w:left w:w="108" w:type="dxa"/>
              <w:bottom w:w="0" w:type="dxa"/>
              <w:right w:w="108" w:type="dxa"/>
            </w:tcMar>
          </w:tcPr>
          <w:p w14:paraId="070E5DE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4D36168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8" w:type="dxa"/>
            <w:shd w:val="clear" w:color="auto" w:fill="FFFFFF" w:themeFill="background1"/>
            <w:tcMar>
              <w:top w:w="0" w:type="dxa"/>
              <w:left w:w="108" w:type="dxa"/>
              <w:bottom w:w="0" w:type="dxa"/>
              <w:right w:w="108" w:type="dxa"/>
            </w:tcMar>
          </w:tcPr>
          <w:p w14:paraId="2F0B132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56EBB94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425" w:type="dxa"/>
            <w:shd w:val="clear" w:color="auto" w:fill="FFFFFF" w:themeFill="background1"/>
            <w:tcMar>
              <w:top w:w="0" w:type="dxa"/>
              <w:left w:w="108" w:type="dxa"/>
              <w:bottom w:w="0" w:type="dxa"/>
              <w:right w:w="108" w:type="dxa"/>
            </w:tcMar>
          </w:tcPr>
          <w:p w14:paraId="2C2EE1E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1D9C6AD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567" w:type="dxa"/>
            <w:shd w:val="clear" w:color="auto" w:fill="FFFFFF" w:themeFill="background1"/>
            <w:tcMar>
              <w:top w:w="0" w:type="dxa"/>
              <w:left w:w="10" w:type="dxa"/>
              <w:bottom w:w="0" w:type="dxa"/>
              <w:right w:w="10" w:type="dxa"/>
            </w:tcMar>
          </w:tcPr>
          <w:p w14:paraId="14BB04A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1" w:type="dxa"/>
            <w:shd w:val="clear" w:color="auto" w:fill="FFFFFF" w:themeFill="background1"/>
            <w:tcMar>
              <w:top w:w="0" w:type="dxa"/>
              <w:left w:w="108" w:type="dxa"/>
              <w:bottom w:w="0" w:type="dxa"/>
              <w:right w:w="108" w:type="dxa"/>
            </w:tcMar>
          </w:tcPr>
          <w:p w14:paraId="65AF73D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r>
      <w:tr w:rsidR="00284822" w14:paraId="0EDA3BB2" w14:textId="77777777">
        <w:trPr>
          <w:trHeight w:val="328"/>
          <w:jc w:val="center"/>
        </w:trPr>
        <w:tc>
          <w:tcPr>
            <w:tcW w:w="851" w:type="dxa"/>
            <w:shd w:val="clear" w:color="auto" w:fill="FFFFFF" w:themeFill="background1"/>
            <w:noWrap/>
            <w:tcMar>
              <w:top w:w="0" w:type="dxa"/>
              <w:left w:w="108" w:type="dxa"/>
              <w:bottom w:w="0" w:type="dxa"/>
              <w:right w:w="108" w:type="dxa"/>
            </w:tcMar>
          </w:tcPr>
          <w:p w14:paraId="6FEB2BA2"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lastRenderedPageBreak/>
              <w:t>29</w:t>
            </w:r>
          </w:p>
        </w:tc>
        <w:tc>
          <w:tcPr>
            <w:tcW w:w="1696" w:type="dxa"/>
            <w:shd w:val="clear" w:color="auto" w:fill="FFFFFF" w:themeFill="background1"/>
            <w:tcMar>
              <w:top w:w="0" w:type="dxa"/>
              <w:left w:w="108" w:type="dxa"/>
              <w:bottom w:w="0" w:type="dxa"/>
              <w:right w:w="108" w:type="dxa"/>
            </w:tcMar>
          </w:tcPr>
          <w:p w14:paraId="2BF5EBC0"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PPS</w:t>
            </w:r>
          </w:p>
        </w:tc>
        <w:tc>
          <w:tcPr>
            <w:tcW w:w="567" w:type="dxa"/>
            <w:shd w:val="clear" w:color="auto" w:fill="FFFFFF" w:themeFill="background1"/>
            <w:tcMar>
              <w:top w:w="0" w:type="dxa"/>
              <w:left w:w="108" w:type="dxa"/>
              <w:bottom w:w="0" w:type="dxa"/>
              <w:right w:w="108" w:type="dxa"/>
            </w:tcMar>
          </w:tcPr>
          <w:p w14:paraId="1461EF0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16</w:t>
            </w:r>
          </w:p>
        </w:tc>
        <w:tc>
          <w:tcPr>
            <w:tcW w:w="850" w:type="dxa"/>
            <w:shd w:val="clear" w:color="auto" w:fill="FFFFFF" w:themeFill="background1"/>
            <w:tcMar>
              <w:top w:w="0" w:type="dxa"/>
              <w:left w:w="108" w:type="dxa"/>
              <w:bottom w:w="0" w:type="dxa"/>
              <w:right w:w="108" w:type="dxa"/>
            </w:tcMar>
          </w:tcPr>
          <w:p w14:paraId="0C1AD36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10,19%</w:t>
            </w:r>
          </w:p>
        </w:tc>
        <w:tc>
          <w:tcPr>
            <w:tcW w:w="851" w:type="dxa"/>
            <w:shd w:val="clear" w:color="auto" w:fill="FFFFFF" w:themeFill="background1"/>
            <w:tcMar>
              <w:top w:w="0" w:type="dxa"/>
              <w:left w:w="108" w:type="dxa"/>
              <w:bottom w:w="0" w:type="dxa"/>
              <w:right w:w="108" w:type="dxa"/>
            </w:tcMar>
          </w:tcPr>
          <w:p w14:paraId="7C2DE32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35</w:t>
            </w:r>
          </w:p>
        </w:tc>
        <w:tc>
          <w:tcPr>
            <w:tcW w:w="992" w:type="dxa"/>
            <w:shd w:val="clear" w:color="auto" w:fill="FFFFFF" w:themeFill="background1"/>
            <w:tcMar>
              <w:top w:w="0" w:type="dxa"/>
              <w:left w:w="108" w:type="dxa"/>
              <w:bottom w:w="0" w:type="dxa"/>
              <w:right w:w="108" w:type="dxa"/>
            </w:tcMar>
          </w:tcPr>
          <w:p w14:paraId="0771026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10,61%</w:t>
            </w:r>
          </w:p>
        </w:tc>
        <w:tc>
          <w:tcPr>
            <w:tcW w:w="709" w:type="dxa"/>
            <w:shd w:val="clear" w:color="auto" w:fill="FFFFFF" w:themeFill="background1"/>
            <w:tcMar>
              <w:top w:w="0" w:type="dxa"/>
              <w:left w:w="108" w:type="dxa"/>
              <w:bottom w:w="0" w:type="dxa"/>
              <w:right w:w="108" w:type="dxa"/>
            </w:tcMar>
          </w:tcPr>
          <w:p w14:paraId="1574EC3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19</w:t>
            </w:r>
          </w:p>
        </w:tc>
        <w:tc>
          <w:tcPr>
            <w:tcW w:w="1134" w:type="dxa"/>
            <w:shd w:val="clear" w:color="auto" w:fill="FFFFFF" w:themeFill="background1"/>
            <w:tcMar>
              <w:top w:w="0" w:type="dxa"/>
              <w:left w:w="108" w:type="dxa"/>
              <w:bottom w:w="0" w:type="dxa"/>
              <w:right w:w="108" w:type="dxa"/>
            </w:tcMar>
          </w:tcPr>
          <w:p w14:paraId="41972E4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12,03%</w:t>
            </w:r>
          </w:p>
        </w:tc>
        <w:tc>
          <w:tcPr>
            <w:tcW w:w="709" w:type="dxa"/>
            <w:shd w:val="clear" w:color="auto" w:fill="FFFFFF" w:themeFill="background1"/>
            <w:tcMar>
              <w:top w:w="0" w:type="dxa"/>
              <w:left w:w="108" w:type="dxa"/>
              <w:bottom w:w="0" w:type="dxa"/>
              <w:right w:w="108" w:type="dxa"/>
            </w:tcMar>
          </w:tcPr>
          <w:p w14:paraId="5FD674D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35</w:t>
            </w:r>
          </w:p>
        </w:tc>
        <w:tc>
          <w:tcPr>
            <w:tcW w:w="992" w:type="dxa"/>
            <w:shd w:val="clear" w:color="auto" w:fill="FFFFFF" w:themeFill="background1"/>
            <w:tcMar>
              <w:top w:w="0" w:type="dxa"/>
              <w:left w:w="108" w:type="dxa"/>
              <w:bottom w:w="0" w:type="dxa"/>
              <w:right w:w="108" w:type="dxa"/>
            </w:tcMar>
          </w:tcPr>
          <w:p w14:paraId="414E28C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17,68%</w:t>
            </w:r>
          </w:p>
        </w:tc>
        <w:tc>
          <w:tcPr>
            <w:tcW w:w="850" w:type="dxa"/>
            <w:shd w:val="clear" w:color="auto" w:fill="FFFFFF" w:themeFill="background1"/>
            <w:tcMar>
              <w:top w:w="0" w:type="dxa"/>
              <w:left w:w="108" w:type="dxa"/>
              <w:bottom w:w="0" w:type="dxa"/>
              <w:right w:w="108" w:type="dxa"/>
            </w:tcMar>
          </w:tcPr>
          <w:p w14:paraId="6E7F937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7</w:t>
            </w:r>
          </w:p>
        </w:tc>
        <w:tc>
          <w:tcPr>
            <w:tcW w:w="993" w:type="dxa"/>
            <w:shd w:val="clear" w:color="auto" w:fill="FFFFFF" w:themeFill="background1"/>
            <w:tcMar>
              <w:top w:w="0" w:type="dxa"/>
              <w:left w:w="108" w:type="dxa"/>
              <w:bottom w:w="0" w:type="dxa"/>
              <w:right w:w="108" w:type="dxa"/>
            </w:tcMar>
          </w:tcPr>
          <w:p w14:paraId="2F48298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6,19%</w:t>
            </w:r>
          </w:p>
        </w:tc>
        <w:tc>
          <w:tcPr>
            <w:tcW w:w="708" w:type="dxa"/>
            <w:shd w:val="clear" w:color="auto" w:fill="FFFFFF" w:themeFill="background1"/>
            <w:tcMar>
              <w:top w:w="0" w:type="dxa"/>
              <w:left w:w="108" w:type="dxa"/>
              <w:bottom w:w="0" w:type="dxa"/>
              <w:right w:w="108" w:type="dxa"/>
            </w:tcMar>
          </w:tcPr>
          <w:p w14:paraId="7E6DBAA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10</w:t>
            </w:r>
          </w:p>
        </w:tc>
        <w:tc>
          <w:tcPr>
            <w:tcW w:w="993" w:type="dxa"/>
            <w:shd w:val="clear" w:color="auto" w:fill="FFFFFF" w:themeFill="background1"/>
            <w:tcMar>
              <w:top w:w="0" w:type="dxa"/>
              <w:left w:w="108" w:type="dxa"/>
              <w:bottom w:w="0" w:type="dxa"/>
              <w:right w:w="108" w:type="dxa"/>
            </w:tcMar>
          </w:tcPr>
          <w:p w14:paraId="529E11E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5,65%</w:t>
            </w:r>
          </w:p>
        </w:tc>
        <w:tc>
          <w:tcPr>
            <w:tcW w:w="425" w:type="dxa"/>
            <w:shd w:val="clear" w:color="auto" w:fill="FFFFFF" w:themeFill="background1"/>
            <w:tcMar>
              <w:top w:w="0" w:type="dxa"/>
              <w:left w:w="108" w:type="dxa"/>
              <w:bottom w:w="0" w:type="dxa"/>
              <w:right w:w="108" w:type="dxa"/>
            </w:tcMar>
          </w:tcPr>
          <w:p w14:paraId="15227DC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w:t>
            </w:r>
          </w:p>
        </w:tc>
        <w:tc>
          <w:tcPr>
            <w:tcW w:w="850" w:type="dxa"/>
            <w:shd w:val="clear" w:color="auto" w:fill="FFFFFF" w:themeFill="background1"/>
            <w:tcMar>
              <w:top w:w="0" w:type="dxa"/>
              <w:left w:w="108" w:type="dxa"/>
              <w:bottom w:w="0" w:type="dxa"/>
              <w:right w:w="108" w:type="dxa"/>
            </w:tcMar>
          </w:tcPr>
          <w:p w14:paraId="673F019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6,12%</w:t>
            </w:r>
          </w:p>
        </w:tc>
        <w:tc>
          <w:tcPr>
            <w:tcW w:w="567" w:type="dxa"/>
            <w:shd w:val="clear" w:color="auto" w:fill="FFFFFF" w:themeFill="background1"/>
            <w:tcMar>
              <w:top w:w="0" w:type="dxa"/>
              <w:left w:w="10" w:type="dxa"/>
              <w:bottom w:w="0" w:type="dxa"/>
              <w:right w:w="10" w:type="dxa"/>
            </w:tcMar>
          </w:tcPr>
          <w:p w14:paraId="772E068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w:t>
            </w:r>
          </w:p>
        </w:tc>
        <w:tc>
          <w:tcPr>
            <w:tcW w:w="851" w:type="dxa"/>
            <w:shd w:val="clear" w:color="auto" w:fill="FFFFFF" w:themeFill="background1"/>
            <w:tcMar>
              <w:top w:w="0" w:type="dxa"/>
              <w:left w:w="108" w:type="dxa"/>
              <w:bottom w:w="0" w:type="dxa"/>
              <w:right w:w="108" w:type="dxa"/>
            </w:tcMar>
          </w:tcPr>
          <w:p w14:paraId="3BBE4E9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4,23%</w:t>
            </w:r>
          </w:p>
        </w:tc>
      </w:tr>
      <w:tr w:rsidR="00284822" w14:paraId="6B7D02A4" w14:textId="77777777">
        <w:trPr>
          <w:trHeight w:val="70"/>
          <w:jc w:val="center"/>
        </w:trPr>
        <w:tc>
          <w:tcPr>
            <w:tcW w:w="851" w:type="dxa"/>
            <w:shd w:val="clear" w:color="auto" w:fill="FFFFFF" w:themeFill="background1"/>
            <w:noWrap/>
            <w:tcMar>
              <w:top w:w="0" w:type="dxa"/>
              <w:left w:w="108" w:type="dxa"/>
              <w:bottom w:w="0" w:type="dxa"/>
              <w:right w:w="108" w:type="dxa"/>
            </w:tcMar>
          </w:tcPr>
          <w:p w14:paraId="6530D5A8" w14:textId="77777777" w:rsidR="00284822" w:rsidRDefault="00F77BF8">
            <w:pPr>
              <w:spacing w:line="240" w:lineRule="auto"/>
              <w:jc w:val="left"/>
              <w:rPr>
                <w:rFonts w:ascii="Rockwell" w:hAnsi="Rockwell"/>
                <w:bCs/>
                <w:color w:val="000000"/>
                <w:sz w:val="18"/>
                <w:szCs w:val="18"/>
              </w:rPr>
            </w:pPr>
            <w:r>
              <w:rPr>
                <w:rFonts w:ascii="Rockwell" w:hAnsi="Rockwell"/>
                <w:noProof/>
                <w:sz w:val="18"/>
                <w:szCs w:val="18"/>
              </w:rPr>
              <mc:AlternateContent>
                <mc:Choice Requires="wps">
                  <w:drawing>
                    <wp:anchor distT="0" distB="0" distL="114300" distR="114300" simplePos="0" relativeHeight="251670528" behindDoc="0" locked="0" layoutInCell="1" allowOverlap="1" wp14:anchorId="7A1A39DA" wp14:editId="5B2A4A98">
                      <wp:simplePos x="0" y="0"/>
                      <wp:positionH relativeFrom="column">
                        <wp:posOffset>7341870</wp:posOffset>
                      </wp:positionH>
                      <wp:positionV relativeFrom="paragraph">
                        <wp:posOffset>-18406745</wp:posOffset>
                      </wp:positionV>
                      <wp:extent cx="6283325" cy="1504950"/>
                      <wp:effectExtent l="0" t="0" r="22225" b="19050"/>
                      <wp:wrapNone/>
                      <wp:docPr id="37" name="Rectangle 8"/>
                      <wp:cNvGraphicFramePr/>
                      <a:graphic xmlns:a="http://schemas.openxmlformats.org/drawingml/2006/main">
                        <a:graphicData uri="http://schemas.microsoft.com/office/word/2010/wordprocessingShape">
                          <wps:wsp>
                            <wps:cNvSpPr/>
                            <wps:spPr>
                              <a:xfrm>
                                <a:off x="0" y="0"/>
                                <a:ext cx="6283325" cy="1504950"/>
                              </a:xfrm>
                              <a:prstGeom prst="rect">
                                <a:avLst/>
                              </a:prstGeom>
                              <a:solidFill>
                                <a:sysClr val="window" lastClr="FFFFFF"/>
                              </a:solidFill>
                              <a:ln w="19050" cap="flat" cmpd="sng" algn="ctr">
                                <a:solidFill>
                                  <a:sysClr val="windowText" lastClr="000000"/>
                                </a:solidFill>
                                <a:prstDash val="lgDashDot"/>
                                <a:miter lim="800000"/>
                              </a:ln>
                              <a:effectLst/>
                            </wps:spPr>
                            <wps:txbx>
                              <w:txbxContent>
                                <w:p w14:paraId="72647AB6" w14:textId="77777777" w:rsidR="003148F1" w:rsidRDefault="003148F1">
                                  <w:pPr>
                                    <w:spacing w:line="244" w:lineRule="auto"/>
                                    <w:jc w:val="center"/>
                                    <w:textAlignment w:val="auto"/>
                                    <w:rPr>
                                      <w:b/>
                                      <w:sz w:val="16"/>
                                      <w:szCs w:val="16"/>
                                    </w:rPr>
                                  </w:pPr>
                                </w:p>
                                <w:p w14:paraId="13C49780" w14:textId="77777777" w:rsidR="003148F1" w:rsidRDefault="003148F1">
                                  <w:pPr>
                                    <w:spacing w:before="240" w:after="240"/>
                                    <w:jc w:val="center"/>
                                    <w:textAlignment w:val="auto"/>
                                    <w:rPr>
                                      <w:sz w:val="32"/>
                                      <w:szCs w:val="32"/>
                                    </w:rPr>
                                  </w:pPr>
                                  <w:r>
                                    <w:t>ANNEXE</w:t>
                                  </w:r>
                                  <w:r>
                                    <w:t xml:space="preserve">……. : </w:t>
                                  </w:r>
                                  <w:r>
                                    <w:rPr>
                                      <w:rFonts w:ascii="Rockwell" w:hAnsi="Rockwell"/>
                                      <w:b/>
                                      <w:i/>
                                      <w:szCs w:val="26"/>
                                    </w:rPr>
                                    <w:t>STATISTIQUES DE DONNEES DE LA PRESSE EN LIGNE</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7A1A39DA" id="_x0000_s1049" style="position:absolute;margin-left:578.1pt;margin-top:-1449.35pt;width:494.75pt;height:118.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" fillcolor="window" strokecolor="windowText" strokeweight="1.5pt">
                      <v:stroke dashstyle="longDashDot"/>
                      <v:textbox>
                        <w:txbxContent>
                          <w:p w14:paraId="72647AB6" w14:textId="77777777" w:rsidR="003148F1" w:rsidRDefault="003148F1">
                            <w:pPr>
                              <w:spacing w:line="244" w:lineRule="auto"/>
                              <w:jc w:val="center"/>
                              <w:textAlignment w:val="auto"/>
                              <w:rPr>
                                <w:b/>
                                <w:sz w:val="16"/>
                                <w:szCs w:val="16"/>
                              </w:rPr>
                            </w:pPr>
                          </w:p>
                          <w:p w14:paraId="13C49780" w14:textId="77777777" w:rsidR="003148F1" w:rsidRDefault="003148F1">
                            <w:pPr>
                              <w:spacing w:before="240" w:after="240"/>
                              <w:jc w:val="center"/>
                              <w:textAlignment w:val="auto"/>
                              <w:rPr>
                                <w:sz w:val="32"/>
                                <w:szCs w:val="32"/>
                              </w:rPr>
                            </w:pPr>
                            <w:r>
                              <w:t>ANNEXE</w:t>
                            </w:r>
                            <w:r>
                              <w:t xml:space="preserve">……. : </w:t>
                            </w:r>
                            <w:r>
                              <w:rPr>
                                <w:rFonts w:ascii="Rockwell" w:hAnsi="Rockwell"/>
                                <w:b/>
                                <w:i/>
                                <w:szCs w:val="26"/>
                              </w:rPr>
                              <w:t>STATISTIQUES DE DONNEES DE LA PRESSE EN LIGNE</w:t>
                            </w:r>
                          </w:p>
                        </w:txbxContent>
                      </v:textbox>
                    </v:rect>
                  </w:pict>
                </mc:Fallback>
              </mc:AlternateContent>
            </w:r>
            <w:r>
              <w:rPr>
                <w:rFonts w:ascii="Rockwell" w:hAnsi="Rockwell"/>
                <w:bCs/>
                <w:color w:val="000000"/>
                <w:sz w:val="18"/>
                <w:szCs w:val="18"/>
              </w:rPr>
              <w:t>30</w:t>
            </w:r>
          </w:p>
        </w:tc>
        <w:tc>
          <w:tcPr>
            <w:tcW w:w="1696" w:type="dxa"/>
            <w:shd w:val="clear" w:color="auto" w:fill="FFFFFF" w:themeFill="background1"/>
            <w:tcMar>
              <w:top w:w="0" w:type="dxa"/>
              <w:left w:w="108" w:type="dxa"/>
              <w:bottom w:w="0" w:type="dxa"/>
              <w:right w:w="108" w:type="dxa"/>
            </w:tcMar>
          </w:tcPr>
          <w:p w14:paraId="1D817E80"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PRC</w:t>
            </w:r>
          </w:p>
        </w:tc>
        <w:tc>
          <w:tcPr>
            <w:tcW w:w="567" w:type="dxa"/>
            <w:shd w:val="clear" w:color="auto" w:fill="FFFFFF" w:themeFill="background1"/>
            <w:tcMar>
              <w:top w:w="0" w:type="dxa"/>
              <w:left w:w="108" w:type="dxa"/>
              <w:bottom w:w="0" w:type="dxa"/>
              <w:right w:w="108" w:type="dxa"/>
            </w:tcMar>
          </w:tcPr>
          <w:p w14:paraId="0BDEC0A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850" w:type="dxa"/>
            <w:shd w:val="clear" w:color="auto" w:fill="FFFFFF" w:themeFill="background1"/>
            <w:tcMar>
              <w:top w:w="0" w:type="dxa"/>
              <w:left w:w="108" w:type="dxa"/>
              <w:bottom w:w="0" w:type="dxa"/>
              <w:right w:w="108" w:type="dxa"/>
            </w:tcMar>
          </w:tcPr>
          <w:p w14:paraId="7B90A8F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0,64%</w:t>
            </w:r>
          </w:p>
        </w:tc>
        <w:tc>
          <w:tcPr>
            <w:tcW w:w="851" w:type="dxa"/>
            <w:shd w:val="clear" w:color="auto" w:fill="FFFFFF" w:themeFill="background1"/>
            <w:tcMar>
              <w:top w:w="0" w:type="dxa"/>
              <w:left w:w="108" w:type="dxa"/>
              <w:bottom w:w="0" w:type="dxa"/>
              <w:right w:w="108" w:type="dxa"/>
            </w:tcMar>
          </w:tcPr>
          <w:p w14:paraId="77AE183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w:t>
            </w:r>
          </w:p>
        </w:tc>
        <w:tc>
          <w:tcPr>
            <w:tcW w:w="992" w:type="dxa"/>
            <w:shd w:val="clear" w:color="auto" w:fill="FFFFFF" w:themeFill="background1"/>
            <w:tcMar>
              <w:top w:w="0" w:type="dxa"/>
              <w:left w:w="108" w:type="dxa"/>
              <w:bottom w:w="0" w:type="dxa"/>
              <w:right w:w="108" w:type="dxa"/>
            </w:tcMar>
          </w:tcPr>
          <w:p w14:paraId="6CE2E65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0,91%</w:t>
            </w:r>
          </w:p>
        </w:tc>
        <w:tc>
          <w:tcPr>
            <w:tcW w:w="709" w:type="dxa"/>
            <w:shd w:val="clear" w:color="auto" w:fill="FFFFFF" w:themeFill="background1"/>
            <w:tcMar>
              <w:top w:w="0" w:type="dxa"/>
              <w:left w:w="108" w:type="dxa"/>
              <w:bottom w:w="0" w:type="dxa"/>
              <w:right w:w="108" w:type="dxa"/>
            </w:tcMar>
          </w:tcPr>
          <w:p w14:paraId="57AB900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1134" w:type="dxa"/>
            <w:shd w:val="clear" w:color="auto" w:fill="FFFFFF" w:themeFill="background1"/>
            <w:tcMar>
              <w:top w:w="0" w:type="dxa"/>
              <w:left w:w="108" w:type="dxa"/>
              <w:bottom w:w="0" w:type="dxa"/>
              <w:right w:w="108" w:type="dxa"/>
            </w:tcMar>
          </w:tcPr>
          <w:p w14:paraId="6BC0BF6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5C7B6CA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0603BF9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0" w:type="dxa"/>
            <w:shd w:val="clear" w:color="auto" w:fill="FFFFFF" w:themeFill="background1"/>
            <w:tcMar>
              <w:top w:w="0" w:type="dxa"/>
              <w:left w:w="108" w:type="dxa"/>
              <w:bottom w:w="0" w:type="dxa"/>
              <w:right w:w="108" w:type="dxa"/>
            </w:tcMar>
          </w:tcPr>
          <w:p w14:paraId="58DA194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4208008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8" w:type="dxa"/>
            <w:shd w:val="clear" w:color="auto" w:fill="FFFFFF" w:themeFill="background1"/>
            <w:tcMar>
              <w:top w:w="0" w:type="dxa"/>
              <w:left w:w="108" w:type="dxa"/>
              <w:bottom w:w="0" w:type="dxa"/>
              <w:right w:w="108" w:type="dxa"/>
            </w:tcMar>
          </w:tcPr>
          <w:p w14:paraId="4808DEB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1754B14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425" w:type="dxa"/>
            <w:shd w:val="clear" w:color="auto" w:fill="FFFFFF" w:themeFill="background1"/>
            <w:tcMar>
              <w:top w:w="0" w:type="dxa"/>
              <w:left w:w="108" w:type="dxa"/>
              <w:bottom w:w="0" w:type="dxa"/>
              <w:right w:w="108" w:type="dxa"/>
            </w:tcMar>
          </w:tcPr>
          <w:p w14:paraId="2721BD5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546AB16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567" w:type="dxa"/>
            <w:shd w:val="clear" w:color="auto" w:fill="FFFFFF" w:themeFill="background1"/>
            <w:tcMar>
              <w:top w:w="0" w:type="dxa"/>
              <w:left w:w="10" w:type="dxa"/>
              <w:bottom w:w="0" w:type="dxa"/>
              <w:right w:w="10" w:type="dxa"/>
            </w:tcMar>
          </w:tcPr>
          <w:p w14:paraId="1C25096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1" w:type="dxa"/>
            <w:shd w:val="clear" w:color="auto" w:fill="FFFFFF" w:themeFill="background1"/>
            <w:tcMar>
              <w:top w:w="0" w:type="dxa"/>
              <w:left w:w="108" w:type="dxa"/>
              <w:bottom w:w="0" w:type="dxa"/>
              <w:right w:w="108" w:type="dxa"/>
            </w:tcMar>
          </w:tcPr>
          <w:p w14:paraId="53E74CE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r>
      <w:tr w:rsidR="00284822" w14:paraId="6336FF80" w14:textId="77777777">
        <w:trPr>
          <w:trHeight w:val="70"/>
          <w:jc w:val="center"/>
        </w:trPr>
        <w:tc>
          <w:tcPr>
            <w:tcW w:w="851" w:type="dxa"/>
            <w:shd w:val="clear" w:color="auto" w:fill="FFFFFF" w:themeFill="background1"/>
            <w:noWrap/>
            <w:tcMar>
              <w:top w:w="0" w:type="dxa"/>
              <w:left w:w="108" w:type="dxa"/>
              <w:bottom w:w="0" w:type="dxa"/>
              <w:right w:w="108" w:type="dxa"/>
            </w:tcMar>
          </w:tcPr>
          <w:p w14:paraId="35DB428B"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31</w:t>
            </w:r>
          </w:p>
        </w:tc>
        <w:tc>
          <w:tcPr>
            <w:tcW w:w="1696" w:type="dxa"/>
            <w:shd w:val="clear" w:color="auto" w:fill="FFFFFF" w:themeFill="background1"/>
            <w:tcMar>
              <w:top w:w="0" w:type="dxa"/>
              <w:left w:w="108" w:type="dxa"/>
              <w:bottom w:w="0" w:type="dxa"/>
              <w:right w:w="108" w:type="dxa"/>
            </w:tcMar>
          </w:tcPr>
          <w:p w14:paraId="379496CE"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PUR</w:t>
            </w:r>
          </w:p>
        </w:tc>
        <w:tc>
          <w:tcPr>
            <w:tcW w:w="567" w:type="dxa"/>
            <w:shd w:val="clear" w:color="auto" w:fill="FFFFFF" w:themeFill="background1"/>
            <w:tcMar>
              <w:top w:w="0" w:type="dxa"/>
              <w:left w:w="108" w:type="dxa"/>
              <w:bottom w:w="0" w:type="dxa"/>
              <w:right w:w="108" w:type="dxa"/>
            </w:tcMar>
          </w:tcPr>
          <w:p w14:paraId="5A6A1B2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33A16BF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1" w:type="dxa"/>
            <w:shd w:val="clear" w:color="auto" w:fill="FFFFFF" w:themeFill="background1"/>
            <w:tcMar>
              <w:top w:w="0" w:type="dxa"/>
              <w:left w:w="108" w:type="dxa"/>
              <w:bottom w:w="0" w:type="dxa"/>
              <w:right w:w="108" w:type="dxa"/>
            </w:tcMar>
          </w:tcPr>
          <w:p w14:paraId="52B865D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07277A9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1095CC8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1134" w:type="dxa"/>
            <w:shd w:val="clear" w:color="auto" w:fill="FFFFFF" w:themeFill="background1"/>
            <w:tcMar>
              <w:top w:w="0" w:type="dxa"/>
              <w:left w:w="108" w:type="dxa"/>
              <w:bottom w:w="0" w:type="dxa"/>
              <w:right w:w="108" w:type="dxa"/>
            </w:tcMar>
          </w:tcPr>
          <w:p w14:paraId="5DD3B48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0,63%</w:t>
            </w:r>
          </w:p>
        </w:tc>
        <w:tc>
          <w:tcPr>
            <w:tcW w:w="709" w:type="dxa"/>
            <w:shd w:val="clear" w:color="auto" w:fill="FFFFFF" w:themeFill="background1"/>
            <w:tcMar>
              <w:top w:w="0" w:type="dxa"/>
              <w:left w:w="108" w:type="dxa"/>
              <w:bottom w:w="0" w:type="dxa"/>
              <w:right w:w="108" w:type="dxa"/>
            </w:tcMar>
          </w:tcPr>
          <w:p w14:paraId="1DC0767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2" w:type="dxa"/>
            <w:shd w:val="clear" w:color="auto" w:fill="FFFFFF" w:themeFill="background1"/>
            <w:tcMar>
              <w:top w:w="0" w:type="dxa"/>
              <w:left w:w="108" w:type="dxa"/>
              <w:bottom w:w="0" w:type="dxa"/>
              <w:right w:w="108" w:type="dxa"/>
            </w:tcMar>
          </w:tcPr>
          <w:p w14:paraId="7B8D25D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0,51%</w:t>
            </w:r>
          </w:p>
        </w:tc>
        <w:tc>
          <w:tcPr>
            <w:tcW w:w="850" w:type="dxa"/>
            <w:shd w:val="clear" w:color="auto" w:fill="FFFFFF" w:themeFill="background1"/>
            <w:tcMar>
              <w:top w:w="0" w:type="dxa"/>
              <w:left w:w="108" w:type="dxa"/>
              <w:bottom w:w="0" w:type="dxa"/>
              <w:right w:w="108" w:type="dxa"/>
            </w:tcMar>
          </w:tcPr>
          <w:p w14:paraId="70F0AF6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5C869CA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8" w:type="dxa"/>
            <w:shd w:val="clear" w:color="auto" w:fill="FFFFFF" w:themeFill="background1"/>
            <w:tcMar>
              <w:top w:w="0" w:type="dxa"/>
              <w:left w:w="108" w:type="dxa"/>
              <w:bottom w:w="0" w:type="dxa"/>
              <w:right w:w="108" w:type="dxa"/>
            </w:tcMar>
          </w:tcPr>
          <w:p w14:paraId="3335559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20224DC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425" w:type="dxa"/>
            <w:shd w:val="clear" w:color="auto" w:fill="FFFFFF" w:themeFill="background1"/>
            <w:tcMar>
              <w:top w:w="0" w:type="dxa"/>
              <w:left w:w="108" w:type="dxa"/>
              <w:bottom w:w="0" w:type="dxa"/>
              <w:right w:w="108" w:type="dxa"/>
            </w:tcMar>
          </w:tcPr>
          <w:p w14:paraId="5F0F0B7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5F386A5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567" w:type="dxa"/>
            <w:shd w:val="clear" w:color="auto" w:fill="FFFFFF" w:themeFill="background1"/>
            <w:tcMar>
              <w:top w:w="0" w:type="dxa"/>
              <w:left w:w="10" w:type="dxa"/>
              <w:bottom w:w="0" w:type="dxa"/>
              <w:right w:w="10" w:type="dxa"/>
            </w:tcMar>
          </w:tcPr>
          <w:p w14:paraId="1255553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1" w:type="dxa"/>
            <w:shd w:val="clear" w:color="auto" w:fill="FFFFFF" w:themeFill="background1"/>
            <w:tcMar>
              <w:top w:w="0" w:type="dxa"/>
              <w:left w:w="108" w:type="dxa"/>
              <w:bottom w:w="0" w:type="dxa"/>
              <w:right w:w="108" w:type="dxa"/>
            </w:tcMar>
          </w:tcPr>
          <w:p w14:paraId="6EB2FA3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r>
      <w:tr w:rsidR="00284822" w14:paraId="01AA929A" w14:textId="77777777">
        <w:trPr>
          <w:trHeight w:val="70"/>
          <w:jc w:val="center"/>
        </w:trPr>
        <w:tc>
          <w:tcPr>
            <w:tcW w:w="851" w:type="dxa"/>
            <w:shd w:val="clear" w:color="auto" w:fill="FFFFFF" w:themeFill="background1"/>
            <w:noWrap/>
            <w:tcMar>
              <w:top w:w="0" w:type="dxa"/>
              <w:left w:w="108" w:type="dxa"/>
              <w:bottom w:w="0" w:type="dxa"/>
              <w:right w:w="108" w:type="dxa"/>
            </w:tcMar>
          </w:tcPr>
          <w:p w14:paraId="4FF4CFC1"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32</w:t>
            </w:r>
          </w:p>
        </w:tc>
        <w:tc>
          <w:tcPr>
            <w:tcW w:w="1696" w:type="dxa"/>
            <w:shd w:val="clear" w:color="auto" w:fill="FFFFFF" w:themeFill="background1"/>
            <w:tcMar>
              <w:top w:w="0" w:type="dxa"/>
              <w:left w:w="108" w:type="dxa"/>
              <w:bottom w:w="0" w:type="dxa"/>
              <w:right w:w="108" w:type="dxa"/>
            </w:tcMar>
          </w:tcPr>
          <w:p w14:paraId="7DD2FB6C"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RDP</w:t>
            </w:r>
          </w:p>
        </w:tc>
        <w:tc>
          <w:tcPr>
            <w:tcW w:w="567" w:type="dxa"/>
            <w:shd w:val="clear" w:color="auto" w:fill="FFFFFF" w:themeFill="background1"/>
            <w:tcMar>
              <w:top w:w="0" w:type="dxa"/>
              <w:left w:w="108" w:type="dxa"/>
              <w:bottom w:w="0" w:type="dxa"/>
              <w:right w:w="108" w:type="dxa"/>
            </w:tcMar>
          </w:tcPr>
          <w:p w14:paraId="2204560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1B65CEE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1" w:type="dxa"/>
            <w:shd w:val="clear" w:color="auto" w:fill="FFFFFF" w:themeFill="background1"/>
            <w:tcMar>
              <w:top w:w="0" w:type="dxa"/>
              <w:left w:w="108" w:type="dxa"/>
              <w:bottom w:w="0" w:type="dxa"/>
              <w:right w:w="108" w:type="dxa"/>
            </w:tcMar>
          </w:tcPr>
          <w:p w14:paraId="2BBFEEE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7D3DE6F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4AD28F0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1134" w:type="dxa"/>
            <w:shd w:val="clear" w:color="auto" w:fill="FFFFFF" w:themeFill="background1"/>
            <w:tcMar>
              <w:top w:w="0" w:type="dxa"/>
              <w:left w:w="108" w:type="dxa"/>
              <w:bottom w:w="0" w:type="dxa"/>
              <w:right w:w="108" w:type="dxa"/>
            </w:tcMar>
          </w:tcPr>
          <w:p w14:paraId="0AC5348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4A7D72C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49A9955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0" w:type="dxa"/>
            <w:shd w:val="clear" w:color="auto" w:fill="FFFFFF" w:themeFill="background1"/>
            <w:tcMar>
              <w:top w:w="0" w:type="dxa"/>
              <w:left w:w="108" w:type="dxa"/>
              <w:bottom w:w="0" w:type="dxa"/>
              <w:right w:w="108" w:type="dxa"/>
            </w:tcMar>
          </w:tcPr>
          <w:p w14:paraId="09D3CC6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w:t>
            </w:r>
          </w:p>
        </w:tc>
        <w:tc>
          <w:tcPr>
            <w:tcW w:w="993" w:type="dxa"/>
            <w:shd w:val="clear" w:color="auto" w:fill="FFFFFF" w:themeFill="background1"/>
            <w:tcMar>
              <w:top w:w="0" w:type="dxa"/>
              <w:left w:w="108" w:type="dxa"/>
              <w:bottom w:w="0" w:type="dxa"/>
              <w:right w:w="108" w:type="dxa"/>
            </w:tcMar>
          </w:tcPr>
          <w:p w14:paraId="1D5661E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1,77%</w:t>
            </w:r>
          </w:p>
        </w:tc>
        <w:tc>
          <w:tcPr>
            <w:tcW w:w="708" w:type="dxa"/>
            <w:shd w:val="clear" w:color="auto" w:fill="FFFFFF" w:themeFill="background1"/>
            <w:tcMar>
              <w:top w:w="0" w:type="dxa"/>
              <w:left w:w="108" w:type="dxa"/>
              <w:bottom w:w="0" w:type="dxa"/>
              <w:right w:w="108" w:type="dxa"/>
            </w:tcMar>
          </w:tcPr>
          <w:p w14:paraId="15F7329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w:t>
            </w:r>
          </w:p>
        </w:tc>
        <w:tc>
          <w:tcPr>
            <w:tcW w:w="993" w:type="dxa"/>
            <w:shd w:val="clear" w:color="auto" w:fill="FFFFFF" w:themeFill="background1"/>
            <w:tcMar>
              <w:top w:w="0" w:type="dxa"/>
              <w:left w:w="108" w:type="dxa"/>
              <w:bottom w:w="0" w:type="dxa"/>
              <w:right w:w="108" w:type="dxa"/>
            </w:tcMar>
          </w:tcPr>
          <w:p w14:paraId="475B8F0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1,13%</w:t>
            </w:r>
          </w:p>
        </w:tc>
        <w:tc>
          <w:tcPr>
            <w:tcW w:w="425" w:type="dxa"/>
            <w:shd w:val="clear" w:color="auto" w:fill="FFFFFF" w:themeFill="background1"/>
            <w:tcMar>
              <w:top w:w="0" w:type="dxa"/>
              <w:left w:w="108" w:type="dxa"/>
              <w:bottom w:w="0" w:type="dxa"/>
              <w:right w:w="108" w:type="dxa"/>
            </w:tcMar>
          </w:tcPr>
          <w:p w14:paraId="1E8A319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369E57D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567" w:type="dxa"/>
            <w:shd w:val="clear" w:color="auto" w:fill="FFFFFF" w:themeFill="background1"/>
            <w:tcMar>
              <w:top w:w="0" w:type="dxa"/>
              <w:left w:w="10" w:type="dxa"/>
              <w:bottom w:w="0" w:type="dxa"/>
              <w:right w:w="10" w:type="dxa"/>
            </w:tcMar>
          </w:tcPr>
          <w:p w14:paraId="739C739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1" w:type="dxa"/>
            <w:shd w:val="clear" w:color="auto" w:fill="FFFFFF" w:themeFill="background1"/>
            <w:tcMar>
              <w:top w:w="0" w:type="dxa"/>
              <w:left w:w="108" w:type="dxa"/>
              <w:bottom w:w="0" w:type="dxa"/>
              <w:right w:w="108" w:type="dxa"/>
            </w:tcMar>
          </w:tcPr>
          <w:p w14:paraId="540C948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r>
      <w:tr w:rsidR="00284822" w14:paraId="2CA12557" w14:textId="77777777">
        <w:trPr>
          <w:trHeight w:val="425"/>
          <w:jc w:val="center"/>
        </w:trPr>
        <w:tc>
          <w:tcPr>
            <w:tcW w:w="851" w:type="dxa"/>
            <w:shd w:val="clear" w:color="auto" w:fill="FFFFFF" w:themeFill="background1"/>
            <w:noWrap/>
            <w:tcMar>
              <w:top w:w="0" w:type="dxa"/>
              <w:left w:w="108" w:type="dxa"/>
              <w:bottom w:w="0" w:type="dxa"/>
              <w:right w:w="108" w:type="dxa"/>
            </w:tcMar>
          </w:tcPr>
          <w:p w14:paraId="07C6E116"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33</w:t>
            </w:r>
          </w:p>
        </w:tc>
        <w:tc>
          <w:tcPr>
            <w:tcW w:w="1696" w:type="dxa"/>
            <w:shd w:val="clear" w:color="auto" w:fill="FFFFFF" w:themeFill="background1"/>
            <w:tcMar>
              <w:top w:w="0" w:type="dxa"/>
              <w:left w:w="108" w:type="dxa"/>
              <w:bottom w:w="0" w:type="dxa"/>
              <w:right w:w="108" w:type="dxa"/>
            </w:tcMar>
          </w:tcPr>
          <w:p w14:paraId="73B5B2E0"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RDR</w:t>
            </w:r>
          </w:p>
        </w:tc>
        <w:tc>
          <w:tcPr>
            <w:tcW w:w="567" w:type="dxa"/>
            <w:shd w:val="clear" w:color="auto" w:fill="FFFFFF" w:themeFill="background1"/>
            <w:tcMar>
              <w:top w:w="0" w:type="dxa"/>
              <w:left w:w="108" w:type="dxa"/>
              <w:bottom w:w="0" w:type="dxa"/>
              <w:right w:w="108" w:type="dxa"/>
            </w:tcMar>
          </w:tcPr>
          <w:p w14:paraId="1C9C40D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850" w:type="dxa"/>
            <w:shd w:val="clear" w:color="auto" w:fill="FFFFFF" w:themeFill="background1"/>
            <w:tcMar>
              <w:top w:w="0" w:type="dxa"/>
              <w:left w:w="108" w:type="dxa"/>
              <w:bottom w:w="0" w:type="dxa"/>
              <w:right w:w="108" w:type="dxa"/>
            </w:tcMar>
          </w:tcPr>
          <w:p w14:paraId="316F497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0,64%</w:t>
            </w:r>
          </w:p>
        </w:tc>
        <w:tc>
          <w:tcPr>
            <w:tcW w:w="851" w:type="dxa"/>
            <w:shd w:val="clear" w:color="auto" w:fill="FFFFFF" w:themeFill="background1"/>
            <w:tcMar>
              <w:top w:w="0" w:type="dxa"/>
              <w:left w:w="108" w:type="dxa"/>
              <w:bottom w:w="0" w:type="dxa"/>
              <w:right w:w="108" w:type="dxa"/>
            </w:tcMar>
          </w:tcPr>
          <w:p w14:paraId="15618B1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4</w:t>
            </w:r>
          </w:p>
        </w:tc>
        <w:tc>
          <w:tcPr>
            <w:tcW w:w="992" w:type="dxa"/>
            <w:shd w:val="clear" w:color="auto" w:fill="FFFFFF" w:themeFill="background1"/>
            <w:tcMar>
              <w:top w:w="0" w:type="dxa"/>
              <w:left w:w="108" w:type="dxa"/>
              <w:bottom w:w="0" w:type="dxa"/>
              <w:right w:w="108" w:type="dxa"/>
            </w:tcMar>
          </w:tcPr>
          <w:p w14:paraId="5A226BD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1,21%</w:t>
            </w:r>
          </w:p>
        </w:tc>
        <w:tc>
          <w:tcPr>
            <w:tcW w:w="709" w:type="dxa"/>
            <w:shd w:val="clear" w:color="auto" w:fill="FFFFFF" w:themeFill="background1"/>
            <w:tcMar>
              <w:top w:w="0" w:type="dxa"/>
              <w:left w:w="108" w:type="dxa"/>
              <w:bottom w:w="0" w:type="dxa"/>
              <w:right w:w="108" w:type="dxa"/>
            </w:tcMar>
          </w:tcPr>
          <w:p w14:paraId="758FF98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1134" w:type="dxa"/>
            <w:shd w:val="clear" w:color="auto" w:fill="FFFFFF" w:themeFill="background1"/>
            <w:tcMar>
              <w:top w:w="0" w:type="dxa"/>
              <w:left w:w="108" w:type="dxa"/>
              <w:bottom w:w="0" w:type="dxa"/>
              <w:right w:w="108" w:type="dxa"/>
            </w:tcMar>
          </w:tcPr>
          <w:p w14:paraId="2F65D6B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70EAF66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00FAE78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0" w:type="dxa"/>
            <w:shd w:val="clear" w:color="auto" w:fill="FFFFFF" w:themeFill="background1"/>
            <w:tcMar>
              <w:top w:w="0" w:type="dxa"/>
              <w:left w:w="108" w:type="dxa"/>
              <w:bottom w:w="0" w:type="dxa"/>
              <w:right w:w="108" w:type="dxa"/>
            </w:tcMar>
          </w:tcPr>
          <w:p w14:paraId="34908B9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993" w:type="dxa"/>
            <w:shd w:val="clear" w:color="auto" w:fill="FFFFFF" w:themeFill="background1"/>
            <w:tcMar>
              <w:top w:w="0" w:type="dxa"/>
              <w:left w:w="108" w:type="dxa"/>
              <w:bottom w:w="0" w:type="dxa"/>
              <w:right w:w="108" w:type="dxa"/>
            </w:tcMar>
          </w:tcPr>
          <w:p w14:paraId="28481B7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708" w:type="dxa"/>
            <w:shd w:val="clear" w:color="auto" w:fill="FFFFFF" w:themeFill="background1"/>
            <w:tcMar>
              <w:top w:w="0" w:type="dxa"/>
              <w:left w:w="108" w:type="dxa"/>
              <w:bottom w:w="0" w:type="dxa"/>
              <w:right w:w="108" w:type="dxa"/>
            </w:tcMar>
          </w:tcPr>
          <w:p w14:paraId="7153648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993" w:type="dxa"/>
            <w:shd w:val="clear" w:color="auto" w:fill="FFFFFF" w:themeFill="background1"/>
            <w:tcMar>
              <w:top w:w="0" w:type="dxa"/>
              <w:left w:w="108" w:type="dxa"/>
              <w:bottom w:w="0" w:type="dxa"/>
              <w:right w:w="108" w:type="dxa"/>
            </w:tcMar>
          </w:tcPr>
          <w:p w14:paraId="2743CC7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p w14:paraId="6F07F5C7" w14:textId="77777777" w:rsidR="00284822" w:rsidRDefault="00284822">
            <w:pPr>
              <w:spacing w:line="240" w:lineRule="auto"/>
              <w:jc w:val="left"/>
              <w:rPr>
                <w:rFonts w:ascii="Rockwell" w:hAnsi="Rockwell"/>
                <w:color w:val="000000"/>
                <w:sz w:val="18"/>
                <w:szCs w:val="18"/>
              </w:rPr>
            </w:pPr>
          </w:p>
        </w:tc>
        <w:tc>
          <w:tcPr>
            <w:tcW w:w="425" w:type="dxa"/>
            <w:shd w:val="clear" w:color="auto" w:fill="FFFFFF" w:themeFill="background1"/>
            <w:tcMar>
              <w:top w:w="0" w:type="dxa"/>
              <w:left w:w="108" w:type="dxa"/>
              <w:bottom w:w="0" w:type="dxa"/>
              <w:right w:w="108" w:type="dxa"/>
            </w:tcMar>
          </w:tcPr>
          <w:p w14:paraId="1F6CB97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0" w:type="dxa"/>
            <w:shd w:val="clear" w:color="auto" w:fill="FFFFFF" w:themeFill="background1"/>
            <w:tcMar>
              <w:top w:w="0" w:type="dxa"/>
              <w:left w:w="108" w:type="dxa"/>
              <w:bottom w:w="0" w:type="dxa"/>
              <w:right w:w="108" w:type="dxa"/>
            </w:tcMar>
          </w:tcPr>
          <w:p w14:paraId="29150DB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567" w:type="dxa"/>
            <w:shd w:val="clear" w:color="auto" w:fill="FFFFFF" w:themeFill="background1"/>
            <w:tcMar>
              <w:top w:w="0" w:type="dxa"/>
              <w:left w:w="10" w:type="dxa"/>
              <w:bottom w:w="0" w:type="dxa"/>
              <w:right w:w="10" w:type="dxa"/>
            </w:tcMar>
          </w:tcPr>
          <w:p w14:paraId="27BAD68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1" w:type="dxa"/>
            <w:shd w:val="clear" w:color="auto" w:fill="FFFFFF" w:themeFill="background1"/>
            <w:tcMar>
              <w:top w:w="0" w:type="dxa"/>
              <w:left w:w="108" w:type="dxa"/>
              <w:bottom w:w="0" w:type="dxa"/>
              <w:right w:w="108" w:type="dxa"/>
            </w:tcMar>
          </w:tcPr>
          <w:p w14:paraId="45C4DEB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r>
      <w:tr w:rsidR="00284822" w14:paraId="5C62EBA6" w14:textId="77777777">
        <w:trPr>
          <w:trHeight w:val="70"/>
          <w:jc w:val="center"/>
        </w:trPr>
        <w:tc>
          <w:tcPr>
            <w:tcW w:w="851" w:type="dxa"/>
            <w:shd w:val="clear" w:color="auto" w:fill="FFFFFF" w:themeFill="background1"/>
            <w:noWrap/>
            <w:tcMar>
              <w:top w:w="0" w:type="dxa"/>
              <w:left w:w="108" w:type="dxa"/>
              <w:bottom w:w="0" w:type="dxa"/>
              <w:right w:w="108" w:type="dxa"/>
            </w:tcMar>
          </w:tcPr>
          <w:p w14:paraId="3D22550B"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34</w:t>
            </w:r>
          </w:p>
        </w:tc>
        <w:tc>
          <w:tcPr>
            <w:tcW w:w="1696" w:type="dxa"/>
            <w:shd w:val="clear" w:color="auto" w:fill="FFFFFF" w:themeFill="background1"/>
            <w:tcMar>
              <w:top w:w="0" w:type="dxa"/>
              <w:left w:w="108" w:type="dxa"/>
              <w:bottom w:w="0" w:type="dxa"/>
              <w:right w:w="108" w:type="dxa"/>
            </w:tcMar>
          </w:tcPr>
          <w:p w14:paraId="69256A0D"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RDRN</w:t>
            </w:r>
          </w:p>
        </w:tc>
        <w:tc>
          <w:tcPr>
            <w:tcW w:w="567" w:type="dxa"/>
            <w:shd w:val="clear" w:color="auto" w:fill="FFFFFF" w:themeFill="background1"/>
            <w:tcMar>
              <w:top w:w="0" w:type="dxa"/>
              <w:left w:w="108" w:type="dxa"/>
              <w:bottom w:w="0" w:type="dxa"/>
              <w:right w:w="108" w:type="dxa"/>
            </w:tcMar>
          </w:tcPr>
          <w:p w14:paraId="5B62538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850" w:type="dxa"/>
            <w:shd w:val="clear" w:color="auto" w:fill="FFFFFF" w:themeFill="background1"/>
            <w:tcMar>
              <w:top w:w="0" w:type="dxa"/>
              <w:left w:w="108" w:type="dxa"/>
              <w:bottom w:w="0" w:type="dxa"/>
              <w:right w:w="108" w:type="dxa"/>
            </w:tcMar>
          </w:tcPr>
          <w:p w14:paraId="662A737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0,64%</w:t>
            </w:r>
          </w:p>
        </w:tc>
        <w:tc>
          <w:tcPr>
            <w:tcW w:w="851" w:type="dxa"/>
            <w:shd w:val="clear" w:color="auto" w:fill="FFFFFF" w:themeFill="background1"/>
            <w:tcMar>
              <w:top w:w="0" w:type="dxa"/>
              <w:left w:w="108" w:type="dxa"/>
              <w:bottom w:w="0" w:type="dxa"/>
              <w:right w:w="108" w:type="dxa"/>
            </w:tcMar>
          </w:tcPr>
          <w:p w14:paraId="059BD8B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w:t>
            </w:r>
          </w:p>
        </w:tc>
        <w:tc>
          <w:tcPr>
            <w:tcW w:w="992" w:type="dxa"/>
            <w:shd w:val="clear" w:color="auto" w:fill="FFFFFF" w:themeFill="background1"/>
            <w:tcMar>
              <w:top w:w="0" w:type="dxa"/>
              <w:left w:w="108" w:type="dxa"/>
              <w:bottom w:w="0" w:type="dxa"/>
              <w:right w:w="108" w:type="dxa"/>
            </w:tcMar>
          </w:tcPr>
          <w:p w14:paraId="46D5F1C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0,61%</w:t>
            </w:r>
          </w:p>
        </w:tc>
        <w:tc>
          <w:tcPr>
            <w:tcW w:w="709" w:type="dxa"/>
            <w:shd w:val="clear" w:color="auto" w:fill="FFFFFF" w:themeFill="background1"/>
            <w:tcMar>
              <w:top w:w="0" w:type="dxa"/>
              <w:left w:w="108" w:type="dxa"/>
              <w:bottom w:w="0" w:type="dxa"/>
              <w:right w:w="108" w:type="dxa"/>
            </w:tcMar>
          </w:tcPr>
          <w:p w14:paraId="18A9E89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1134" w:type="dxa"/>
            <w:shd w:val="clear" w:color="auto" w:fill="FFFFFF" w:themeFill="background1"/>
            <w:tcMar>
              <w:top w:w="0" w:type="dxa"/>
              <w:left w:w="108" w:type="dxa"/>
              <w:bottom w:w="0" w:type="dxa"/>
              <w:right w:w="108" w:type="dxa"/>
            </w:tcMar>
          </w:tcPr>
          <w:p w14:paraId="494DB02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446B3E8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6149A42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0" w:type="dxa"/>
            <w:shd w:val="clear" w:color="auto" w:fill="FFFFFF" w:themeFill="background1"/>
            <w:tcMar>
              <w:top w:w="0" w:type="dxa"/>
              <w:left w:w="108" w:type="dxa"/>
              <w:bottom w:w="0" w:type="dxa"/>
              <w:right w:w="108" w:type="dxa"/>
            </w:tcMar>
          </w:tcPr>
          <w:p w14:paraId="612AEBA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469EE85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8" w:type="dxa"/>
            <w:shd w:val="clear" w:color="auto" w:fill="FFFFFF" w:themeFill="background1"/>
            <w:tcMar>
              <w:top w:w="0" w:type="dxa"/>
              <w:left w:w="108" w:type="dxa"/>
              <w:bottom w:w="0" w:type="dxa"/>
              <w:right w:w="108" w:type="dxa"/>
            </w:tcMar>
          </w:tcPr>
          <w:p w14:paraId="5945264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4CDB551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425" w:type="dxa"/>
            <w:shd w:val="clear" w:color="auto" w:fill="FFFFFF" w:themeFill="background1"/>
            <w:tcMar>
              <w:top w:w="0" w:type="dxa"/>
              <w:left w:w="108" w:type="dxa"/>
              <w:bottom w:w="0" w:type="dxa"/>
              <w:right w:w="108" w:type="dxa"/>
            </w:tcMar>
          </w:tcPr>
          <w:p w14:paraId="155CAD5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1F720BB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567" w:type="dxa"/>
            <w:shd w:val="clear" w:color="auto" w:fill="FFFFFF" w:themeFill="background1"/>
            <w:tcMar>
              <w:top w:w="0" w:type="dxa"/>
              <w:left w:w="10" w:type="dxa"/>
              <w:bottom w:w="0" w:type="dxa"/>
              <w:right w:w="10" w:type="dxa"/>
            </w:tcMar>
          </w:tcPr>
          <w:p w14:paraId="7537442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1" w:type="dxa"/>
            <w:shd w:val="clear" w:color="auto" w:fill="FFFFFF" w:themeFill="background1"/>
            <w:tcMar>
              <w:top w:w="0" w:type="dxa"/>
              <w:left w:w="108" w:type="dxa"/>
              <w:bottom w:w="0" w:type="dxa"/>
              <w:right w:w="108" w:type="dxa"/>
            </w:tcMar>
          </w:tcPr>
          <w:p w14:paraId="643EE84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r>
      <w:tr w:rsidR="00284822" w14:paraId="0E3CCC15" w14:textId="77777777">
        <w:trPr>
          <w:trHeight w:val="70"/>
          <w:jc w:val="center"/>
        </w:trPr>
        <w:tc>
          <w:tcPr>
            <w:tcW w:w="851" w:type="dxa"/>
            <w:shd w:val="clear" w:color="auto" w:fill="FFFFFF" w:themeFill="background1"/>
            <w:noWrap/>
            <w:tcMar>
              <w:top w:w="0" w:type="dxa"/>
              <w:left w:w="108" w:type="dxa"/>
              <w:bottom w:w="0" w:type="dxa"/>
              <w:right w:w="108" w:type="dxa"/>
            </w:tcMar>
          </w:tcPr>
          <w:p w14:paraId="59F72E0C"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35</w:t>
            </w:r>
          </w:p>
        </w:tc>
        <w:tc>
          <w:tcPr>
            <w:tcW w:w="1696" w:type="dxa"/>
            <w:shd w:val="clear" w:color="auto" w:fill="FFFFFF" w:themeFill="background1"/>
            <w:tcMar>
              <w:top w:w="0" w:type="dxa"/>
              <w:left w:w="108" w:type="dxa"/>
              <w:bottom w:w="0" w:type="dxa"/>
              <w:right w:w="108" w:type="dxa"/>
            </w:tcMar>
          </w:tcPr>
          <w:p w14:paraId="7AAE6E07"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RMB</w:t>
            </w:r>
          </w:p>
        </w:tc>
        <w:tc>
          <w:tcPr>
            <w:tcW w:w="567" w:type="dxa"/>
            <w:shd w:val="clear" w:color="auto" w:fill="FFFFFF" w:themeFill="background1"/>
            <w:tcMar>
              <w:top w:w="0" w:type="dxa"/>
              <w:left w:w="108" w:type="dxa"/>
              <w:bottom w:w="0" w:type="dxa"/>
              <w:right w:w="108" w:type="dxa"/>
            </w:tcMar>
          </w:tcPr>
          <w:p w14:paraId="10C0036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w:t>
            </w:r>
          </w:p>
        </w:tc>
        <w:tc>
          <w:tcPr>
            <w:tcW w:w="850" w:type="dxa"/>
            <w:shd w:val="clear" w:color="auto" w:fill="FFFFFF" w:themeFill="background1"/>
            <w:tcMar>
              <w:top w:w="0" w:type="dxa"/>
              <w:left w:w="108" w:type="dxa"/>
              <w:bottom w:w="0" w:type="dxa"/>
              <w:right w:w="108" w:type="dxa"/>
            </w:tcMar>
          </w:tcPr>
          <w:p w14:paraId="315009E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1,91%</w:t>
            </w:r>
          </w:p>
        </w:tc>
        <w:tc>
          <w:tcPr>
            <w:tcW w:w="851" w:type="dxa"/>
            <w:shd w:val="clear" w:color="auto" w:fill="FFFFFF" w:themeFill="background1"/>
            <w:tcMar>
              <w:top w:w="0" w:type="dxa"/>
              <w:left w:w="108" w:type="dxa"/>
              <w:bottom w:w="0" w:type="dxa"/>
              <w:right w:w="108" w:type="dxa"/>
            </w:tcMar>
          </w:tcPr>
          <w:p w14:paraId="669870D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6</w:t>
            </w:r>
          </w:p>
        </w:tc>
        <w:tc>
          <w:tcPr>
            <w:tcW w:w="992" w:type="dxa"/>
            <w:shd w:val="clear" w:color="auto" w:fill="FFFFFF" w:themeFill="background1"/>
            <w:tcMar>
              <w:top w:w="0" w:type="dxa"/>
              <w:left w:w="108" w:type="dxa"/>
              <w:bottom w:w="0" w:type="dxa"/>
              <w:right w:w="108" w:type="dxa"/>
            </w:tcMar>
          </w:tcPr>
          <w:p w14:paraId="012E532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1,82%</w:t>
            </w:r>
          </w:p>
        </w:tc>
        <w:tc>
          <w:tcPr>
            <w:tcW w:w="709" w:type="dxa"/>
            <w:shd w:val="clear" w:color="auto" w:fill="FFFFFF" w:themeFill="background1"/>
            <w:tcMar>
              <w:top w:w="0" w:type="dxa"/>
              <w:left w:w="108" w:type="dxa"/>
              <w:bottom w:w="0" w:type="dxa"/>
              <w:right w:w="108" w:type="dxa"/>
            </w:tcMar>
          </w:tcPr>
          <w:p w14:paraId="6938F7F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1134" w:type="dxa"/>
            <w:shd w:val="clear" w:color="auto" w:fill="FFFFFF" w:themeFill="background1"/>
            <w:tcMar>
              <w:top w:w="0" w:type="dxa"/>
              <w:left w:w="108" w:type="dxa"/>
              <w:bottom w:w="0" w:type="dxa"/>
              <w:right w:w="108" w:type="dxa"/>
            </w:tcMar>
          </w:tcPr>
          <w:p w14:paraId="498D1DF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45C449C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164E389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0" w:type="dxa"/>
            <w:shd w:val="clear" w:color="auto" w:fill="FFFFFF" w:themeFill="background1"/>
            <w:tcMar>
              <w:top w:w="0" w:type="dxa"/>
              <w:left w:w="108" w:type="dxa"/>
              <w:bottom w:w="0" w:type="dxa"/>
              <w:right w:w="108" w:type="dxa"/>
            </w:tcMar>
          </w:tcPr>
          <w:p w14:paraId="51DE03F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4D4C333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8" w:type="dxa"/>
            <w:shd w:val="clear" w:color="auto" w:fill="FFFFFF" w:themeFill="background1"/>
            <w:tcMar>
              <w:top w:w="0" w:type="dxa"/>
              <w:left w:w="108" w:type="dxa"/>
              <w:bottom w:w="0" w:type="dxa"/>
              <w:right w:w="108" w:type="dxa"/>
            </w:tcMar>
          </w:tcPr>
          <w:p w14:paraId="7F5690A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36F98E7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425" w:type="dxa"/>
            <w:shd w:val="clear" w:color="auto" w:fill="FFFFFF" w:themeFill="background1"/>
            <w:tcMar>
              <w:top w:w="0" w:type="dxa"/>
              <w:left w:w="108" w:type="dxa"/>
              <w:bottom w:w="0" w:type="dxa"/>
              <w:right w:w="108" w:type="dxa"/>
            </w:tcMar>
          </w:tcPr>
          <w:p w14:paraId="1EDC80F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0C4C73F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567" w:type="dxa"/>
            <w:shd w:val="clear" w:color="auto" w:fill="FFFFFF" w:themeFill="background1"/>
            <w:tcMar>
              <w:top w:w="0" w:type="dxa"/>
              <w:left w:w="10" w:type="dxa"/>
              <w:bottom w:w="0" w:type="dxa"/>
              <w:right w:w="10" w:type="dxa"/>
            </w:tcMar>
          </w:tcPr>
          <w:p w14:paraId="6C09F50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1" w:type="dxa"/>
            <w:shd w:val="clear" w:color="auto" w:fill="FFFFFF" w:themeFill="background1"/>
            <w:tcMar>
              <w:top w:w="0" w:type="dxa"/>
              <w:left w:w="108" w:type="dxa"/>
              <w:bottom w:w="0" w:type="dxa"/>
              <w:right w:w="108" w:type="dxa"/>
            </w:tcMar>
          </w:tcPr>
          <w:p w14:paraId="550A7BD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r>
      <w:tr w:rsidR="00284822" w14:paraId="238FE61D" w14:textId="77777777">
        <w:trPr>
          <w:trHeight w:val="70"/>
          <w:jc w:val="center"/>
        </w:trPr>
        <w:tc>
          <w:tcPr>
            <w:tcW w:w="851" w:type="dxa"/>
            <w:shd w:val="clear" w:color="auto" w:fill="FFFFFF" w:themeFill="background1"/>
            <w:noWrap/>
            <w:tcMar>
              <w:top w:w="0" w:type="dxa"/>
              <w:left w:w="108" w:type="dxa"/>
              <w:bottom w:w="0" w:type="dxa"/>
              <w:right w:w="108" w:type="dxa"/>
            </w:tcMar>
          </w:tcPr>
          <w:p w14:paraId="4D6DFC39"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36</w:t>
            </w:r>
          </w:p>
        </w:tc>
        <w:tc>
          <w:tcPr>
            <w:tcW w:w="1696" w:type="dxa"/>
            <w:shd w:val="clear" w:color="auto" w:fill="FFFFFF" w:themeFill="background1"/>
            <w:tcMar>
              <w:top w:w="0" w:type="dxa"/>
              <w:left w:w="108" w:type="dxa"/>
              <w:bottom w:w="0" w:type="dxa"/>
              <w:right w:w="108" w:type="dxa"/>
            </w:tcMar>
          </w:tcPr>
          <w:p w14:paraId="0F71F233"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RPD</w:t>
            </w:r>
          </w:p>
        </w:tc>
        <w:tc>
          <w:tcPr>
            <w:tcW w:w="567" w:type="dxa"/>
            <w:shd w:val="clear" w:color="auto" w:fill="FFFFFF" w:themeFill="background1"/>
            <w:tcMar>
              <w:top w:w="0" w:type="dxa"/>
              <w:left w:w="108" w:type="dxa"/>
              <w:bottom w:w="0" w:type="dxa"/>
              <w:right w:w="108" w:type="dxa"/>
            </w:tcMar>
          </w:tcPr>
          <w:p w14:paraId="216539B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w:t>
            </w:r>
          </w:p>
        </w:tc>
        <w:tc>
          <w:tcPr>
            <w:tcW w:w="850" w:type="dxa"/>
            <w:shd w:val="clear" w:color="auto" w:fill="FFFFFF" w:themeFill="background1"/>
            <w:tcMar>
              <w:top w:w="0" w:type="dxa"/>
              <w:left w:w="108" w:type="dxa"/>
              <w:bottom w:w="0" w:type="dxa"/>
              <w:right w:w="108" w:type="dxa"/>
            </w:tcMar>
          </w:tcPr>
          <w:p w14:paraId="4362E06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1,27%</w:t>
            </w:r>
          </w:p>
        </w:tc>
        <w:tc>
          <w:tcPr>
            <w:tcW w:w="851" w:type="dxa"/>
            <w:shd w:val="clear" w:color="auto" w:fill="FFFFFF" w:themeFill="background1"/>
            <w:tcMar>
              <w:top w:w="0" w:type="dxa"/>
              <w:left w:w="108" w:type="dxa"/>
              <w:bottom w:w="0" w:type="dxa"/>
              <w:right w:w="108" w:type="dxa"/>
            </w:tcMar>
          </w:tcPr>
          <w:p w14:paraId="434732C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w:t>
            </w:r>
          </w:p>
        </w:tc>
        <w:tc>
          <w:tcPr>
            <w:tcW w:w="992" w:type="dxa"/>
            <w:shd w:val="clear" w:color="auto" w:fill="FFFFFF" w:themeFill="background1"/>
            <w:tcMar>
              <w:top w:w="0" w:type="dxa"/>
              <w:left w:w="108" w:type="dxa"/>
              <w:bottom w:w="0" w:type="dxa"/>
              <w:right w:w="108" w:type="dxa"/>
            </w:tcMar>
          </w:tcPr>
          <w:p w14:paraId="1D74871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0,61%</w:t>
            </w:r>
          </w:p>
        </w:tc>
        <w:tc>
          <w:tcPr>
            <w:tcW w:w="709" w:type="dxa"/>
            <w:shd w:val="clear" w:color="auto" w:fill="FFFFFF" w:themeFill="background1"/>
            <w:tcMar>
              <w:top w:w="0" w:type="dxa"/>
              <w:left w:w="108" w:type="dxa"/>
              <w:bottom w:w="0" w:type="dxa"/>
              <w:right w:w="108" w:type="dxa"/>
            </w:tcMar>
          </w:tcPr>
          <w:p w14:paraId="1A70368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1134" w:type="dxa"/>
            <w:shd w:val="clear" w:color="auto" w:fill="FFFFFF" w:themeFill="background1"/>
            <w:tcMar>
              <w:top w:w="0" w:type="dxa"/>
              <w:left w:w="108" w:type="dxa"/>
              <w:bottom w:w="0" w:type="dxa"/>
              <w:right w:w="108" w:type="dxa"/>
            </w:tcMar>
          </w:tcPr>
          <w:p w14:paraId="5DE9C95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0,63%</w:t>
            </w:r>
          </w:p>
        </w:tc>
        <w:tc>
          <w:tcPr>
            <w:tcW w:w="709" w:type="dxa"/>
            <w:shd w:val="clear" w:color="auto" w:fill="FFFFFF" w:themeFill="background1"/>
            <w:tcMar>
              <w:top w:w="0" w:type="dxa"/>
              <w:left w:w="108" w:type="dxa"/>
              <w:bottom w:w="0" w:type="dxa"/>
              <w:right w:w="108" w:type="dxa"/>
            </w:tcMar>
          </w:tcPr>
          <w:p w14:paraId="6CDCF93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2" w:type="dxa"/>
            <w:shd w:val="clear" w:color="auto" w:fill="FFFFFF" w:themeFill="background1"/>
            <w:tcMar>
              <w:top w:w="0" w:type="dxa"/>
              <w:left w:w="108" w:type="dxa"/>
              <w:bottom w:w="0" w:type="dxa"/>
              <w:right w:w="108" w:type="dxa"/>
            </w:tcMar>
          </w:tcPr>
          <w:p w14:paraId="7450EC0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0,51%</w:t>
            </w:r>
          </w:p>
        </w:tc>
        <w:tc>
          <w:tcPr>
            <w:tcW w:w="850" w:type="dxa"/>
            <w:shd w:val="clear" w:color="auto" w:fill="FFFFFF" w:themeFill="background1"/>
            <w:tcMar>
              <w:top w:w="0" w:type="dxa"/>
              <w:left w:w="108" w:type="dxa"/>
              <w:bottom w:w="0" w:type="dxa"/>
              <w:right w:w="108" w:type="dxa"/>
            </w:tcMar>
          </w:tcPr>
          <w:p w14:paraId="5F7B7B9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3" w:type="dxa"/>
            <w:shd w:val="clear" w:color="auto" w:fill="FFFFFF" w:themeFill="background1"/>
            <w:tcMar>
              <w:top w:w="0" w:type="dxa"/>
              <w:left w:w="108" w:type="dxa"/>
              <w:bottom w:w="0" w:type="dxa"/>
              <w:right w:w="108" w:type="dxa"/>
            </w:tcMar>
          </w:tcPr>
          <w:p w14:paraId="1F405E5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0,88%</w:t>
            </w:r>
          </w:p>
        </w:tc>
        <w:tc>
          <w:tcPr>
            <w:tcW w:w="708" w:type="dxa"/>
            <w:shd w:val="clear" w:color="auto" w:fill="FFFFFF" w:themeFill="background1"/>
            <w:tcMar>
              <w:top w:w="0" w:type="dxa"/>
              <w:left w:w="108" w:type="dxa"/>
              <w:bottom w:w="0" w:type="dxa"/>
              <w:right w:w="108" w:type="dxa"/>
            </w:tcMar>
          </w:tcPr>
          <w:p w14:paraId="0370025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3" w:type="dxa"/>
            <w:shd w:val="clear" w:color="auto" w:fill="FFFFFF" w:themeFill="background1"/>
            <w:tcMar>
              <w:top w:w="0" w:type="dxa"/>
              <w:left w:w="108" w:type="dxa"/>
              <w:bottom w:w="0" w:type="dxa"/>
              <w:right w:w="108" w:type="dxa"/>
            </w:tcMar>
          </w:tcPr>
          <w:p w14:paraId="7B16185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0,56%</w:t>
            </w:r>
          </w:p>
        </w:tc>
        <w:tc>
          <w:tcPr>
            <w:tcW w:w="425" w:type="dxa"/>
            <w:shd w:val="clear" w:color="auto" w:fill="FFFFFF" w:themeFill="background1"/>
            <w:tcMar>
              <w:top w:w="0" w:type="dxa"/>
              <w:left w:w="108" w:type="dxa"/>
              <w:bottom w:w="0" w:type="dxa"/>
              <w:right w:w="108" w:type="dxa"/>
            </w:tcMar>
          </w:tcPr>
          <w:p w14:paraId="19B1D5C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5662B7B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567" w:type="dxa"/>
            <w:shd w:val="clear" w:color="auto" w:fill="FFFFFF" w:themeFill="background1"/>
            <w:tcMar>
              <w:top w:w="0" w:type="dxa"/>
              <w:left w:w="10" w:type="dxa"/>
              <w:bottom w:w="0" w:type="dxa"/>
              <w:right w:w="10" w:type="dxa"/>
            </w:tcMar>
          </w:tcPr>
          <w:p w14:paraId="242EB67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1" w:type="dxa"/>
            <w:shd w:val="clear" w:color="auto" w:fill="FFFFFF" w:themeFill="background1"/>
            <w:tcMar>
              <w:top w:w="0" w:type="dxa"/>
              <w:left w:w="108" w:type="dxa"/>
              <w:bottom w:w="0" w:type="dxa"/>
              <w:right w:w="108" w:type="dxa"/>
            </w:tcMar>
          </w:tcPr>
          <w:p w14:paraId="2F1A6B3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r>
      <w:tr w:rsidR="00284822" w14:paraId="40E4D945" w14:textId="77777777">
        <w:trPr>
          <w:trHeight w:val="373"/>
          <w:jc w:val="center"/>
        </w:trPr>
        <w:tc>
          <w:tcPr>
            <w:tcW w:w="851" w:type="dxa"/>
            <w:shd w:val="clear" w:color="auto" w:fill="FFFFFF" w:themeFill="background1"/>
            <w:noWrap/>
            <w:tcMar>
              <w:top w:w="0" w:type="dxa"/>
              <w:left w:w="108" w:type="dxa"/>
              <w:bottom w:w="0" w:type="dxa"/>
              <w:right w:w="108" w:type="dxa"/>
            </w:tcMar>
          </w:tcPr>
          <w:p w14:paraId="627BA4CC"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37</w:t>
            </w:r>
          </w:p>
        </w:tc>
        <w:tc>
          <w:tcPr>
            <w:tcW w:w="1696" w:type="dxa"/>
            <w:shd w:val="clear" w:color="auto" w:fill="FFFFFF" w:themeFill="background1"/>
            <w:tcMar>
              <w:top w:w="0" w:type="dxa"/>
              <w:left w:w="108" w:type="dxa"/>
              <w:bottom w:w="0" w:type="dxa"/>
              <w:right w:w="108" w:type="dxa"/>
            </w:tcMar>
          </w:tcPr>
          <w:p w14:paraId="3C6E2424"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RPI</w:t>
            </w:r>
          </w:p>
        </w:tc>
        <w:tc>
          <w:tcPr>
            <w:tcW w:w="567" w:type="dxa"/>
            <w:shd w:val="clear" w:color="auto" w:fill="FFFFFF" w:themeFill="background1"/>
            <w:tcMar>
              <w:top w:w="0" w:type="dxa"/>
              <w:left w:w="108" w:type="dxa"/>
              <w:bottom w:w="0" w:type="dxa"/>
              <w:right w:w="108" w:type="dxa"/>
            </w:tcMar>
          </w:tcPr>
          <w:p w14:paraId="686D407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424FB2D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1" w:type="dxa"/>
            <w:shd w:val="clear" w:color="auto" w:fill="FFFFFF" w:themeFill="background1"/>
            <w:tcMar>
              <w:top w:w="0" w:type="dxa"/>
              <w:left w:w="108" w:type="dxa"/>
              <w:bottom w:w="0" w:type="dxa"/>
              <w:right w:w="108" w:type="dxa"/>
            </w:tcMar>
          </w:tcPr>
          <w:p w14:paraId="068D654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7973604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5A4298C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1134" w:type="dxa"/>
            <w:shd w:val="clear" w:color="auto" w:fill="FFFFFF" w:themeFill="background1"/>
            <w:tcMar>
              <w:top w:w="0" w:type="dxa"/>
              <w:left w:w="108" w:type="dxa"/>
              <w:bottom w:w="0" w:type="dxa"/>
              <w:right w:w="108" w:type="dxa"/>
            </w:tcMar>
          </w:tcPr>
          <w:p w14:paraId="47EC01A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44084B1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0D34BE7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0" w:type="dxa"/>
            <w:shd w:val="clear" w:color="auto" w:fill="FFFFFF" w:themeFill="background1"/>
            <w:tcMar>
              <w:top w:w="0" w:type="dxa"/>
              <w:left w:w="108" w:type="dxa"/>
              <w:bottom w:w="0" w:type="dxa"/>
              <w:right w:w="108" w:type="dxa"/>
            </w:tcMar>
          </w:tcPr>
          <w:p w14:paraId="3B7CB02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397EB3D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8" w:type="dxa"/>
            <w:shd w:val="clear" w:color="auto" w:fill="FFFFFF" w:themeFill="background1"/>
            <w:tcMar>
              <w:top w:w="0" w:type="dxa"/>
              <w:left w:w="108" w:type="dxa"/>
              <w:bottom w:w="0" w:type="dxa"/>
              <w:right w:w="108" w:type="dxa"/>
            </w:tcMar>
          </w:tcPr>
          <w:p w14:paraId="4CC6199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66D1AC6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0,000,00%%</w:t>
            </w:r>
          </w:p>
        </w:tc>
        <w:tc>
          <w:tcPr>
            <w:tcW w:w="425" w:type="dxa"/>
            <w:shd w:val="clear" w:color="auto" w:fill="FFFFFF" w:themeFill="background1"/>
            <w:tcMar>
              <w:top w:w="0" w:type="dxa"/>
              <w:left w:w="108" w:type="dxa"/>
              <w:bottom w:w="0" w:type="dxa"/>
              <w:right w:w="108" w:type="dxa"/>
            </w:tcMar>
          </w:tcPr>
          <w:p w14:paraId="14D085E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1EAD9A2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567" w:type="dxa"/>
            <w:shd w:val="clear" w:color="auto" w:fill="FFFFFF" w:themeFill="background1"/>
            <w:tcMar>
              <w:top w:w="0" w:type="dxa"/>
              <w:left w:w="10" w:type="dxa"/>
              <w:bottom w:w="0" w:type="dxa"/>
              <w:right w:w="10" w:type="dxa"/>
            </w:tcMar>
          </w:tcPr>
          <w:p w14:paraId="04FF9C9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1" w:type="dxa"/>
            <w:shd w:val="clear" w:color="auto" w:fill="FFFFFF" w:themeFill="background1"/>
            <w:tcMar>
              <w:top w:w="0" w:type="dxa"/>
              <w:left w:w="108" w:type="dxa"/>
              <w:bottom w:w="0" w:type="dxa"/>
              <w:right w:w="108" w:type="dxa"/>
            </w:tcMar>
          </w:tcPr>
          <w:p w14:paraId="5D271F3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r>
      <w:tr w:rsidR="00284822" w14:paraId="55F2249B" w14:textId="77777777">
        <w:trPr>
          <w:trHeight w:val="70"/>
          <w:jc w:val="center"/>
        </w:trPr>
        <w:tc>
          <w:tcPr>
            <w:tcW w:w="851" w:type="dxa"/>
            <w:shd w:val="clear" w:color="auto" w:fill="FFFFFF" w:themeFill="background1"/>
            <w:noWrap/>
            <w:tcMar>
              <w:top w:w="0" w:type="dxa"/>
              <w:left w:w="108" w:type="dxa"/>
              <w:bottom w:w="0" w:type="dxa"/>
              <w:right w:w="108" w:type="dxa"/>
            </w:tcMar>
          </w:tcPr>
          <w:p w14:paraId="266FFB91"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38</w:t>
            </w:r>
          </w:p>
        </w:tc>
        <w:tc>
          <w:tcPr>
            <w:tcW w:w="1696" w:type="dxa"/>
            <w:shd w:val="clear" w:color="auto" w:fill="FFFFFF" w:themeFill="background1"/>
            <w:tcMar>
              <w:top w:w="0" w:type="dxa"/>
              <w:left w:w="108" w:type="dxa"/>
              <w:bottom w:w="0" w:type="dxa"/>
              <w:right w:w="108" w:type="dxa"/>
            </w:tcMar>
          </w:tcPr>
          <w:p w14:paraId="3112B8CD"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SA</w:t>
            </w:r>
          </w:p>
        </w:tc>
        <w:tc>
          <w:tcPr>
            <w:tcW w:w="567" w:type="dxa"/>
            <w:shd w:val="clear" w:color="auto" w:fill="FFFFFF" w:themeFill="background1"/>
            <w:tcMar>
              <w:top w:w="0" w:type="dxa"/>
              <w:left w:w="108" w:type="dxa"/>
              <w:bottom w:w="0" w:type="dxa"/>
              <w:right w:w="108" w:type="dxa"/>
            </w:tcMar>
          </w:tcPr>
          <w:p w14:paraId="3648631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120F5D2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1" w:type="dxa"/>
            <w:shd w:val="clear" w:color="auto" w:fill="FFFFFF" w:themeFill="background1"/>
            <w:tcMar>
              <w:top w:w="0" w:type="dxa"/>
              <w:left w:w="108" w:type="dxa"/>
              <w:bottom w:w="0" w:type="dxa"/>
              <w:right w:w="108" w:type="dxa"/>
            </w:tcMar>
          </w:tcPr>
          <w:p w14:paraId="7275602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1BF7BBB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09E8869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1134" w:type="dxa"/>
            <w:shd w:val="clear" w:color="auto" w:fill="FFFFFF" w:themeFill="background1"/>
            <w:tcMar>
              <w:top w:w="0" w:type="dxa"/>
              <w:left w:w="108" w:type="dxa"/>
              <w:bottom w:w="0" w:type="dxa"/>
              <w:right w:w="108" w:type="dxa"/>
            </w:tcMar>
          </w:tcPr>
          <w:p w14:paraId="38800A0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0,63%</w:t>
            </w:r>
          </w:p>
        </w:tc>
        <w:tc>
          <w:tcPr>
            <w:tcW w:w="709" w:type="dxa"/>
            <w:shd w:val="clear" w:color="auto" w:fill="FFFFFF" w:themeFill="background1"/>
            <w:tcMar>
              <w:top w:w="0" w:type="dxa"/>
              <w:left w:w="108" w:type="dxa"/>
              <w:bottom w:w="0" w:type="dxa"/>
              <w:right w:w="108" w:type="dxa"/>
            </w:tcMar>
          </w:tcPr>
          <w:p w14:paraId="230E5B3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2" w:type="dxa"/>
            <w:shd w:val="clear" w:color="auto" w:fill="FFFFFF" w:themeFill="background1"/>
            <w:tcMar>
              <w:top w:w="0" w:type="dxa"/>
              <w:left w:w="108" w:type="dxa"/>
              <w:bottom w:w="0" w:type="dxa"/>
              <w:right w:w="108" w:type="dxa"/>
            </w:tcMar>
          </w:tcPr>
          <w:p w14:paraId="78CEBD5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0,51%</w:t>
            </w:r>
          </w:p>
        </w:tc>
        <w:tc>
          <w:tcPr>
            <w:tcW w:w="850" w:type="dxa"/>
            <w:shd w:val="clear" w:color="auto" w:fill="FFFFFF" w:themeFill="background1"/>
            <w:tcMar>
              <w:top w:w="0" w:type="dxa"/>
              <w:left w:w="108" w:type="dxa"/>
              <w:bottom w:w="0" w:type="dxa"/>
              <w:right w:w="108" w:type="dxa"/>
            </w:tcMar>
          </w:tcPr>
          <w:p w14:paraId="2E42F42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3" w:type="dxa"/>
            <w:shd w:val="clear" w:color="auto" w:fill="FFFFFF" w:themeFill="background1"/>
            <w:tcMar>
              <w:top w:w="0" w:type="dxa"/>
              <w:left w:w="108" w:type="dxa"/>
              <w:bottom w:w="0" w:type="dxa"/>
              <w:right w:w="108" w:type="dxa"/>
            </w:tcMar>
          </w:tcPr>
          <w:p w14:paraId="599D102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0,88%</w:t>
            </w:r>
          </w:p>
        </w:tc>
        <w:tc>
          <w:tcPr>
            <w:tcW w:w="708" w:type="dxa"/>
            <w:shd w:val="clear" w:color="auto" w:fill="FFFFFF" w:themeFill="background1"/>
            <w:tcMar>
              <w:top w:w="0" w:type="dxa"/>
              <w:left w:w="108" w:type="dxa"/>
              <w:bottom w:w="0" w:type="dxa"/>
              <w:right w:w="108" w:type="dxa"/>
            </w:tcMar>
          </w:tcPr>
          <w:p w14:paraId="798254E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3" w:type="dxa"/>
            <w:shd w:val="clear" w:color="auto" w:fill="FFFFFF" w:themeFill="background1"/>
            <w:tcMar>
              <w:top w:w="0" w:type="dxa"/>
              <w:left w:w="108" w:type="dxa"/>
              <w:bottom w:w="0" w:type="dxa"/>
              <w:right w:w="108" w:type="dxa"/>
            </w:tcMar>
          </w:tcPr>
          <w:p w14:paraId="18010C5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0,56%</w:t>
            </w:r>
          </w:p>
        </w:tc>
        <w:tc>
          <w:tcPr>
            <w:tcW w:w="425" w:type="dxa"/>
            <w:shd w:val="clear" w:color="auto" w:fill="FFFFFF" w:themeFill="background1"/>
            <w:tcMar>
              <w:top w:w="0" w:type="dxa"/>
              <w:left w:w="108" w:type="dxa"/>
              <w:bottom w:w="0" w:type="dxa"/>
              <w:right w:w="108" w:type="dxa"/>
            </w:tcMar>
          </w:tcPr>
          <w:p w14:paraId="7B437CB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850" w:type="dxa"/>
            <w:shd w:val="clear" w:color="auto" w:fill="FFFFFF" w:themeFill="background1"/>
            <w:tcMar>
              <w:top w:w="0" w:type="dxa"/>
              <w:left w:w="108" w:type="dxa"/>
              <w:bottom w:w="0" w:type="dxa"/>
              <w:right w:w="108" w:type="dxa"/>
            </w:tcMar>
          </w:tcPr>
          <w:p w14:paraId="6715204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2,04%</w:t>
            </w:r>
          </w:p>
        </w:tc>
        <w:tc>
          <w:tcPr>
            <w:tcW w:w="567" w:type="dxa"/>
            <w:shd w:val="clear" w:color="auto" w:fill="FFFFFF" w:themeFill="background1"/>
            <w:tcMar>
              <w:top w:w="0" w:type="dxa"/>
              <w:left w:w="10" w:type="dxa"/>
              <w:bottom w:w="0" w:type="dxa"/>
              <w:right w:w="10" w:type="dxa"/>
            </w:tcMar>
          </w:tcPr>
          <w:p w14:paraId="3084E1F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851" w:type="dxa"/>
            <w:shd w:val="clear" w:color="auto" w:fill="FFFFFF" w:themeFill="background1"/>
            <w:tcMar>
              <w:top w:w="0" w:type="dxa"/>
              <w:left w:w="108" w:type="dxa"/>
              <w:bottom w:w="0" w:type="dxa"/>
              <w:right w:w="108" w:type="dxa"/>
            </w:tcMar>
          </w:tcPr>
          <w:p w14:paraId="74DCCEB0" w14:textId="77777777" w:rsidR="00284822" w:rsidRDefault="00284822">
            <w:pPr>
              <w:spacing w:line="240" w:lineRule="auto"/>
              <w:jc w:val="left"/>
              <w:rPr>
                <w:rFonts w:ascii="Rockwell" w:hAnsi="Rockwell"/>
                <w:color w:val="000000"/>
                <w:sz w:val="18"/>
                <w:szCs w:val="18"/>
              </w:rPr>
            </w:pPr>
          </w:p>
        </w:tc>
      </w:tr>
      <w:tr w:rsidR="00284822" w14:paraId="4A079092" w14:textId="77777777">
        <w:trPr>
          <w:trHeight w:val="70"/>
          <w:jc w:val="center"/>
        </w:trPr>
        <w:tc>
          <w:tcPr>
            <w:tcW w:w="851" w:type="dxa"/>
            <w:shd w:val="clear" w:color="auto" w:fill="FFFFFF" w:themeFill="background1"/>
            <w:noWrap/>
            <w:tcMar>
              <w:top w:w="0" w:type="dxa"/>
              <w:left w:w="108" w:type="dxa"/>
              <w:bottom w:w="0" w:type="dxa"/>
              <w:right w:w="108" w:type="dxa"/>
            </w:tcMar>
          </w:tcPr>
          <w:p w14:paraId="45733316"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39</w:t>
            </w:r>
          </w:p>
        </w:tc>
        <w:tc>
          <w:tcPr>
            <w:tcW w:w="1696" w:type="dxa"/>
            <w:shd w:val="clear" w:color="auto" w:fill="FFFFFF" w:themeFill="background1"/>
            <w:tcMar>
              <w:top w:w="0" w:type="dxa"/>
              <w:left w:w="108" w:type="dxa"/>
              <w:bottom w:w="0" w:type="dxa"/>
              <w:right w:w="108" w:type="dxa"/>
            </w:tcMar>
          </w:tcPr>
          <w:p w14:paraId="6F7BB898"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SENS</w:t>
            </w:r>
          </w:p>
        </w:tc>
        <w:tc>
          <w:tcPr>
            <w:tcW w:w="567" w:type="dxa"/>
            <w:shd w:val="clear" w:color="auto" w:fill="FFFFFF" w:themeFill="background1"/>
            <w:tcMar>
              <w:top w:w="0" w:type="dxa"/>
              <w:left w:w="108" w:type="dxa"/>
              <w:bottom w:w="0" w:type="dxa"/>
              <w:right w:w="108" w:type="dxa"/>
            </w:tcMar>
          </w:tcPr>
          <w:p w14:paraId="786584B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w:t>
            </w:r>
          </w:p>
        </w:tc>
        <w:tc>
          <w:tcPr>
            <w:tcW w:w="850" w:type="dxa"/>
            <w:shd w:val="clear" w:color="auto" w:fill="FFFFFF" w:themeFill="background1"/>
            <w:tcMar>
              <w:top w:w="0" w:type="dxa"/>
              <w:left w:w="108" w:type="dxa"/>
              <w:bottom w:w="0" w:type="dxa"/>
              <w:right w:w="108" w:type="dxa"/>
            </w:tcMar>
          </w:tcPr>
          <w:p w14:paraId="69A2720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1,91%</w:t>
            </w:r>
          </w:p>
        </w:tc>
        <w:tc>
          <w:tcPr>
            <w:tcW w:w="851" w:type="dxa"/>
            <w:shd w:val="clear" w:color="auto" w:fill="FFFFFF" w:themeFill="background1"/>
            <w:tcMar>
              <w:top w:w="0" w:type="dxa"/>
              <w:left w:w="108" w:type="dxa"/>
              <w:bottom w:w="0" w:type="dxa"/>
              <w:right w:w="108" w:type="dxa"/>
            </w:tcMar>
          </w:tcPr>
          <w:p w14:paraId="17FD138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7</w:t>
            </w:r>
          </w:p>
        </w:tc>
        <w:tc>
          <w:tcPr>
            <w:tcW w:w="992" w:type="dxa"/>
            <w:shd w:val="clear" w:color="auto" w:fill="FFFFFF" w:themeFill="background1"/>
            <w:tcMar>
              <w:top w:w="0" w:type="dxa"/>
              <w:left w:w="108" w:type="dxa"/>
              <w:bottom w:w="0" w:type="dxa"/>
              <w:right w:w="108" w:type="dxa"/>
            </w:tcMar>
          </w:tcPr>
          <w:p w14:paraId="62E37A4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2,12%</w:t>
            </w:r>
          </w:p>
        </w:tc>
        <w:tc>
          <w:tcPr>
            <w:tcW w:w="709" w:type="dxa"/>
            <w:shd w:val="clear" w:color="auto" w:fill="FFFFFF" w:themeFill="background1"/>
            <w:tcMar>
              <w:top w:w="0" w:type="dxa"/>
              <w:left w:w="108" w:type="dxa"/>
              <w:bottom w:w="0" w:type="dxa"/>
              <w:right w:w="108" w:type="dxa"/>
            </w:tcMar>
          </w:tcPr>
          <w:p w14:paraId="4BD7249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w:t>
            </w:r>
          </w:p>
        </w:tc>
        <w:tc>
          <w:tcPr>
            <w:tcW w:w="1134" w:type="dxa"/>
            <w:shd w:val="clear" w:color="auto" w:fill="FFFFFF" w:themeFill="background1"/>
            <w:tcMar>
              <w:top w:w="0" w:type="dxa"/>
              <w:left w:w="108" w:type="dxa"/>
              <w:bottom w:w="0" w:type="dxa"/>
              <w:right w:w="108" w:type="dxa"/>
            </w:tcMar>
          </w:tcPr>
          <w:p w14:paraId="17A3F8D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1,27%</w:t>
            </w:r>
          </w:p>
        </w:tc>
        <w:tc>
          <w:tcPr>
            <w:tcW w:w="709" w:type="dxa"/>
            <w:shd w:val="clear" w:color="auto" w:fill="FFFFFF" w:themeFill="background1"/>
            <w:tcMar>
              <w:top w:w="0" w:type="dxa"/>
              <w:left w:w="108" w:type="dxa"/>
              <w:bottom w:w="0" w:type="dxa"/>
              <w:right w:w="108" w:type="dxa"/>
            </w:tcMar>
          </w:tcPr>
          <w:p w14:paraId="088F3D1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w:t>
            </w:r>
          </w:p>
        </w:tc>
        <w:tc>
          <w:tcPr>
            <w:tcW w:w="992" w:type="dxa"/>
            <w:shd w:val="clear" w:color="auto" w:fill="FFFFFF" w:themeFill="background1"/>
            <w:tcMar>
              <w:top w:w="0" w:type="dxa"/>
              <w:left w:w="108" w:type="dxa"/>
              <w:bottom w:w="0" w:type="dxa"/>
              <w:right w:w="108" w:type="dxa"/>
            </w:tcMar>
          </w:tcPr>
          <w:p w14:paraId="7A271FB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1,52%</w:t>
            </w:r>
          </w:p>
        </w:tc>
        <w:tc>
          <w:tcPr>
            <w:tcW w:w="850" w:type="dxa"/>
            <w:shd w:val="clear" w:color="auto" w:fill="FFFFFF" w:themeFill="background1"/>
            <w:tcMar>
              <w:top w:w="0" w:type="dxa"/>
              <w:left w:w="108" w:type="dxa"/>
              <w:bottom w:w="0" w:type="dxa"/>
              <w:right w:w="108" w:type="dxa"/>
            </w:tcMar>
          </w:tcPr>
          <w:p w14:paraId="49F8046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3" w:type="dxa"/>
            <w:shd w:val="clear" w:color="auto" w:fill="FFFFFF" w:themeFill="background1"/>
            <w:tcMar>
              <w:top w:w="0" w:type="dxa"/>
              <w:left w:w="108" w:type="dxa"/>
              <w:bottom w:w="0" w:type="dxa"/>
              <w:right w:w="108" w:type="dxa"/>
            </w:tcMar>
          </w:tcPr>
          <w:p w14:paraId="4ACD85F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0,88%</w:t>
            </w:r>
          </w:p>
        </w:tc>
        <w:tc>
          <w:tcPr>
            <w:tcW w:w="708" w:type="dxa"/>
            <w:shd w:val="clear" w:color="auto" w:fill="FFFFFF" w:themeFill="background1"/>
            <w:tcMar>
              <w:top w:w="0" w:type="dxa"/>
              <w:left w:w="108" w:type="dxa"/>
              <w:bottom w:w="0" w:type="dxa"/>
              <w:right w:w="108" w:type="dxa"/>
            </w:tcMar>
          </w:tcPr>
          <w:p w14:paraId="4998FE1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3" w:type="dxa"/>
            <w:shd w:val="clear" w:color="auto" w:fill="FFFFFF" w:themeFill="background1"/>
            <w:tcMar>
              <w:top w:w="0" w:type="dxa"/>
              <w:left w:w="108" w:type="dxa"/>
              <w:bottom w:w="0" w:type="dxa"/>
              <w:right w:w="108" w:type="dxa"/>
            </w:tcMar>
          </w:tcPr>
          <w:p w14:paraId="0D589C6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0,56%</w:t>
            </w:r>
          </w:p>
        </w:tc>
        <w:tc>
          <w:tcPr>
            <w:tcW w:w="425" w:type="dxa"/>
            <w:shd w:val="clear" w:color="auto" w:fill="FFFFFF" w:themeFill="background1"/>
            <w:tcMar>
              <w:top w:w="0" w:type="dxa"/>
              <w:left w:w="108" w:type="dxa"/>
              <w:bottom w:w="0" w:type="dxa"/>
              <w:right w:w="108" w:type="dxa"/>
            </w:tcMar>
          </w:tcPr>
          <w:p w14:paraId="1B74484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850" w:type="dxa"/>
            <w:shd w:val="clear" w:color="auto" w:fill="FFFFFF" w:themeFill="background1"/>
            <w:tcMar>
              <w:top w:w="0" w:type="dxa"/>
              <w:left w:w="108" w:type="dxa"/>
              <w:bottom w:w="0" w:type="dxa"/>
              <w:right w:w="108" w:type="dxa"/>
            </w:tcMar>
          </w:tcPr>
          <w:p w14:paraId="5704814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2,04%</w:t>
            </w:r>
          </w:p>
        </w:tc>
        <w:tc>
          <w:tcPr>
            <w:tcW w:w="567" w:type="dxa"/>
            <w:shd w:val="clear" w:color="auto" w:fill="FFFFFF" w:themeFill="background1"/>
            <w:tcMar>
              <w:top w:w="0" w:type="dxa"/>
              <w:left w:w="10" w:type="dxa"/>
              <w:bottom w:w="0" w:type="dxa"/>
              <w:right w:w="10" w:type="dxa"/>
            </w:tcMar>
          </w:tcPr>
          <w:p w14:paraId="62DFC22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851" w:type="dxa"/>
            <w:shd w:val="clear" w:color="auto" w:fill="FFFFFF" w:themeFill="background1"/>
            <w:tcMar>
              <w:top w:w="0" w:type="dxa"/>
              <w:left w:w="108" w:type="dxa"/>
              <w:bottom w:w="0" w:type="dxa"/>
              <w:right w:w="108" w:type="dxa"/>
            </w:tcMar>
          </w:tcPr>
          <w:p w14:paraId="3D2831B4" w14:textId="77777777" w:rsidR="00284822" w:rsidRDefault="00284822">
            <w:pPr>
              <w:spacing w:line="240" w:lineRule="auto"/>
              <w:jc w:val="left"/>
              <w:rPr>
                <w:rFonts w:ascii="Rockwell" w:hAnsi="Rockwell"/>
                <w:color w:val="000000"/>
                <w:sz w:val="18"/>
                <w:szCs w:val="18"/>
              </w:rPr>
            </w:pPr>
          </w:p>
        </w:tc>
      </w:tr>
      <w:tr w:rsidR="00284822" w14:paraId="3E1836A7" w14:textId="77777777">
        <w:trPr>
          <w:trHeight w:val="70"/>
          <w:jc w:val="center"/>
        </w:trPr>
        <w:tc>
          <w:tcPr>
            <w:tcW w:w="851" w:type="dxa"/>
            <w:shd w:val="clear" w:color="auto" w:fill="FFFFFF" w:themeFill="background1"/>
            <w:noWrap/>
            <w:tcMar>
              <w:top w:w="0" w:type="dxa"/>
              <w:left w:w="108" w:type="dxa"/>
              <w:bottom w:w="0" w:type="dxa"/>
              <w:right w:w="108" w:type="dxa"/>
            </w:tcMar>
          </w:tcPr>
          <w:p w14:paraId="1F420423"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40</w:t>
            </w:r>
          </w:p>
        </w:tc>
        <w:tc>
          <w:tcPr>
            <w:tcW w:w="1696" w:type="dxa"/>
            <w:shd w:val="clear" w:color="auto" w:fill="FFFFFF" w:themeFill="background1"/>
            <w:tcMar>
              <w:top w:w="0" w:type="dxa"/>
              <w:left w:w="108" w:type="dxa"/>
              <w:bottom w:w="0" w:type="dxa"/>
              <w:right w:w="108" w:type="dxa"/>
            </w:tcMar>
          </w:tcPr>
          <w:p w14:paraId="42A5770D"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SOCL</w:t>
            </w:r>
          </w:p>
        </w:tc>
        <w:tc>
          <w:tcPr>
            <w:tcW w:w="567" w:type="dxa"/>
            <w:shd w:val="clear" w:color="auto" w:fill="FFFFFF" w:themeFill="background1"/>
            <w:tcMar>
              <w:top w:w="0" w:type="dxa"/>
              <w:left w:w="108" w:type="dxa"/>
              <w:bottom w:w="0" w:type="dxa"/>
              <w:right w:w="108" w:type="dxa"/>
            </w:tcMar>
          </w:tcPr>
          <w:p w14:paraId="60D4FA5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850" w:type="dxa"/>
            <w:shd w:val="clear" w:color="auto" w:fill="FFFFFF" w:themeFill="background1"/>
            <w:tcMar>
              <w:top w:w="0" w:type="dxa"/>
              <w:left w:w="108" w:type="dxa"/>
              <w:bottom w:w="0" w:type="dxa"/>
              <w:right w:w="108" w:type="dxa"/>
            </w:tcMar>
          </w:tcPr>
          <w:p w14:paraId="659607B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0,64%</w:t>
            </w:r>
          </w:p>
        </w:tc>
        <w:tc>
          <w:tcPr>
            <w:tcW w:w="851" w:type="dxa"/>
            <w:shd w:val="clear" w:color="auto" w:fill="FFFFFF" w:themeFill="background1"/>
            <w:tcMar>
              <w:top w:w="0" w:type="dxa"/>
              <w:left w:w="108" w:type="dxa"/>
              <w:bottom w:w="0" w:type="dxa"/>
              <w:right w:w="108" w:type="dxa"/>
            </w:tcMar>
          </w:tcPr>
          <w:p w14:paraId="47B4002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2" w:type="dxa"/>
            <w:shd w:val="clear" w:color="auto" w:fill="FFFFFF" w:themeFill="background1"/>
            <w:tcMar>
              <w:top w:w="0" w:type="dxa"/>
              <w:left w:w="108" w:type="dxa"/>
              <w:bottom w:w="0" w:type="dxa"/>
              <w:right w:w="108" w:type="dxa"/>
            </w:tcMar>
          </w:tcPr>
          <w:p w14:paraId="5F77BDB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0,30%</w:t>
            </w:r>
          </w:p>
        </w:tc>
        <w:tc>
          <w:tcPr>
            <w:tcW w:w="709" w:type="dxa"/>
            <w:shd w:val="clear" w:color="auto" w:fill="FFFFFF" w:themeFill="background1"/>
            <w:tcMar>
              <w:top w:w="0" w:type="dxa"/>
              <w:left w:w="108" w:type="dxa"/>
              <w:bottom w:w="0" w:type="dxa"/>
              <w:right w:w="108" w:type="dxa"/>
            </w:tcMar>
          </w:tcPr>
          <w:p w14:paraId="0FB65A5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1134" w:type="dxa"/>
            <w:shd w:val="clear" w:color="auto" w:fill="FFFFFF" w:themeFill="background1"/>
            <w:tcMar>
              <w:top w:w="0" w:type="dxa"/>
              <w:left w:w="108" w:type="dxa"/>
              <w:bottom w:w="0" w:type="dxa"/>
              <w:right w:w="108" w:type="dxa"/>
            </w:tcMar>
          </w:tcPr>
          <w:p w14:paraId="61B3B5C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4651AA2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45F859C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0" w:type="dxa"/>
            <w:shd w:val="clear" w:color="auto" w:fill="FFFFFF" w:themeFill="background1"/>
            <w:tcMar>
              <w:top w:w="0" w:type="dxa"/>
              <w:left w:w="108" w:type="dxa"/>
              <w:bottom w:w="0" w:type="dxa"/>
              <w:right w:w="108" w:type="dxa"/>
            </w:tcMar>
          </w:tcPr>
          <w:p w14:paraId="6398099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w:t>
            </w:r>
          </w:p>
        </w:tc>
        <w:tc>
          <w:tcPr>
            <w:tcW w:w="993" w:type="dxa"/>
            <w:shd w:val="clear" w:color="auto" w:fill="FFFFFF" w:themeFill="background1"/>
            <w:tcMar>
              <w:top w:w="0" w:type="dxa"/>
              <w:left w:w="108" w:type="dxa"/>
              <w:bottom w:w="0" w:type="dxa"/>
              <w:right w:w="108" w:type="dxa"/>
            </w:tcMar>
          </w:tcPr>
          <w:p w14:paraId="5AB3F25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1,77%</w:t>
            </w:r>
          </w:p>
        </w:tc>
        <w:tc>
          <w:tcPr>
            <w:tcW w:w="708" w:type="dxa"/>
            <w:shd w:val="clear" w:color="auto" w:fill="FFFFFF" w:themeFill="background1"/>
            <w:tcMar>
              <w:top w:w="0" w:type="dxa"/>
              <w:left w:w="108" w:type="dxa"/>
              <w:bottom w:w="0" w:type="dxa"/>
              <w:right w:w="108" w:type="dxa"/>
            </w:tcMar>
          </w:tcPr>
          <w:p w14:paraId="4463E3D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w:t>
            </w:r>
          </w:p>
        </w:tc>
        <w:tc>
          <w:tcPr>
            <w:tcW w:w="993" w:type="dxa"/>
            <w:shd w:val="clear" w:color="auto" w:fill="FFFFFF" w:themeFill="background1"/>
            <w:tcMar>
              <w:top w:w="0" w:type="dxa"/>
              <w:left w:w="108" w:type="dxa"/>
              <w:bottom w:w="0" w:type="dxa"/>
              <w:right w:w="108" w:type="dxa"/>
            </w:tcMar>
          </w:tcPr>
          <w:p w14:paraId="4727B35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1,13%</w:t>
            </w:r>
          </w:p>
        </w:tc>
        <w:tc>
          <w:tcPr>
            <w:tcW w:w="425" w:type="dxa"/>
            <w:shd w:val="clear" w:color="auto" w:fill="FFFFFF" w:themeFill="background1"/>
            <w:tcMar>
              <w:top w:w="0" w:type="dxa"/>
              <w:left w:w="108" w:type="dxa"/>
              <w:bottom w:w="0" w:type="dxa"/>
              <w:right w:w="108" w:type="dxa"/>
            </w:tcMar>
          </w:tcPr>
          <w:p w14:paraId="59174E4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6E23769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567" w:type="dxa"/>
            <w:shd w:val="clear" w:color="auto" w:fill="FFFFFF" w:themeFill="background1"/>
            <w:tcMar>
              <w:top w:w="0" w:type="dxa"/>
              <w:left w:w="10" w:type="dxa"/>
              <w:bottom w:w="0" w:type="dxa"/>
              <w:right w:w="10" w:type="dxa"/>
            </w:tcMar>
          </w:tcPr>
          <w:p w14:paraId="6189C63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1" w:type="dxa"/>
            <w:shd w:val="clear" w:color="auto" w:fill="FFFFFF" w:themeFill="background1"/>
            <w:tcMar>
              <w:top w:w="0" w:type="dxa"/>
              <w:left w:w="108" w:type="dxa"/>
              <w:bottom w:w="0" w:type="dxa"/>
              <w:right w:w="108" w:type="dxa"/>
            </w:tcMar>
          </w:tcPr>
          <w:p w14:paraId="7D86F955" w14:textId="77777777" w:rsidR="00284822" w:rsidRDefault="00284822">
            <w:pPr>
              <w:spacing w:line="240" w:lineRule="auto"/>
              <w:jc w:val="left"/>
              <w:rPr>
                <w:rFonts w:ascii="Rockwell" w:hAnsi="Rockwell"/>
                <w:color w:val="000000"/>
                <w:sz w:val="18"/>
                <w:szCs w:val="18"/>
              </w:rPr>
            </w:pPr>
          </w:p>
        </w:tc>
      </w:tr>
      <w:tr w:rsidR="00284822" w14:paraId="05406F2E" w14:textId="77777777">
        <w:trPr>
          <w:trHeight w:val="70"/>
          <w:jc w:val="center"/>
        </w:trPr>
        <w:tc>
          <w:tcPr>
            <w:tcW w:w="851" w:type="dxa"/>
            <w:shd w:val="clear" w:color="auto" w:fill="FFFFFF" w:themeFill="background1"/>
            <w:noWrap/>
            <w:tcMar>
              <w:top w:w="0" w:type="dxa"/>
              <w:left w:w="108" w:type="dxa"/>
              <w:bottom w:w="0" w:type="dxa"/>
              <w:right w:w="108" w:type="dxa"/>
            </w:tcMar>
          </w:tcPr>
          <w:p w14:paraId="41F57969"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41</w:t>
            </w:r>
          </w:p>
        </w:tc>
        <w:tc>
          <w:tcPr>
            <w:tcW w:w="1696" w:type="dxa"/>
            <w:shd w:val="clear" w:color="auto" w:fill="FFFFFF" w:themeFill="background1"/>
            <w:tcMar>
              <w:top w:w="0" w:type="dxa"/>
              <w:left w:w="108" w:type="dxa"/>
              <w:bottom w:w="0" w:type="dxa"/>
              <w:right w:w="108" w:type="dxa"/>
            </w:tcMar>
          </w:tcPr>
          <w:p w14:paraId="013F9BB2"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UFP</w:t>
            </w:r>
          </w:p>
        </w:tc>
        <w:tc>
          <w:tcPr>
            <w:tcW w:w="567" w:type="dxa"/>
            <w:shd w:val="clear" w:color="auto" w:fill="FFFFFF" w:themeFill="background1"/>
            <w:tcMar>
              <w:top w:w="0" w:type="dxa"/>
              <w:left w:w="108" w:type="dxa"/>
              <w:bottom w:w="0" w:type="dxa"/>
              <w:right w:w="108" w:type="dxa"/>
            </w:tcMar>
          </w:tcPr>
          <w:p w14:paraId="0044BA6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w:t>
            </w:r>
          </w:p>
        </w:tc>
        <w:tc>
          <w:tcPr>
            <w:tcW w:w="850" w:type="dxa"/>
            <w:shd w:val="clear" w:color="auto" w:fill="FFFFFF" w:themeFill="background1"/>
            <w:tcMar>
              <w:top w:w="0" w:type="dxa"/>
              <w:left w:w="108" w:type="dxa"/>
              <w:bottom w:w="0" w:type="dxa"/>
              <w:right w:w="108" w:type="dxa"/>
            </w:tcMar>
          </w:tcPr>
          <w:p w14:paraId="67AEF65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1,27%</w:t>
            </w:r>
          </w:p>
        </w:tc>
        <w:tc>
          <w:tcPr>
            <w:tcW w:w="851" w:type="dxa"/>
            <w:shd w:val="clear" w:color="auto" w:fill="FFFFFF" w:themeFill="background1"/>
            <w:tcMar>
              <w:top w:w="0" w:type="dxa"/>
              <w:left w:w="108" w:type="dxa"/>
              <w:bottom w:w="0" w:type="dxa"/>
              <w:right w:w="108" w:type="dxa"/>
            </w:tcMar>
          </w:tcPr>
          <w:p w14:paraId="3E2DBB3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2</w:t>
            </w:r>
          </w:p>
        </w:tc>
        <w:tc>
          <w:tcPr>
            <w:tcW w:w="992" w:type="dxa"/>
            <w:shd w:val="clear" w:color="auto" w:fill="FFFFFF" w:themeFill="background1"/>
            <w:tcMar>
              <w:top w:w="0" w:type="dxa"/>
              <w:left w:w="108" w:type="dxa"/>
              <w:bottom w:w="0" w:type="dxa"/>
              <w:right w:w="108" w:type="dxa"/>
            </w:tcMar>
          </w:tcPr>
          <w:p w14:paraId="7B74EDB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0,61%</w:t>
            </w:r>
          </w:p>
        </w:tc>
        <w:tc>
          <w:tcPr>
            <w:tcW w:w="709" w:type="dxa"/>
            <w:shd w:val="clear" w:color="auto" w:fill="FFFFFF" w:themeFill="background1"/>
            <w:tcMar>
              <w:top w:w="0" w:type="dxa"/>
              <w:left w:w="108" w:type="dxa"/>
              <w:bottom w:w="0" w:type="dxa"/>
              <w:right w:w="108" w:type="dxa"/>
            </w:tcMar>
          </w:tcPr>
          <w:p w14:paraId="4FD1A96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1134" w:type="dxa"/>
            <w:shd w:val="clear" w:color="auto" w:fill="FFFFFF" w:themeFill="background1"/>
            <w:tcMar>
              <w:top w:w="0" w:type="dxa"/>
              <w:left w:w="108" w:type="dxa"/>
              <w:bottom w:w="0" w:type="dxa"/>
              <w:right w:w="108" w:type="dxa"/>
            </w:tcMar>
          </w:tcPr>
          <w:p w14:paraId="395BC4C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1098FEA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586D356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0" w:type="dxa"/>
            <w:shd w:val="clear" w:color="auto" w:fill="FFFFFF" w:themeFill="background1"/>
            <w:tcMar>
              <w:top w:w="0" w:type="dxa"/>
              <w:left w:w="108" w:type="dxa"/>
              <w:bottom w:w="0" w:type="dxa"/>
              <w:right w:w="108" w:type="dxa"/>
            </w:tcMar>
          </w:tcPr>
          <w:p w14:paraId="70A5FB1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2A9DAEC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8" w:type="dxa"/>
            <w:shd w:val="clear" w:color="auto" w:fill="FFFFFF" w:themeFill="background1"/>
            <w:tcMar>
              <w:top w:w="0" w:type="dxa"/>
              <w:left w:w="108" w:type="dxa"/>
              <w:bottom w:w="0" w:type="dxa"/>
              <w:right w:w="108" w:type="dxa"/>
            </w:tcMar>
          </w:tcPr>
          <w:p w14:paraId="7E475FB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132FAB4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425" w:type="dxa"/>
            <w:shd w:val="clear" w:color="auto" w:fill="FFFFFF" w:themeFill="background1"/>
            <w:tcMar>
              <w:top w:w="0" w:type="dxa"/>
              <w:left w:w="108" w:type="dxa"/>
              <w:bottom w:w="0" w:type="dxa"/>
              <w:right w:w="108" w:type="dxa"/>
            </w:tcMar>
          </w:tcPr>
          <w:p w14:paraId="26CA747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3FE309D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567" w:type="dxa"/>
            <w:shd w:val="clear" w:color="auto" w:fill="FFFFFF" w:themeFill="background1"/>
            <w:tcMar>
              <w:top w:w="0" w:type="dxa"/>
              <w:left w:w="10" w:type="dxa"/>
              <w:bottom w:w="0" w:type="dxa"/>
              <w:right w:w="10" w:type="dxa"/>
            </w:tcMar>
          </w:tcPr>
          <w:p w14:paraId="03FD6CA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1" w:type="dxa"/>
            <w:shd w:val="clear" w:color="auto" w:fill="FFFFFF" w:themeFill="background1"/>
            <w:tcMar>
              <w:top w:w="0" w:type="dxa"/>
              <w:left w:w="108" w:type="dxa"/>
              <w:bottom w:w="0" w:type="dxa"/>
              <w:right w:w="108" w:type="dxa"/>
            </w:tcMar>
          </w:tcPr>
          <w:p w14:paraId="2C3EEE15" w14:textId="77777777" w:rsidR="00284822" w:rsidRDefault="00284822">
            <w:pPr>
              <w:spacing w:line="240" w:lineRule="auto"/>
              <w:jc w:val="left"/>
              <w:rPr>
                <w:rFonts w:ascii="Rockwell" w:hAnsi="Rockwell"/>
                <w:color w:val="000000"/>
                <w:sz w:val="18"/>
                <w:szCs w:val="18"/>
              </w:rPr>
            </w:pPr>
          </w:p>
        </w:tc>
      </w:tr>
      <w:tr w:rsidR="00284822" w14:paraId="149BD25A" w14:textId="77777777">
        <w:trPr>
          <w:trHeight w:val="70"/>
          <w:jc w:val="center"/>
        </w:trPr>
        <w:tc>
          <w:tcPr>
            <w:tcW w:w="851" w:type="dxa"/>
            <w:shd w:val="clear" w:color="auto" w:fill="FFFFFF" w:themeFill="background1"/>
            <w:noWrap/>
            <w:tcMar>
              <w:top w:w="0" w:type="dxa"/>
              <w:left w:w="108" w:type="dxa"/>
              <w:bottom w:w="0" w:type="dxa"/>
              <w:right w:w="108" w:type="dxa"/>
            </w:tcMar>
          </w:tcPr>
          <w:p w14:paraId="13F5D922"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42</w:t>
            </w:r>
          </w:p>
        </w:tc>
        <w:tc>
          <w:tcPr>
            <w:tcW w:w="1696" w:type="dxa"/>
            <w:shd w:val="clear" w:color="auto" w:fill="FFFFFF" w:themeFill="background1"/>
            <w:tcMar>
              <w:top w:w="0" w:type="dxa"/>
              <w:left w:w="108" w:type="dxa"/>
              <w:bottom w:w="0" w:type="dxa"/>
              <w:right w:w="108" w:type="dxa"/>
            </w:tcMar>
          </w:tcPr>
          <w:p w14:paraId="5997A147"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UNDD</w:t>
            </w:r>
          </w:p>
        </w:tc>
        <w:tc>
          <w:tcPr>
            <w:tcW w:w="567" w:type="dxa"/>
            <w:shd w:val="clear" w:color="auto" w:fill="FFFFFF" w:themeFill="background1"/>
            <w:tcMar>
              <w:top w:w="0" w:type="dxa"/>
              <w:left w:w="108" w:type="dxa"/>
              <w:bottom w:w="0" w:type="dxa"/>
              <w:right w:w="108" w:type="dxa"/>
            </w:tcMar>
          </w:tcPr>
          <w:p w14:paraId="2912F5E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5770D2A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851" w:type="dxa"/>
            <w:shd w:val="clear" w:color="auto" w:fill="FFFFFF" w:themeFill="background1"/>
            <w:tcMar>
              <w:top w:w="0" w:type="dxa"/>
              <w:left w:w="108" w:type="dxa"/>
              <w:bottom w:w="0" w:type="dxa"/>
              <w:right w:w="108" w:type="dxa"/>
            </w:tcMar>
          </w:tcPr>
          <w:p w14:paraId="1E4EE0F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2" w:type="dxa"/>
            <w:shd w:val="clear" w:color="auto" w:fill="FFFFFF" w:themeFill="background1"/>
            <w:tcMar>
              <w:top w:w="0" w:type="dxa"/>
              <w:left w:w="108" w:type="dxa"/>
              <w:bottom w:w="0" w:type="dxa"/>
              <w:right w:w="108" w:type="dxa"/>
            </w:tcMar>
          </w:tcPr>
          <w:p w14:paraId="5318F3F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9" w:type="dxa"/>
            <w:shd w:val="clear" w:color="auto" w:fill="FFFFFF" w:themeFill="background1"/>
            <w:tcMar>
              <w:top w:w="0" w:type="dxa"/>
              <w:left w:w="108" w:type="dxa"/>
              <w:bottom w:w="0" w:type="dxa"/>
              <w:right w:w="108" w:type="dxa"/>
            </w:tcMar>
          </w:tcPr>
          <w:p w14:paraId="7F551AB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1134" w:type="dxa"/>
            <w:shd w:val="clear" w:color="auto" w:fill="FFFFFF" w:themeFill="background1"/>
            <w:tcMar>
              <w:top w:w="0" w:type="dxa"/>
              <w:left w:w="108" w:type="dxa"/>
              <w:bottom w:w="0" w:type="dxa"/>
              <w:right w:w="108" w:type="dxa"/>
            </w:tcMar>
          </w:tcPr>
          <w:p w14:paraId="7EEE7DD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0,63%</w:t>
            </w:r>
          </w:p>
        </w:tc>
        <w:tc>
          <w:tcPr>
            <w:tcW w:w="709" w:type="dxa"/>
            <w:shd w:val="clear" w:color="auto" w:fill="FFFFFF" w:themeFill="background1"/>
            <w:tcMar>
              <w:top w:w="0" w:type="dxa"/>
              <w:left w:w="108" w:type="dxa"/>
              <w:bottom w:w="0" w:type="dxa"/>
              <w:right w:w="108" w:type="dxa"/>
            </w:tcMar>
          </w:tcPr>
          <w:p w14:paraId="1E5FD86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2" w:type="dxa"/>
            <w:shd w:val="clear" w:color="auto" w:fill="FFFFFF" w:themeFill="background1"/>
            <w:tcMar>
              <w:top w:w="0" w:type="dxa"/>
              <w:left w:w="108" w:type="dxa"/>
              <w:bottom w:w="0" w:type="dxa"/>
              <w:right w:w="108" w:type="dxa"/>
            </w:tcMar>
          </w:tcPr>
          <w:p w14:paraId="5DFE0C7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0,51%</w:t>
            </w:r>
          </w:p>
        </w:tc>
        <w:tc>
          <w:tcPr>
            <w:tcW w:w="850" w:type="dxa"/>
            <w:shd w:val="clear" w:color="auto" w:fill="FFFFFF" w:themeFill="background1"/>
            <w:tcMar>
              <w:top w:w="0" w:type="dxa"/>
              <w:left w:w="108" w:type="dxa"/>
              <w:bottom w:w="0" w:type="dxa"/>
              <w:right w:w="108" w:type="dxa"/>
            </w:tcMar>
          </w:tcPr>
          <w:p w14:paraId="7631D0C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70244DE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8" w:type="dxa"/>
            <w:shd w:val="clear" w:color="auto" w:fill="FFFFFF" w:themeFill="background1"/>
            <w:tcMar>
              <w:top w:w="0" w:type="dxa"/>
              <w:left w:w="108" w:type="dxa"/>
              <w:bottom w:w="0" w:type="dxa"/>
              <w:right w:w="108" w:type="dxa"/>
            </w:tcMar>
          </w:tcPr>
          <w:p w14:paraId="3BCE1D8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6D5029F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425" w:type="dxa"/>
            <w:shd w:val="clear" w:color="auto" w:fill="FFFFFF" w:themeFill="background1"/>
            <w:tcMar>
              <w:top w:w="0" w:type="dxa"/>
              <w:left w:w="108" w:type="dxa"/>
              <w:bottom w:w="0" w:type="dxa"/>
              <w:right w:w="108" w:type="dxa"/>
            </w:tcMar>
          </w:tcPr>
          <w:p w14:paraId="376806E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2CDEDCD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567" w:type="dxa"/>
            <w:shd w:val="clear" w:color="auto" w:fill="FFFFFF" w:themeFill="background1"/>
            <w:tcMar>
              <w:top w:w="0" w:type="dxa"/>
              <w:left w:w="10" w:type="dxa"/>
              <w:bottom w:w="0" w:type="dxa"/>
              <w:right w:w="10" w:type="dxa"/>
            </w:tcMar>
          </w:tcPr>
          <w:p w14:paraId="7CCBBC2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1" w:type="dxa"/>
            <w:shd w:val="clear" w:color="auto" w:fill="FFFFFF" w:themeFill="background1"/>
            <w:tcMar>
              <w:top w:w="0" w:type="dxa"/>
              <w:left w:w="108" w:type="dxa"/>
              <w:bottom w:w="0" w:type="dxa"/>
              <w:right w:w="108" w:type="dxa"/>
            </w:tcMar>
          </w:tcPr>
          <w:p w14:paraId="2EFF563B" w14:textId="77777777" w:rsidR="00284822" w:rsidRDefault="00284822">
            <w:pPr>
              <w:spacing w:line="240" w:lineRule="auto"/>
              <w:jc w:val="left"/>
              <w:rPr>
                <w:rFonts w:ascii="Rockwell" w:hAnsi="Rockwell"/>
                <w:color w:val="000000"/>
                <w:sz w:val="18"/>
                <w:szCs w:val="18"/>
              </w:rPr>
            </w:pPr>
          </w:p>
        </w:tc>
      </w:tr>
      <w:tr w:rsidR="00284822" w14:paraId="6F628E20" w14:textId="77777777">
        <w:trPr>
          <w:trHeight w:val="70"/>
          <w:jc w:val="center"/>
        </w:trPr>
        <w:tc>
          <w:tcPr>
            <w:tcW w:w="851" w:type="dxa"/>
            <w:shd w:val="clear" w:color="auto" w:fill="FFFFFF" w:themeFill="background1"/>
            <w:noWrap/>
            <w:tcMar>
              <w:top w:w="0" w:type="dxa"/>
              <w:left w:w="108" w:type="dxa"/>
              <w:bottom w:w="0" w:type="dxa"/>
              <w:right w:w="108" w:type="dxa"/>
            </w:tcMar>
          </w:tcPr>
          <w:p w14:paraId="38E19406"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43</w:t>
            </w:r>
          </w:p>
        </w:tc>
        <w:tc>
          <w:tcPr>
            <w:tcW w:w="1696" w:type="dxa"/>
            <w:shd w:val="clear" w:color="auto" w:fill="FFFFFF" w:themeFill="background1"/>
            <w:tcMar>
              <w:top w:w="0" w:type="dxa"/>
              <w:left w:w="108" w:type="dxa"/>
              <w:bottom w:w="0" w:type="dxa"/>
              <w:right w:w="108" w:type="dxa"/>
            </w:tcMar>
          </w:tcPr>
          <w:p w14:paraId="40F86F0A"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UNIR/MPS</w:t>
            </w:r>
          </w:p>
        </w:tc>
        <w:tc>
          <w:tcPr>
            <w:tcW w:w="567" w:type="dxa"/>
            <w:shd w:val="clear" w:color="auto" w:fill="FFFFFF" w:themeFill="background1"/>
            <w:tcMar>
              <w:top w:w="0" w:type="dxa"/>
              <w:left w:w="108" w:type="dxa"/>
              <w:bottom w:w="0" w:type="dxa"/>
              <w:right w:w="108" w:type="dxa"/>
            </w:tcMar>
          </w:tcPr>
          <w:p w14:paraId="15C8A9B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10</w:t>
            </w:r>
          </w:p>
        </w:tc>
        <w:tc>
          <w:tcPr>
            <w:tcW w:w="850" w:type="dxa"/>
            <w:shd w:val="clear" w:color="auto" w:fill="FFFFFF" w:themeFill="background1"/>
            <w:tcMar>
              <w:top w:w="0" w:type="dxa"/>
              <w:left w:w="108" w:type="dxa"/>
              <w:bottom w:w="0" w:type="dxa"/>
              <w:right w:w="108" w:type="dxa"/>
            </w:tcMar>
          </w:tcPr>
          <w:p w14:paraId="4E23146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6,37%</w:t>
            </w:r>
          </w:p>
        </w:tc>
        <w:tc>
          <w:tcPr>
            <w:tcW w:w="851" w:type="dxa"/>
            <w:shd w:val="clear" w:color="auto" w:fill="FFFFFF" w:themeFill="background1"/>
            <w:tcMar>
              <w:top w:w="0" w:type="dxa"/>
              <w:left w:w="108" w:type="dxa"/>
              <w:bottom w:w="0" w:type="dxa"/>
              <w:right w:w="108" w:type="dxa"/>
            </w:tcMar>
          </w:tcPr>
          <w:p w14:paraId="32D2FEE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19</w:t>
            </w:r>
          </w:p>
        </w:tc>
        <w:tc>
          <w:tcPr>
            <w:tcW w:w="992" w:type="dxa"/>
            <w:shd w:val="clear" w:color="auto" w:fill="FFFFFF" w:themeFill="background1"/>
            <w:tcMar>
              <w:top w:w="0" w:type="dxa"/>
              <w:left w:w="108" w:type="dxa"/>
              <w:bottom w:w="0" w:type="dxa"/>
              <w:right w:w="108" w:type="dxa"/>
            </w:tcMar>
          </w:tcPr>
          <w:p w14:paraId="638A8A7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5,76%</w:t>
            </w:r>
          </w:p>
        </w:tc>
        <w:tc>
          <w:tcPr>
            <w:tcW w:w="709" w:type="dxa"/>
            <w:shd w:val="clear" w:color="auto" w:fill="FFFFFF" w:themeFill="background1"/>
            <w:tcMar>
              <w:top w:w="0" w:type="dxa"/>
              <w:left w:w="108" w:type="dxa"/>
              <w:bottom w:w="0" w:type="dxa"/>
              <w:right w:w="108" w:type="dxa"/>
            </w:tcMar>
          </w:tcPr>
          <w:p w14:paraId="54EEABD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14</w:t>
            </w:r>
          </w:p>
        </w:tc>
        <w:tc>
          <w:tcPr>
            <w:tcW w:w="1134" w:type="dxa"/>
            <w:shd w:val="clear" w:color="auto" w:fill="FFFFFF" w:themeFill="background1"/>
            <w:tcMar>
              <w:top w:w="0" w:type="dxa"/>
              <w:left w:w="108" w:type="dxa"/>
              <w:bottom w:w="0" w:type="dxa"/>
              <w:right w:w="108" w:type="dxa"/>
            </w:tcMar>
          </w:tcPr>
          <w:p w14:paraId="6342D17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8,86%</w:t>
            </w:r>
          </w:p>
        </w:tc>
        <w:tc>
          <w:tcPr>
            <w:tcW w:w="709" w:type="dxa"/>
            <w:shd w:val="clear" w:color="auto" w:fill="FFFFFF" w:themeFill="background1"/>
            <w:tcMar>
              <w:top w:w="0" w:type="dxa"/>
              <w:left w:w="108" w:type="dxa"/>
              <w:bottom w:w="0" w:type="dxa"/>
              <w:right w:w="108" w:type="dxa"/>
            </w:tcMar>
          </w:tcPr>
          <w:p w14:paraId="156B6A5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16</w:t>
            </w:r>
          </w:p>
        </w:tc>
        <w:tc>
          <w:tcPr>
            <w:tcW w:w="992" w:type="dxa"/>
            <w:shd w:val="clear" w:color="auto" w:fill="FFFFFF" w:themeFill="background1"/>
            <w:tcMar>
              <w:top w:w="0" w:type="dxa"/>
              <w:left w:w="108" w:type="dxa"/>
              <w:bottom w:w="0" w:type="dxa"/>
              <w:right w:w="108" w:type="dxa"/>
            </w:tcMar>
          </w:tcPr>
          <w:p w14:paraId="54DBAC2D"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8,08%</w:t>
            </w:r>
          </w:p>
        </w:tc>
        <w:tc>
          <w:tcPr>
            <w:tcW w:w="850" w:type="dxa"/>
            <w:shd w:val="clear" w:color="auto" w:fill="FFFFFF" w:themeFill="background1"/>
            <w:tcMar>
              <w:top w:w="0" w:type="dxa"/>
              <w:left w:w="108" w:type="dxa"/>
              <w:bottom w:w="0" w:type="dxa"/>
              <w:right w:w="108" w:type="dxa"/>
            </w:tcMar>
          </w:tcPr>
          <w:p w14:paraId="0A691E02"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12</w:t>
            </w:r>
          </w:p>
        </w:tc>
        <w:tc>
          <w:tcPr>
            <w:tcW w:w="993" w:type="dxa"/>
            <w:shd w:val="clear" w:color="auto" w:fill="FFFFFF" w:themeFill="background1"/>
            <w:tcMar>
              <w:top w:w="0" w:type="dxa"/>
              <w:left w:w="108" w:type="dxa"/>
              <w:bottom w:w="0" w:type="dxa"/>
              <w:right w:w="108" w:type="dxa"/>
            </w:tcMar>
          </w:tcPr>
          <w:p w14:paraId="7DB0D62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10,62%</w:t>
            </w:r>
          </w:p>
        </w:tc>
        <w:tc>
          <w:tcPr>
            <w:tcW w:w="708" w:type="dxa"/>
            <w:shd w:val="clear" w:color="auto" w:fill="FFFFFF" w:themeFill="background1"/>
            <w:tcMar>
              <w:top w:w="0" w:type="dxa"/>
              <w:left w:w="108" w:type="dxa"/>
              <w:bottom w:w="0" w:type="dxa"/>
              <w:right w:w="108" w:type="dxa"/>
            </w:tcMar>
          </w:tcPr>
          <w:p w14:paraId="0415063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13</w:t>
            </w:r>
          </w:p>
        </w:tc>
        <w:tc>
          <w:tcPr>
            <w:tcW w:w="993" w:type="dxa"/>
            <w:shd w:val="clear" w:color="auto" w:fill="FFFFFF" w:themeFill="background1"/>
            <w:tcMar>
              <w:top w:w="0" w:type="dxa"/>
              <w:left w:w="108" w:type="dxa"/>
              <w:bottom w:w="0" w:type="dxa"/>
              <w:right w:w="108" w:type="dxa"/>
            </w:tcMar>
          </w:tcPr>
          <w:p w14:paraId="359D2B1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7,34%</w:t>
            </w:r>
          </w:p>
        </w:tc>
        <w:tc>
          <w:tcPr>
            <w:tcW w:w="425" w:type="dxa"/>
            <w:shd w:val="clear" w:color="auto" w:fill="FFFFFF" w:themeFill="background1"/>
            <w:tcMar>
              <w:top w:w="0" w:type="dxa"/>
              <w:left w:w="108" w:type="dxa"/>
              <w:bottom w:w="0" w:type="dxa"/>
              <w:right w:w="108" w:type="dxa"/>
            </w:tcMar>
          </w:tcPr>
          <w:p w14:paraId="698B4F3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6</w:t>
            </w:r>
          </w:p>
        </w:tc>
        <w:tc>
          <w:tcPr>
            <w:tcW w:w="850" w:type="dxa"/>
            <w:shd w:val="clear" w:color="auto" w:fill="FFFFFF" w:themeFill="background1"/>
            <w:tcMar>
              <w:top w:w="0" w:type="dxa"/>
              <w:left w:w="108" w:type="dxa"/>
              <w:bottom w:w="0" w:type="dxa"/>
              <w:right w:w="108" w:type="dxa"/>
            </w:tcMar>
          </w:tcPr>
          <w:p w14:paraId="206B223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12,24%</w:t>
            </w:r>
          </w:p>
        </w:tc>
        <w:tc>
          <w:tcPr>
            <w:tcW w:w="567" w:type="dxa"/>
            <w:shd w:val="clear" w:color="auto" w:fill="FFFFFF" w:themeFill="background1"/>
            <w:tcMar>
              <w:top w:w="0" w:type="dxa"/>
              <w:left w:w="10" w:type="dxa"/>
              <w:bottom w:w="0" w:type="dxa"/>
              <w:right w:w="10" w:type="dxa"/>
            </w:tcMar>
          </w:tcPr>
          <w:p w14:paraId="490B552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7</w:t>
            </w:r>
          </w:p>
        </w:tc>
        <w:tc>
          <w:tcPr>
            <w:tcW w:w="851" w:type="dxa"/>
            <w:shd w:val="clear" w:color="auto" w:fill="FFFFFF" w:themeFill="background1"/>
            <w:tcMar>
              <w:top w:w="0" w:type="dxa"/>
              <w:left w:w="108" w:type="dxa"/>
              <w:bottom w:w="0" w:type="dxa"/>
              <w:right w:w="108" w:type="dxa"/>
            </w:tcMar>
          </w:tcPr>
          <w:p w14:paraId="52CF2245" w14:textId="77777777" w:rsidR="00284822" w:rsidRDefault="00284822">
            <w:pPr>
              <w:spacing w:line="240" w:lineRule="auto"/>
              <w:jc w:val="left"/>
              <w:rPr>
                <w:rFonts w:ascii="Rockwell" w:hAnsi="Rockwell"/>
                <w:color w:val="000000"/>
                <w:sz w:val="18"/>
                <w:szCs w:val="18"/>
              </w:rPr>
            </w:pPr>
          </w:p>
        </w:tc>
      </w:tr>
      <w:tr w:rsidR="00284822" w14:paraId="4500268D" w14:textId="77777777">
        <w:trPr>
          <w:trHeight w:val="70"/>
          <w:jc w:val="center"/>
        </w:trPr>
        <w:tc>
          <w:tcPr>
            <w:tcW w:w="851" w:type="dxa"/>
            <w:shd w:val="clear" w:color="auto" w:fill="FFFFFF" w:themeFill="background1"/>
            <w:noWrap/>
            <w:tcMar>
              <w:top w:w="0" w:type="dxa"/>
              <w:left w:w="108" w:type="dxa"/>
              <w:bottom w:w="0" w:type="dxa"/>
              <w:right w:w="108" w:type="dxa"/>
            </w:tcMar>
          </w:tcPr>
          <w:p w14:paraId="32F35265"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44</w:t>
            </w:r>
          </w:p>
        </w:tc>
        <w:tc>
          <w:tcPr>
            <w:tcW w:w="1696" w:type="dxa"/>
            <w:shd w:val="clear" w:color="auto" w:fill="FFFFFF" w:themeFill="background1"/>
            <w:tcMar>
              <w:top w:w="0" w:type="dxa"/>
              <w:left w:w="108" w:type="dxa"/>
              <w:bottom w:w="0" w:type="dxa"/>
              <w:right w:w="108" w:type="dxa"/>
            </w:tcMar>
          </w:tcPr>
          <w:p w14:paraId="3BACAE67"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UPC</w:t>
            </w:r>
          </w:p>
        </w:tc>
        <w:tc>
          <w:tcPr>
            <w:tcW w:w="567" w:type="dxa"/>
            <w:shd w:val="clear" w:color="auto" w:fill="FFFFFF" w:themeFill="background1"/>
            <w:tcMar>
              <w:top w:w="0" w:type="dxa"/>
              <w:left w:w="108" w:type="dxa"/>
              <w:bottom w:w="0" w:type="dxa"/>
              <w:right w:w="108" w:type="dxa"/>
            </w:tcMar>
          </w:tcPr>
          <w:p w14:paraId="6AAB8AB8"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16</w:t>
            </w:r>
          </w:p>
        </w:tc>
        <w:tc>
          <w:tcPr>
            <w:tcW w:w="850" w:type="dxa"/>
            <w:shd w:val="clear" w:color="auto" w:fill="FFFFFF" w:themeFill="background1"/>
            <w:tcMar>
              <w:top w:w="0" w:type="dxa"/>
              <w:left w:w="108" w:type="dxa"/>
              <w:bottom w:w="0" w:type="dxa"/>
              <w:right w:w="108" w:type="dxa"/>
            </w:tcMar>
          </w:tcPr>
          <w:p w14:paraId="51F5A4D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10,19%</w:t>
            </w:r>
          </w:p>
        </w:tc>
        <w:tc>
          <w:tcPr>
            <w:tcW w:w="851" w:type="dxa"/>
            <w:shd w:val="clear" w:color="auto" w:fill="FFFFFF" w:themeFill="background1"/>
            <w:tcMar>
              <w:top w:w="0" w:type="dxa"/>
              <w:left w:w="108" w:type="dxa"/>
              <w:bottom w:w="0" w:type="dxa"/>
              <w:right w:w="108" w:type="dxa"/>
            </w:tcMar>
          </w:tcPr>
          <w:p w14:paraId="57C27AF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48</w:t>
            </w:r>
          </w:p>
        </w:tc>
        <w:tc>
          <w:tcPr>
            <w:tcW w:w="992" w:type="dxa"/>
            <w:shd w:val="clear" w:color="auto" w:fill="FFFFFF" w:themeFill="background1"/>
            <w:tcMar>
              <w:top w:w="0" w:type="dxa"/>
              <w:left w:w="108" w:type="dxa"/>
              <w:bottom w:w="0" w:type="dxa"/>
              <w:right w:w="108" w:type="dxa"/>
            </w:tcMar>
          </w:tcPr>
          <w:p w14:paraId="5AF436E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14,55%</w:t>
            </w:r>
          </w:p>
        </w:tc>
        <w:tc>
          <w:tcPr>
            <w:tcW w:w="709" w:type="dxa"/>
            <w:shd w:val="clear" w:color="auto" w:fill="FFFFFF" w:themeFill="background1"/>
            <w:tcMar>
              <w:top w:w="0" w:type="dxa"/>
              <w:left w:w="108" w:type="dxa"/>
              <w:bottom w:w="0" w:type="dxa"/>
              <w:right w:w="108" w:type="dxa"/>
            </w:tcMar>
          </w:tcPr>
          <w:p w14:paraId="65EB7909"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14</w:t>
            </w:r>
          </w:p>
        </w:tc>
        <w:tc>
          <w:tcPr>
            <w:tcW w:w="1134" w:type="dxa"/>
            <w:shd w:val="clear" w:color="auto" w:fill="FFFFFF" w:themeFill="background1"/>
            <w:tcMar>
              <w:top w:w="0" w:type="dxa"/>
              <w:left w:w="108" w:type="dxa"/>
              <w:bottom w:w="0" w:type="dxa"/>
              <w:right w:w="108" w:type="dxa"/>
            </w:tcMar>
          </w:tcPr>
          <w:p w14:paraId="158F39C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8,86%</w:t>
            </w:r>
          </w:p>
        </w:tc>
        <w:tc>
          <w:tcPr>
            <w:tcW w:w="709" w:type="dxa"/>
            <w:shd w:val="clear" w:color="auto" w:fill="FFFFFF" w:themeFill="background1"/>
            <w:tcMar>
              <w:top w:w="0" w:type="dxa"/>
              <w:left w:w="108" w:type="dxa"/>
              <w:bottom w:w="0" w:type="dxa"/>
              <w:right w:w="108" w:type="dxa"/>
            </w:tcMar>
          </w:tcPr>
          <w:p w14:paraId="32A8ED53"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17</w:t>
            </w:r>
          </w:p>
        </w:tc>
        <w:tc>
          <w:tcPr>
            <w:tcW w:w="992" w:type="dxa"/>
            <w:shd w:val="clear" w:color="auto" w:fill="FFFFFF" w:themeFill="background1"/>
            <w:tcMar>
              <w:top w:w="0" w:type="dxa"/>
              <w:left w:w="108" w:type="dxa"/>
              <w:bottom w:w="0" w:type="dxa"/>
              <w:right w:w="108" w:type="dxa"/>
            </w:tcMar>
          </w:tcPr>
          <w:p w14:paraId="15A5550F"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8,59%</w:t>
            </w:r>
          </w:p>
        </w:tc>
        <w:tc>
          <w:tcPr>
            <w:tcW w:w="850" w:type="dxa"/>
            <w:shd w:val="clear" w:color="auto" w:fill="FFFFFF" w:themeFill="background1"/>
            <w:tcMar>
              <w:top w:w="0" w:type="dxa"/>
              <w:left w:w="108" w:type="dxa"/>
              <w:bottom w:w="0" w:type="dxa"/>
              <w:right w:w="108" w:type="dxa"/>
            </w:tcMar>
          </w:tcPr>
          <w:p w14:paraId="02BCD40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12</w:t>
            </w:r>
          </w:p>
        </w:tc>
        <w:tc>
          <w:tcPr>
            <w:tcW w:w="993" w:type="dxa"/>
            <w:shd w:val="clear" w:color="auto" w:fill="FFFFFF" w:themeFill="background1"/>
            <w:tcMar>
              <w:top w:w="0" w:type="dxa"/>
              <w:left w:w="108" w:type="dxa"/>
              <w:bottom w:w="0" w:type="dxa"/>
              <w:right w:w="108" w:type="dxa"/>
            </w:tcMar>
          </w:tcPr>
          <w:p w14:paraId="211DDCA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10,62%</w:t>
            </w:r>
          </w:p>
        </w:tc>
        <w:tc>
          <w:tcPr>
            <w:tcW w:w="708" w:type="dxa"/>
            <w:shd w:val="clear" w:color="auto" w:fill="FFFFFF" w:themeFill="background1"/>
            <w:tcMar>
              <w:top w:w="0" w:type="dxa"/>
              <w:left w:w="108" w:type="dxa"/>
              <w:bottom w:w="0" w:type="dxa"/>
              <w:right w:w="108" w:type="dxa"/>
            </w:tcMar>
          </w:tcPr>
          <w:p w14:paraId="11A654DA"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13</w:t>
            </w:r>
          </w:p>
        </w:tc>
        <w:tc>
          <w:tcPr>
            <w:tcW w:w="993" w:type="dxa"/>
            <w:shd w:val="clear" w:color="auto" w:fill="FFFFFF" w:themeFill="background1"/>
            <w:tcMar>
              <w:top w:w="0" w:type="dxa"/>
              <w:left w:w="108" w:type="dxa"/>
              <w:bottom w:w="0" w:type="dxa"/>
              <w:right w:w="108" w:type="dxa"/>
            </w:tcMar>
          </w:tcPr>
          <w:p w14:paraId="3511EE7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7,34%</w:t>
            </w:r>
          </w:p>
        </w:tc>
        <w:tc>
          <w:tcPr>
            <w:tcW w:w="425" w:type="dxa"/>
            <w:shd w:val="clear" w:color="auto" w:fill="FFFFFF" w:themeFill="background1"/>
            <w:tcMar>
              <w:top w:w="0" w:type="dxa"/>
              <w:left w:w="108" w:type="dxa"/>
              <w:bottom w:w="0" w:type="dxa"/>
              <w:right w:w="108" w:type="dxa"/>
            </w:tcMar>
          </w:tcPr>
          <w:p w14:paraId="0BF4FDD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4</w:t>
            </w:r>
          </w:p>
        </w:tc>
        <w:tc>
          <w:tcPr>
            <w:tcW w:w="850" w:type="dxa"/>
            <w:shd w:val="clear" w:color="auto" w:fill="FFFFFF" w:themeFill="background1"/>
            <w:tcMar>
              <w:top w:w="0" w:type="dxa"/>
              <w:left w:w="108" w:type="dxa"/>
              <w:bottom w:w="0" w:type="dxa"/>
              <w:right w:w="108" w:type="dxa"/>
            </w:tcMar>
          </w:tcPr>
          <w:p w14:paraId="50BB72C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8,16%</w:t>
            </w:r>
          </w:p>
        </w:tc>
        <w:tc>
          <w:tcPr>
            <w:tcW w:w="567" w:type="dxa"/>
            <w:shd w:val="clear" w:color="auto" w:fill="FFFFFF" w:themeFill="background1"/>
            <w:tcMar>
              <w:top w:w="0" w:type="dxa"/>
              <w:left w:w="10" w:type="dxa"/>
              <w:bottom w:w="0" w:type="dxa"/>
              <w:right w:w="10" w:type="dxa"/>
            </w:tcMar>
          </w:tcPr>
          <w:p w14:paraId="422E38C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4</w:t>
            </w:r>
          </w:p>
        </w:tc>
        <w:tc>
          <w:tcPr>
            <w:tcW w:w="851" w:type="dxa"/>
            <w:shd w:val="clear" w:color="auto" w:fill="FFFFFF" w:themeFill="background1"/>
            <w:tcMar>
              <w:top w:w="0" w:type="dxa"/>
              <w:left w:w="108" w:type="dxa"/>
              <w:bottom w:w="0" w:type="dxa"/>
              <w:right w:w="108" w:type="dxa"/>
            </w:tcMar>
          </w:tcPr>
          <w:p w14:paraId="0245A60E" w14:textId="77777777" w:rsidR="00284822" w:rsidRDefault="00284822">
            <w:pPr>
              <w:spacing w:line="240" w:lineRule="auto"/>
              <w:jc w:val="left"/>
              <w:rPr>
                <w:rFonts w:ascii="Rockwell" w:hAnsi="Rockwell"/>
                <w:color w:val="000000"/>
                <w:sz w:val="18"/>
                <w:szCs w:val="18"/>
              </w:rPr>
            </w:pPr>
          </w:p>
        </w:tc>
      </w:tr>
      <w:tr w:rsidR="00284822" w14:paraId="3AFEF48B" w14:textId="77777777">
        <w:trPr>
          <w:trHeight w:val="70"/>
          <w:jc w:val="center"/>
        </w:trPr>
        <w:tc>
          <w:tcPr>
            <w:tcW w:w="851" w:type="dxa"/>
            <w:shd w:val="clear" w:color="auto" w:fill="FFFFFF" w:themeFill="background1"/>
            <w:noWrap/>
            <w:tcMar>
              <w:top w:w="0" w:type="dxa"/>
              <w:left w:w="108" w:type="dxa"/>
              <w:bottom w:w="0" w:type="dxa"/>
              <w:right w:w="108" w:type="dxa"/>
            </w:tcMar>
          </w:tcPr>
          <w:p w14:paraId="31D3C34C" w14:textId="77777777" w:rsidR="00284822" w:rsidRDefault="00F77BF8">
            <w:pPr>
              <w:spacing w:line="240" w:lineRule="auto"/>
              <w:jc w:val="left"/>
              <w:rPr>
                <w:rFonts w:ascii="Rockwell" w:hAnsi="Rockwell"/>
                <w:bCs/>
                <w:color w:val="000000"/>
                <w:sz w:val="18"/>
                <w:szCs w:val="18"/>
              </w:rPr>
            </w:pPr>
            <w:r>
              <w:rPr>
                <w:rFonts w:ascii="Rockwell" w:hAnsi="Rockwell"/>
                <w:bCs/>
                <w:color w:val="000000"/>
                <w:sz w:val="18"/>
                <w:szCs w:val="18"/>
              </w:rPr>
              <w:t>45</w:t>
            </w:r>
          </w:p>
        </w:tc>
        <w:tc>
          <w:tcPr>
            <w:tcW w:w="1696" w:type="dxa"/>
            <w:shd w:val="clear" w:color="auto" w:fill="FFFFFF" w:themeFill="background1"/>
            <w:tcMar>
              <w:top w:w="0" w:type="dxa"/>
              <w:left w:w="108" w:type="dxa"/>
              <w:bottom w:w="0" w:type="dxa"/>
              <w:right w:w="108" w:type="dxa"/>
            </w:tcMar>
          </w:tcPr>
          <w:p w14:paraId="23F7FD73"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VB</w:t>
            </w:r>
          </w:p>
        </w:tc>
        <w:tc>
          <w:tcPr>
            <w:tcW w:w="567" w:type="dxa"/>
            <w:shd w:val="clear" w:color="auto" w:fill="FFFFFF" w:themeFill="background1"/>
            <w:tcMar>
              <w:top w:w="0" w:type="dxa"/>
              <w:left w:w="108" w:type="dxa"/>
              <w:bottom w:w="0" w:type="dxa"/>
              <w:right w:w="108" w:type="dxa"/>
            </w:tcMar>
          </w:tcPr>
          <w:p w14:paraId="7BC2D92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w:t>
            </w:r>
          </w:p>
        </w:tc>
        <w:tc>
          <w:tcPr>
            <w:tcW w:w="850" w:type="dxa"/>
            <w:shd w:val="clear" w:color="auto" w:fill="FFFFFF" w:themeFill="background1"/>
            <w:tcMar>
              <w:top w:w="0" w:type="dxa"/>
              <w:left w:w="108" w:type="dxa"/>
              <w:bottom w:w="0" w:type="dxa"/>
              <w:right w:w="108" w:type="dxa"/>
            </w:tcMar>
          </w:tcPr>
          <w:p w14:paraId="7D1185BB"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1,91%</w:t>
            </w:r>
          </w:p>
        </w:tc>
        <w:tc>
          <w:tcPr>
            <w:tcW w:w="851" w:type="dxa"/>
            <w:shd w:val="clear" w:color="auto" w:fill="FFFFFF" w:themeFill="background1"/>
            <w:tcMar>
              <w:top w:w="0" w:type="dxa"/>
              <w:left w:w="108" w:type="dxa"/>
              <w:bottom w:w="0" w:type="dxa"/>
              <w:right w:w="108" w:type="dxa"/>
            </w:tcMar>
          </w:tcPr>
          <w:p w14:paraId="24444BC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3</w:t>
            </w:r>
          </w:p>
        </w:tc>
        <w:tc>
          <w:tcPr>
            <w:tcW w:w="992" w:type="dxa"/>
            <w:shd w:val="clear" w:color="auto" w:fill="FFFFFF" w:themeFill="background1"/>
            <w:tcMar>
              <w:top w:w="0" w:type="dxa"/>
              <w:left w:w="108" w:type="dxa"/>
              <w:bottom w:w="0" w:type="dxa"/>
              <w:right w:w="108" w:type="dxa"/>
            </w:tcMar>
          </w:tcPr>
          <w:p w14:paraId="6B1ABF1E"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0,91%</w:t>
            </w:r>
          </w:p>
        </w:tc>
        <w:tc>
          <w:tcPr>
            <w:tcW w:w="709" w:type="dxa"/>
            <w:shd w:val="clear" w:color="auto" w:fill="FFFFFF" w:themeFill="background1"/>
            <w:tcMar>
              <w:top w:w="0" w:type="dxa"/>
              <w:left w:w="108" w:type="dxa"/>
              <w:bottom w:w="0" w:type="dxa"/>
              <w:right w:w="108" w:type="dxa"/>
            </w:tcMar>
          </w:tcPr>
          <w:p w14:paraId="7C22CED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1134" w:type="dxa"/>
            <w:shd w:val="clear" w:color="auto" w:fill="FFFFFF" w:themeFill="background1"/>
            <w:tcMar>
              <w:top w:w="0" w:type="dxa"/>
              <w:left w:w="108" w:type="dxa"/>
              <w:bottom w:w="0" w:type="dxa"/>
              <w:right w:w="108" w:type="dxa"/>
            </w:tcMar>
          </w:tcPr>
          <w:p w14:paraId="5E661281"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0,63%</w:t>
            </w:r>
          </w:p>
        </w:tc>
        <w:tc>
          <w:tcPr>
            <w:tcW w:w="709" w:type="dxa"/>
            <w:shd w:val="clear" w:color="auto" w:fill="FFFFFF" w:themeFill="background1"/>
            <w:tcMar>
              <w:top w:w="0" w:type="dxa"/>
              <w:left w:w="108" w:type="dxa"/>
              <w:bottom w:w="0" w:type="dxa"/>
              <w:right w:w="108" w:type="dxa"/>
            </w:tcMar>
          </w:tcPr>
          <w:p w14:paraId="0CE0B73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1</w:t>
            </w:r>
          </w:p>
        </w:tc>
        <w:tc>
          <w:tcPr>
            <w:tcW w:w="992" w:type="dxa"/>
            <w:shd w:val="clear" w:color="auto" w:fill="FFFFFF" w:themeFill="background1"/>
            <w:tcMar>
              <w:top w:w="0" w:type="dxa"/>
              <w:left w:w="108" w:type="dxa"/>
              <w:bottom w:w="0" w:type="dxa"/>
              <w:right w:w="108" w:type="dxa"/>
            </w:tcMar>
          </w:tcPr>
          <w:p w14:paraId="23E125A7"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0,51%</w:t>
            </w:r>
          </w:p>
        </w:tc>
        <w:tc>
          <w:tcPr>
            <w:tcW w:w="850" w:type="dxa"/>
            <w:shd w:val="clear" w:color="auto" w:fill="FFFFFF" w:themeFill="background1"/>
            <w:tcMar>
              <w:top w:w="0" w:type="dxa"/>
              <w:left w:w="108" w:type="dxa"/>
              <w:bottom w:w="0" w:type="dxa"/>
              <w:right w:w="108" w:type="dxa"/>
            </w:tcMar>
          </w:tcPr>
          <w:p w14:paraId="0F6E306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11433310"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708" w:type="dxa"/>
            <w:shd w:val="clear" w:color="auto" w:fill="FFFFFF" w:themeFill="background1"/>
            <w:tcMar>
              <w:top w:w="0" w:type="dxa"/>
              <w:left w:w="108" w:type="dxa"/>
              <w:bottom w:w="0" w:type="dxa"/>
              <w:right w:w="108" w:type="dxa"/>
            </w:tcMar>
          </w:tcPr>
          <w:p w14:paraId="5A0AB245"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993" w:type="dxa"/>
            <w:shd w:val="clear" w:color="auto" w:fill="FFFFFF" w:themeFill="background1"/>
            <w:tcMar>
              <w:top w:w="0" w:type="dxa"/>
              <w:left w:w="108" w:type="dxa"/>
              <w:bottom w:w="0" w:type="dxa"/>
              <w:right w:w="108" w:type="dxa"/>
            </w:tcMar>
          </w:tcPr>
          <w:p w14:paraId="6765E984"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425" w:type="dxa"/>
            <w:shd w:val="clear" w:color="auto" w:fill="FFFFFF" w:themeFill="background1"/>
            <w:tcMar>
              <w:top w:w="0" w:type="dxa"/>
              <w:left w:w="108" w:type="dxa"/>
              <w:bottom w:w="0" w:type="dxa"/>
              <w:right w:w="108" w:type="dxa"/>
            </w:tcMar>
          </w:tcPr>
          <w:p w14:paraId="4BBC4EB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0" w:type="dxa"/>
            <w:shd w:val="clear" w:color="auto" w:fill="FFFFFF" w:themeFill="background1"/>
            <w:tcMar>
              <w:top w:w="0" w:type="dxa"/>
              <w:left w:w="108" w:type="dxa"/>
              <w:bottom w:w="0" w:type="dxa"/>
              <w:right w:w="108" w:type="dxa"/>
            </w:tcMar>
          </w:tcPr>
          <w:p w14:paraId="12255DB6"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0,00%</w:t>
            </w:r>
          </w:p>
        </w:tc>
        <w:tc>
          <w:tcPr>
            <w:tcW w:w="567" w:type="dxa"/>
            <w:shd w:val="clear" w:color="auto" w:fill="FFFFFF" w:themeFill="background1"/>
            <w:tcMar>
              <w:top w:w="0" w:type="dxa"/>
              <w:left w:w="10" w:type="dxa"/>
              <w:bottom w:w="0" w:type="dxa"/>
              <w:right w:w="10" w:type="dxa"/>
            </w:tcMar>
          </w:tcPr>
          <w:p w14:paraId="3E88D9AC" w14:textId="77777777" w:rsidR="00284822" w:rsidRDefault="00F77BF8">
            <w:pPr>
              <w:spacing w:line="240" w:lineRule="auto"/>
              <w:jc w:val="left"/>
              <w:rPr>
                <w:rFonts w:ascii="Rockwell" w:hAnsi="Rockwell"/>
                <w:color w:val="000000"/>
                <w:sz w:val="18"/>
                <w:szCs w:val="18"/>
              </w:rPr>
            </w:pPr>
            <w:r>
              <w:rPr>
                <w:rFonts w:ascii="Rockwell" w:hAnsi="Rockwell"/>
                <w:color w:val="000000"/>
                <w:sz w:val="18"/>
                <w:szCs w:val="18"/>
              </w:rPr>
              <w:t>0</w:t>
            </w:r>
          </w:p>
        </w:tc>
        <w:tc>
          <w:tcPr>
            <w:tcW w:w="851" w:type="dxa"/>
            <w:shd w:val="clear" w:color="auto" w:fill="FFFFFF" w:themeFill="background1"/>
            <w:tcMar>
              <w:top w:w="0" w:type="dxa"/>
              <w:left w:w="108" w:type="dxa"/>
              <w:bottom w:w="0" w:type="dxa"/>
              <w:right w:w="108" w:type="dxa"/>
            </w:tcMar>
          </w:tcPr>
          <w:p w14:paraId="23136B0F" w14:textId="77777777" w:rsidR="00284822" w:rsidRDefault="00284822">
            <w:pPr>
              <w:spacing w:line="240" w:lineRule="auto"/>
              <w:jc w:val="left"/>
              <w:rPr>
                <w:rFonts w:ascii="Rockwell" w:hAnsi="Rockwell"/>
                <w:color w:val="000000"/>
                <w:sz w:val="18"/>
                <w:szCs w:val="18"/>
              </w:rPr>
            </w:pPr>
          </w:p>
        </w:tc>
      </w:tr>
      <w:tr w:rsidR="00284822" w14:paraId="44174B62" w14:textId="77777777">
        <w:trPr>
          <w:trHeight w:val="70"/>
          <w:jc w:val="center"/>
        </w:trPr>
        <w:tc>
          <w:tcPr>
            <w:tcW w:w="2547" w:type="dxa"/>
            <w:gridSpan w:val="2"/>
            <w:shd w:val="clear" w:color="auto" w:fill="FFFFFF" w:themeFill="background1"/>
            <w:noWrap/>
            <w:tcMar>
              <w:top w:w="0" w:type="dxa"/>
              <w:left w:w="108" w:type="dxa"/>
              <w:bottom w:w="0" w:type="dxa"/>
              <w:right w:w="108" w:type="dxa"/>
            </w:tcMar>
          </w:tcPr>
          <w:p w14:paraId="61F84705" w14:textId="77777777" w:rsidR="00284822" w:rsidRDefault="00F77BF8">
            <w:pPr>
              <w:spacing w:line="240" w:lineRule="auto"/>
              <w:jc w:val="left"/>
              <w:rPr>
                <w:rFonts w:ascii="Rockwell" w:hAnsi="Rockwell"/>
                <w:b/>
                <w:bCs/>
                <w:color w:val="000000"/>
                <w:sz w:val="18"/>
                <w:szCs w:val="18"/>
              </w:rPr>
            </w:pPr>
            <w:r>
              <w:rPr>
                <w:rFonts w:ascii="Rockwell" w:hAnsi="Rockwell"/>
                <w:b/>
                <w:bCs/>
                <w:color w:val="000000"/>
                <w:sz w:val="18"/>
                <w:szCs w:val="18"/>
              </w:rPr>
              <w:t>TOTAL</w:t>
            </w:r>
          </w:p>
        </w:tc>
        <w:tc>
          <w:tcPr>
            <w:tcW w:w="567" w:type="dxa"/>
            <w:shd w:val="clear" w:color="auto" w:fill="FFFFFF" w:themeFill="background1"/>
            <w:tcMar>
              <w:top w:w="0" w:type="dxa"/>
              <w:left w:w="108" w:type="dxa"/>
              <w:bottom w:w="0" w:type="dxa"/>
              <w:right w:w="108" w:type="dxa"/>
            </w:tcMar>
          </w:tcPr>
          <w:p w14:paraId="0CC97272"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157</w:t>
            </w:r>
          </w:p>
        </w:tc>
        <w:tc>
          <w:tcPr>
            <w:tcW w:w="850" w:type="dxa"/>
            <w:shd w:val="clear" w:color="auto" w:fill="FFFFFF" w:themeFill="background1"/>
            <w:tcMar>
              <w:top w:w="0" w:type="dxa"/>
              <w:left w:w="108" w:type="dxa"/>
              <w:bottom w:w="0" w:type="dxa"/>
              <w:right w:w="108" w:type="dxa"/>
            </w:tcMar>
          </w:tcPr>
          <w:p w14:paraId="27383AE9"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100,00%</w:t>
            </w:r>
          </w:p>
        </w:tc>
        <w:tc>
          <w:tcPr>
            <w:tcW w:w="851" w:type="dxa"/>
            <w:shd w:val="clear" w:color="auto" w:fill="FFFFFF" w:themeFill="background1"/>
            <w:tcMar>
              <w:top w:w="0" w:type="dxa"/>
              <w:left w:w="108" w:type="dxa"/>
              <w:bottom w:w="0" w:type="dxa"/>
              <w:right w:w="108" w:type="dxa"/>
            </w:tcMar>
          </w:tcPr>
          <w:p w14:paraId="3338B8AA"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330</w:t>
            </w:r>
          </w:p>
        </w:tc>
        <w:tc>
          <w:tcPr>
            <w:tcW w:w="992" w:type="dxa"/>
            <w:shd w:val="clear" w:color="auto" w:fill="FFFFFF" w:themeFill="background1"/>
            <w:tcMar>
              <w:top w:w="0" w:type="dxa"/>
              <w:left w:w="108" w:type="dxa"/>
              <w:bottom w:w="0" w:type="dxa"/>
              <w:right w:w="108" w:type="dxa"/>
            </w:tcMar>
          </w:tcPr>
          <w:p w14:paraId="22111831"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100,00%</w:t>
            </w:r>
          </w:p>
        </w:tc>
        <w:tc>
          <w:tcPr>
            <w:tcW w:w="709" w:type="dxa"/>
            <w:shd w:val="clear" w:color="auto" w:fill="FFFFFF" w:themeFill="background1"/>
            <w:tcMar>
              <w:top w:w="0" w:type="dxa"/>
              <w:left w:w="108" w:type="dxa"/>
              <w:bottom w:w="0" w:type="dxa"/>
              <w:right w:w="108" w:type="dxa"/>
            </w:tcMar>
          </w:tcPr>
          <w:p w14:paraId="04D9DFC1"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158</w:t>
            </w:r>
          </w:p>
        </w:tc>
        <w:tc>
          <w:tcPr>
            <w:tcW w:w="1134" w:type="dxa"/>
            <w:shd w:val="clear" w:color="auto" w:fill="FFFFFF" w:themeFill="background1"/>
            <w:tcMar>
              <w:top w:w="0" w:type="dxa"/>
              <w:left w:w="108" w:type="dxa"/>
              <w:bottom w:w="0" w:type="dxa"/>
              <w:right w:w="108" w:type="dxa"/>
            </w:tcMar>
          </w:tcPr>
          <w:p w14:paraId="35699B52"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100,00%</w:t>
            </w:r>
          </w:p>
        </w:tc>
        <w:tc>
          <w:tcPr>
            <w:tcW w:w="709" w:type="dxa"/>
            <w:shd w:val="clear" w:color="auto" w:fill="FFFFFF" w:themeFill="background1"/>
            <w:tcMar>
              <w:top w:w="0" w:type="dxa"/>
              <w:left w:w="108" w:type="dxa"/>
              <w:bottom w:w="0" w:type="dxa"/>
              <w:right w:w="108" w:type="dxa"/>
            </w:tcMar>
          </w:tcPr>
          <w:p w14:paraId="2F787913"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198</w:t>
            </w:r>
          </w:p>
        </w:tc>
        <w:tc>
          <w:tcPr>
            <w:tcW w:w="992" w:type="dxa"/>
            <w:shd w:val="clear" w:color="auto" w:fill="FFFFFF" w:themeFill="background1"/>
            <w:tcMar>
              <w:top w:w="0" w:type="dxa"/>
              <w:left w:w="108" w:type="dxa"/>
              <w:bottom w:w="0" w:type="dxa"/>
              <w:right w:w="108" w:type="dxa"/>
            </w:tcMar>
          </w:tcPr>
          <w:p w14:paraId="3BC9910A"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100,00%</w:t>
            </w:r>
          </w:p>
        </w:tc>
        <w:tc>
          <w:tcPr>
            <w:tcW w:w="850" w:type="dxa"/>
            <w:shd w:val="clear" w:color="auto" w:fill="FFFFFF" w:themeFill="background1"/>
            <w:tcMar>
              <w:top w:w="0" w:type="dxa"/>
              <w:left w:w="108" w:type="dxa"/>
              <w:bottom w:w="0" w:type="dxa"/>
              <w:right w:w="108" w:type="dxa"/>
            </w:tcMar>
          </w:tcPr>
          <w:p w14:paraId="3ECDFCE2"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113</w:t>
            </w:r>
          </w:p>
        </w:tc>
        <w:tc>
          <w:tcPr>
            <w:tcW w:w="993" w:type="dxa"/>
            <w:shd w:val="clear" w:color="auto" w:fill="FFFFFF" w:themeFill="background1"/>
            <w:tcMar>
              <w:top w:w="0" w:type="dxa"/>
              <w:left w:w="108" w:type="dxa"/>
              <w:bottom w:w="0" w:type="dxa"/>
              <w:right w:w="108" w:type="dxa"/>
            </w:tcMar>
          </w:tcPr>
          <w:p w14:paraId="7F6B322E"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100,00%</w:t>
            </w:r>
          </w:p>
        </w:tc>
        <w:tc>
          <w:tcPr>
            <w:tcW w:w="708" w:type="dxa"/>
            <w:shd w:val="clear" w:color="auto" w:fill="FFFFFF" w:themeFill="background1"/>
            <w:tcMar>
              <w:top w:w="0" w:type="dxa"/>
              <w:left w:w="108" w:type="dxa"/>
              <w:bottom w:w="0" w:type="dxa"/>
              <w:right w:w="108" w:type="dxa"/>
            </w:tcMar>
          </w:tcPr>
          <w:p w14:paraId="4E7104DF"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177</w:t>
            </w:r>
          </w:p>
        </w:tc>
        <w:tc>
          <w:tcPr>
            <w:tcW w:w="993" w:type="dxa"/>
            <w:shd w:val="clear" w:color="auto" w:fill="FFFFFF" w:themeFill="background1"/>
            <w:tcMar>
              <w:top w:w="0" w:type="dxa"/>
              <w:left w:w="108" w:type="dxa"/>
              <w:bottom w:w="0" w:type="dxa"/>
              <w:right w:w="108" w:type="dxa"/>
            </w:tcMar>
          </w:tcPr>
          <w:p w14:paraId="60D4CA15"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100,00%</w:t>
            </w:r>
          </w:p>
        </w:tc>
        <w:tc>
          <w:tcPr>
            <w:tcW w:w="425" w:type="dxa"/>
            <w:shd w:val="clear" w:color="auto" w:fill="FFFFFF" w:themeFill="background1"/>
            <w:tcMar>
              <w:top w:w="0" w:type="dxa"/>
              <w:left w:w="108" w:type="dxa"/>
              <w:bottom w:w="0" w:type="dxa"/>
              <w:right w:w="108" w:type="dxa"/>
            </w:tcMar>
          </w:tcPr>
          <w:p w14:paraId="5E59771F"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49</w:t>
            </w:r>
          </w:p>
        </w:tc>
        <w:tc>
          <w:tcPr>
            <w:tcW w:w="850" w:type="dxa"/>
            <w:shd w:val="clear" w:color="auto" w:fill="FFFFFF" w:themeFill="background1"/>
            <w:tcMar>
              <w:top w:w="0" w:type="dxa"/>
              <w:left w:w="108" w:type="dxa"/>
              <w:bottom w:w="0" w:type="dxa"/>
              <w:right w:w="108" w:type="dxa"/>
            </w:tcMar>
          </w:tcPr>
          <w:p w14:paraId="293BC4E4"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100,00%</w:t>
            </w:r>
          </w:p>
        </w:tc>
        <w:tc>
          <w:tcPr>
            <w:tcW w:w="567" w:type="dxa"/>
            <w:shd w:val="clear" w:color="auto" w:fill="FFFFFF" w:themeFill="background1"/>
            <w:tcMar>
              <w:top w:w="0" w:type="dxa"/>
              <w:left w:w="10" w:type="dxa"/>
              <w:bottom w:w="0" w:type="dxa"/>
              <w:right w:w="10" w:type="dxa"/>
            </w:tcMar>
          </w:tcPr>
          <w:p w14:paraId="74FD367E" w14:textId="77777777" w:rsidR="00284822" w:rsidRDefault="00F77BF8">
            <w:pPr>
              <w:spacing w:line="240" w:lineRule="auto"/>
              <w:jc w:val="left"/>
              <w:rPr>
                <w:rFonts w:ascii="Rockwell" w:hAnsi="Rockwell"/>
                <w:b/>
                <w:color w:val="000000"/>
                <w:sz w:val="18"/>
                <w:szCs w:val="18"/>
              </w:rPr>
            </w:pPr>
            <w:r>
              <w:rPr>
                <w:rFonts w:ascii="Rockwell" w:hAnsi="Rockwell"/>
                <w:b/>
                <w:color w:val="000000"/>
                <w:sz w:val="18"/>
                <w:szCs w:val="18"/>
              </w:rPr>
              <w:t>71</w:t>
            </w:r>
          </w:p>
        </w:tc>
        <w:tc>
          <w:tcPr>
            <w:tcW w:w="851" w:type="dxa"/>
            <w:shd w:val="clear" w:color="auto" w:fill="FFFFFF" w:themeFill="background1"/>
            <w:tcMar>
              <w:top w:w="0" w:type="dxa"/>
              <w:left w:w="108" w:type="dxa"/>
              <w:bottom w:w="0" w:type="dxa"/>
              <w:right w:w="108" w:type="dxa"/>
            </w:tcMar>
          </w:tcPr>
          <w:p w14:paraId="31206D8B" w14:textId="77777777" w:rsidR="00284822" w:rsidRDefault="00284822">
            <w:pPr>
              <w:spacing w:line="240" w:lineRule="auto"/>
              <w:jc w:val="left"/>
              <w:rPr>
                <w:rFonts w:ascii="Rockwell" w:hAnsi="Rockwell"/>
                <w:b/>
                <w:color w:val="000000"/>
                <w:sz w:val="18"/>
                <w:szCs w:val="18"/>
              </w:rPr>
            </w:pPr>
          </w:p>
        </w:tc>
      </w:tr>
    </w:tbl>
    <w:p w14:paraId="77110A30" w14:textId="77777777" w:rsidR="00284822" w:rsidRDefault="00284822">
      <w:pPr>
        <w:tabs>
          <w:tab w:val="left" w:pos="2265"/>
        </w:tabs>
        <w:spacing w:before="120" w:after="120"/>
        <w:ind w:left="360"/>
        <w:rPr>
          <w:rFonts w:ascii="Rockwell" w:hAnsi="Rockwell"/>
          <w:szCs w:val="26"/>
        </w:rPr>
        <w:sectPr w:rsidR="00284822">
          <w:headerReference w:type="default" r:id="rId305"/>
          <w:footerReference w:type="default" r:id="rId306"/>
          <w:pgSz w:w="16838" w:h="11906" w:orient="landscape"/>
          <w:pgMar w:top="1418" w:right="1418" w:bottom="1418" w:left="1418" w:header="720" w:footer="720" w:gutter="0"/>
          <w:cols w:space="720"/>
        </w:sectPr>
      </w:pPr>
    </w:p>
    <w:tbl>
      <w:tblPr>
        <w:tblW w:w="16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10" w:type="dxa"/>
          <w:right w:w="10" w:type="dxa"/>
        </w:tblCellMar>
        <w:tblLook w:val="04A0" w:firstRow="1" w:lastRow="0" w:firstColumn="1" w:lastColumn="0" w:noHBand="0" w:noVBand="1"/>
      </w:tblPr>
      <w:tblGrid>
        <w:gridCol w:w="849"/>
        <w:gridCol w:w="1918"/>
        <w:gridCol w:w="594"/>
        <w:gridCol w:w="1124"/>
        <w:gridCol w:w="506"/>
        <w:gridCol w:w="1129"/>
        <w:gridCol w:w="595"/>
        <w:gridCol w:w="1125"/>
        <w:gridCol w:w="506"/>
        <w:gridCol w:w="1129"/>
        <w:gridCol w:w="595"/>
        <w:gridCol w:w="1125"/>
        <w:gridCol w:w="506"/>
        <w:gridCol w:w="1125"/>
        <w:gridCol w:w="7"/>
        <w:gridCol w:w="591"/>
        <w:gridCol w:w="1125"/>
        <w:gridCol w:w="506"/>
        <w:gridCol w:w="1125"/>
        <w:gridCol w:w="16"/>
      </w:tblGrid>
      <w:tr w:rsidR="00284822" w14:paraId="3F5DAA98" w14:textId="77777777">
        <w:trPr>
          <w:trHeight w:val="410"/>
          <w:jc w:val="center"/>
        </w:trPr>
        <w:tc>
          <w:tcPr>
            <w:tcW w:w="849" w:type="dxa"/>
            <w:vMerge w:val="restart"/>
            <w:shd w:val="clear" w:color="auto" w:fill="9CC2E5" w:themeFill="accent1" w:themeFillTint="99"/>
            <w:noWrap/>
            <w:tcMar>
              <w:top w:w="0" w:type="dxa"/>
              <w:left w:w="108" w:type="dxa"/>
              <w:bottom w:w="0" w:type="dxa"/>
              <w:right w:w="108" w:type="dxa"/>
            </w:tcMar>
          </w:tcPr>
          <w:p w14:paraId="25CA637F" w14:textId="77777777" w:rsidR="00284822" w:rsidRDefault="00F77BF8">
            <w:pPr>
              <w:spacing w:line="240" w:lineRule="auto"/>
              <w:jc w:val="center"/>
              <w:rPr>
                <w:rFonts w:ascii="Rockwell" w:hAnsi="Rockwell"/>
                <w:sz w:val="20"/>
                <w:szCs w:val="20"/>
              </w:rPr>
            </w:pPr>
            <w:r>
              <w:rPr>
                <w:rFonts w:ascii="Rockwell" w:hAnsi="Rockwell"/>
                <w:b/>
                <w:bCs/>
                <w:sz w:val="20"/>
                <w:szCs w:val="20"/>
              </w:rPr>
              <w:lastRenderedPageBreak/>
              <w:t>NRO</w:t>
            </w:r>
          </w:p>
        </w:tc>
        <w:tc>
          <w:tcPr>
            <w:tcW w:w="1920" w:type="dxa"/>
            <w:vMerge w:val="restart"/>
            <w:shd w:val="clear" w:color="auto" w:fill="9CC2E5" w:themeFill="accent1" w:themeFillTint="99"/>
            <w:tcMar>
              <w:top w:w="0" w:type="dxa"/>
              <w:left w:w="108" w:type="dxa"/>
              <w:bottom w:w="0" w:type="dxa"/>
              <w:right w:w="108" w:type="dxa"/>
            </w:tcMar>
          </w:tcPr>
          <w:p w14:paraId="6057BB3A" w14:textId="77777777" w:rsidR="00284822" w:rsidRDefault="00F77BF8">
            <w:pPr>
              <w:spacing w:line="240" w:lineRule="auto"/>
              <w:jc w:val="center"/>
              <w:rPr>
                <w:rFonts w:ascii="Rockwell" w:hAnsi="Rockwell"/>
                <w:sz w:val="20"/>
                <w:szCs w:val="20"/>
              </w:rPr>
            </w:pPr>
            <w:r>
              <w:rPr>
                <w:rFonts w:ascii="Rockwell" w:hAnsi="Rockwell"/>
                <w:b/>
                <w:bCs/>
                <w:color w:val="000000"/>
                <w:sz w:val="20"/>
                <w:szCs w:val="20"/>
              </w:rPr>
              <w:t>ACTEURS POLITIQUES</w:t>
            </w:r>
          </w:p>
        </w:tc>
        <w:tc>
          <w:tcPr>
            <w:tcW w:w="3355" w:type="dxa"/>
            <w:gridSpan w:val="4"/>
            <w:shd w:val="clear" w:color="auto" w:fill="9CC2E5" w:themeFill="accent1" w:themeFillTint="99"/>
            <w:tcMar>
              <w:top w:w="0" w:type="dxa"/>
              <w:left w:w="108" w:type="dxa"/>
              <w:bottom w:w="0" w:type="dxa"/>
              <w:right w:w="108" w:type="dxa"/>
            </w:tcMar>
          </w:tcPr>
          <w:p w14:paraId="20B693D6" w14:textId="77777777" w:rsidR="00284822" w:rsidRDefault="00F77BF8">
            <w:pPr>
              <w:spacing w:line="240" w:lineRule="auto"/>
              <w:jc w:val="center"/>
              <w:rPr>
                <w:rFonts w:ascii="Rockwell" w:hAnsi="Rockwell"/>
                <w:b/>
                <w:bCs/>
                <w:sz w:val="20"/>
                <w:szCs w:val="20"/>
              </w:rPr>
            </w:pPr>
            <w:r>
              <w:rPr>
                <w:rFonts w:ascii="Rockwell" w:hAnsi="Rockwell"/>
                <w:b/>
                <w:bCs/>
                <w:sz w:val="20"/>
                <w:szCs w:val="20"/>
              </w:rPr>
              <w:t>infoh24.info</w:t>
            </w:r>
          </w:p>
        </w:tc>
        <w:tc>
          <w:tcPr>
            <w:tcW w:w="3355" w:type="dxa"/>
            <w:gridSpan w:val="4"/>
            <w:shd w:val="clear" w:color="auto" w:fill="9CC2E5" w:themeFill="accent1" w:themeFillTint="99"/>
            <w:tcMar>
              <w:top w:w="0" w:type="dxa"/>
              <w:left w:w="108" w:type="dxa"/>
              <w:bottom w:w="0" w:type="dxa"/>
              <w:right w:w="108" w:type="dxa"/>
            </w:tcMar>
          </w:tcPr>
          <w:p w14:paraId="17524493" w14:textId="77777777" w:rsidR="00284822" w:rsidRDefault="00F77BF8">
            <w:pPr>
              <w:spacing w:line="240" w:lineRule="auto"/>
              <w:jc w:val="center"/>
              <w:rPr>
                <w:rFonts w:ascii="Rockwell" w:hAnsi="Rockwell"/>
                <w:b/>
                <w:bCs/>
                <w:sz w:val="20"/>
                <w:szCs w:val="20"/>
              </w:rPr>
            </w:pPr>
            <w:r>
              <w:rPr>
                <w:rFonts w:ascii="Rockwell" w:hAnsi="Rockwell"/>
                <w:b/>
                <w:bCs/>
                <w:sz w:val="20"/>
                <w:szCs w:val="20"/>
              </w:rPr>
              <w:t>infowakat.net</w:t>
            </w:r>
          </w:p>
        </w:tc>
        <w:tc>
          <w:tcPr>
            <w:tcW w:w="3358" w:type="dxa"/>
            <w:gridSpan w:val="5"/>
            <w:shd w:val="clear" w:color="auto" w:fill="9CC2E5" w:themeFill="accent1" w:themeFillTint="99"/>
            <w:tcMar>
              <w:top w:w="0" w:type="dxa"/>
              <w:left w:w="108" w:type="dxa"/>
              <w:bottom w:w="0" w:type="dxa"/>
              <w:right w:w="108" w:type="dxa"/>
            </w:tcMar>
          </w:tcPr>
          <w:p w14:paraId="4A1D67FC" w14:textId="77777777" w:rsidR="00284822" w:rsidRDefault="00F77BF8">
            <w:pPr>
              <w:spacing w:line="240" w:lineRule="auto"/>
              <w:jc w:val="center"/>
              <w:rPr>
                <w:rFonts w:ascii="Rockwell" w:hAnsi="Rockwell"/>
                <w:b/>
                <w:bCs/>
                <w:sz w:val="20"/>
                <w:szCs w:val="20"/>
              </w:rPr>
            </w:pPr>
            <w:r>
              <w:rPr>
                <w:rFonts w:ascii="Rockwell" w:hAnsi="Rockwell"/>
                <w:b/>
                <w:bCs/>
                <w:sz w:val="20"/>
                <w:szCs w:val="20"/>
              </w:rPr>
              <w:t>burkina24.com</w:t>
            </w:r>
          </w:p>
        </w:tc>
        <w:tc>
          <w:tcPr>
            <w:tcW w:w="3359" w:type="dxa"/>
            <w:gridSpan w:val="5"/>
            <w:shd w:val="clear" w:color="auto" w:fill="9CC2E5" w:themeFill="accent1" w:themeFillTint="99"/>
            <w:tcMar>
              <w:top w:w="0" w:type="dxa"/>
              <w:left w:w="108" w:type="dxa"/>
              <w:bottom w:w="0" w:type="dxa"/>
              <w:right w:w="108" w:type="dxa"/>
            </w:tcMar>
          </w:tcPr>
          <w:p w14:paraId="652B0B4E" w14:textId="77777777" w:rsidR="00284822" w:rsidRDefault="00F77BF8">
            <w:pPr>
              <w:spacing w:line="240" w:lineRule="auto"/>
              <w:jc w:val="center"/>
              <w:rPr>
                <w:rFonts w:ascii="Rockwell" w:hAnsi="Rockwell"/>
                <w:b/>
                <w:bCs/>
                <w:sz w:val="20"/>
                <w:szCs w:val="20"/>
              </w:rPr>
            </w:pPr>
            <w:r>
              <w:rPr>
                <w:rFonts w:ascii="Rockwell" w:hAnsi="Rockwell"/>
                <w:b/>
                <w:bCs/>
                <w:sz w:val="20"/>
                <w:szCs w:val="20"/>
              </w:rPr>
              <w:t>filinfos.net</w:t>
            </w:r>
          </w:p>
        </w:tc>
      </w:tr>
      <w:tr w:rsidR="00284822" w14:paraId="09E3C217" w14:textId="77777777">
        <w:trPr>
          <w:gridAfter w:val="1"/>
          <w:wAfter w:w="16" w:type="dxa"/>
          <w:trHeight w:val="558"/>
          <w:jc w:val="center"/>
        </w:trPr>
        <w:tc>
          <w:tcPr>
            <w:tcW w:w="849" w:type="dxa"/>
            <w:vMerge/>
            <w:shd w:val="clear" w:color="auto" w:fill="9CC2E5" w:themeFill="accent1" w:themeFillTint="99"/>
            <w:noWrap/>
            <w:tcMar>
              <w:top w:w="0" w:type="dxa"/>
              <w:left w:w="108" w:type="dxa"/>
              <w:bottom w:w="0" w:type="dxa"/>
              <w:right w:w="108" w:type="dxa"/>
            </w:tcMar>
            <w:vAlign w:val="center"/>
          </w:tcPr>
          <w:p w14:paraId="07665B58" w14:textId="77777777" w:rsidR="00284822" w:rsidRDefault="00284822">
            <w:pPr>
              <w:spacing w:line="240" w:lineRule="auto"/>
              <w:rPr>
                <w:rFonts w:ascii="Rockwell" w:hAnsi="Rockwell"/>
                <w:b/>
                <w:bCs/>
                <w:sz w:val="20"/>
                <w:szCs w:val="20"/>
              </w:rPr>
            </w:pPr>
          </w:p>
        </w:tc>
        <w:tc>
          <w:tcPr>
            <w:tcW w:w="1920" w:type="dxa"/>
            <w:vMerge/>
            <w:shd w:val="clear" w:color="auto" w:fill="9CC2E5" w:themeFill="accent1" w:themeFillTint="99"/>
            <w:tcMar>
              <w:top w:w="0" w:type="dxa"/>
              <w:left w:w="108" w:type="dxa"/>
              <w:bottom w:w="0" w:type="dxa"/>
              <w:right w:w="108" w:type="dxa"/>
            </w:tcMar>
            <w:vAlign w:val="bottom"/>
          </w:tcPr>
          <w:p w14:paraId="7CCAF570" w14:textId="77777777" w:rsidR="00284822" w:rsidRDefault="00284822">
            <w:pPr>
              <w:spacing w:line="240" w:lineRule="auto"/>
              <w:rPr>
                <w:rFonts w:ascii="Rockwell" w:hAnsi="Rockwell"/>
                <w:sz w:val="20"/>
                <w:szCs w:val="20"/>
              </w:rPr>
            </w:pPr>
          </w:p>
        </w:tc>
        <w:tc>
          <w:tcPr>
            <w:tcW w:w="595" w:type="dxa"/>
            <w:shd w:val="clear" w:color="auto" w:fill="9CC2E5" w:themeFill="accent1" w:themeFillTint="99"/>
            <w:tcMar>
              <w:top w:w="0" w:type="dxa"/>
              <w:left w:w="108" w:type="dxa"/>
              <w:bottom w:w="0" w:type="dxa"/>
              <w:right w:w="108" w:type="dxa"/>
            </w:tcMar>
            <w:vAlign w:val="center"/>
          </w:tcPr>
          <w:p w14:paraId="1136CBEB" w14:textId="77777777" w:rsidR="00284822" w:rsidRDefault="00F77BF8">
            <w:pPr>
              <w:spacing w:line="240" w:lineRule="auto"/>
              <w:jc w:val="center"/>
              <w:rPr>
                <w:rFonts w:ascii="Rockwell" w:hAnsi="Rockwell"/>
                <w:color w:val="000000"/>
                <w:sz w:val="20"/>
                <w:szCs w:val="20"/>
              </w:rPr>
            </w:pPr>
            <w:r>
              <w:rPr>
                <w:rFonts w:ascii="Rockwell" w:hAnsi="Rockwell"/>
                <w:color w:val="000000"/>
                <w:sz w:val="20"/>
                <w:szCs w:val="20"/>
              </w:rPr>
              <w:t>NA</w:t>
            </w:r>
          </w:p>
        </w:tc>
        <w:tc>
          <w:tcPr>
            <w:tcW w:w="1125" w:type="dxa"/>
            <w:shd w:val="clear" w:color="auto" w:fill="9CC2E5" w:themeFill="accent1" w:themeFillTint="99"/>
            <w:tcMar>
              <w:top w:w="0" w:type="dxa"/>
              <w:left w:w="108" w:type="dxa"/>
              <w:bottom w:w="0" w:type="dxa"/>
              <w:right w:w="108" w:type="dxa"/>
            </w:tcMar>
            <w:vAlign w:val="center"/>
          </w:tcPr>
          <w:p w14:paraId="7E399E28" w14:textId="77777777" w:rsidR="00284822" w:rsidRDefault="00F77BF8">
            <w:pPr>
              <w:spacing w:line="240" w:lineRule="auto"/>
              <w:jc w:val="center"/>
              <w:rPr>
                <w:rFonts w:ascii="Rockwell" w:hAnsi="Rockwell"/>
                <w:color w:val="000000"/>
                <w:sz w:val="20"/>
                <w:szCs w:val="20"/>
              </w:rPr>
            </w:pPr>
            <w:r>
              <w:rPr>
                <w:rFonts w:ascii="Rockwell" w:hAnsi="Rockwell"/>
                <w:color w:val="000000"/>
                <w:sz w:val="20"/>
                <w:szCs w:val="20"/>
              </w:rPr>
              <w:t>% NA</w:t>
            </w:r>
          </w:p>
        </w:tc>
        <w:tc>
          <w:tcPr>
            <w:tcW w:w="506" w:type="dxa"/>
            <w:shd w:val="clear" w:color="auto" w:fill="9CC2E5" w:themeFill="accent1" w:themeFillTint="99"/>
            <w:tcMar>
              <w:top w:w="0" w:type="dxa"/>
              <w:left w:w="108" w:type="dxa"/>
              <w:bottom w:w="0" w:type="dxa"/>
              <w:right w:w="108" w:type="dxa"/>
            </w:tcMar>
            <w:vAlign w:val="center"/>
          </w:tcPr>
          <w:p w14:paraId="03754FAF" w14:textId="77777777" w:rsidR="00284822" w:rsidRDefault="00F77BF8">
            <w:pPr>
              <w:spacing w:line="240" w:lineRule="auto"/>
              <w:jc w:val="center"/>
              <w:rPr>
                <w:rFonts w:ascii="Rockwell" w:hAnsi="Rockwell"/>
                <w:color w:val="000000"/>
                <w:sz w:val="20"/>
                <w:szCs w:val="20"/>
              </w:rPr>
            </w:pPr>
            <w:r>
              <w:rPr>
                <w:rFonts w:ascii="Rockwell" w:hAnsi="Rockwell"/>
                <w:color w:val="000000"/>
                <w:sz w:val="20"/>
                <w:szCs w:val="20"/>
              </w:rPr>
              <w:t>NI</w:t>
            </w:r>
          </w:p>
        </w:tc>
        <w:tc>
          <w:tcPr>
            <w:tcW w:w="1127" w:type="dxa"/>
            <w:shd w:val="clear" w:color="auto" w:fill="9CC2E5" w:themeFill="accent1" w:themeFillTint="99"/>
            <w:tcMar>
              <w:top w:w="0" w:type="dxa"/>
              <w:left w:w="108" w:type="dxa"/>
              <w:bottom w:w="0" w:type="dxa"/>
              <w:right w:w="108" w:type="dxa"/>
            </w:tcMar>
            <w:vAlign w:val="center"/>
          </w:tcPr>
          <w:p w14:paraId="467E9676" w14:textId="77777777" w:rsidR="00284822" w:rsidRDefault="00F77BF8">
            <w:pPr>
              <w:spacing w:line="240" w:lineRule="auto"/>
              <w:jc w:val="center"/>
              <w:rPr>
                <w:rFonts w:ascii="Rockwell" w:hAnsi="Rockwell"/>
                <w:color w:val="000000"/>
                <w:sz w:val="20"/>
                <w:szCs w:val="20"/>
              </w:rPr>
            </w:pPr>
            <w:r>
              <w:rPr>
                <w:rFonts w:ascii="Rockwell" w:hAnsi="Rockwell"/>
                <w:color w:val="000000"/>
                <w:sz w:val="20"/>
                <w:szCs w:val="20"/>
              </w:rPr>
              <w:t>% NI</w:t>
            </w:r>
          </w:p>
        </w:tc>
        <w:tc>
          <w:tcPr>
            <w:tcW w:w="595" w:type="dxa"/>
            <w:shd w:val="clear" w:color="auto" w:fill="9CC2E5" w:themeFill="accent1" w:themeFillTint="99"/>
            <w:tcMar>
              <w:top w:w="0" w:type="dxa"/>
              <w:left w:w="108" w:type="dxa"/>
              <w:bottom w:w="0" w:type="dxa"/>
              <w:right w:w="108" w:type="dxa"/>
            </w:tcMar>
            <w:vAlign w:val="center"/>
          </w:tcPr>
          <w:p w14:paraId="015EF4F4" w14:textId="77777777" w:rsidR="00284822" w:rsidRDefault="00F77BF8">
            <w:pPr>
              <w:spacing w:line="240" w:lineRule="auto"/>
              <w:jc w:val="center"/>
              <w:rPr>
                <w:rFonts w:ascii="Rockwell" w:hAnsi="Rockwell"/>
                <w:color w:val="000000"/>
                <w:sz w:val="20"/>
                <w:szCs w:val="20"/>
              </w:rPr>
            </w:pPr>
            <w:r>
              <w:rPr>
                <w:rFonts w:ascii="Rockwell" w:hAnsi="Rockwell"/>
                <w:color w:val="000000"/>
                <w:sz w:val="20"/>
                <w:szCs w:val="20"/>
              </w:rPr>
              <w:t>NA</w:t>
            </w:r>
          </w:p>
        </w:tc>
        <w:tc>
          <w:tcPr>
            <w:tcW w:w="1125" w:type="dxa"/>
            <w:shd w:val="clear" w:color="auto" w:fill="9CC2E5" w:themeFill="accent1" w:themeFillTint="99"/>
            <w:tcMar>
              <w:top w:w="0" w:type="dxa"/>
              <w:left w:w="108" w:type="dxa"/>
              <w:bottom w:w="0" w:type="dxa"/>
              <w:right w:w="108" w:type="dxa"/>
            </w:tcMar>
            <w:vAlign w:val="center"/>
          </w:tcPr>
          <w:p w14:paraId="32E7DE14" w14:textId="77777777" w:rsidR="00284822" w:rsidRDefault="00F77BF8">
            <w:pPr>
              <w:spacing w:line="240" w:lineRule="auto"/>
              <w:jc w:val="center"/>
              <w:rPr>
                <w:rFonts w:ascii="Rockwell" w:hAnsi="Rockwell"/>
                <w:color w:val="000000"/>
                <w:sz w:val="20"/>
                <w:szCs w:val="20"/>
              </w:rPr>
            </w:pPr>
            <w:r>
              <w:rPr>
                <w:rFonts w:ascii="Rockwell" w:hAnsi="Rockwell"/>
                <w:color w:val="000000"/>
                <w:sz w:val="20"/>
                <w:szCs w:val="20"/>
              </w:rPr>
              <w:t>% NA</w:t>
            </w:r>
          </w:p>
        </w:tc>
        <w:tc>
          <w:tcPr>
            <w:tcW w:w="506" w:type="dxa"/>
            <w:shd w:val="clear" w:color="auto" w:fill="9CC2E5" w:themeFill="accent1" w:themeFillTint="99"/>
            <w:tcMar>
              <w:top w:w="0" w:type="dxa"/>
              <w:left w:w="108" w:type="dxa"/>
              <w:bottom w:w="0" w:type="dxa"/>
              <w:right w:w="108" w:type="dxa"/>
            </w:tcMar>
            <w:vAlign w:val="center"/>
          </w:tcPr>
          <w:p w14:paraId="043F69E8" w14:textId="77777777" w:rsidR="00284822" w:rsidRDefault="00F77BF8">
            <w:pPr>
              <w:spacing w:line="240" w:lineRule="auto"/>
              <w:jc w:val="center"/>
              <w:rPr>
                <w:rFonts w:ascii="Rockwell" w:hAnsi="Rockwell"/>
                <w:color w:val="000000"/>
                <w:sz w:val="20"/>
                <w:szCs w:val="20"/>
              </w:rPr>
            </w:pPr>
            <w:r>
              <w:rPr>
                <w:rFonts w:ascii="Rockwell" w:hAnsi="Rockwell"/>
                <w:color w:val="000000"/>
                <w:sz w:val="20"/>
                <w:szCs w:val="20"/>
              </w:rPr>
              <w:t>NI</w:t>
            </w:r>
          </w:p>
        </w:tc>
        <w:tc>
          <w:tcPr>
            <w:tcW w:w="1127" w:type="dxa"/>
            <w:shd w:val="clear" w:color="auto" w:fill="9CC2E5" w:themeFill="accent1" w:themeFillTint="99"/>
            <w:tcMar>
              <w:top w:w="0" w:type="dxa"/>
              <w:left w:w="108" w:type="dxa"/>
              <w:bottom w:w="0" w:type="dxa"/>
              <w:right w:w="108" w:type="dxa"/>
            </w:tcMar>
            <w:vAlign w:val="center"/>
          </w:tcPr>
          <w:p w14:paraId="0FCE9096" w14:textId="77777777" w:rsidR="00284822" w:rsidRDefault="00F77BF8">
            <w:pPr>
              <w:spacing w:line="240" w:lineRule="auto"/>
              <w:jc w:val="center"/>
              <w:rPr>
                <w:rFonts w:ascii="Rockwell" w:hAnsi="Rockwell"/>
                <w:color w:val="000000"/>
                <w:sz w:val="20"/>
                <w:szCs w:val="20"/>
              </w:rPr>
            </w:pPr>
            <w:r>
              <w:rPr>
                <w:rFonts w:ascii="Rockwell" w:hAnsi="Rockwell"/>
                <w:color w:val="000000"/>
                <w:sz w:val="20"/>
                <w:szCs w:val="20"/>
              </w:rPr>
              <w:t>% NI</w:t>
            </w:r>
          </w:p>
        </w:tc>
        <w:tc>
          <w:tcPr>
            <w:tcW w:w="595" w:type="dxa"/>
            <w:shd w:val="clear" w:color="auto" w:fill="9CC2E5" w:themeFill="accent1" w:themeFillTint="99"/>
            <w:tcMar>
              <w:top w:w="0" w:type="dxa"/>
              <w:left w:w="108" w:type="dxa"/>
              <w:bottom w:w="0" w:type="dxa"/>
              <w:right w:w="108" w:type="dxa"/>
            </w:tcMar>
            <w:vAlign w:val="center"/>
          </w:tcPr>
          <w:p w14:paraId="028D752B" w14:textId="77777777" w:rsidR="00284822" w:rsidRDefault="00F77BF8">
            <w:pPr>
              <w:spacing w:line="240" w:lineRule="auto"/>
              <w:jc w:val="center"/>
              <w:rPr>
                <w:rFonts w:ascii="Rockwell" w:hAnsi="Rockwell"/>
                <w:color w:val="000000"/>
                <w:sz w:val="20"/>
                <w:szCs w:val="20"/>
              </w:rPr>
            </w:pPr>
            <w:r>
              <w:rPr>
                <w:rFonts w:ascii="Rockwell" w:hAnsi="Rockwell"/>
                <w:color w:val="000000"/>
                <w:sz w:val="20"/>
                <w:szCs w:val="20"/>
              </w:rPr>
              <w:t>NA</w:t>
            </w:r>
          </w:p>
        </w:tc>
        <w:tc>
          <w:tcPr>
            <w:tcW w:w="1125" w:type="dxa"/>
            <w:shd w:val="clear" w:color="auto" w:fill="9CC2E5" w:themeFill="accent1" w:themeFillTint="99"/>
            <w:tcMar>
              <w:top w:w="0" w:type="dxa"/>
              <w:left w:w="108" w:type="dxa"/>
              <w:bottom w:w="0" w:type="dxa"/>
              <w:right w:w="108" w:type="dxa"/>
            </w:tcMar>
            <w:vAlign w:val="center"/>
          </w:tcPr>
          <w:p w14:paraId="07D4A3F7" w14:textId="77777777" w:rsidR="00284822" w:rsidRDefault="00F77BF8">
            <w:pPr>
              <w:spacing w:line="240" w:lineRule="auto"/>
              <w:jc w:val="center"/>
              <w:rPr>
                <w:rFonts w:ascii="Rockwell" w:hAnsi="Rockwell"/>
                <w:color w:val="000000"/>
                <w:sz w:val="20"/>
                <w:szCs w:val="20"/>
              </w:rPr>
            </w:pPr>
            <w:r>
              <w:rPr>
                <w:rFonts w:ascii="Rockwell" w:hAnsi="Rockwell"/>
                <w:color w:val="000000"/>
                <w:sz w:val="20"/>
                <w:szCs w:val="20"/>
              </w:rPr>
              <w:t>% NA</w:t>
            </w:r>
          </w:p>
        </w:tc>
        <w:tc>
          <w:tcPr>
            <w:tcW w:w="506" w:type="dxa"/>
            <w:shd w:val="clear" w:color="auto" w:fill="9CC2E5" w:themeFill="accent1" w:themeFillTint="99"/>
            <w:tcMar>
              <w:top w:w="0" w:type="dxa"/>
              <w:left w:w="108" w:type="dxa"/>
              <w:bottom w:w="0" w:type="dxa"/>
              <w:right w:w="108" w:type="dxa"/>
            </w:tcMar>
            <w:vAlign w:val="center"/>
          </w:tcPr>
          <w:p w14:paraId="03A2F272" w14:textId="77777777" w:rsidR="00284822" w:rsidRDefault="00F77BF8">
            <w:pPr>
              <w:spacing w:line="240" w:lineRule="auto"/>
              <w:jc w:val="center"/>
              <w:rPr>
                <w:rFonts w:ascii="Rockwell" w:hAnsi="Rockwell"/>
                <w:color w:val="000000"/>
                <w:sz w:val="20"/>
                <w:szCs w:val="20"/>
              </w:rPr>
            </w:pPr>
            <w:r>
              <w:rPr>
                <w:rFonts w:ascii="Rockwell" w:hAnsi="Rockwell"/>
                <w:color w:val="000000"/>
                <w:sz w:val="20"/>
                <w:szCs w:val="20"/>
              </w:rPr>
              <w:t>NI</w:t>
            </w:r>
          </w:p>
        </w:tc>
        <w:tc>
          <w:tcPr>
            <w:tcW w:w="1125" w:type="dxa"/>
            <w:shd w:val="clear" w:color="auto" w:fill="9CC2E5" w:themeFill="accent1" w:themeFillTint="99"/>
            <w:tcMar>
              <w:top w:w="0" w:type="dxa"/>
              <w:left w:w="108" w:type="dxa"/>
              <w:bottom w:w="0" w:type="dxa"/>
              <w:right w:w="108" w:type="dxa"/>
            </w:tcMar>
            <w:vAlign w:val="center"/>
          </w:tcPr>
          <w:p w14:paraId="1D3BB89D" w14:textId="77777777" w:rsidR="00284822" w:rsidRDefault="00F77BF8">
            <w:pPr>
              <w:spacing w:line="240" w:lineRule="auto"/>
              <w:jc w:val="center"/>
              <w:rPr>
                <w:rFonts w:ascii="Rockwell" w:hAnsi="Rockwell"/>
                <w:color w:val="000000"/>
                <w:sz w:val="20"/>
                <w:szCs w:val="20"/>
              </w:rPr>
            </w:pPr>
            <w:r>
              <w:rPr>
                <w:rFonts w:ascii="Rockwell" w:hAnsi="Rockwell"/>
                <w:color w:val="000000"/>
                <w:sz w:val="20"/>
                <w:szCs w:val="20"/>
              </w:rPr>
              <w:t>% NI</w:t>
            </w:r>
          </w:p>
        </w:tc>
        <w:tc>
          <w:tcPr>
            <w:tcW w:w="598" w:type="dxa"/>
            <w:gridSpan w:val="2"/>
            <w:shd w:val="clear" w:color="auto" w:fill="9CC2E5" w:themeFill="accent1" w:themeFillTint="99"/>
            <w:tcMar>
              <w:top w:w="0" w:type="dxa"/>
              <w:left w:w="108" w:type="dxa"/>
              <w:bottom w:w="0" w:type="dxa"/>
              <w:right w:w="108" w:type="dxa"/>
            </w:tcMar>
            <w:vAlign w:val="center"/>
          </w:tcPr>
          <w:p w14:paraId="172630A0" w14:textId="77777777" w:rsidR="00284822" w:rsidRDefault="00F77BF8">
            <w:pPr>
              <w:spacing w:line="240" w:lineRule="auto"/>
              <w:jc w:val="center"/>
              <w:rPr>
                <w:rFonts w:ascii="Rockwell" w:hAnsi="Rockwell"/>
                <w:color w:val="000000"/>
                <w:sz w:val="20"/>
                <w:szCs w:val="20"/>
              </w:rPr>
            </w:pPr>
            <w:r>
              <w:rPr>
                <w:rFonts w:ascii="Rockwell" w:hAnsi="Rockwell"/>
                <w:color w:val="000000"/>
                <w:sz w:val="20"/>
                <w:szCs w:val="20"/>
              </w:rPr>
              <w:t>NA</w:t>
            </w:r>
          </w:p>
        </w:tc>
        <w:tc>
          <w:tcPr>
            <w:tcW w:w="1125" w:type="dxa"/>
            <w:shd w:val="clear" w:color="auto" w:fill="9CC2E5" w:themeFill="accent1" w:themeFillTint="99"/>
            <w:tcMar>
              <w:top w:w="0" w:type="dxa"/>
              <w:left w:w="108" w:type="dxa"/>
              <w:bottom w:w="0" w:type="dxa"/>
              <w:right w:w="108" w:type="dxa"/>
            </w:tcMar>
            <w:vAlign w:val="center"/>
          </w:tcPr>
          <w:p w14:paraId="2F242D4D" w14:textId="77777777" w:rsidR="00284822" w:rsidRDefault="00F77BF8">
            <w:pPr>
              <w:spacing w:line="240" w:lineRule="auto"/>
              <w:jc w:val="center"/>
              <w:rPr>
                <w:rFonts w:ascii="Rockwell" w:hAnsi="Rockwell"/>
                <w:color w:val="000000"/>
                <w:sz w:val="20"/>
                <w:szCs w:val="20"/>
              </w:rPr>
            </w:pPr>
            <w:r>
              <w:rPr>
                <w:rFonts w:ascii="Rockwell" w:hAnsi="Rockwell"/>
                <w:color w:val="000000"/>
                <w:sz w:val="20"/>
                <w:szCs w:val="20"/>
              </w:rPr>
              <w:t>% NA</w:t>
            </w:r>
          </w:p>
        </w:tc>
        <w:tc>
          <w:tcPr>
            <w:tcW w:w="506" w:type="dxa"/>
            <w:shd w:val="clear" w:color="auto" w:fill="9CC2E5" w:themeFill="accent1" w:themeFillTint="99"/>
            <w:tcMar>
              <w:top w:w="0" w:type="dxa"/>
              <w:left w:w="108" w:type="dxa"/>
              <w:bottom w:w="0" w:type="dxa"/>
              <w:right w:w="108" w:type="dxa"/>
            </w:tcMar>
            <w:vAlign w:val="center"/>
          </w:tcPr>
          <w:p w14:paraId="19EAA387" w14:textId="77777777" w:rsidR="00284822" w:rsidRDefault="00F77BF8">
            <w:pPr>
              <w:spacing w:line="240" w:lineRule="auto"/>
              <w:jc w:val="center"/>
              <w:rPr>
                <w:rFonts w:ascii="Rockwell" w:hAnsi="Rockwell"/>
                <w:color w:val="000000"/>
                <w:sz w:val="20"/>
                <w:szCs w:val="20"/>
              </w:rPr>
            </w:pPr>
            <w:r>
              <w:rPr>
                <w:rFonts w:ascii="Rockwell" w:hAnsi="Rockwell"/>
                <w:color w:val="000000"/>
                <w:sz w:val="20"/>
                <w:szCs w:val="20"/>
              </w:rPr>
              <w:t>NI</w:t>
            </w:r>
          </w:p>
        </w:tc>
        <w:tc>
          <w:tcPr>
            <w:tcW w:w="1125" w:type="dxa"/>
            <w:shd w:val="clear" w:color="auto" w:fill="9CC2E5" w:themeFill="accent1" w:themeFillTint="99"/>
            <w:tcMar>
              <w:top w:w="0" w:type="dxa"/>
              <w:left w:w="108" w:type="dxa"/>
              <w:bottom w:w="0" w:type="dxa"/>
              <w:right w:w="108" w:type="dxa"/>
            </w:tcMar>
            <w:vAlign w:val="center"/>
          </w:tcPr>
          <w:p w14:paraId="599024E1" w14:textId="77777777" w:rsidR="00284822" w:rsidRDefault="00F77BF8">
            <w:pPr>
              <w:spacing w:line="240" w:lineRule="auto"/>
              <w:jc w:val="center"/>
              <w:rPr>
                <w:rFonts w:ascii="Rockwell" w:hAnsi="Rockwell"/>
                <w:color w:val="000000"/>
                <w:sz w:val="20"/>
                <w:szCs w:val="20"/>
              </w:rPr>
            </w:pPr>
            <w:r>
              <w:rPr>
                <w:rFonts w:ascii="Rockwell" w:hAnsi="Rockwell"/>
                <w:color w:val="000000"/>
                <w:sz w:val="20"/>
                <w:szCs w:val="20"/>
              </w:rPr>
              <w:t>% NI</w:t>
            </w:r>
          </w:p>
        </w:tc>
      </w:tr>
      <w:tr w:rsidR="00284822" w14:paraId="0DE5D18F" w14:textId="77777777">
        <w:trPr>
          <w:gridAfter w:val="1"/>
          <w:wAfter w:w="16" w:type="dxa"/>
          <w:trHeight w:val="133"/>
          <w:jc w:val="center"/>
        </w:trPr>
        <w:tc>
          <w:tcPr>
            <w:tcW w:w="849" w:type="dxa"/>
            <w:shd w:val="clear" w:color="auto" w:fill="FFFFFF" w:themeFill="background1"/>
            <w:noWrap/>
            <w:tcMar>
              <w:top w:w="0" w:type="dxa"/>
              <w:left w:w="108" w:type="dxa"/>
              <w:bottom w:w="0" w:type="dxa"/>
              <w:right w:w="108" w:type="dxa"/>
            </w:tcMar>
            <w:vAlign w:val="bottom"/>
          </w:tcPr>
          <w:p w14:paraId="0199AF32"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1</w:t>
            </w:r>
          </w:p>
        </w:tc>
        <w:tc>
          <w:tcPr>
            <w:tcW w:w="1920" w:type="dxa"/>
            <w:shd w:val="clear" w:color="auto" w:fill="FFFFFF" w:themeFill="background1"/>
            <w:tcMar>
              <w:top w:w="0" w:type="dxa"/>
              <w:left w:w="108" w:type="dxa"/>
              <w:bottom w:w="0" w:type="dxa"/>
              <w:right w:w="108" w:type="dxa"/>
            </w:tcMar>
            <w:vAlign w:val="bottom"/>
          </w:tcPr>
          <w:p w14:paraId="7FE2C589"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ADF/RDA</w:t>
            </w:r>
          </w:p>
        </w:tc>
        <w:tc>
          <w:tcPr>
            <w:tcW w:w="595" w:type="dxa"/>
            <w:shd w:val="clear" w:color="auto" w:fill="FFFFFF" w:themeFill="background1"/>
            <w:tcMar>
              <w:top w:w="0" w:type="dxa"/>
              <w:left w:w="108" w:type="dxa"/>
              <w:bottom w:w="0" w:type="dxa"/>
              <w:right w:w="108" w:type="dxa"/>
            </w:tcMar>
            <w:vAlign w:val="center"/>
          </w:tcPr>
          <w:p w14:paraId="39C117B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25" w:type="dxa"/>
            <w:shd w:val="clear" w:color="auto" w:fill="FFFFFF" w:themeFill="background1"/>
            <w:tcMar>
              <w:top w:w="0" w:type="dxa"/>
              <w:left w:w="108" w:type="dxa"/>
              <w:bottom w:w="0" w:type="dxa"/>
              <w:right w:w="108" w:type="dxa"/>
            </w:tcMar>
            <w:vAlign w:val="center"/>
          </w:tcPr>
          <w:p w14:paraId="3FB707D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3,03%</w:t>
            </w:r>
          </w:p>
        </w:tc>
        <w:tc>
          <w:tcPr>
            <w:tcW w:w="506" w:type="dxa"/>
            <w:shd w:val="clear" w:color="auto" w:fill="FFFFFF" w:themeFill="background1"/>
            <w:tcMar>
              <w:top w:w="0" w:type="dxa"/>
              <w:left w:w="108" w:type="dxa"/>
              <w:bottom w:w="0" w:type="dxa"/>
              <w:right w:w="108" w:type="dxa"/>
            </w:tcMar>
            <w:vAlign w:val="center"/>
          </w:tcPr>
          <w:p w14:paraId="6BB5A15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27" w:type="dxa"/>
            <w:shd w:val="clear" w:color="auto" w:fill="FFFFFF" w:themeFill="background1"/>
            <w:tcMar>
              <w:top w:w="0" w:type="dxa"/>
              <w:left w:w="108" w:type="dxa"/>
              <w:bottom w:w="0" w:type="dxa"/>
              <w:right w:w="108" w:type="dxa"/>
            </w:tcMar>
            <w:vAlign w:val="center"/>
          </w:tcPr>
          <w:p w14:paraId="31FAA02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1,61%</w:t>
            </w:r>
          </w:p>
        </w:tc>
        <w:tc>
          <w:tcPr>
            <w:tcW w:w="595" w:type="dxa"/>
            <w:shd w:val="clear" w:color="auto" w:fill="FFFFFF" w:themeFill="background1"/>
            <w:tcMar>
              <w:top w:w="0" w:type="dxa"/>
              <w:left w:w="108" w:type="dxa"/>
              <w:bottom w:w="0" w:type="dxa"/>
              <w:right w:w="108" w:type="dxa"/>
            </w:tcMar>
            <w:vAlign w:val="center"/>
          </w:tcPr>
          <w:p w14:paraId="76DFD30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25" w:type="dxa"/>
            <w:shd w:val="clear" w:color="auto" w:fill="FFFFFF" w:themeFill="background1"/>
            <w:tcMar>
              <w:top w:w="0" w:type="dxa"/>
              <w:left w:w="108" w:type="dxa"/>
              <w:bottom w:w="0" w:type="dxa"/>
              <w:right w:w="108" w:type="dxa"/>
            </w:tcMar>
            <w:vAlign w:val="center"/>
          </w:tcPr>
          <w:p w14:paraId="03AEECD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1,47%</w:t>
            </w:r>
          </w:p>
        </w:tc>
        <w:tc>
          <w:tcPr>
            <w:tcW w:w="506" w:type="dxa"/>
            <w:shd w:val="clear" w:color="auto" w:fill="FFFFFF" w:themeFill="background1"/>
            <w:tcMar>
              <w:top w:w="0" w:type="dxa"/>
              <w:left w:w="108" w:type="dxa"/>
              <w:bottom w:w="0" w:type="dxa"/>
              <w:right w:w="108" w:type="dxa"/>
            </w:tcMar>
            <w:vAlign w:val="center"/>
          </w:tcPr>
          <w:p w14:paraId="68BFAF6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27" w:type="dxa"/>
            <w:shd w:val="clear" w:color="auto" w:fill="FFFFFF" w:themeFill="background1"/>
            <w:tcMar>
              <w:top w:w="0" w:type="dxa"/>
              <w:left w:w="108" w:type="dxa"/>
              <w:bottom w:w="0" w:type="dxa"/>
              <w:right w:w="108" w:type="dxa"/>
            </w:tcMar>
            <w:vAlign w:val="center"/>
          </w:tcPr>
          <w:p w14:paraId="1CB97D2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0,93%</w:t>
            </w:r>
          </w:p>
        </w:tc>
        <w:tc>
          <w:tcPr>
            <w:tcW w:w="595" w:type="dxa"/>
            <w:shd w:val="clear" w:color="auto" w:fill="FFFFFF" w:themeFill="background1"/>
            <w:tcMar>
              <w:top w:w="0" w:type="dxa"/>
              <w:left w:w="108" w:type="dxa"/>
              <w:bottom w:w="0" w:type="dxa"/>
              <w:right w:w="108" w:type="dxa"/>
            </w:tcMar>
            <w:vAlign w:val="center"/>
          </w:tcPr>
          <w:p w14:paraId="13022BF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125" w:type="dxa"/>
            <w:shd w:val="clear" w:color="auto" w:fill="FFFFFF" w:themeFill="background1"/>
            <w:tcMar>
              <w:top w:w="0" w:type="dxa"/>
              <w:left w:w="108" w:type="dxa"/>
              <w:bottom w:w="0" w:type="dxa"/>
              <w:right w:w="108" w:type="dxa"/>
            </w:tcMar>
            <w:vAlign w:val="center"/>
          </w:tcPr>
          <w:p w14:paraId="555E49F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2,74%</w:t>
            </w:r>
          </w:p>
        </w:tc>
        <w:tc>
          <w:tcPr>
            <w:tcW w:w="506" w:type="dxa"/>
            <w:shd w:val="clear" w:color="auto" w:fill="FFFFFF" w:themeFill="background1"/>
            <w:tcMar>
              <w:top w:w="0" w:type="dxa"/>
              <w:left w:w="108" w:type="dxa"/>
              <w:bottom w:w="0" w:type="dxa"/>
              <w:right w:w="108" w:type="dxa"/>
            </w:tcMar>
            <w:vAlign w:val="center"/>
          </w:tcPr>
          <w:p w14:paraId="1D47BC3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5</w:t>
            </w:r>
          </w:p>
        </w:tc>
        <w:tc>
          <w:tcPr>
            <w:tcW w:w="1125" w:type="dxa"/>
            <w:shd w:val="clear" w:color="auto" w:fill="FFFFFF" w:themeFill="background1"/>
            <w:tcMar>
              <w:top w:w="0" w:type="dxa"/>
              <w:left w:w="108" w:type="dxa"/>
              <w:bottom w:w="0" w:type="dxa"/>
              <w:right w:w="108" w:type="dxa"/>
            </w:tcMar>
            <w:vAlign w:val="center"/>
          </w:tcPr>
          <w:p w14:paraId="640CEBD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3,38%</w:t>
            </w:r>
          </w:p>
        </w:tc>
        <w:tc>
          <w:tcPr>
            <w:tcW w:w="598" w:type="dxa"/>
            <w:gridSpan w:val="2"/>
            <w:shd w:val="clear" w:color="auto" w:fill="FFFFFF" w:themeFill="background1"/>
            <w:tcMar>
              <w:top w:w="0" w:type="dxa"/>
              <w:left w:w="108" w:type="dxa"/>
              <w:bottom w:w="0" w:type="dxa"/>
              <w:right w:w="108" w:type="dxa"/>
            </w:tcMar>
            <w:vAlign w:val="center"/>
          </w:tcPr>
          <w:p w14:paraId="5EBF763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7227B64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7889DEB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5C3239F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r>
      <w:tr w:rsidR="00284822" w14:paraId="5F78DA7B" w14:textId="77777777">
        <w:trPr>
          <w:gridAfter w:val="1"/>
          <w:wAfter w:w="16" w:type="dxa"/>
          <w:trHeight w:val="133"/>
          <w:jc w:val="center"/>
        </w:trPr>
        <w:tc>
          <w:tcPr>
            <w:tcW w:w="849" w:type="dxa"/>
            <w:shd w:val="clear" w:color="auto" w:fill="FFFFFF" w:themeFill="background1"/>
            <w:noWrap/>
            <w:tcMar>
              <w:top w:w="0" w:type="dxa"/>
              <w:left w:w="108" w:type="dxa"/>
              <w:bottom w:w="0" w:type="dxa"/>
              <w:right w:w="108" w:type="dxa"/>
            </w:tcMar>
            <w:vAlign w:val="bottom"/>
          </w:tcPr>
          <w:p w14:paraId="44A509DB"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2</w:t>
            </w:r>
          </w:p>
        </w:tc>
        <w:tc>
          <w:tcPr>
            <w:tcW w:w="1920" w:type="dxa"/>
            <w:shd w:val="clear" w:color="auto" w:fill="FFFFFF" w:themeFill="background1"/>
            <w:tcMar>
              <w:top w:w="0" w:type="dxa"/>
              <w:left w:w="108" w:type="dxa"/>
              <w:bottom w:w="0" w:type="dxa"/>
              <w:right w:w="108" w:type="dxa"/>
            </w:tcMar>
            <w:vAlign w:val="bottom"/>
          </w:tcPr>
          <w:p w14:paraId="0A77E529"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ADP</w:t>
            </w:r>
          </w:p>
        </w:tc>
        <w:tc>
          <w:tcPr>
            <w:tcW w:w="595" w:type="dxa"/>
            <w:shd w:val="clear" w:color="auto" w:fill="FFFFFF" w:themeFill="background1"/>
            <w:tcMar>
              <w:top w:w="0" w:type="dxa"/>
              <w:left w:w="108" w:type="dxa"/>
              <w:bottom w:w="0" w:type="dxa"/>
              <w:right w:w="108" w:type="dxa"/>
            </w:tcMar>
            <w:vAlign w:val="center"/>
          </w:tcPr>
          <w:p w14:paraId="349F1E2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57538F5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3BAF9F2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7" w:type="dxa"/>
            <w:shd w:val="clear" w:color="auto" w:fill="FFFFFF" w:themeFill="background1"/>
            <w:tcMar>
              <w:top w:w="0" w:type="dxa"/>
              <w:left w:w="108" w:type="dxa"/>
              <w:bottom w:w="0" w:type="dxa"/>
              <w:right w:w="108" w:type="dxa"/>
            </w:tcMar>
            <w:vAlign w:val="center"/>
          </w:tcPr>
          <w:p w14:paraId="5B7A6A9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5" w:type="dxa"/>
            <w:shd w:val="clear" w:color="auto" w:fill="FFFFFF" w:themeFill="background1"/>
            <w:tcMar>
              <w:top w:w="0" w:type="dxa"/>
              <w:left w:w="108" w:type="dxa"/>
              <w:bottom w:w="0" w:type="dxa"/>
              <w:right w:w="108" w:type="dxa"/>
            </w:tcMar>
            <w:vAlign w:val="center"/>
          </w:tcPr>
          <w:p w14:paraId="0259377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25" w:type="dxa"/>
            <w:shd w:val="clear" w:color="auto" w:fill="FFFFFF" w:themeFill="background1"/>
            <w:tcMar>
              <w:top w:w="0" w:type="dxa"/>
              <w:left w:w="108" w:type="dxa"/>
              <w:bottom w:w="0" w:type="dxa"/>
              <w:right w:w="108" w:type="dxa"/>
            </w:tcMar>
            <w:vAlign w:val="center"/>
          </w:tcPr>
          <w:p w14:paraId="33B1CB0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1,47%</w:t>
            </w:r>
          </w:p>
        </w:tc>
        <w:tc>
          <w:tcPr>
            <w:tcW w:w="506" w:type="dxa"/>
            <w:shd w:val="clear" w:color="auto" w:fill="FFFFFF" w:themeFill="background1"/>
            <w:tcMar>
              <w:top w:w="0" w:type="dxa"/>
              <w:left w:w="108" w:type="dxa"/>
              <w:bottom w:w="0" w:type="dxa"/>
              <w:right w:w="108" w:type="dxa"/>
            </w:tcMar>
            <w:vAlign w:val="center"/>
          </w:tcPr>
          <w:p w14:paraId="46C70D4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27" w:type="dxa"/>
            <w:shd w:val="clear" w:color="auto" w:fill="FFFFFF" w:themeFill="background1"/>
            <w:tcMar>
              <w:top w:w="0" w:type="dxa"/>
              <w:left w:w="108" w:type="dxa"/>
              <w:bottom w:w="0" w:type="dxa"/>
              <w:right w:w="108" w:type="dxa"/>
            </w:tcMar>
            <w:vAlign w:val="center"/>
          </w:tcPr>
          <w:p w14:paraId="5D5675E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0,93%</w:t>
            </w:r>
          </w:p>
        </w:tc>
        <w:tc>
          <w:tcPr>
            <w:tcW w:w="595" w:type="dxa"/>
            <w:shd w:val="clear" w:color="auto" w:fill="FFFFFF" w:themeFill="background1"/>
            <w:tcMar>
              <w:top w:w="0" w:type="dxa"/>
              <w:left w:w="108" w:type="dxa"/>
              <w:bottom w:w="0" w:type="dxa"/>
              <w:right w:w="108" w:type="dxa"/>
            </w:tcMar>
            <w:vAlign w:val="center"/>
          </w:tcPr>
          <w:p w14:paraId="58F5EF7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6DF08C2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403ECCC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4441CE5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8" w:type="dxa"/>
            <w:gridSpan w:val="2"/>
            <w:shd w:val="clear" w:color="auto" w:fill="FFFFFF" w:themeFill="background1"/>
            <w:tcMar>
              <w:top w:w="0" w:type="dxa"/>
              <w:left w:w="108" w:type="dxa"/>
              <w:bottom w:w="0" w:type="dxa"/>
              <w:right w:w="108" w:type="dxa"/>
            </w:tcMar>
            <w:vAlign w:val="center"/>
          </w:tcPr>
          <w:p w14:paraId="2B95013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25" w:type="dxa"/>
            <w:shd w:val="clear" w:color="auto" w:fill="FFFFFF" w:themeFill="background1"/>
            <w:tcMar>
              <w:top w:w="0" w:type="dxa"/>
              <w:left w:w="108" w:type="dxa"/>
              <w:bottom w:w="0" w:type="dxa"/>
              <w:right w:w="108" w:type="dxa"/>
            </w:tcMar>
            <w:vAlign w:val="center"/>
          </w:tcPr>
          <w:p w14:paraId="0E5BBA1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3,45%</w:t>
            </w:r>
          </w:p>
        </w:tc>
        <w:tc>
          <w:tcPr>
            <w:tcW w:w="506" w:type="dxa"/>
            <w:shd w:val="clear" w:color="auto" w:fill="FFFFFF" w:themeFill="background1"/>
            <w:tcMar>
              <w:top w:w="0" w:type="dxa"/>
              <w:left w:w="108" w:type="dxa"/>
              <w:bottom w:w="0" w:type="dxa"/>
              <w:right w:w="108" w:type="dxa"/>
            </w:tcMar>
            <w:vAlign w:val="center"/>
          </w:tcPr>
          <w:p w14:paraId="6FFF303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125" w:type="dxa"/>
            <w:shd w:val="clear" w:color="auto" w:fill="FFFFFF" w:themeFill="background1"/>
            <w:tcMar>
              <w:top w:w="0" w:type="dxa"/>
              <w:left w:w="108" w:type="dxa"/>
              <w:bottom w:w="0" w:type="dxa"/>
              <w:right w:w="108" w:type="dxa"/>
            </w:tcMar>
            <w:vAlign w:val="center"/>
          </w:tcPr>
          <w:p w14:paraId="2BEA883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6,25%</w:t>
            </w:r>
          </w:p>
        </w:tc>
      </w:tr>
      <w:tr w:rsidR="00284822" w14:paraId="610FB59B" w14:textId="77777777">
        <w:trPr>
          <w:gridAfter w:val="1"/>
          <w:wAfter w:w="16" w:type="dxa"/>
          <w:trHeight w:val="133"/>
          <w:jc w:val="center"/>
        </w:trPr>
        <w:tc>
          <w:tcPr>
            <w:tcW w:w="849" w:type="dxa"/>
            <w:shd w:val="clear" w:color="auto" w:fill="FFFFFF" w:themeFill="background1"/>
            <w:noWrap/>
            <w:tcMar>
              <w:top w:w="0" w:type="dxa"/>
              <w:left w:w="108" w:type="dxa"/>
              <w:bottom w:w="0" w:type="dxa"/>
              <w:right w:w="108" w:type="dxa"/>
            </w:tcMar>
            <w:vAlign w:val="bottom"/>
          </w:tcPr>
          <w:p w14:paraId="3A62907A"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3</w:t>
            </w:r>
          </w:p>
        </w:tc>
        <w:tc>
          <w:tcPr>
            <w:tcW w:w="1920" w:type="dxa"/>
            <w:shd w:val="clear" w:color="auto" w:fill="FFFFFF" w:themeFill="background1"/>
            <w:tcMar>
              <w:top w:w="0" w:type="dxa"/>
              <w:left w:w="108" w:type="dxa"/>
              <w:bottom w:w="0" w:type="dxa"/>
              <w:right w:w="108" w:type="dxa"/>
            </w:tcMar>
            <w:vAlign w:val="bottom"/>
          </w:tcPr>
          <w:p w14:paraId="724D7275"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APP/B</w:t>
            </w:r>
          </w:p>
        </w:tc>
        <w:tc>
          <w:tcPr>
            <w:tcW w:w="595" w:type="dxa"/>
            <w:shd w:val="clear" w:color="auto" w:fill="FFFFFF" w:themeFill="background1"/>
            <w:tcMar>
              <w:top w:w="0" w:type="dxa"/>
              <w:left w:w="108" w:type="dxa"/>
              <w:bottom w:w="0" w:type="dxa"/>
              <w:right w:w="108" w:type="dxa"/>
            </w:tcMar>
            <w:vAlign w:val="center"/>
          </w:tcPr>
          <w:p w14:paraId="202CE00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749C1BC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23E27EF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7" w:type="dxa"/>
            <w:shd w:val="clear" w:color="auto" w:fill="FFFFFF" w:themeFill="background1"/>
            <w:tcMar>
              <w:top w:w="0" w:type="dxa"/>
              <w:left w:w="108" w:type="dxa"/>
              <w:bottom w:w="0" w:type="dxa"/>
              <w:right w:w="108" w:type="dxa"/>
            </w:tcMar>
            <w:vAlign w:val="center"/>
          </w:tcPr>
          <w:p w14:paraId="432D329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5" w:type="dxa"/>
            <w:shd w:val="clear" w:color="auto" w:fill="FFFFFF" w:themeFill="background1"/>
            <w:tcMar>
              <w:top w:w="0" w:type="dxa"/>
              <w:left w:w="108" w:type="dxa"/>
              <w:bottom w:w="0" w:type="dxa"/>
              <w:right w:w="108" w:type="dxa"/>
            </w:tcMar>
            <w:vAlign w:val="center"/>
          </w:tcPr>
          <w:p w14:paraId="37FA2CB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1393016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09A90BA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7" w:type="dxa"/>
            <w:shd w:val="clear" w:color="auto" w:fill="FFFFFF" w:themeFill="background1"/>
            <w:tcMar>
              <w:top w:w="0" w:type="dxa"/>
              <w:left w:w="108" w:type="dxa"/>
              <w:bottom w:w="0" w:type="dxa"/>
              <w:right w:w="108" w:type="dxa"/>
            </w:tcMar>
            <w:vAlign w:val="center"/>
          </w:tcPr>
          <w:p w14:paraId="3531EE7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5" w:type="dxa"/>
            <w:shd w:val="clear" w:color="auto" w:fill="FFFFFF" w:themeFill="background1"/>
            <w:tcMar>
              <w:top w:w="0" w:type="dxa"/>
              <w:left w:w="108" w:type="dxa"/>
              <w:bottom w:w="0" w:type="dxa"/>
              <w:right w:w="108" w:type="dxa"/>
            </w:tcMar>
            <w:vAlign w:val="center"/>
          </w:tcPr>
          <w:p w14:paraId="57957C4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1CCCB89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74D2065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384A2C1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8" w:type="dxa"/>
            <w:gridSpan w:val="2"/>
            <w:shd w:val="clear" w:color="auto" w:fill="FFFFFF" w:themeFill="background1"/>
            <w:tcMar>
              <w:top w:w="0" w:type="dxa"/>
              <w:left w:w="108" w:type="dxa"/>
              <w:bottom w:w="0" w:type="dxa"/>
              <w:right w:w="108" w:type="dxa"/>
            </w:tcMar>
            <w:vAlign w:val="center"/>
          </w:tcPr>
          <w:p w14:paraId="108B662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25" w:type="dxa"/>
            <w:shd w:val="clear" w:color="auto" w:fill="FFFFFF" w:themeFill="background1"/>
            <w:tcMar>
              <w:top w:w="0" w:type="dxa"/>
              <w:left w:w="108" w:type="dxa"/>
              <w:bottom w:w="0" w:type="dxa"/>
              <w:right w:w="108" w:type="dxa"/>
            </w:tcMar>
            <w:vAlign w:val="center"/>
          </w:tcPr>
          <w:p w14:paraId="4ED98A5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3,45%</w:t>
            </w:r>
          </w:p>
        </w:tc>
        <w:tc>
          <w:tcPr>
            <w:tcW w:w="506" w:type="dxa"/>
            <w:shd w:val="clear" w:color="auto" w:fill="FFFFFF" w:themeFill="background1"/>
            <w:tcMar>
              <w:top w:w="0" w:type="dxa"/>
              <w:left w:w="108" w:type="dxa"/>
              <w:bottom w:w="0" w:type="dxa"/>
              <w:right w:w="108" w:type="dxa"/>
            </w:tcMar>
            <w:vAlign w:val="center"/>
          </w:tcPr>
          <w:p w14:paraId="0A9C94E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25" w:type="dxa"/>
            <w:shd w:val="clear" w:color="auto" w:fill="FFFFFF" w:themeFill="background1"/>
            <w:tcMar>
              <w:top w:w="0" w:type="dxa"/>
              <w:left w:w="108" w:type="dxa"/>
              <w:bottom w:w="0" w:type="dxa"/>
              <w:right w:w="108" w:type="dxa"/>
            </w:tcMar>
            <w:vAlign w:val="center"/>
          </w:tcPr>
          <w:p w14:paraId="34093A5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3,13%</w:t>
            </w:r>
          </w:p>
        </w:tc>
      </w:tr>
      <w:tr w:rsidR="00284822" w14:paraId="53B4D377" w14:textId="77777777">
        <w:trPr>
          <w:gridAfter w:val="1"/>
          <w:wAfter w:w="16" w:type="dxa"/>
          <w:trHeight w:val="133"/>
          <w:jc w:val="center"/>
        </w:trPr>
        <w:tc>
          <w:tcPr>
            <w:tcW w:w="849" w:type="dxa"/>
            <w:shd w:val="clear" w:color="auto" w:fill="FFFFFF" w:themeFill="background1"/>
            <w:noWrap/>
            <w:tcMar>
              <w:top w:w="0" w:type="dxa"/>
              <w:left w:w="108" w:type="dxa"/>
              <w:bottom w:w="0" w:type="dxa"/>
              <w:right w:w="108" w:type="dxa"/>
            </w:tcMar>
            <w:vAlign w:val="bottom"/>
          </w:tcPr>
          <w:p w14:paraId="32B6D646"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4</w:t>
            </w:r>
          </w:p>
        </w:tc>
        <w:tc>
          <w:tcPr>
            <w:tcW w:w="1920" w:type="dxa"/>
            <w:shd w:val="clear" w:color="auto" w:fill="FFFFFF" w:themeFill="background1"/>
            <w:tcMar>
              <w:top w:w="0" w:type="dxa"/>
              <w:left w:w="108" w:type="dxa"/>
              <w:bottom w:w="0" w:type="dxa"/>
              <w:right w:w="108" w:type="dxa"/>
            </w:tcMar>
            <w:vAlign w:val="bottom"/>
          </w:tcPr>
          <w:p w14:paraId="2B47028A"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ATD</w:t>
            </w:r>
          </w:p>
        </w:tc>
        <w:tc>
          <w:tcPr>
            <w:tcW w:w="595" w:type="dxa"/>
            <w:shd w:val="clear" w:color="auto" w:fill="FFFFFF" w:themeFill="background1"/>
            <w:tcMar>
              <w:top w:w="0" w:type="dxa"/>
              <w:left w:w="108" w:type="dxa"/>
              <w:bottom w:w="0" w:type="dxa"/>
              <w:right w:w="108" w:type="dxa"/>
            </w:tcMar>
            <w:vAlign w:val="center"/>
          </w:tcPr>
          <w:p w14:paraId="5E392A1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520FC86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42873B4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7" w:type="dxa"/>
            <w:shd w:val="clear" w:color="auto" w:fill="FFFFFF" w:themeFill="background1"/>
            <w:tcMar>
              <w:top w:w="0" w:type="dxa"/>
              <w:left w:w="108" w:type="dxa"/>
              <w:bottom w:w="0" w:type="dxa"/>
              <w:right w:w="108" w:type="dxa"/>
            </w:tcMar>
            <w:vAlign w:val="center"/>
          </w:tcPr>
          <w:p w14:paraId="58F91CC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5" w:type="dxa"/>
            <w:shd w:val="clear" w:color="auto" w:fill="FFFFFF" w:themeFill="background1"/>
            <w:tcMar>
              <w:top w:w="0" w:type="dxa"/>
              <w:left w:w="108" w:type="dxa"/>
              <w:bottom w:w="0" w:type="dxa"/>
              <w:right w:w="108" w:type="dxa"/>
            </w:tcMar>
            <w:vAlign w:val="center"/>
          </w:tcPr>
          <w:p w14:paraId="67D1FB4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7DA1855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3886584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7" w:type="dxa"/>
            <w:shd w:val="clear" w:color="auto" w:fill="FFFFFF" w:themeFill="background1"/>
            <w:tcMar>
              <w:top w:w="0" w:type="dxa"/>
              <w:left w:w="108" w:type="dxa"/>
              <w:bottom w:w="0" w:type="dxa"/>
              <w:right w:w="108" w:type="dxa"/>
            </w:tcMar>
            <w:vAlign w:val="center"/>
          </w:tcPr>
          <w:p w14:paraId="14F5F38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5" w:type="dxa"/>
            <w:shd w:val="clear" w:color="auto" w:fill="FFFFFF" w:themeFill="background1"/>
            <w:tcMar>
              <w:top w:w="0" w:type="dxa"/>
              <w:left w:w="108" w:type="dxa"/>
              <w:bottom w:w="0" w:type="dxa"/>
              <w:right w:w="108" w:type="dxa"/>
            </w:tcMar>
            <w:vAlign w:val="center"/>
          </w:tcPr>
          <w:p w14:paraId="3A8BC04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1E5B6B6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34336C6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33D2E1D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8" w:type="dxa"/>
            <w:gridSpan w:val="2"/>
            <w:shd w:val="clear" w:color="auto" w:fill="FFFFFF" w:themeFill="background1"/>
            <w:tcMar>
              <w:top w:w="0" w:type="dxa"/>
              <w:left w:w="108" w:type="dxa"/>
              <w:bottom w:w="0" w:type="dxa"/>
              <w:right w:w="108" w:type="dxa"/>
            </w:tcMar>
            <w:vAlign w:val="center"/>
          </w:tcPr>
          <w:p w14:paraId="3C2FE6C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14B6288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2B3EA08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1CA07BA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r>
      <w:tr w:rsidR="00284822" w14:paraId="5DC5DF23" w14:textId="77777777">
        <w:trPr>
          <w:gridAfter w:val="1"/>
          <w:wAfter w:w="16" w:type="dxa"/>
          <w:trHeight w:val="133"/>
          <w:jc w:val="center"/>
        </w:trPr>
        <w:tc>
          <w:tcPr>
            <w:tcW w:w="849" w:type="dxa"/>
            <w:shd w:val="clear" w:color="auto" w:fill="FFFFFF" w:themeFill="background1"/>
            <w:noWrap/>
            <w:tcMar>
              <w:top w:w="0" w:type="dxa"/>
              <w:left w:w="108" w:type="dxa"/>
              <w:bottom w:w="0" w:type="dxa"/>
              <w:right w:w="108" w:type="dxa"/>
            </w:tcMar>
            <w:vAlign w:val="bottom"/>
          </w:tcPr>
          <w:p w14:paraId="5B216A99"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5</w:t>
            </w:r>
          </w:p>
        </w:tc>
        <w:tc>
          <w:tcPr>
            <w:tcW w:w="1920" w:type="dxa"/>
            <w:shd w:val="clear" w:color="auto" w:fill="FFFFFF" w:themeFill="background1"/>
            <w:tcMar>
              <w:top w:w="0" w:type="dxa"/>
              <w:left w:w="108" w:type="dxa"/>
              <w:bottom w:w="0" w:type="dxa"/>
              <w:right w:w="108" w:type="dxa"/>
            </w:tcMar>
            <w:vAlign w:val="bottom"/>
          </w:tcPr>
          <w:p w14:paraId="2C035EC7"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CDP</w:t>
            </w:r>
          </w:p>
        </w:tc>
        <w:tc>
          <w:tcPr>
            <w:tcW w:w="595" w:type="dxa"/>
            <w:shd w:val="clear" w:color="auto" w:fill="FFFFFF" w:themeFill="background1"/>
            <w:tcMar>
              <w:top w:w="0" w:type="dxa"/>
              <w:left w:w="108" w:type="dxa"/>
              <w:bottom w:w="0" w:type="dxa"/>
              <w:right w:w="108" w:type="dxa"/>
            </w:tcMar>
            <w:vAlign w:val="center"/>
          </w:tcPr>
          <w:p w14:paraId="1857C10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3</w:t>
            </w:r>
          </w:p>
        </w:tc>
        <w:tc>
          <w:tcPr>
            <w:tcW w:w="1125" w:type="dxa"/>
            <w:shd w:val="clear" w:color="auto" w:fill="FFFFFF" w:themeFill="background1"/>
            <w:tcMar>
              <w:top w:w="0" w:type="dxa"/>
              <w:left w:w="108" w:type="dxa"/>
              <w:bottom w:w="0" w:type="dxa"/>
              <w:right w:w="108" w:type="dxa"/>
            </w:tcMar>
            <w:vAlign w:val="center"/>
          </w:tcPr>
          <w:p w14:paraId="7995D18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9,09%</w:t>
            </w:r>
          </w:p>
        </w:tc>
        <w:tc>
          <w:tcPr>
            <w:tcW w:w="506" w:type="dxa"/>
            <w:shd w:val="clear" w:color="auto" w:fill="FFFFFF" w:themeFill="background1"/>
            <w:tcMar>
              <w:top w:w="0" w:type="dxa"/>
              <w:left w:w="108" w:type="dxa"/>
              <w:bottom w:w="0" w:type="dxa"/>
              <w:right w:w="108" w:type="dxa"/>
            </w:tcMar>
            <w:vAlign w:val="center"/>
          </w:tcPr>
          <w:p w14:paraId="0393548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7</w:t>
            </w:r>
          </w:p>
        </w:tc>
        <w:tc>
          <w:tcPr>
            <w:tcW w:w="1127" w:type="dxa"/>
            <w:shd w:val="clear" w:color="auto" w:fill="FFFFFF" w:themeFill="background1"/>
            <w:tcMar>
              <w:top w:w="0" w:type="dxa"/>
              <w:left w:w="108" w:type="dxa"/>
              <w:bottom w:w="0" w:type="dxa"/>
              <w:right w:w="108" w:type="dxa"/>
            </w:tcMar>
            <w:vAlign w:val="center"/>
          </w:tcPr>
          <w:p w14:paraId="461D781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11,29%</w:t>
            </w:r>
          </w:p>
        </w:tc>
        <w:tc>
          <w:tcPr>
            <w:tcW w:w="595" w:type="dxa"/>
            <w:shd w:val="clear" w:color="auto" w:fill="FFFFFF" w:themeFill="background1"/>
            <w:tcMar>
              <w:top w:w="0" w:type="dxa"/>
              <w:left w:w="108" w:type="dxa"/>
              <w:bottom w:w="0" w:type="dxa"/>
              <w:right w:w="108" w:type="dxa"/>
            </w:tcMar>
            <w:vAlign w:val="center"/>
          </w:tcPr>
          <w:p w14:paraId="73959A3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12</w:t>
            </w:r>
          </w:p>
        </w:tc>
        <w:tc>
          <w:tcPr>
            <w:tcW w:w="1125" w:type="dxa"/>
            <w:shd w:val="clear" w:color="auto" w:fill="FFFFFF" w:themeFill="background1"/>
            <w:tcMar>
              <w:top w:w="0" w:type="dxa"/>
              <w:left w:w="108" w:type="dxa"/>
              <w:bottom w:w="0" w:type="dxa"/>
              <w:right w:w="108" w:type="dxa"/>
            </w:tcMar>
            <w:vAlign w:val="center"/>
          </w:tcPr>
          <w:p w14:paraId="4D4949B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17,65%</w:t>
            </w:r>
          </w:p>
        </w:tc>
        <w:tc>
          <w:tcPr>
            <w:tcW w:w="506" w:type="dxa"/>
            <w:shd w:val="clear" w:color="auto" w:fill="FFFFFF" w:themeFill="background1"/>
            <w:tcMar>
              <w:top w:w="0" w:type="dxa"/>
              <w:left w:w="108" w:type="dxa"/>
              <w:bottom w:w="0" w:type="dxa"/>
              <w:right w:w="108" w:type="dxa"/>
            </w:tcMar>
            <w:vAlign w:val="center"/>
          </w:tcPr>
          <w:p w14:paraId="0F9D5AA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17</w:t>
            </w:r>
          </w:p>
        </w:tc>
        <w:tc>
          <w:tcPr>
            <w:tcW w:w="1127" w:type="dxa"/>
            <w:shd w:val="clear" w:color="auto" w:fill="FFFFFF" w:themeFill="background1"/>
            <w:tcMar>
              <w:top w:w="0" w:type="dxa"/>
              <w:left w:w="108" w:type="dxa"/>
              <w:bottom w:w="0" w:type="dxa"/>
              <w:right w:w="108" w:type="dxa"/>
            </w:tcMar>
            <w:vAlign w:val="center"/>
          </w:tcPr>
          <w:p w14:paraId="22AA9CF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15,74%</w:t>
            </w:r>
          </w:p>
        </w:tc>
        <w:tc>
          <w:tcPr>
            <w:tcW w:w="595" w:type="dxa"/>
            <w:shd w:val="clear" w:color="auto" w:fill="FFFFFF" w:themeFill="background1"/>
            <w:tcMar>
              <w:top w:w="0" w:type="dxa"/>
              <w:left w:w="108" w:type="dxa"/>
              <w:bottom w:w="0" w:type="dxa"/>
              <w:right w:w="108" w:type="dxa"/>
            </w:tcMar>
            <w:vAlign w:val="center"/>
          </w:tcPr>
          <w:p w14:paraId="06549EB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18</w:t>
            </w:r>
          </w:p>
        </w:tc>
        <w:tc>
          <w:tcPr>
            <w:tcW w:w="1125" w:type="dxa"/>
            <w:shd w:val="clear" w:color="auto" w:fill="FFFFFF" w:themeFill="background1"/>
            <w:tcMar>
              <w:top w:w="0" w:type="dxa"/>
              <w:left w:w="108" w:type="dxa"/>
              <w:bottom w:w="0" w:type="dxa"/>
              <w:right w:w="108" w:type="dxa"/>
            </w:tcMar>
            <w:vAlign w:val="center"/>
          </w:tcPr>
          <w:p w14:paraId="7759133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24,66%</w:t>
            </w:r>
          </w:p>
        </w:tc>
        <w:tc>
          <w:tcPr>
            <w:tcW w:w="506" w:type="dxa"/>
            <w:shd w:val="clear" w:color="auto" w:fill="FFFFFF" w:themeFill="background1"/>
            <w:tcMar>
              <w:top w:w="0" w:type="dxa"/>
              <w:left w:w="108" w:type="dxa"/>
              <w:bottom w:w="0" w:type="dxa"/>
              <w:right w:w="108" w:type="dxa"/>
            </w:tcMar>
            <w:vAlign w:val="center"/>
          </w:tcPr>
          <w:p w14:paraId="2F43FFA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41</w:t>
            </w:r>
          </w:p>
        </w:tc>
        <w:tc>
          <w:tcPr>
            <w:tcW w:w="1125" w:type="dxa"/>
            <w:shd w:val="clear" w:color="auto" w:fill="FFFFFF" w:themeFill="background1"/>
            <w:tcMar>
              <w:top w:w="0" w:type="dxa"/>
              <w:left w:w="108" w:type="dxa"/>
              <w:bottom w:w="0" w:type="dxa"/>
              <w:right w:w="108" w:type="dxa"/>
            </w:tcMar>
            <w:vAlign w:val="center"/>
          </w:tcPr>
          <w:p w14:paraId="5EB454B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27,70%</w:t>
            </w:r>
          </w:p>
        </w:tc>
        <w:tc>
          <w:tcPr>
            <w:tcW w:w="598" w:type="dxa"/>
            <w:gridSpan w:val="2"/>
            <w:shd w:val="clear" w:color="auto" w:fill="FFFFFF" w:themeFill="background1"/>
            <w:tcMar>
              <w:top w:w="0" w:type="dxa"/>
              <w:left w:w="108" w:type="dxa"/>
              <w:bottom w:w="0" w:type="dxa"/>
              <w:right w:w="108" w:type="dxa"/>
            </w:tcMar>
            <w:vAlign w:val="center"/>
          </w:tcPr>
          <w:p w14:paraId="47227AD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5</w:t>
            </w:r>
          </w:p>
        </w:tc>
        <w:tc>
          <w:tcPr>
            <w:tcW w:w="1125" w:type="dxa"/>
            <w:shd w:val="clear" w:color="auto" w:fill="FFFFFF" w:themeFill="background1"/>
            <w:tcMar>
              <w:top w:w="0" w:type="dxa"/>
              <w:left w:w="108" w:type="dxa"/>
              <w:bottom w:w="0" w:type="dxa"/>
              <w:right w:w="108" w:type="dxa"/>
            </w:tcMar>
            <w:vAlign w:val="center"/>
          </w:tcPr>
          <w:p w14:paraId="10CEA6A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17,24%</w:t>
            </w:r>
          </w:p>
        </w:tc>
        <w:tc>
          <w:tcPr>
            <w:tcW w:w="506" w:type="dxa"/>
            <w:shd w:val="clear" w:color="auto" w:fill="FFFFFF" w:themeFill="background1"/>
            <w:tcMar>
              <w:top w:w="0" w:type="dxa"/>
              <w:left w:w="108" w:type="dxa"/>
              <w:bottom w:w="0" w:type="dxa"/>
              <w:right w:w="108" w:type="dxa"/>
            </w:tcMar>
            <w:vAlign w:val="center"/>
          </w:tcPr>
          <w:p w14:paraId="62DD134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5</w:t>
            </w:r>
          </w:p>
        </w:tc>
        <w:tc>
          <w:tcPr>
            <w:tcW w:w="1125" w:type="dxa"/>
            <w:shd w:val="clear" w:color="auto" w:fill="FFFFFF" w:themeFill="background1"/>
            <w:tcMar>
              <w:top w:w="0" w:type="dxa"/>
              <w:left w:w="108" w:type="dxa"/>
              <w:bottom w:w="0" w:type="dxa"/>
              <w:right w:w="108" w:type="dxa"/>
            </w:tcMar>
            <w:vAlign w:val="center"/>
          </w:tcPr>
          <w:p w14:paraId="5638D81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15,63%</w:t>
            </w:r>
          </w:p>
        </w:tc>
      </w:tr>
      <w:tr w:rsidR="00284822" w14:paraId="34D0CDD3" w14:textId="77777777">
        <w:trPr>
          <w:gridAfter w:val="1"/>
          <w:wAfter w:w="16" w:type="dxa"/>
          <w:trHeight w:val="133"/>
          <w:jc w:val="center"/>
        </w:trPr>
        <w:tc>
          <w:tcPr>
            <w:tcW w:w="849" w:type="dxa"/>
            <w:shd w:val="clear" w:color="auto" w:fill="FFFFFF" w:themeFill="background1"/>
            <w:noWrap/>
            <w:tcMar>
              <w:top w:w="0" w:type="dxa"/>
              <w:left w:w="108" w:type="dxa"/>
              <w:bottom w:w="0" w:type="dxa"/>
              <w:right w:w="108" w:type="dxa"/>
            </w:tcMar>
            <w:vAlign w:val="bottom"/>
          </w:tcPr>
          <w:p w14:paraId="0B0E2F30"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6</w:t>
            </w:r>
          </w:p>
        </w:tc>
        <w:tc>
          <w:tcPr>
            <w:tcW w:w="1920" w:type="dxa"/>
            <w:shd w:val="clear" w:color="auto" w:fill="FFFFFF" w:themeFill="background1"/>
            <w:tcMar>
              <w:top w:w="0" w:type="dxa"/>
              <w:left w:w="108" w:type="dxa"/>
              <w:bottom w:w="0" w:type="dxa"/>
              <w:right w:w="108" w:type="dxa"/>
            </w:tcMar>
            <w:vAlign w:val="bottom"/>
          </w:tcPr>
          <w:p w14:paraId="3A350660"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CRP</w:t>
            </w:r>
          </w:p>
        </w:tc>
        <w:tc>
          <w:tcPr>
            <w:tcW w:w="595" w:type="dxa"/>
            <w:shd w:val="clear" w:color="auto" w:fill="FFFFFF" w:themeFill="background1"/>
            <w:tcMar>
              <w:top w:w="0" w:type="dxa"/>
              <w:left w:w="108" w:type="dxa"/>
              <w:bottom w:w="0" w:type="dxa"/>
              <w:right w:w="108" w:type="dxa"/>
            </w:tcMar>
            <w:vAlign w:val="center"/>
          </w:tcPr>
          <w:p w14:paraId="1F4264B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511ECA7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254B5A4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7" w:type="dxa"/>
            <w:shd w:val="clear" w:color="auto" w:fill="FFFFFF" w:themeFill="background1"/>
            <w:tcMar>
              <w:top w:w="0" w:type="dxa"/>
              <w:left w:w="108" w:type="dxa"/>
              <w:bottom w:w="0" w:type="dxa"/>
              <w:right w:w="108" w:type="dxa"/>
            </w:tcMar>
            <w:vAlign w:val="center"/>
          </w:tcPr>
          <w:p w14:paraId="56D438F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5" w:type="dxa"/>
            <w:shd w:val="clear" w:color="auto" w:fill="FFFFFF" w:themeFill="background1"/>
            <w:tcMar>
              <w:top w:w="0" w:type="dxa"/>
              <w:left w:w="108" w:type="dxa"/>
              <w:bottom w:w="0" w:type="dxa"/>
              <w:right w:w="108" w:type="dxa"/>
            </w:tcMar>
            <w:vAlign w:val="center"/>
          </w:tcPr>
          <w:p w14:paraId="2699C19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73A43BE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7E9B17C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7" w:type="dxa"/>
            <w:shd w:val="clear" w:color="auto" w:fill="FFFFFF" w:themeFill="background1"/>
            <w:tcMar>
              <w:top w:w="0" w:type="dxa"/>
              <w:left w:w="108" w:type="dxa"/>
              <w:bottom w:w="0" w:type="dxa"/>
              <w:right w:w="108" w:type="dxa"/>
            </w:tcMar>
            <w:vAlign w:val="center"/>
          </w:tcPr>
          <w:p w14:paraId="1EEB5DA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5" w:type="dxa"/>
            <w:shd w:val="clear" w:color="auto" w:fill="FFFFFF" w:themeFill="background1"/>
            <w:tcMar>
              <w:top w:w="0" w:type="dxa"/>
              <w:left w:w="108" w:type="dxa"/>
              <w:bottom w:w="0" w:type="dxa"/>
              <w:right w:w="108" w:type="dxa"/>
            </w:tcMar>
            <w:vAlign w:val="center"/>
          </w:tcPr>
          <w:p w14:paraId="467459A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789F7BC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195BAE8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6D42231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8" w:type="dxa"/>
            <w:gridSpan w:val="2"/>
            <w:shd w:val="clear" w:color="auto" w:fill="FFFFFF" w:themeFill="background1"/>
            <w:tcMar>
              <w:top w:w="0" w:type="dxa"/>
              <w:left w:w="108" w:type="dxa"/>
              <w:bottom w:w="0" w:type="dxa"/>
              <w:right w:w="108" w:type="dxa"/>
            </w:tcMar>
            <w:vAlign w:val="center"/>
          </w:tcPr>
          <w:p w14:paraId="1D48105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70A82A2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7E65213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08B8CE5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r>
      <w:tr w:rsidR="00284822" w14:paraId="50F10F39" w14:textId="77777777">
        <w:trPr>
          <w:gridAfter w:val="1"/>
          <w:wAfter w:w="16" w:type="dxa"/>
          <w:trHeight w:val="133"/>
          <w:jc w:val="center"/>
        </w:trPr>
        <w:tc>
          <w:tcPr>
            <w:tcW w:w="849" w:type="dxa"/>
            <w:shd w:val="clear" w:color="auto" w:fill="FFFFFF" w:themeFill="background1"/>
            <w:noWrap/>
            <w:tcMar>
              <w:top w:w="0" w:type="dxa"/>
              <w:left w:w="108" w:type="dxa"/>
              <w:bottom w:w="0" w:type="dxa"/>
              <w:right w:w="108" w:type="dxa"/>
            </w:tcMar>
            <w:vAlign w:val="bottom"/>
          </w:tcPr>
          <w:p w14:paraId="4974F8E9"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7</w:t>
            </w:r>
          </w:p>
        </w:tc>
        <w:tc>
          <w:tcPr>
            <w:tcW w:w="1920" w:type="dxa"/>
            <w:shd w:val="clear" w:color="auto" w:fill="FFFFFF" w:themeFill="background1"/>
            <w:tcMar>
              <w:top w:w="0" w:type="dxa"/>
              <w:left w:w="108" w:type="dxa"/>
              <w:bottom w:w="0" w:type="dxa"/>
              <w:right w:w="108" w:type="dxa"/>
            </w:tcMar>
            <w:vAlign w:val="bottom"/>
          </w:tcPr>
          <w:p w14:paraId="277DD3A5"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FA</w:t>
            </w:r>
          </w:p>
        </w:tc>
        <w:tc>
          <w:tcPr>
            <w:tcW w:w="595" w:type="dxa"/>
            <w:shd w:val="clear" w:color="auto" w:fill="FFFFFF" w:themeFill="background1"/>
            <w:tcMar>
              <w:top w:w="0" w:type="dxa"/>
              <w:left w:w="108" w:type="dxa"/>
              <w:bottom w:w="0" w:type="dxa"/>
              <w:right w:w="108" w:type="dxa"/>
            </w:tcMar>
            <w:vAlign w:val="center"/>
          </w:tcPr>
          <w:p w14:paraId="212D21F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25" w:type="dxa"/>
            <w:shd w:val="clear" w:color="auto" w:fill="FFFFFF" w:themeFill="background1"/>
            <w:tcMar>
              <w:top w:w="0" w:type="dxa"/>
              <w:left w:w="108" w:type="dxa"/>
              <w:bottom w:w="0" w:type="dxa"/>
              <w:right w:w="108" w:type="dxa"/>
            </w:tcMar>
            <w:vAlign w:val="center"/>
          </w:tcPr>
          <w:p w14:paraId="5B7D672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3,03%</w:t>
            </w:r>
          </w:p>
        </w:tc>
        <w:tc>
          <w:tcPr>
            <w:tcW w:w="506" w:type="dxa"/>
            <w:shd w:val="clear" w:color="auto" w:fill="FFFFFF" w:themeFill="background1"/>
            <w:tcMar>
              <w:top w:w="0" w:type="dxa"/>
              <w:left w:w="108" w:type="dxa"/>
              <w:bottom w:w="0" w:type="dxa"/>
              <w:right w:w="108" w:type="dxa"/>
            </w:tcMar>
            <w:vAlign w:val="center"/>
          </w:tcPr>
          <w:p w14:paraId="74EA721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27" w:type="dxa"/>
            <w:shd w:val="clear" w:color="auto" w:fill="FFFFFF" w:themeFill="background1"/>
            <w:tcMar>
              <w:top w:w="0" w:type="dxa"/>
              <w:left w:w="108" w:type="dxa"/>
              <w:bottom w:w="0" w:type="dxa"/>
              <w:right w:w="108" w:type="dxa"/>
            </w:tcMar>
            <w:vAlign w:val="center"/>
          </w:tcPr>
          <w:p w14:paraId="6127EE6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1,61%</w:t>
            </w:r>
          </w:p>
        </w:tc>
        <w:tc>
          <w:tcPr>
            <w:tcW w:w="595" w:type="dxa"/>
            <w:shd w:val="clear" w:color="auto" w:fill="FFFFFF" w:themeFill="background1"/>
            <w:tcMar>
              <w:top w:w="0" w:type="dxa"/>
              <w:left w:w="108" w:type="dxa"/>
              <w:bottom w:w="0" w:type="dxa"/>
              <w:right w:w="108" w:type="dxa"/>
            </w:tcMar>
            <w:vAlign w:val="center"/>
          </w:tcPr>
          <w:p w14:paraId="53F14CE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125" w:type="dxa"/>
            <w:shd w:val="clear" w:color="auto" w:fill="FFFFFF" w:themeFill="background1"/>
            <w:tcMar>
              <w:top w:w="0" w:type="dxa"/>
              <w:left w:w="108" w:type="dxa"/>
              <w:bottom w:w="0" w:type="dxa"/>
              <w:right w:w="108" w:type="dxa"/>
            </w:tcMar>
            <w:vAlign w:val="center"/>
          </w:tcPr>
          <w:p w14:paraId="6B209DF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2,94%</w:t>
            </w:r>
          </w:p>
        </w:tc>
        <w:tc>
          <w:tcPr>
            <w:tcW w:w="506" w:type="dxa"/>
            <w:shd w:val="clear" w:color="auto" w:fill="FFFFFF" w:themeFill="background1"/>
            <w:tcMar>
              <w:top w:w="0" w:type="dxa"/>
              <w:left w:w="108" w:type="dxa"/>
              <w:bottom w:w="0" w:type="dxa"/>
              <w:right w:w="108" w:type="dxa"/>
            </w:tcMar>
            <w:vAlign w:val="center"/>
          </w:tcPr>
          <w:p w14:paraId="5D5A3C8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127" w:type="dxa"/>
            <w:shd w:val="clear" w:color="auto" w:fill="FFFFFF" w:themeFill="background1"/>
            <w:tcMar>
              <w:top w:w="0" w:type="dxa"/>
              <w:left w:w="108" w:type="dxa"/>
              <w:bottom w:w="0" w:type="dxa"/>
              <w:right w:w="108" w:type="dxa"/>
            </w:tcMar>
            <w:vAlign w:val="center"/>
          </w:tcPr>
          <w:p w14:paraId="69D1728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1,85%</w:t>
            </w:r>
          </w:p>
        </w:tc>
        <w:tc>
          <w:tcPr>
            <w:tcW w:w="595" w:type="dxa"/>
            <w:shd w:val="clear" w:color="auto" w:fill="FFFFFF" w:themeFill="background1"/>
            <w:tcMar>
              <w:top w:w="0" w:type="dxa"/>
              <w:left w:w="108" w:type="dxa"/>
              <w:bottom w:w="0" w:type="dxa"/>
              <w:right w:w="108" w:type="dxa"/>
            </w:tcMar>
            <w:vAlign w:val="center"/>
          </w:tcPr>
          <w:p w14:paraId="2324145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25" w:type="dxa"/>
            <w:shd w:val="clear" w:color="auto" w:fill="FFFFFF" w:themeFill="background1"/>
            <w:tcMar>
              <w:top w:w="0" w:type="dxa"/>
              <w:left w:w="108" w:type="dxa"/>
              <w:bottom w:w="0" w:type="dxa"/>
              <w:right w:w="108" w:type="dxa"/>
            </w:tcMar>
            <w:vAlign w:val="center"/>
          </w:tcPr>
          <w:p w14:paraId="3A2E13C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1,37%</w:t>
            </w:r>
          </w:p>
        </w:tc>
        <w:tc>
          <w:tcPr>
            <w:tcW w:w="506" w:type="dxa"/>
            <w:shd w:val="clear" w:color="auto" w:fill="FFFFFF" w:themeFill="background1"/>
            <w:tcMar>
              <w:top w:w="0" w:type="dxa"/>
              <w:left w:w="108" w:type="dxa"/>
              <w:bottom w:w="0" w:type="dxa"/>
              <w:right w:w="108" w:type="dxa"/>
            </w:tcMar>
            <w:vAlign w:val="center"/>
          </w:tcPr>
          <w:p w14:paraId="14B93A3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25" w:type="dxa"/>
            <w:shd w:val="clear" w:color="auto" w:fill="FFFFFF" w:themeFill="background1"/>
            <w:tcMar>
              <w:top w:w="0" w:type="dxa"/>
              <w:left w:w="108" w:type="dxa"/>
              <w:bottom w:w="0" w:type="dxa"/>
              <w:right w:w="108" w:type="dxa"/>
            </w:tcMar>
            <w:vAlign w:val="center"/>
          </w:tcPr>
          <w:p w14:paraId="20FA4A8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0,68%</w:t>
            </w:r>
          </w:p>
        </w:tc>
        <w:tc>
          <w:tcPr>
            <w:tcW w:w="598" w:type="dxa"/>
            <w:gridSpan w:val="2"/>
            <w:shd w:val="clear" w:color="auto" w:fill="FFFFFF" w:themeFill="background1"/>
            <w:tcMar>
              <w:top w:w="0" w:type="dxa"/>
              <w:left w:w="108" w:type="dxa"/>
              <w:bottom w:w="0" w:type="dxa"/>
              <w:right w:w="108" w:type="dxa"/>
            </w:tcMar>
            <w:vAlign w:val="center"/>
          </w:tcPr>
          <w:p w14:paraId="3D0A305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125" w:type="dxa"/>
            <w:shd w:val="clear" w:color="auto" w:fill="FFFFFF" w:themeFill="background1"/>
            <w:tcMar>
              <w:top w:w="0" w:type="dxa"/>
              <w:left w:w="108" w:type="dxa"/>
              <w:bottom w:w="0" w:type="dxa"/>
              <w:right w:w="108" w:type="dxa"/>
            </w:tcMar>
            <w:vAlign w:val="center"/>
          </w:tcPr>
          <w:p w14:paraId="4AEDCA9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6,90%</w:t>
            </w:r>
          </w:p>
        </w:tc>
        <w:tc>
          <w:tcPr>
            <w:tcW w:w="506" w:type="dxa"/>
            <w:shd w:val="clear" w:color="auto" w:fill="FFFFFF" w:themeFill="background1"/>
            <w:tcMar>
              <w:top w:w="0" w:type="dxa"/>
              <w:left w:w="108" w:type="dxa"/>
              <w:bottom w:w="0" w:type="dxa"/>
              <w:right w:w="108" w:type="dxa"/>
            </w:tcMar>
            <w:vAlign w:val="center"/>
          </w:tcPr>
          <w:p w14:paraId="1F81807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125" w:type="dxa"/>
            <w:shd w:val="clear" w:color="auto" w:fill="FFFFFF" w:themeFill="background1"/>
            <w:tcMar>
              <w:top w:w="0" w:type="dxa"/>
              <w:left w:w="108" w:type="dxa"/>
              <w:bottom w:w="0" w:type="dxa"/>
              <w:right w:w="108" w:type="dxa"/>
            </w:tcMar>
            <w:vAlign w:val="center"/>
          </w:tcPr>
          <w:p w14:paraId="4629E98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6,25%</w:t>
            </w:r>
          </w:p>
        </w:tc>
      </w:tr>
      <w:tr w:rsidR="00284822" w14:paraId="63562DF9" w14:textId="77777777">
        <w:trPr>
          <w:gridAfter w:val="1"/>
          <w:wAfter w:w="16" w:type="dxa"/>
          <w:trHeight w:val="133"/>
          <w:jc w:val="center"/>
        </w:trPr>
        <w:tc>
          <w:tcPr>
            <w:tcW w:w="849" w:type="dxa"/>
            <w:shd w:val="clear" w:color="auto" w:fill="FFFFFF" w:themeFill="background1"/>
            <w:noWrap/>
            <w:tcMar>
              <w:top w:w="0" w:type="dxa"/>
              <w:left w:w="108" w:type="dxa"/>
              <w:bottom w:w="0" w:type="dxa"/>
              <w:right w:w="108" w:type="dxa"/>
            </w:tcMar>
            <w:vAlign w:val="bottom"/>
          </w:tcPr>
          <w:p w14:paraId="4AE1F179"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8</w:t>
            </w:r>
          </w:p>
        </w:tc>
        <w:tc>
          <w:tcPr>
            <w:tcW w:w="1920" w:type="dxa"/>
            <w:shd w:val="clear" w:color="auto" w:fill="FFFFFF" w:themeFill="background1"/>
            <w:tcMar>
              <w:top w:w="0" w:type="dxa"/>
              <w:left w:w="108" w:type="dxa"/>
              <w:bottom w:w="0" w:type="dxa"/>
              <w:right w:w="108" w:type="dxa"/>
            </w:tcMar>
            <w:vAlign w:val="bottom"/>
          </w:tcPr>
          <w:p w14:paraId="58F97AC9"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FCD</w:t>
            </w:r>
          </w:p>
        </w:tc>
        <w:tc>
          <w:tcPr>
            <w:tcW w:w="595" w:type="dxa"/>
            <w:shd w:val="clear" w:color="auto" w:fill="FFFFFF" w:themeFill="background1"/>
            <w:tcMar>
              <w:top w:w="0" w:type="dxa"/>
              <w:left w:w="108" w:type="dxa"/>
              <w:bottom w:w="0" w:type="dxa"/>
              <w:right w:w="108" w:type="dxa"/>
            </w:tcMar>
            <w:vAlign w:val="center"/>
          </w:tcPr>
          <w:p w14:paraId="75E843F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6A84377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6D51B1D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7" w:type="dxa"/>
            <w:shd w:val="clear" w:color="auto" w:fill="FFFFFF" w:themeFill="background1"/>
            <w:tcMar>
              <w:top w:w="0" w:type="dxa"/>
              <w:left w:w="108" w:type="dxa"/>
              <w:bottom w:w="0" w:type="dxa"/>
              <w:right w:w="108" w:type="dxa"/>
            </w:tcMar>
            <w:vAlign w:val="center"/>
          </w:tcPr>
          <w:p w14:paraId="721F7EF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5" w:type="dxa"/>
            <w:shd w:val="clear" w:color="auto" w:fill="FFFFFF" w:themeFill="background1"/>
            <w:tcMar>
              <w:top w:w="0" w:type="dxa"/>
              <w:left w:w="108" w:type="dxa"/>
              <w:bottom w:w="0" w:type="dxa"/>
              <w:right w:w="108" w:type="dxa"/>
            </w:tcMar>
            <w:vAlign w:val="center"/>
          </w:tcPr>
          <w:p w14:paraId="3D575E4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5BC9278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4EFD6BE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7" w:type="dxa"/>
            <w:shd w:val="clear" w:color="auto" w:fill="FFFFFF" w:themeFill="background1"/>
            <w:tcMar>
              <w:top w:w="0" w:type="dxa"/>
              <w:left w:w="108" w:type="dxa"/>
              <w:bottom w:w="0" w:type="dxa"/>
              <w:right w:w="108" w:type="dxa"/>
            </w:tcMar>
            <w:vAlign w:val="center"/>
          </w:tcPr>
          <w:p w14:paraId="6B21A0A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5" w:type="dxa"/>
            <w:shd w:val="clear" w:color="auto" w:fill="FFFFFF" w:themeFill="background1"/>
            <w:tcMar>
              <w:top w:w="0" w:type="dxa"/>
              <w:left w:w="108" w:type="dxa"/>
              <w:bottom w:w="0" w:type="dxa"/>
              <w:right w:w="108" w:type="dxa"/>
            </w:tcMar>
            <w:vAlign w:val="center"/>
          </w:tcPr>
          <w:p w14:paraId="041C62A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5000BD6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476E655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7131B2E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8" w:type="dxa"/>
            <w:gridSpan w:val="2"/>
            <w:shd w:val="clear" w:color="auto" w:fill="FFFFFF" w:themeFill="background1"/>
            <w:tcMar>
              <w:top w:w="0" w:type="dxa"/>
              <w:left w:w="108" w:type="dxa"/>
              <w:bottom w:w="0" w:type="dxa"/>
              <w:right w:w="108" w:type="dxa"/>
            </w:tcMar>
            <w:vAlign w:val="center"/>
          </w:tcPr>
          <w:p w14:paraId="1AA9705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7148397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7AD22F7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6C75193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r>
      <w:tr w:rsidR="00284822" w14:paraId="1495FE30" w14:textId="77777777">
        <w:trPr>
          <w:gridAfter w:val="1"/>
          <w:wAfter w:w="16" w:type="dxa"/>
          <w:trHeight w:val="133"/>
          <w:jc w:val="center"/>
        </w:trPr>
        <w:tc>
          <w:tcPr>
            <w:tcW w:w="849" w:type="dxa"/>
            <w:shd w:val="clear" w:color="auto" w:fill="FFFFFF" w:themeFill="background1"/>
            <w:noWrap/>
            <w:tcMar>
              <w:top w:w="0" w:type="dxa"/>
              <w:left w:w="108" w:type="dxa"/>
              <w:bottom w:w="0" w:type="dxa"/>
              <w:right w:w="108" w:type="dxa"/>
            </w:tcMar>
            <w:vAlign w:val="bottom"/>
          </w:tcPr>
          <w:p w14:paraId="7C2E8A30"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9</w:t>
            </w:r>
          </w:p>
        </w:tc>
        <w:tc>
          <w:tcPr>
            <w:tcW w:w="1920" w:type="dxa"/>
            <w:shd w:val="clear" w:color="auto" w:fill="FFFFFF" w:themeFill="background1"/>
            <w:tcMar>
              <w:top w:w="0" w:type="dxa"/>
              <w:left w:w="108" w:type="dxa"/>
              <w:bottom w:w="0" w:type="dxa"/>
              <w:right w:w="108" w:type="dxa"/>
            </w:tcMar>
            <w:vAlign w:val="bottom"/>
          </w:tcPr>
          <w:p w14:paraId="20784063"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FP</w:t>
            </w:r>
          </w:p>
        </w:tc>
        <w:tc>
          <w:tcPr>
            <w:tcW w:w="595" w:type="dxa"/>
            <w:shd w:val="clear" w:color="auto" w:fill="FFFFFF" w:themeFill="background1"/>
            <w:tcMar>
              <w:top w:w="0" w:type="dxa"/>
              <w:left w:w="108" w:type="dxa"/>
              <w:bottom w:w="0" w:type="dxa"/>
              <w:right w:w="108" w:type="dxa"/>
            </w:tcMar>
            <w:vAlign w:val="center"/>
          </w:tcPr>
          <w:p w14:paraId="404ACDA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10BFBE7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26FB4D7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7" w:type="dxa"/>
            <w:shd w:val="clear" w:color="auto" w:fill="FFFFFF" w:themeFill="background1"/>
            <w:tcMar>
              <w:top w:w="0" w:type="dxa"/>
              <w:left w:w="108" w:type="dxa"/>
              <w:bottom w:w="0" w:type="dxa"/>
              <w:right w:w="108" w:type="dxa"/>
            </w:tcMar>
            <w:vAlign w:val="center"/>
          </w:tcPr>
          <w:p w14:paraId="11D7FE2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5" w:type="dxa"/>
            <w:shd w:val="clear" w:color="auto" w:fill="FFFFFF" w:themeFill="background1"/>
            <w:tcMar>
              <w:top w:w="0" w:type="dxa"/>
              <w:left w:w="108" w:type="dxa"/>
              <w:bottom w:w="0" w:type="dxa"/>
              <w:right w:w="108" w:type="dxa"/>
            </w:tcMar>
            <w:vAlign w:val="center"/>
          </w:tcPr>
          <w:p w14:paraId="263E579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40B4116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570B8CE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7" w:type="dxa"/>
            <w:shd w:val="clear" w:color="auto" w:fill="FFFFFF" w:themeFill="background1"/>
            <w:tcMar>
              <w:top w:w="0" w:type="dxa"/>
              <w:left w:w="108" w:type="dxa"/>
              <w:bottom w:w="0" w:type="dxa"/>
              <w:right w:w="108" w:type="dxa"/>
            </w:tcMar>
            <w:vAlign w:val="center"/>
          </w:tcPr>
          <w:p w14:paraId="712A665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5" w:type="dxa"/>
            <w:shd w:val="clear" w:color="auto" w:fill="FFFFFF" w:themeFill="background1"/>
            <w:tcMar>
              <w:top w:w="0" w:type="dxa"/>
              <w:left w:w="108" w:type="dxa"/>
              <w:bottom w:w="0" w:type="dxa"/>
              <w:right w:w="108" w:type="dxa"/>
            </w:tcMar>
            <w:vAlign w:val="center"/>
          </w:tcPr>
          <w:p w14:paraId="02A6112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37ED838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2DDC856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7FF68E5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8" w:type="dxa"/>
            <w:gridSpan w:val="2"/>
            <w:shd w:val="clear" w:color="auto" w:fill="FFFFFF" w:themeFill="background1"/>
            <w:tcMar>
              <w:top w:w="0" w:type="dxa"/>
              <w:left w:w="108" w:type="dxa"/>
              <w:bottom w:w="0" w:type="dxa"/>
              <w:right w:w="108" w:type="dxa"/>
            </w:tcMar>
            <w:vAlign w:val="center"/>
          </w:tcPr>
          <w:p w14:paraId="30BF9C3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41D8A02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2E84DE8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tcPr>
          <w:p w14:paraId="3A5972C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r>
      <w:tr w:rsidR="00284822" w14:paraId="30FD1F6B" w14:textId="77777777">
        <w:trPr>
          <w:gridAfter w:val="1"/>
          <w:wAfter w:w="16" w:type="dxa"/>
          <w:trHeight w:val="133"/>
          <w:jc w:val="center"/>
        </w:trPr>
        <w:tc>
          <w:tcPr>
            <w:tcW w:w="849" w:type="dxa"/>
            <w:shd w:val="clear" w:color="auto" w:fill="FFFFFF" w:themeFill="background1"/>
            <w:noWrap/>
            <w:tcMar>
              <w:top w:w="0" w:type="dxa"/>
              <w:left w:w="108" w:type="dxa"/>
              <w:bottom w:w="0" w:type="dxa"/>
              <w:right w:w="108" w:type="dxa"/>
            </w:tcMar>
            <w:vAlign w:val="bottom"/>
          </w:tcPr>
          <w:p w14:paraId="59453780"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10</w:t>
            </w:r>
          </w:p>
        </w:tc>
        <w:tc>
          <w:tcPr>
            <w:tcW w:w="1920" w:type="dxa"/>
            <w:shd w:val="clear" w:color="auto" w:fill="FFFFFF" w:themeFill="background1"/>
            <w:tcMar>
              <w:top w:w="0" w:type="dxa"/>
              <w:left w:w="108" w:type="dxa"/>
              <w:bottom w:w="0" w:type="dxa"/>
              <w:right w:w="108" w:type="dxa"/>
            </w:tcMar>
            <w:vAlign w:val="bottom"/>
          </w:tcPr>
          <w:p w14:paraId="4F6F0EF4"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FPC/Y</w:t>
            </w:r>
          </w:p>
        </w:tc>
        <w:tc>
          <w:tcPr>
            <w:tcW w:w="595" w:type="dxa"/>
            <w:shd w:val="clear" w:color="auto" w:fill="FFFFFF" w:themeFill="background1"/>
            <w:tcMar>
              <w:top w:w="0" w:type="dxa"/>
              <w:left w:w="108" w:type="dxa"/>
              <w:bottom w:w="0" w:type="dxa"/>
              <w:right w:w="108" w:type="dxa"/>
            </w:tcMar>
            <w:vAlign w:val="center"/>
          </w:tcPr>
          <w:p w14:paraId="729D7E3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1F00843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71DDD3B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7" w:type="dxa"/>
            <w:shd w:val="clear" w:color="auto" w:fill="FFFFFF" w:themeFill="background1"/>
            <w:tcMar>
              <w:top w:w="0" w:type="dxa"/>
              <w:left w:w="108" w:type="dxa"/>
              <w:bottom w:w="0" w:type="dxa"/>
              <w:right w:w="108" w:type="dxa"/>
            </w:tcMar>
            <w:vAlign w:val="center"/>
          </w:tcPr>
          <w:p w14:paraId="66106FE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5" w:type="dxa"/>
            <w:shd w:val="clear" w:color="auto" w:fill="FFFFFF" w:themeFill="background1"/>
            <w:tcMar>
              <w:top w:w="0" w:type="dxa"/>
              <w:left w:w="108" w:type="dxa"/>
              <w:bottom w:w="0" w:type="dxa"/>
              <w:right w:w="108" w:type="dxa"/>
            </w:tcMar>
            <w:vAlign w:val="center"/>
          </w:tcPr>
          <w:p w14:paraId="1FA2733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125" w:type="dxa"/>
            <w:shd w:val="clear" w:color="auto" w:fill="FFFFFF" w:themeFill="background1"/>
            <w:tcMar>
              <w:top w:w="0" w:type="dxa"/>
              <w:left w:w="108" w:type="dxa"/>
              <w:bottom w:w="0" w:type="dxa"/>
              <w:right w:w="108" w:type="dxa"/>
            </w:tcMar>
            <w:vAlign w:val="center"/>
          </w:tcPr>
          <w:p w14:paraId="362A236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2,94%</w:t>
            </w:r>
          </w:p>
        </w:tc>
        <w:tc>
          <w:tcPr>
            <w:tcW w:w="506" w:type="dxa"/>
            <w:shd w:val="clear" w:color="auto" w:fill="FFFFFF" w:themeFill="background1"/>
            <w:tcMar>
              <w:top w:w="0" w:type="dxa"/>
              <w:left w:w="108" w:type="dxa"/>
              <w:bottom w:w="0" w:type="dxa"/>
              <w:right w:w="108" w:type="dxa"/>
            </w:tcMar>
            <w:vAlign w:val="center"/>
          </w:tcPr>
          <w:p w14:paraId="099DD36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127" w:type="dxa"/>
            <w:shd w:val="clear" w:color="auto" w:fill="FFFFFF" w:themeFill="background1"/>
            <w:tcMar>
              <w:top w:w="0" w:type="dxa"/>
              <w:left w:w="108" w:type="dxa"/>
              <w:bottom w:w="0" w:type="dxa"/>
              <w:right w:w="108" w:type="dxa"/>
            </w:tcMar>
            <w:vAlign w:val="center"/>
          </w:tcPr>
          <w:p w14:paraId="06C4093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1,85%</w:t>
            </w:r>
          </w:p>
        </w:tc>
        <w:tc>
          <w:tcPr>
            <w:tcW w:w="595" w:type="dxa"/>
            <w:shd w:val="clear" w:color="auto" w:fill="FFFFFF" w:themeFill="background1"/>
            <w:tcMar>
              <w:top w:w="0" w:type="dxa"/>
              <w:left w:w="108" w:type="dxa"/>
              <w:bottom w:w="0" w:type="dxa"/>
              <w:right w:w="108" w:type="dxa"/>
            </w:tcMar>
            <w:vAlign w:val="center"/>
          </w:tcPr>
          <w:p w14:paraId="29A21A9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4AE2A84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745ED06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746E287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8" w:type="dxa"/>
            <w:gridSpan w:val="2"/>
            <w:shd w:val="clear" w:color="auto" w:fill="FFFFFF" w:themeFill="background1"/>
            <w:tcMar>
              <w:top w:w="0" w:type="dxa"/>
              <w:left w:w="108" w:type="dxa"/>
              <w:bottom w:w="0" w:type="dxa"/>
              <w:right w:w="108" w:type="dxa"/>
            </w:tcMar>
            <w:vAlign w:val="center"/>
          </w:tcPr>
          <w:p w14:paraId="4112E1F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0C73123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358E101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tcPr>
          <w:p w14:paraId="260BE28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r>
      <w:tr w:rsidR="00284822" w14:paraId="7953A3D1" w14:textId="77777777">
        <w:trPr>
          <w:gridAfter w:val="1"/>
          <w:wAfter w:w="16" w:type="dxa"/>
          <w:trHeight w:val="133"/>
          <w:jc w:val="center"/>
        </w:trPr>
        <w:tc>
          <w:tcPr>
            <w:tcW w:w="849" w:type="dxa"/>
            <w:shd w:val="clear" w:color="auto" w:fill="FFFFFF" w:themeFill="background1"/>
            <w:noWrap/>
            <w:tcMar>
              <w:top w:w="0" w:type="dxa"/>
              <w:left w:w="108" w:type="dxa"/>
              <w:bottom w:w="0" w:type="dxa"/>
              <w:right w:w="108" w:type="dxa"/>
            </w:tcMar>
            <w:vAlign w:val="bottom"/>
          </w:tcPr>
          <w:p w14:paraId="79AB1A51"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11</w:t>
            </w:r>
          </w:p>
        </w:tc>
        <w:tc>
          <w:tcPr>
            <w:tcW w:w="1920" w:type="dxa"/>
            <w:shd w:val="clear" w:color="auto" w:fill="FFFFFF" w:themeFill="background1"/>
            <w:tcMar>
              <w:top w:w="0" w:type="dxa"/>
              <w:left w:w="108" w:type="dxa"/>
              <w:bottom w:w="0" w:type="dxa"/>
              <w:right w:w="108" w:type="dxa"/>
            </w:tcMar>
            <w:vAlign w:val="bottom"/>
          </w:tcPr>
          <w:p w14:paraId="341D9C73"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FPR</w:t>
            </w:r>
          </w:p>
        </w:tc>
        <w:tc>
          <w:tcPr>
            <w:tcW w:w="595" w:type="dxa"/>
            <w:shd w:val="clear" w:color="auto" w:fill="FFFFFF" w:themeFill="background1"/>
            <w:tcMar>
              <w:top w:w="0" w:type="dxa"/>
              <w:left w:w="108" w:type="dxa"/>
              <w:bottom w:w="0" w:type="dxa"/>
              <w:right w:w="108" w:type="dxa"/>
            </w:tcMar>
            <w:vAlign w:val="center"/>
          </w:tcPr>
          <w:p w14:paraId="6F07A78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13B3491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6007462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7" w:type="dxa"/>
            <w:shd w:val="clear" w:color="auto" w:fill="FFFFFF" w:themeFill="background1"/>
            <w:tcMar>
              <w:top w:w="0" w:type="dxa"/>
              <w:left w:w="108" w:type="dxa"/>
              <w:bottom w:w="0" w:type="dxa"/>
              <w:right w:w="108" w:type="dxa"/>
            </w:tcMar>
            <w:vAlign w:val="center"/>
          </w:tcPr>
          <w:p w14:paraId="121A2CD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5" w:type="dxa"/>
            <w:shd w:val="clear" w:color="auto" w:fill="FFFFFF" w:themeFill="background1"/>
            <w:tcMar>
              <w:top w:w="0" w:type="dxa"/>
              <w:left w:w="108" w:type="dxa"/>
              <w:bottom w:w="0" w:type="dxa"/>
              <w:right w:w="108" w:type="dxa"/>
            </w:tcMar>
            <w:vAlign w:val="center"/>
          </w:tcPr>
          <w:p w14:paraId="1138021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125" w:type="dxa"/>
            <w:shd w:val="clear" w:color="auto" w:fill="FFFFFF" w:themeFill="background1"/>
            <w:tcMar>
              <w:top w:w="0" w:type="dxa"/>
              <w:left w:w="108" w:type="dxa"/>
              <w:bottom w:w="0" w:type="dxa"/>
              <w:right w:w="108" w:type="dxa"/>
            </w:tcMar>
            <w:vAlign w:val="center"/>
          </w:tcPr>
          <w:p w14:paraId="2CB3E93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2,94%</w:t>
            </w:r>
          </w:p>
        </w:tc>
        <w:tc>
          <w:tcPr>
            <w:tcW w:w="506" w:type="dxa"/>
            <w:shd w:val="clear" w:color="auto" w:fill="FFFFFF" w:themeFill="background1"/>
            <w:tcMar>
              <w:top w:w="0" w:type="dxa"/>
              <w:left w:w="108" w:type="dxa"/>
              <w:bottom w:w="0" w:type="dxa"/>
              <w:right w:w="108" w:type="dxa"/>
            </w:tcMar>
            <w:vAlign w:val="center"/>
          </w:tcPr>
          <w:p w14:paraId="0D07C9A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127" w:type="dxa"/>
            <w:shd w:val="clear" w:color="auto" w:fill="FFFFFF" w:themeFill="background1"/>
            <w:tcMar>
              <w:top w:w="0" w:type="dxa"/>
              <w:left w:w="108" w:type="dxa"/>
              <w:bottom w:w="0" w:type="dxa"/>
              <w:right w:w="108" w:type="dxa"/>
            </w:tcMar>
            <w:vAlign w:val="center"/>
          </w:tcPr>
          <w:p w14:paraId="7ED045F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1,85%</w:t>
            </w:r>
          </w:p>
        </w:tc>
        <w:tc>
          <w:tcPr>
            <w:tcW w:w="595" w:type="dxa"/>
            <w:shd w:val="clear" w:color="auto" w:fill="FFFFFF" w:themeFill="background1"/>
            <w:tcMar>
              <w:top w:w="0" w:type="dxa"/>
              <w:left w:w="108" w:type="dxa"/>
              <w:bottom w:w="0" w:type="dxa"/>
              <w:right w:w="108" w:type="dxa"/>
            </w:tcMar>
            <w:vAlign w:val="center"/>
          </w:tcPr>
          <w:p w14:paraId="1717F77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0D7D134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125A5BF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2F87219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8" w:type="dxa"/>
            <w:gridSpan w:val="2"/>
            <w:shd w:val="clear" w:color="auto" w:fill="FFFFFF" w:themeFill="background1"/>
            <w:tcMar>
              <w:top w:w="0" w:type="dxa"/>
              <w:left w:w="108" w:type="dxa"/>
              <w:bottom w:w="0" w:type="dxa"/>
              <w:right w:w="108" w:type="dxa"/>
            </w:tcMar>
            <w:vAlign w:val="center"/>
          </w:tcPr>
          <w:p w14:paraId="6E21932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1916F01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2005BA1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tcPr>
          <w:p w14:paraId="16C0B10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r>
      <w:tr w:rsidR="00284822" w14:paraId="01C54AA6" w14:textId="77777777">
        <w:trPr>
          <w:gridAfter w:val="1"/>
          <w:wAfter w:w="16" w:type="dxa"/>
          <w:trHeight w:val="133"/>
          <w:jc w:val="center"/>
        </w:trPr>
        <w:tc>
          <w:tcPr>
            <w:tcW w:w="849" w:type="dxa"/>
            <w:shd w:val="clear" w:color="auto" w:fill="FFFFFF" w:themeFill="background1"/>
            <w:noWrap/>
            <w:tcMar>
              <w:top w:w="0" w:type="dxa"/>
              <w:left w:w="108" w:type="dxa"/>
              <w:bottom w:w="0" w:type="dxa"/>
              <w:right w:w="108" w:type="dxa"/>
            </w:tcMar>
            <w:vAlign w:val="bottom"/>
          </w:tcPr>
          <w:p w14:paraId="18C08011"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12</w:t>
            </w:r>
          </w:p>
        </w:tc>
        <w:tc>
          <w:tcPr>
            <w:tcW w:w="1920" w:type="dxa"/>
            <w:shd w:val="clear" w:color="auto" w:fill="FFFFFF" w:themeFill="background1"/>
            <w:tcMar>
              <w:top w:w="0" w:type="dxa"/>
              <w:left w:w="108" w:type="dxa"/>
              <w:bottom w:w="0" w:type="dxa"/>
              <w:right w:w="108" w:type="dxa"/>
            </w:tcMar>
            <w:vAlign w:val="bottom"/>
          </w:tcPr>
          <w:p w14:paraId="2BFDB876"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L'AB/PSR</w:t>
            </w:r>
          </w:p>
        </w:tc>
        <w:tc>
          <w:tcPr>
            <w:tcW w:w="595" w:type="dxa"/>
            <w:shd w:val="clear" w:color="auto" w:fill="FFFFFF" w:themeFill="background1"/>
            <w:tcMar>
              <w:top w:w="0" w:type="dxa"/>
              <w:left w:w="108" w:type="dxa"/>
              <w:bottom w:w="0" w:type="dxa"/>
              <w:right w:w="108" w:type="dxa"/>
            </w:tcMar>
            <w:vAlign w:val="center"/>
          </w:tcPr>
          <w:p w14:paraId="3F9A47C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1CBF9C7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7DE35E6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7" w:type="dxa"/>
            <w:shd w:val="clear" w:color="auto" w:fill="FFFFFF" w:themeFill="background1"/>
            <w:tcMar>
              <w:top w:w="0" w:type="dxa"/>
              <w:left w:w="108" w:type="dxa"/>
              <w:bottom w:w="0" w:type="dxa"/>
              <w:right w:w="108" w:type="dxa"/>
            </w:tcMar>
            <w:vAlign w:val="center"/>
          </w:tcPr>
          <w:p w14:paraId="16A9339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5" w:type="dxa"/>
            <w:shd w:val="clear" w:color="auto" w:fill="FFFFFF" w:themeFill="background1"/>
            <w:tcMar>
              <w:top w:w="0" w:type="dxa"/>
              <w:left w:w="108" w:type="dxa"/>
              <w:bottom w:w="0" w:type="dxa"/>
              <w:right w:w="108" w:type="dxa"/>
            </w:tcMar>
            <w:vAlign w:val="center"/>
          </w:tcPr>
          <w:p w14:paraId="742DEFA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3</w:t>
            </w:r>
          </w:p>
        </w:tc>
        <w:tc>
          <w:tcPr>
            <w:tcW w:w="1125" w:type="dxa"/>
            <w:shd w:val="clear" w:color="auto" w:fill="FFFFFF" w:themeFill="background1"/>
            <w:tcMar>
              <w:top w:w="0" w:type="dxa"/>
              <w:left w:w="108" w:type="dxa"/>
              <w:bottom w:w="0" w:type="dxa"/>
              <w:right w:w="108" w:type="dxa"/>
            </w:tcMar>
            <w:vAlign w:val="center"/>
          </w:tcPr>
          <w:p w14:paraId="2150409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4,41%</w:t>
            </w:r>
          </w:p>
        </w:tc>
        <w:tc>
          <w:tcPr>
            <w:tcW w:w="506" w:type="dxa"/>
            <w:shd w:val="clear" w:color="auto" w:fill="FFFFFF" w:themeFill="background1"/>
            <w:tcMar>
              <w:top w:w="0" w:type="dxa"/>
              <w:left w:w="108" w:type="dxa"/>
              <w:bottom w:w="0" w:type="dxa"/>
              <w:right w:w="108" w:type="dxa"/>
            </w:tcMar>
            <w:vAlign w:val="center"/>
          </w:tcPr>
          <w:p w14:paraId="1ECB008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3</w:t>
            </w:r>
          </w:p>
        </w:tc>
        <w:tc>
          <w:tcPr>
            <w:tcW w:w="1127" w:type="dxa"/>
            <w:shd w:val="clear" w:color="auto" w:fill="FFFFFF" w:themeFill="background1"/>
            <w:tcMar>
              <w:top w:w="0" w:type="dxa"/>
              <w:left w:w="108" w:type="dxa"/>
              <w:bottom w:w="0" w:type="dxa"/>
              <w:right w:w="108" w:type="dxa"/>
            </w:tcMar>
            <w:vAlign w:val="center"/>
          </w:tcPr>
          <w:p w14:paraId="6CE017C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2,78%</w:t>
            </w:r>
          </w:p>
        </w:tc>
        <w:tc>
          <w:tcPr>
            <w:tcW w:w="595" w:type="dxa"/>
            <w:shd w:val="clear" w:color="auto" w:fill="FFFFFF" w:themeFill="background1"/>
            <w:tcMar>
              <w:top w:w="0" w:type="dxa"/>
              <w:left w:w="108" w:type="dxa"/>
              <w:bottom w:w="0" w:type="dxa"/>
              <w:right w:w="108" w:type="dxa"/>
            </w:tcMar>
            <w:vAlign w:val="center"/>
          </w:tcPr>
          <w:p w14:paraId="6BFE0EB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0C87EE2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55C74BD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59B6625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8" w:type="dxa"/>
            <w:gridSpan w:val="2"/>
            <w:shd w:val="clear" w:color="auto" w:fill="FFFFFF" w:themeFill="background1"/>
            <w:tcMar>
              <w:top w:w="0" w:type="dxa"/>
              <w:left w:w="108" w:type="dxa"/>
              <w:bottom w:w="0" w:type="dxa"/>
              <w:right w:w="108" w:type="dxa"/>
            </w:tcMar>
            <w:vAlign w:val="center"/>
          </w:tcPr>
          <w:p w14:paraId="44E82DA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1A2D1FE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502E143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tcPr>
          <w:p w14:paraId="12CA9BB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r>
      <w:tr w:rsidR="00284822" w14:paraId="654482A5" w14:textId="77777777">
        <w:trPr>
          <w:gridAfter w:val="1"/>
          <w:wAfter w:w="16" w:type="dxa"/>
          <w:trHeight w:val="133"/>
          <w:jc w:val="center"/>
        </w:trPr>
        <w:tc>
          <w:tcPr>
            <w:tcW w:w="849" w:type="dxa"/>
            <w:shd w:val="clear" w:color="auto" w:fill="FFFFFF" w:themeFill="background1"/>
            <w:noWrap/>
            <w:tcMar>
              <w:top w:w="0" w:type="dxa"/>
              <w:left w:w="108" w:type="dxa"/>
              <w:bottom w:w="0" w:type="dxa"/>
              <w:right w:w="108" w:type="dxa"/>
            </w:tcMar>
            <w:vAlign w:val="bottom"/>
          </w:tcPr>
          <w:p w14:paraId="08CD837F"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13</w:t>
            </w:r>
          </w:p>
        </w:tc>
        <w:tc>
          <w:tcPr>
            <w:tcW w:w="1920" w:type="dxa"/>
            <w:shd w:val="clear" w:color="auto" w:fill="FFFFFF" w:themeFill="background1"/>
            <w:tcMar>
              <w:top w:w="0" w:type="dxa"/>
              <w:left w:w="108" w:type="dxa"/>
              <w:bottom w:w="0" w:type="dxa"/>
              <w:right w:w="108" w:type="dxa"/>
            </w:tcMar>
            <w:vAlign w:val="bottom"/>
          </w:tcPr>
          <w:p w14:paraId="4F3A53AA"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LES DEMOC</w:t>
            </w:r>
          </w:p>
        </w:tc>
        <w:tc>
          <w:tcPr>
            <w:tcW w:w="595" w:type="dxa"/>
            <w:shd w:val="clear" w:color="auto" w:fill="FFFFFF" w:themeFill="background1"/>
            <w:tcMar>
              <w:top w:w="0" w:type="dxa"/>
              <w:left w:w="108" w:type="dxa"/>
              <w:bottom w:w="0" w:type="dxa"/>
              <w:right w:w="108" w:type="dxa"/>
            </w:tcMar>
            <w:vAlign w:val="center"/>
          </w:tcPr>
          <w:p w14:paraId="0BA877E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125" w:type="dxa"/>
            <w:shd w:val="clear" w:color="auto" w:fill="FFFFFF" w:themeFill="background1"/>
            <w:tcMar>
              <w:top w:w="0" w:type="dxa"/>
              <w:left w:w="108" w:type="dxa"/>
              <w:bottom w:w="0" w:type="dxa"/>
              <w:right w:w="108" w:type="dxa"/>
            </w:tcMar>
            <w:vAlign w:val="center"/>
          </w:tcPr>
          <w:p w14:paraId="590C39E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6,06%</w:t>
            </w:r>
          </w:p>
        </w:tc>
        <w:tc>
          <w:tcPr>
            <w:tcW w:w="506" w:type="dxa"/>
            <w:shd w:val="clear" w:color="auto" w:fill="FFFFFF" w:themeFill="background1"/>
            <w:tcMar>
              <w:top w:w="0" w:type="dxa"/>
              <w:left w:w="108" w:type="dxa"/>
              <w:bottom w:w="0" w:type="dxa"/>
              <w:right w:w="108" w:type="dxa"/>
            </w:tcMar>
            <w:vAlign w:val="center"/>
          </w:tcPr>
          <w:p w14:paraId="4515FEC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6</w:t>
            </w:r>
          </w:p>
        </w:tc>
        <w:tc>
          <w:tcPr>
            <w:tcW w:w="1127" w:type="dxa"/>
            <w:shd w:val="clear" w:color="auto" w:fill="FFFFFF" w:themeFill="background1"/>
            <w:tcMar>
              <w:top w:w="0" w:type="dxa"/>
              <w:left w:w="108" w:type="dxa"/>
              <w:bottom w:w="0" w:type="dxa"/>
              <w:right w:w="108" w:type="dxa"/>
            </w:tcMar>
            <w:vAlign w:val="center"/>
          </w:tcPr>
          <w:p w14:paraId="77DAEF8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9,68%</w:t>
            </w:r>
          </w:p>
        </w:tc>
        <w:tc>
          <w:tcPr>
            <w:tcW w:w="595" w:type="dxa"/>
            <w:shd w:val="clear" w:color="auto" w:fill="FFFFFF" w:themeFill="background1"/>
            <w:tcMar>
              <w:top w:w="0" w:type="dxa"/>
              <w:left w:w="108" w:type="dxa"/>
              <w:bottom w:w="0" w:type="dxa"/>
              <w:right w:w="108" w:type="dxa"/>
            </w:tcMar>
            <w:vAlign w:val="center"/>
          </w:tcPr>
          <w:p w14:paraId="2524F25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15714EF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36EF3A6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7" w:type="dxa"/>
            <w:shd w:val="clear" w:color="auto" w:fill="FFFFFF" w:themeFill="background1"/>
            <w:tcMar>
              <w:top w:w="0" w:type="dxa"/>
              <w:left w:w="108" w:type="dxa"/>
              <w:bottom w:w="0" w:type="dxa"/>
              <w:right w:w="108" w:type="dxa"/>
            </w:tcMar>
            <w:vAlign w:val="center"/>
          </w:tcPr>
          <w:p w14:paraId="129FCDF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5" w:type="dxa"/>
            <w:shd w:val="clear" w:color="auto" w:fill="FFFFFF" w:themeFill="background1"/>
            <w:tcMar>
              <w:top w:w="0" w:type="dxa"/>
              <w:left w:w="108" w:type="dxa"/>
              <w:bottom w:w="0" w:type="dxa"/>
              <w:right w:w="108" w:type="dxa"/>
            </w:tcMar>
            <w:vAlign w:val="center"/>
          </w:tcPr>
          <w:p w14:paraId="17AC788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125" w:type="dxa"/>
            <w:shd w:val="clear" w:color="auto" w:fill="FFFFFF" w:themeFill="background1"/>
            <w:tcMar>
              <w:top w:w="0" w:type="dxa"/>
              <w:left w:w="108" w:type="dxa"/>
              <w:bottom w:w="0" w:type="dxa"/>
              <w:right w:w="108" w:type="dxa"/>
            </w:tcMar>
            <w:vAlign w:val="center"/>
          </w:tcPr>
          <w:p w14:paraId="4E99CFE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2,74%</w:t>
            </w:r>
          </w:p>
        </w:tc>
        <w:tc>
          <w:tcPr>
            <w:tcW w:w="506" w:type="dxa"/>
            <w:shd w:val="clear" w:color="auto" w:fill="FFFFFF" w:themeFill="background1"/>
            <w:tcMar>
              <w:top w:w="0" w:type="dxa"/>
              <w:left w:w="108" w:type="dxa"/>
              <w:bottom w:w="0" w:type="dxa"/>
              <w:right w:w="108" w:type="dxa"/>
            </w:tcMar>
            <w:vAlign w:val="center"/>
          </w:tcPr>
          <w:p w14:paraId="7DC9B57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5</w:t>
            </w:r>
          </w:p>
        </w:tc>
        <w:tc>
          <w:tcPr>
            <w:tcW w:w="1125" w:type="dxa"/>
            <w:shd w:val="clear" w:color="auto" w:fill="FFFFFF" w:themeFill="background1"/>
            <w:tcMar>
              <w:top w:w="0" w:type="dxa"/>
              <w:left w:w="108" w:type="dxa"/>
              <w:bottom w:w="0" w:type="dxa"/>
              <w:right w:w="108" w:type="dxa"/>
            </w:tcMar>
            <w:vAlign w:val="center"/>
          </w:tcPr>
          <w:p w14:paraId="3E43B3A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3,38%</w:t>
            </w:r>
          </w:p>
        </w:tc>
        <w:tc>
          <w:tcPr>
            <w:tcW w:w="598" w:type="dxa"/>
            <w:gridSpan w:val="2"/>
            <w:shd w:val="clear" w:color="auto" w:fill="FFFFFF" w:themeFill="background1"/>
            <w:tcMar>
              <w:top w:w="0" w:type="dxa"/>
              <w:left w:w="108" w:type="dxa"/>
              <w:bottom w:w="0" w:type="dxa"/>
              <w:right w:w="108" w:type="dxa"/>
            </w:tcMar>
            <w:vAlign w:val="center"/>
          </w:tcPr>
          <w:p w14:paraId="464FFFA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060ECE4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010B7CB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tcPr>
          <w:p w14:paraId="30BD326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r>
      <w:tr w:rsidR="00284822" w14:paraId="67E24D10" w14:textId="77777777">
        <w:trPr>
          <w:gridAfter w:val="1"/>
          <w:wAfter w:w="16" w:type="dxa"/>
          <w:trHeight w:val="133"/>
          <w:jc w:val="center"/>
        </w:trPr>
        <w:tc>
          <w:tcPr>
            <w:tcW w:w="849" w:type="dxa"/>
            <w:shd w:val="clear" w:color="auto" w:fill="FFFFFF" w:themeFill="background1"/>
            <w:noWrap/>
            <w:tcMar>
              <w:top w:w="0" w:type="dxa"/>
              <w:left w:w="108" w:type="dxa"/>
              <w:bottom w:w="0" w:type="dxa"/>
              <w:right w:w="108" w:type="dxa"/>
            </w:tcMar>
            <w:vAlign w:val="bottom"/>
          </w:tcPr>
          <w:p w14:paraId="1054F3BC"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14</w:t>
            </w:r>
          </w:p>
        </w:tc>
        <w:tc>
          <w:tcPr>
            <w:tcW w:w="1920" w:type="dxa"/>
            <w:shd w:val="clear" w:color="auto" w:fill="FFFFFF" w:themeFill="background1"/>
            <w:tcMar>
              <w:top w:w="0" w:type="dxa"/>
              <w:left w:w="108" w:type="dxa"/>
              <w:bottom w:w="0" w:type="dxa"/>
              <w:right w:w="108" w:type="dxa"/>
            </w:tcMar>
            <w:vAlign w:val="bottom"/>
          </w:tcPr>
          <w:p w14:paraId="261731CA"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LMP</w:t>
            </w:r>
          </w:p>
        </w:tc>
        <w:tc>
          <w:tcPr>
            <w:tcW w:w="595" w:type="dxa"/>
            <w:shd w:val="clear" w:color="auto" w:fill="FFFFFF" w:themeFill="background1"/>
            <w:tcMar>
              <w:top w:w="0" w:type="dxa"/>
              <w:left w:w="108" w:type="dxa"/>
              <w:bottom w:w="0" w:type="dxa"/>
              <w:right w:w="108" w:type="dxa"/>
            </w:tcMar>
            <w:vAlign w:val="center"/>
          </w:tcPr>
          <w:p w14:paraId="62DDD89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73CAFA4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4CEFBB4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7" w:type="dxa"/>
            <w:shd w:val="clear" w:color="auto" w:fill="FFFFFF" w:themeFill="background1"/>
            <w:tcMar>
              <w:top w:w="0" w:type="dxa"/>
              <w:left w:w="108" w:type="dxa"/>
              <w:bottom w:w="0" w:type="dxa"/>
              <w:right w:w="108" w:type="dxa"/>
            </w:tcMar>
            <w:vAlign w:val="center"/>
          </w:tcPr>
          <w:p w14:paraId="23F04BA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5" w:type="dxa"/>
            <w:shd w:val="clear" w:color="auto" w:fill="FFFFFF" w:themeFill="background1"/>
            <w:tcMar>
              <w:top w:w="0" w:type="dxa"/>
              <w:left w:w="108" w:type="dxa"/>
              <w:bottom w:w="0" w:type="dxa"/>
              <w:right w:w="108" w:type="dxa"/>
            </w:tcMar>
            <w:vAlign w:val="center"/>
          </w:tcPr>
          <w:p w14:paraId="54938D6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3BA5722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551A118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7" w:type="dxa"/>
            <w:shd w:val="clear" w:color="auto" w:fill="FFFFFF" w:themeFill="background1"/>
            <w:tcMar>
              <w:top w:w="0" w:type="dxa"/>
              <w:left w:w="108" w:type="dxa"/>
              <w:bottom w:w="0" w:type="dxa"/>
              <w:right w:w="108" w:type="dxa"/>
            </w:tcMar>
            <w:vAlign w:val="center"/>
          </w:tcPr>
          <w:p w14:paraId="6420029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5" w:type="dxa"/>
            <w:shd w:val="clear" w:color="auto" w:fill="FFFFFF" w:themeFill="background1"/>
            <w:tcMar>
              <w:top w:w="0" w:type="dxa"/>
              <w:left w:w="108" w:type="dxa"/>
              <w:bottom w:w="0" w:type="dxa"/>
              <w:right w:w="108" w:type="dxa"/>
            </w:tcMar>
            <w:vAlign w:val="center"/>
          </w:tcPr>
          <w:p w14:paraId="3B10802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0311001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3E3DDE8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668ECF4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8" w:type="dxa"/>
            <w:gridSpan w:val="2"/>
            <w:shd w:val="clear" w:color="auto" w:fill="FFFFFF" w:themeFill="background1"/>
            <w:tcMar>
              <w:top w:w="0" w:type="dxa"/>
              <w:left w:w="108" w:type="dxa"/>
              <w:bottom w:w="0" w:type="dxa"/>
              <w:right w:w="108" w:type="dxa"/>
            </w:tcMar>
            <w:vAlign w:val="center"/>
          </w:tcPr>
          <w:p w14:paraId="0FB2359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42BF1CE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38C3A59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tcPr>
          <w:p w14:paraId="44B4D1D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r>
      <w:tr w:rsidR="00284822" w14:paraId="09708370" w14:textId="77777777">
        <w:trPr>
          <w:gridAfter w:val="1"/>
          <w:wAfter w:w="16" w:type="dxa"/>
          <w:trHeight w:val="133"/>
          <w:jc w:val="center"/>
        </w:trPr>
        <w:tc>
          <w:tcPr>
            <w:tcW w:w="849" w:type="dxa"/>
            <w:shd w:val="clear" w:color="auto" w:fill="FFFFFF" w:themeFill="background1"/>
            <w:noWrap/>
            <w:tcMar>
              <w:top w:w="0" w:type="dxa"/>
              <w:left w:w="108" w:type="dxa"/>
              <w:bottom w:w="0" w:type="dxa"/>
              <w:right w:w="108" w:type="dxa"/>
            </w:tcMar>
            <w:vAlign w:val="bottom"/>
          </w:tcPr>
          <w:p w14:paraId="6FB34E9A"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15</w:t>
            </w:r>
          </w:p>
        </w:tc>
        <w:tc>
          <w:tcPr>
            <w:tcW w:w="1920" w:type="dxa"/>
            <w:shd w:val="clear" w:color="auto" w:fill="FFFFFF" w:themeFill="background1"/>
            <w:tcMar>
              <w:top w:w="0" w:type="dxa"/>
              <w:left w:w="108" w:type="dxa"/>
              <w:bottom w:w="0" w:type="dxa"/>
              <w:right w:w="108" w:type="dxa"/>
            </w:tcMar>
            <w:vAlign w:val="bottom"/>
          </w:tcPr>
          <w:p w14:paraId="4CDB6A72"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MAE</w:t>
            </w:r>
          </w:p>
        </w:tc>
        <w:tc>
          <w:tcPr>
            <w:tcW w:w="595" w:type="dxa"/>
            <w:shd w:val="clear" w:color="auto" w:fill="FFFFFF" w:themeFill="background1"/>
            <w:tcMar>
              <w:top w:w="0" w:type="dxa"/>
              <w:left w:w="108" w:type="dxa"/>
              <w:bottom w:w="0" w:type="dxa"/>
              <w:right w:w="108" w:type="dxa"/>
            </w:tcMar>
            <w:vAlign w:val="center"/>
          </w:tcPr>
          <w:p w14:paraId="188F850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25" w:type="dxa"/>
            <w:shd w:val="clear" w:color="auto" w:fill="FFFFFF" w:themeFill="background1"/>
            <w:tcMar>
              <w:top w:w="0" w:type="dxa"/>
              <w:left w:w="108" w:type="dxa"/>
              <w:bottom w:w="0" w:type="dxa"/>
              <w:right w:w="108" w:type="dxa"/>
            </w:tcMar>
            <w:vAlign w:val="center"/>
          </w:tcPr>
          <w:p w14:paraId="54EF7A2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3,03%</w:t>
            </w:r>
          </w:p>
        </w:tc>
        <w:tc>
          <w:tcPr>
            <w:tcW w:w="506" w:type="dxa"/>
            <w:shd w:val="clear" w:color="auto" w:fill="FFFFFF" w:themeFill="background1"/>
            <w:tcMar>
              <w:top w:w="0" w:type="dxa"/>
              <w:left w:w="108" w:type="dxa"/>
              <w:bottom w:w="0" w:type="dxa"/>
              <w:right w:w="108" w:type="dxa"/>
            </w:tcMar>
            <w:vAlign w:val="center"/>
          </w:tcPr>
          <w:p w14:paraId="022DA90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27" w:type="dxa"/>
            <w:shd w:val="clear" w:color="auto" w:fill="FFFFFF" w:themeFill="background1"/>
            <w:tcMar>
              <w:top w:w="0" w:type="dxa"/>
              <w:left w:w="108" w:type="dxa"/>
              <w:bottom w:w="0" w:type="dxa"/>
              <w:right w:w="108" w:type="dxa"/>
            </w:tcMar>
            <w:vAlign w:val="center"/>
          </w:tcPr>
          <w:p w14:paraId="2CBAEF6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1,61%</w:t>
            </w:r>
          </w:p>
        </w:tc>
        <w:tc>
          <w:tcPr>
            <w:tcW w:w="595" w:type="dxa"/>
            <w:shd w:val="clear" w:color="auto" w:fill="FFFFFF" w:themeFill="background1"/>
            <w:tcMar>
              <w:top w:w="0" w:type="dxa"/>
              <w:left w:w="108" w:type="dxa"/>
              <w:bottom w:w="0" w:type="dxa"/>
              <w:right w:w="108" w:type="dxa"/>
            </w:tcMar>
            <w:vAlign w:val="center"/>
          </w:tcPr>
          <w:p w14:paraId="1A7F052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15F6A07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317788A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7" w:type="dxa"/>
            <w:shd w:val="clear" w:color="auto" w:fill="FFFFFF" w:themeFill="background1"/>
            <w:tcMar>
              <w:top w:w="0" w:type="dxa"/>
              <w:left w:w="108" w:type="dxa"/>
              <w:bottom w:w="0" w:type="dxa"/>
              <w:right w:w="108" w:type="dxa"/>
            </w:tcMar>
            <w:vAlign w:val="center"/>
          </w:tcPr>
          <w:p w14:paraId="51C2D6D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5" w:type="dxa"/>
            <w:shd w:val="clear" w:color="auto" w:fill="FFFFFF" w:themeFill="background1"/>
            <w:tcMar>
              <w:top w:w="0" w:type="dxa"/>
              <w:left w:w="108" w:type="dxa"/>
              <w:bottom w:w="0" w:type="dxa"/>
              <w:right w:w="108" w:type="dxa"/>
            </w:tcMar>
            <w:vAlign w:val="center"/>
          </w:tcPr>
          <w:p w14:paraId="3AB9FF2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0C7F5D3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0D27776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3E1C3FE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8" w:type="dxa"/>
            <w:gridSpan w:val="2"/>
            <w:shd w:val="clear" w:color="auto" w:fill="FFFFFF" w:themeFill="background1"/>
            <w:tcMar>
              <w:top w:w="0" w:type="dxa"/>
              <w:left w:w="108" w:type="dxa"/>
              <w:bottom w:w="0" w:type="dxa"/>
              <w:right w:w="108" w:type="dxa"/>
            </w:tcMar>
            <w:vAlign w:val="center"/>
          </w:tcPr>
          <w:p w14:paraId="5CCD1F9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4441E26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2E97A7F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tcPr>
          <w:p w14:paraId="0B13960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r>
      <w:tr w:rsidR="00284822" w14:paraId="77AD4DB4" w14:textId="77777777">
        <w:trPr>
          <w:gridAfter w:val="1"/>
          <w:wAfter w:w="16" w:type="dxa"/>
          <w:trHeight w:val="133"/>
          <w:jc w:val="center"/>
        </w:trPr>
        <w:tc>
          <w:tcPr>
            <w:tcW w:w="849" w:type="dxa"/>
            <w:shd w:val="clear" w:color="auto" w:fill="FFFFFF" w:themeFill="background1"/>
            <w:noWrap/>
            <w:tcMar>
              <w:top w:w="0" w:type="dxa"/>
              <w:left w:w="108" w:type="dxa"/>
              <w:bottom w:w="0" w:type="dxa"/>
              <w:right w:w="108" w:type="dxa"/>
            </w:tcMar>
            <w:vAlign w:val="bottom"/>
          </w:tcPr>
          <w:p w14:paraId="3C6F05D4"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16</w:t>
            </w:r>
          </w:p>
        </w:tc>
        <w:tc>
          <w:tcPr>
            <w:tcW w:w="1920" w:type="dxa"/>
            <w:shd w:val="clear" w:color="auto" w:fill="FFFFFF" w:themeFill="background1"/>
            <w:tcMar>
              <w:top w:w="0" w:type="dxa"/>
              <w:left w:w="108" w:type="dxa"/>
              <w:bottom w:w="0" w:type="dxa"/>
              <w:right w:w="108" w:type="dxa"/>
            </w:tcMar>
            <w:vAlign w:val="bottom"/>
          </w:tcPr>
          <w:p w14:paraId="0A3F5AF4"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MBF</w:t>
            </w:r>
          </w:p>
        </w:tc>
        <w:tc>
          <w:tcPr>
            <w:tcW w:w="595" w:type="dxa"/>
            <w:shd w:val="clear" w:color="auto" w:fill="FFFFFF" w:themeFill="background1"/>
            <w:tcMar>
              <w:top w:w="0" w:type="dxa"/>
              <w:left w:w="108" w:type="dxa"/>
              <w:bottom w:w="0" w:type="dxa"/>
              <w:right w:w="108" w:type="dxa"/>
            </w:tcMar>
            <w:vAlign w:val="center"/>
          </w:tcPr>
          <w:p w14:paraId="3B90FA5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43DFA75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76231A4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7" w:type="dxa"/>
            <w:shd w:val="clear" w:color="auto" w:fill="FFFFFF" w:themeFill="background1"/>
            <w:tcMar>
              <w:top w:w="0" w:type="dxa"/>
              <w:left w:w="108" w:type="dxa"/>
              <w:bottom w:w="0" w:type="dxa"/>
              <w:right w:w="108" w:type="dxa"/>
            </w:tcMar>
            <w:vAlign w:val="center"/>
          </w:tcPr>
          <w:p w14:paraId="3BB5058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5" w:type="dxa"/>
            <w:shd w:val="clear" w:color="auto" w:fill="FFFFFF" w:themeFill="background1"/>
            <w:tcMar>
              <w:top w:w="0" w:type="dxa"/>
              <w:left w:w="108" w:type="dxa"/>
              <w:bottom w:w="0" w:type="dxa"/>
              <w:right w:w="108" w:type="dxa"/>
            </w:tcMar>
            <w:vAlign w:val="center"/>
          </w:tcPr>
          <w:p w14:paraId="2AA26BD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25" w:type="dxa"/>
            <w:shd w:val="clear" w:color="auto" w:fill="FFFFFF" w:themeFill="background1"/>
            <w:tcMar>
              <w:top w:w="0" w:type="dxa"/>
              <w:left w:w="108" w:type="dxa"/>
              <w:bottom w:w="0" w:type="dxa"/>
              <w:right w:w="108" w:type="dxa"/>
            </w:tcMar>
            <w:vAlign w:val="center"/>
          </w:tcPr>
          <w:p w14:paraId="3410798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1,47%</w:t>
            </w:r>
          </w:p>
        </w:tc>
        <w:tc>
          <w:tcPr>
            <w:tcW w:w="506" w:type="dxa"/>
            <w:shd w:val="clear" w:color="auto" w:fill="FFFFFF" w:themeFill="background1"/>
            <w:tcMar>
              <w:top w:w="0" w:type="dxa"/>
              <w:left w:w="108" w:type="dxa"/>
              <w:bottom w:w="0" w:type="dxa"/>
              <w:right w:w="108" w:type="dxa"/>
            </w:tcMar>
            <w:vAlign w:val="center"/>
          </w:tcPr>
          <w:p w14:paraId="771379D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27" w:type="dxa"/>
            <w:shd w:val="clear" w:color="auto" w:fill="FFFFFF" w:themeFill="background1"/>
            <w:tcMar>
              <w:top w:w="0" w:type="dxa"/>
              <w:left w:w="108" w:type="dxa"/>
              <w:bottom w:w="0" w:type="dxa"/>
              <w:right w:w="108" w:type="dxa"/>
            </w:tcMar>
            <w:vAlign w:val="center"/>
          </w:tcPr>
          <w:p w14:paraId="4135739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0,93%</w:t>
            </w:r>
          </w:p>
        </w:tc>
        <w:tc>
          <w:tcPr>
            <w:tcW w:w="595" w:type="dxa"/>
            <w:shd w:val="clear" w:color="auto" w:fill="FFFFFF" w:themeFill="background1"/>
            <w:tcMar>
              <w:top w:w="0" w:type="dxa"/>
              <w:left w:w="108" w:type="dxa"/>
              <w:bottom w:w="0" w:type="dxa"/>
              <w:right w:w="108" w:type="dxa"/>
            </w:tcMar>
            <w:vAlign w:val="center"/>
          </w:tcPr>
          <w:p w14:paraId="3A9F21F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05E70BF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0BC22F7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33A4897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8" w:type="dxa"/>
            <w:gridSpan w:val="2"/>
            <w:shd w:val="clear" w:color="auto" w:fill="FFFFFF" w:themeFill="background1"/>
            <w:tcMar>
              <w:top w:w="0" w:type="dxa"/>
              <w:left w:w="108" w:type="dxa"/>
              <w:bottom w:w="0" w:type="dxa"/>
              <w:right w:w="108" w:type="dxa"/>
            </w:tcMar>
            <w:vAlign w:val="center"/>
          </w:tcPr>
          <w:p w14:paraId="4A3A061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2F07E61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5D11C18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tcPr>
          <w:p w14:paraId="0D39A64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r>
      <w:tr w:rsidR="00284822" w14:paraId="76EAFDD2" w14:textId="77777777">
        <w:trPr>
          <w:gridAfter w:val="1"/>
          <w:wAfter w:w="16" w:type="dxa"/>
          <w:trHeight w:val="133"/>
          <w:jc w:val="center"/>
        </w:trPr>
        <w:tc>
          <w:tcPr>
            <w:tcW w:w="849" w:type="dxa"/>
            <w:shd w:val="clear" w:color="auto" w:fill="FFFFFF" w:themeFill="background1"/>
            <w:noWrap/>
            <w:tcMar>
              <w:top w:w="0" w:type="dxa"/>
              <w:left w:w="108" w:type="dxa"/>
              <w:bottom w:w="0" w:type="dxa"/>
              <w:right w:w="108" w:type="dxa"/>
            </w:tcMar>
            <w:vAlign w:val="bottom"/>
          </w:tcPr>
          <w:p w14:paraId="4E8AF703"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17</w:t>
            </w:r>
          </w:p>
        </w:tc>
        <w:tc>
          <w:tcPr>
            <w:tcW w:w="1920" w:type="dxa"/>
            <w:shd w:val="clear" w:color="auto" w:fill="FFFFFF" w:themeFill="background1"/>
            <w:tcMar>
              <w:top w:w="0" w:type="dxa"/>
              <w:left w:w="108" w:type="dxa"/>
              <w:bottom w:w="0" w:type="dxa"/>
              <w:right w:w="108" w:type="dxa"/>
            </w:tcMar>
            <w:vAlign w:val="bottom"/>
          </w:tcPr>
          <w:p w14:paraId="44331B69"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MBU</w:t>
            </w:r>
          </w:p>
        </w:tc>
        <w:tc>
          <w:tcPr>
            <w:tcW w:w="595" w:type="dxa"/>
            <w:shd w:val="clear" w:color="auto" w:fill="FFFFFF" w:themeFill="background1"/>
            <w:tcMar>
              <w:top w:w="0" w:type="dxa"/>
              <w:left w:w="108" w:type="dxa"/>
              <w:bottom w:w="0" w:type="dxa"/>
              <w:right w:w="108" w:type="dxa"/>
            </w:tcMar>
            <w:vAlign w:val="center"/>
          </w:tcPr>
          <w:p w14:paraId="77AF658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1ED6085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1409C80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7" w:type="dxa"/>
            <w:shd w:val="clear" w:color="auto" w:fill="FFFFFF" w:themeFill="background1"/>
            <w:tcMar>
              <w:top w:w="0" w:type="dxa"/>
              <w:left w:w="108" w:type="dxa"/>
              <w:bottom w:w="0" w:type="dxa"/>
              <w:right w:w="108" w:type="dxa"/>
            </w:tcMar>
            <w:vAlign w:val="center"/>
          </w:tcPr>
          <w:p w14:paraId="564C25D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5" w:type="dxa"/>
            <w:shd w:val="clear" w:color="auto" w:fill="FFFFFF" w:themeFill="background1"/>
            <w:tcMar>
              <w:top w:w="0" w:type="dxa"/>
              <w:left w:w="108" w:type="dxa"/>
              <w:bottom w:w="0" w:type="dxa"/>
              <w:right w:w="108" w:type="dxa"/>
            </w:tcMar>
            <w:vAlign w:val="center"/>
          </w:tcPr>
          <w:p w14:paraId="425371E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1645A6D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091EBD4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7" w:type="dxa"/>
            <w:shd w:val="clear" w:color="auto" w:fill="FFFFFF" w:themeFill="background1"/>
            <w:tcMar>
              <w:top w:w="0" w:type="dxa"/>
              <w:left w:w="108" w:type="dxa"/>
              <w:bottom w:w="0" w:type="dxa"/>
              <w:right w:w="108" w:type="dxa"/>
            </w:tcMar>
            <w:vAlign w:val="center"/>
          </w:tcPr>
          <w:p w14:paraId="7B51377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5" w:type="dxa"/>
            <w:shd w:val="clear" w:color="auto" w:fill="FFFFFF" w:themeFill="background1"/>
            <w:tcMar>
              <w:top w:w="0" w:type="dxa"/>
              <w:left w:w="108" w:type="dxa"/>
              <w:bottom w:w="0" w:type="dxa"/>
              <w:right w:w="108" w:type="dxa"/>
            </w:tcMar>
            <w:vAlign w:val="center"/>
          </w:tcPr>
          <w:p w14:paraId="75C8EFA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389E880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34D61EF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156F6F3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8" w:type="dxa"/>
            <w:gridSpan w:val="2"/>
            <w:shd w:val="clear" w:color="auto" w:fill="FFFFFF" w:themeFill="background1"/>
            <w:tcMar>
              <w:top w:w="0" w:type="dxa"/>
              <w:left w:w="108" w:type="dxa"/>
              <w:bottom w:w="0" w:type="dxa"/>
              <w:right w:w="108" w:type="dxa"/>
            </w:tcMar>
            <w:vAlign w:val="center"/>
          </w:tcPr>
          <w:p w14:paraId="6F0B016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1442880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5768DDF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tcPr>
          <w:p w14:paraId="6D19194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r>
      <w:tr w:rsidR="00284822" w14:paraId="0EB0733F" w14:textId="77777777">
        <w:trPr>
          <w:gridAfter w:val="1"/>
          <w:wAfter w:w="16" w:type="dxa"/>
          <w:trHeight w:val="133"/>
          <w:jc w:val="center"/>
        </w:trPr>
        <w:tc>
          <w:tcPr>
            <w:tcW w:w="849" w:type="dxa"/>
            <w:shd w:val="clear" w:color="auto" w:fill="FFFFFF" w:themeFill="background1"/>
            <w:noWrap/>
            <w:tcMar>
              <w:top w:w="0" w:type="dxa"/>
              <w:left w:w="108" w:type="dxa"/>
              <w:bottom w:w="0" w:type="dxa"/>
              <w:right w:w="108" w:type="dxa"/>
            </w:tcMar>
            <w:vAlign w:val="bottom"/>
          </w:tcPr>
          <w:p w14:paraId="30186371"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18</w:t>
            </w:r>
          </w:p>
        </w:tc>
        <w:tc>
          <w:tcPr>
            <w:tcW w:w="1920" w:type="dxa"/>
            <w:shd w:val="clear" w:color="auto" w:fill="FFFFFF" w:themeFill="background1"/>
            <w:tcMar>
              <w:top w:w="0" w:type="dxa"/>
              <w:left w:w="108" w:type="dxa"/>
              <w:bottom w:w="0" w:type="dxa"/>
              <w:right w:w="108" w:type="dxa"/>
            </w:tcMar>
            <w:vAlign w:val="bottom"/>
          </w:tcPr>
          <w:p w14:paraId="32ABAD29"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MCR</w:t>
            </w:r>
          </w:p>
        </w:tc>
        <w:tc>
          <w:tcPr>
            <w:tcW w:w="595" w:type="dxa"/>
            <w:shd w:val="clear" w:color="auto" w:fill="FFFFFF" w:themeFill="background1"/>
            <w:tcMar>
              <w:top w:w="0" w:type="dxa"/>
              <w:left w:w="108" w:type="dxa"/>
              <w:bottom w:w="0" w:type="dxa"/>
              <w:right w:w="108" w:type="dxa"/>
            </w:tcMar>
            <w:vAlign w:val="center"/>
          </w:tcPr>
          <w:p w14:paraId="7F1EBFD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25" w:type="dxa"/>
            <w:shd w:val="clear" w:color="auto" w:fill="FFFFFF" w:themeFill="background1"/>
            <w:tcMar>
              <w:top w:w="0" w:type="dxa"/>
              <w:left w:w="108" w:type="dxa"/>
              <w:bottom w:w="0" w:type="dxa"/>
              <w:right w:w="108" w:type="dxa"/>
            </w:tcMar>
            <w:vAlign w:val="center"/>
          </w:tcPr>
          <w:p w14:paraId="59B2223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3,03%</w:t>
            </w:r>
          </w:p>
        </w:tc>
        <w:tc>
          <w:tcPr>
            <w:tcW w:w="506" w:type="dxa"/>
            <w:shd w:val="clear" w:color="auto" w:fill="FFFFFF" w:themeFill="background1"/>
            <w:tcMar>
              <w:top w:w="0" w:type="dxa"/>
              <w:left w:w="108" w:type="dxa"/>
              <w:bottom w:w="0" w:type="dxa"/>
              <w:right w:w="108" w:type="dxa"/>
            </w:tcMar>
            <w:vAlign w:val="center"/>
          </w:tcPr>
          <w:p w14:paraId="21D7C87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27" w:type="dxa"/>
            <w:shd w:val="clear" w:color="auto" w:fill="FFFFFF" w:themeFill="background1"/>
            <w:tcMar>
              <w:top w:w="0" w:type="dxa"/>
              <w:left w:w="108" w:type="dxa"/>
              <w:bottom w:w="0" w:type="dxa"/>
              <w:right w:w="108" w:type="dxa"/>
            </w:tcMar>
            <w:vAlign w:val="center"/>
          </w:tcPr>
          <w:p w14:paraId="6E31417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1,61%</w:t>
            </w:r>
          </w:p>
        </w:tc>
        <w:tc>
          <w:tcPr>
            <w:tcW w:w="595" w:type="dxa"/>
            <w:shd w:val="clear" w:color="auto" w:fill="FFFFFF" w:themeFill="background1"/>
            <w:tcMar>
              <w:top w:w="0" w:type="dxa"/>
              <w:left w:w="108" w:type="dxa"/>
              <w:bottom w:w="0" w:type="dxa"/>
              <w:right w:w="108" w:type="dxa"/>
            </w:tcMar>
            <w:vAlign w:val="center"/>
          </w:tcPr>
          <w:p w14:paraId="72A91E5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3</w:t>
            </w:r>
          </w:p>
        </w:tc>
        <w:tc>
          <w:tcPr>
            <w:tcW w:w="1125" w:type="dxa"/>
            <w:shd w:val="clear" w:color="auto" w:fill="FFFFFF" w:themeFill="background1"/>
            <w:tcMar>
              <w:top w:w="0" w:type="dxa"/>
              <w:left w:w="108" w:type="dxa"/>
              <w:bottom w:w="0" w:type="dxa"/>
              <w:right w:w="108" w:type="dxa"/>
            </w:tcMar>
            <w:vAlign w:val="center"/>
          </w:tcPr>
          <w:p w14:paraId="5CFEAF2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4,41%</w:t>
            </w:r>
          </w:p>
        </w:tc>
        <w:tc>
          <w:tcPr>
            <w:tcW w:w="506" w:type="dxa"/>
            <w:shd w:val="clear" w:color="auto" w:fill="FFFFFF" w:themeFill="background1"/>
            <w:tcMar>
              <w:top w:w="0" w:type="dxa"/>
              <w:left w:w="108" w:type="dxa"/>
              <w:bottom w:w="0" w:type="dxa"/>
              <w:right w:w="108" w:type="dxa"/>
            </w:tcMar>
            <w:vAlign w:val="center"/>
          </w:tcPr>
          <w:p w14:paraId="31931FA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6</w:t>
            </w:r>
          </w:p>
        </w:tc>
        <w:tc>
          <w:tcPr>
            <w:tcW w:w="1127" w:type="dxa"/>
            <w:shd w:val="clear" w:color="auto" w:fill="FFFFFF" w:themeFill="background1"/>
            <w:tcMar>
              <w:top w:w="0" w:type="dxa"/>
              <w:left w:w="108" w:type="dxa"/>
              <w:bottom w:w="0" w:type="dxa"/>
              <w:right w:w="108" w:type="dxa"/>
            </w:tcMar>
            <w:vAlign w:val="center"/>
          </w:tcPr>
          <w:p w14:paraId="7431F60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5,56%</w:t>
            </w:r>
          </w:p>
        </w:tc>
        <w:tc>
          <w:tcPr>
            <w:tcW w:w="595" w:type="dxa"/>
            <w:shd w:val="clear" w:color="auto" w:fill="FFFFFF" w:themeFill="background1"/>
            <w:tcMar>
              <w:top w:w="0" w:type="dxa"/>
              <w:left w:w="108" w:type="dxa"/>
              <w:bottom w:w="0" w:type="dxa"/>
              <w:right w:w="108" w:type="dxa"/>
            </w:tcMar>
            <w:vAlign w:val="center"/>
          </w:tcPr>
          <w:p w14:paraId="3BB8326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2472546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511C31E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41B45AB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8" w:type="dxa"/>
            <w:gridSpan w:val="2"/>
            <w:shd w:val="clear" w:color="auto" w:fill="FFFFFF" w:themeFill="background1"/>
            <w:tcMar>
              <w:top w:w="0" w:type="dxa"/>
              <w:left w:w="108" w:type="dxa"/>
              <w:bottom w:w="0" w:type="dxa"/>
              <w:right w:w="108" w:type="dxa"/>
            </w:tcMar>
            <w:vAlign w:val="center"/>
          </w:tcPr>
          <w:p w14:paraId="3F09F85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7C89598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3C3D73A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tcPr>
          <w:p w14:paraId="1C8AAA3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r>
      <w:tr w:rsidR="00284822" w14:paraId="1EAED058" w14:textId="77777777">
        <w:trPr>
          <w:gridAfter w:val="1"/>
          <w:wAfter w:w="16" w:type="dxa"/>
          <w:trHeight w:val="133"/>
          <w:jc w:val="center"/>
        </w:trPr>
        <w:tc>
          <w:tcPr>
            <w:tcW w:w="849" w:type="dxa"/>
            <w:shd w:val="clear" w:color="auto" w:fill="FFFFFF" w:themeFill="background1"/>
            <w:noWrap/>
            <w:tcMar>
              <w:top w:w="0" w:type="dxa"/>
              <w:left w:w="108" w:type="dxa"/>
              <w:bottom w:w="0" w:type="dxa"/>
              <w:right w:w="108" w:type="dxa"/>
            </w:tcMar>
            <w:vAlign w:val="bottom"/>
          </w:tcPr>
          <w:p w14:paraId="2241F003"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19</w:t>
            </w:r>
          </w:p>
        </w:tc>
        <w:tc>
          <w:tcPr>
            <w:tcW w:w="1920" w:type="dxa"/>
            <w:shd w:val="clear" w:color="auto" w:fill="FFFFFF" w:themeFill="background1"/>
            <w:tcMar>
              <w:top w:w="0" w:type="dxa"/>
              <w:left w:w="108" w:type="dxa"/>
              <w:bottom w:w="0" w:type="dxa"/>
              <w:right w:w="108" w:type="dxa"/>
            </w:tcMar>
            <w:vAlign w:val="bottom"/>
          </w:tcPr>
          <w:p w14:paraId="56A15870"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MDP-BF</w:t>
            </w:r>
          </w:p>
        </w:tc>
        <w:tc>
          <w:tcPr>
            <w:tcW w:w="595" w:type="dxa"/>
            <w:shd w:val="clear" w:color="auto" w:fill="FFFFFF" w:themeFill="background1"/>
            <w:tcMar>
              <w:top w:w="0" w:type="dxa"/>
              <w:left w:w="108" w:type="dxa"/>
              <w:bottom w:w="0" w:type="dxa"/>
              <w:right w:w="108" w:type="dxa"/>
            </w:tcMar>
            <w:vAlign w:val="center"/>
          </w:tcPr>
          <w:p w14:paraId="06CAA71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2779E8F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0AEC098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7" w:type="dxa"/>
            <w:shd w:val="clear" w:color="auto" w:fill="FFFFFF" w:themeFill="background1"/>
            <w:tcMar>
              <w:top w:w="0" w:type="dxa"/>
              <w:left w:w="108" w:type="dxa"/>
              <w:bottom w:w="0" w:type="dxa"/>
              <w:right w:w="108" w:type="dxa"/>
            </w:tcMar>
            <w:vAlign w:val="center"/>
          </w:tcPr>
          <w:p w14:paraId="1C355A4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5" w:type="dxa"/>
            <w:shd w:val="clear" w:color="auto" w:fill="FFFFFF" w:themeFill="background1"/>
            <w:tcMar>
              <w:top w:w="0" w:type="dxa"/>
              <w:left w:w="108" w:type="dxa"/>
              <w:bottom w:w="0" w:type="dxa"/>
              <w:right w:w="108" w:type="dxa"/>
            </w:tcMar>
            <w:vAlign w:val="center"/>
          </w:tcPr>
          <w:p w14:paraId="45D61DE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4246104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14EAE96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7" w:type="dxa"/>
            <w:shd w:val="clear" w:color="auto" w:fill="FFFFFF" w:themeFill="background1"/>
            <w:tcMar>
              <w:top w:w="0" w:type="dxa"/>
              <w:left w:w="108" w:type="dxa"/>
              <w:bottom w:w="0" w:type="dxa"/>
              <w:right w:w="108" w:type="dxa"/>
            </w:tcMar>
            <w:vAlign w:val="center"/>
          </w:tcPr>
          <w:p w14:paraId="1307FE9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5" w:type="dxa"/>
            <w:shd w:val="clear" w:color="auto" w:fill="FFFFFF" w:themeFill="background1"/>
            <w:tcMar>
              <w:top w:w="0" w:type="dxa"/>
              <w:left w:w="108" w:type="dxa"/>
              <w:bottom w:w="0" w:type="dxa"/>
              <w:right w:w="108" w:type="dxa"/>
            </w:tcMar>
            <w:vAlign w:val="center"/>
          </w:tcPr>
          <w:p w14:paraId="34BDA95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6B17207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71453A3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07D81B3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8" w:type="dxa"/>
            <w:gridSpan w:val="2"/>
            <w:shd w:val="clear" w:color="auto" w:fill="FFFFFF" w:themeFill="background1"/>
            <w:tcMar>
              <w:top w:w="0" w:type="dxa"/>
              <w:left w:w="108" w:type="dxa"/>
              <w:bottom w:w="0" w:type="dxa"/>
              <w:right w:w="108" w:type="dxa"/>
            </w:tcMar>
            <w:vAlign w:val="center"/>
          </w:tcPr>
          <w:p w14:paraId="0899CE5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0F8E085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56E2F3E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tcPr>
          <w:p w14:paraId="5BB3E04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r>
      <w:tr w:rsidR="00284822" w14:paraId="6C48AEF6" w14:textId="77777777">
        <w:trPr>
          <w:gridAfter w:val="1"/>
          <w:wAfter w:w="16" w:type="dxa"/>
          <w:trHeight w:val="133"/>
          <w:jc w:val="center"/>
        </w:trPr>
        <w:tc>
          <w:tcPr>
            <w:tcW w:w="849" w:type="dxa"/>
            <w:shd w:val="clear" w:color="auto" w:fill="FFFFFF" w:themeFill="background1"/>
            <w:noWrap/>
            <w:tcMar>
              <w:top w:w="0" w:type="dxa"/>
              <w:left w:w="108" w:type="dxa"/>
              <w:bottom w:w="0" w:type="dxa"/>
              <w:right w:w="108" w:type="dxa"/>
            </w:tcMar>
            <w:vAlign w:val="bottom"/>
          </w:tcPr>
          <w:p w14:paraId="337B7252"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20</w:t>
            </w:r>
          </w:p>
        </w:tc>
        <w:tc>
          <w:tcPr>
            <w:tcW w:w="1920" w:type="dxa"/>
            <w:shd w:val="clear" w:color="auto" w:fill="FFFFFF" w:themeFill="background1"/>
            <w:tcMar>
              <w:top w:w="0" w:type="dxa"/>
              <w:left w:w="108" w:type="dxa"/>
              <w:bottom w:w="0" w:type="dxa"/>
              <w:right w:w="108" w:type="dxa"/>
            </w:tcMar>
            <w:vAlign w:val="bottom"/>
          </w:tcPr>
          <w:p w14:paraId="21DD9007"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MODEM</w:t>
            </w:r>
          </w:p>
        </w:tc>
        <w:tc>
          <w:tcPr>
            <w:tcW w:w="595" w:type="dxa"/>
            <w:shd w:val="clear" w:color="auto" w:fill="FFFFFF" w:themeFill="background1"/>
            <w:tcMar>
              <w:top w:w="0" w:type="dxa"/>
              <w:left w:w="108" w:type="dxa"/>
              <w:bottom w:w="0" w:type="dxa"/>
              <w:right w:w="108" w:type="dxa"/>
            </w:tcMar>
            <w:vAlign w:val="center"/>
          </w:tcPr>
          <w:p w14:paraId="4BEB270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1744D9C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4763CE3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7" w:type="dxa"/>
            <w:shd w:val="clear" w:color="auto" w:fill="FFFFFF" w:themeFill="background1"/>
            <w:tcMar>
              <w:top w:w="0" w:type="dxa"/>
              <w:left w:w="108" w:type="dxa"/>
              <w:bottom w:w="0" w:type="dxa"/>
              <w:right w:w="108" w:type="dxa"/>
            </w:tcMar>
            <w:vAlign w:val="center"/>
          </w:tcPr>
          <w:p w14:paraId="5AEBA1F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5" w:type="dxa"/>
            <w:shd w:val="clear" w:color="auto" w:fill="FFFFFF" w:themeFill="background1"/>
            <w:tcMar>
              <w:top w:w="0" w:type="dxa"/>
              <w:left w:w="108" w:type="dxa"/>
              <w:bottom w:w="0" w:type="dxa"/>
              <w:right w:w="108" w:type="dxa"/>
            </w:tcMar>
            <w:vAlign w:val="center"/>
          </w:tcPr>
          <w:p w14:paraId="1CB0AC1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25" w:type="dxa"/>
            <w:shd w:val="clear" w:color="auto" w:fill="FFFFFF" w:themeFill="background1"/>
            <w:tcMar>
              <w:top w:w="0" w:type="dxa"/>
              <w:left w:w="108" w:type="dxa"/>
              <w:bottom w:w="0" w:type="dxa"/>
              <w:right w:w="108" w:type="dxa"/>
            </w:tcMar>
            <w:vAlign w:val="center"/>
          </w:tcPr>
          <w:p w14:paraId="40C5B1E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1,47%</w:t>
            </w:r>
          </w:p>
        </w:tc>
        <w:tc>
          <w:tcPr>
            <w:tcW w:w="506" w:type="dxa"/>
            <w:shd w:val="clear" w:color="auto" w:fill="FFFFFF" w:themeFill="background1"/>
            <w:tcMar>
              <w:top w:w="0" w:type="dxa"/>
              <w:left w:w="108" w:type="dxa"/>
              <w:bottom w:w="0" w:type="dxa"/>
              <w:right w:w="108" w:type="dxa"/>
            </w:tcMar>
            <w:vAlign w:val="center"/>
          </w:tcPr>
          <w:p w14:paraId="7B47182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127" w:type="dxa"/>
            <w:shd w:val="clear" w:color="auto" w:fill="FFFFFF" w:themeFill="background1"/>
            <w:tcMar>
              <w:top w:w="0" w:type="dxa"/>
              <w:left w:w="108" w:type="dxa"/>
              <w:bottom w:w="0" w:type="dxa"/>
              <w:right w:w="108" w:type="dxa"/>
            </w:tcMar>
            <w:vAlign w:val="center"/>
          </w:tcPr>
          <w:p w14:paraId="7176683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1,85%</w:t>
            </w:r>
          </w:p>
        </w:tc>
        <w:tc>
          <w:tcPr>
            <w:tcW w:w="595" w:type="dxa"/>
            <w:shd w:val="clear" w:color="auto" w:fill="FFFFFF" w:themeFill="background1"/>
            <w:tcMar>
              <w:top w:w="0" w:type="dxa"/>
              <w:left w:w="108" w:type="dxa"/>
              <w:bottom w:w="0" w:type="dxa"/>
              <w:right w:w="108" w:type="dxa"/>
            </w:tcMar>
            <w:vAlign w:val="center"/>
          </w:tcPr>
          <w:p w14:paraId="6688A39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22F8350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2716A28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2A66319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98" w:type="dxa"/>
            <w:gridSpan w:val="2"/>
            <w:shd w:val="clear" w:color="auto" w:fill="FFFFFF" w:themeFill="background1"/>
            <w:tcMar>
              <w:top w:w="0" w:type="dxa"/>
              <w:left w:w="108" w:type="dxa"/>
              <w:bottom w:w="0" w:type="dxa"/>
              <w:right w:w="108" w:type="dxa"/>
            </w:tcMar>
            <w:vAlign w:val="center"/>
          </w:tcPr>
          <w:p w14:paraId="2D8872A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66A4190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506" w:type="dxa"/>
            <w:shd w:val="clear" w:color="auto" w:fill="FFFFFF" w:themeFill="background1"/>
            <w:tcMar>
              <w:top w:w="0" w:type="dxa"/>
              <w:left w:w="108" w:type="dxa"/>
              <w:bottom w:w="0" w:type="dxa"/>
              <w:right w:w="108" w:type="dxa"/>
            </w:tcMar>
            <w:vAlign w:val="center"/>
          </w:tcPr>
          <w:p w14:paraId="40604A7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25" w:type="dxa"/>
            <w:shd w:val="clear" w:color="auto" w:fill="FFFFFF" w:themeFill="background1"/>
            <w:tcMar>
              <w:top w:w="0" w:type="dxa"/>
              <w:left w:w="108" w:type="dxa"/>
              <w:bottom w:w="0" w:type="dxa"/>
              <w:right w:w="108" w:type="dxa"/>
            </w:tcMar>
            <w:vAlign w:val="center"/>
          </w:tcPr>
          <w:p w14:paraId="4916019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r>
      <w:tr w:rsidR="00284822" w14:paraId="1D40131F" w14:textId="77777777">
        <w:trPr>
          <w:gridAfter w:val="1"/>
          <w:wAfter w:w="16" w:type="dxa"/>
          <w:trHeight w:val="133"/>
          <w:jc w:val="center"/>
        </w:trPr>
        <w:tc>
          <w:tcPr>
            <w:tcW w:w="849" w:type="dxa"/>
            <w:shd w:val="clear" w:color="auto" w:fill="FFFFFF" w:themeFill="background1"/>
            <w:noWrap/>
            <w:tcMar>
              <w:top w:w="0" w:type="dxa"/>
              <w:left w:w="108" w:type="dxa"/>
              <w:bottom w:w="0" w:type="dxa"/>
              <w:right w:w="108" w:type="dxa"/>
            </w:tcMar>
            <w:vAlign w:val="bottom"/>
          </w:tcPr>
          <w:p w14:paraId="3B6D05C9"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21</w:t>
            </w:r>
          </w:p>
        </w:tc>
        <w:tc>
          <w:tcPr>
            <w:tcW w:w="1920" w:type="dxa"/>
            <w:shd w:val="clear" w:color="auto" w:fill="FFFFFF" w:themeFill="background1"/>
            <w:tcMar>
              <w:top w:w="0" w:type="dxa"/>
              <w:left w:w="108" w:type="dxa"/>
              <w:bottom w:w="0" w:type="dxa"/>
              <w:right w:w="108" w:type="dxa"/>
            </w:tcMar>
            <w:vAlign w:val="bottom"/>
          </w:tcPr>
          <w:p w14:paraId="6083B195"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MPP</w:t>
            </w:r>
          </w:p>
        </w:tc>
        <w:tc>
          <w:tcPr>
            <w:tcW w:w="595" w:type="dxa"/>
            <w:shd w:val="clear" w:color="auto" w:fill="FFFFFF" w:themeFill="background1"/>
            <w:tcMar>
              <w:top w:w="0" w:type="dxa"/>
              <w:left w:w="108" w:type="dxa"/>
              <w:bottom w:w="0" w:type="dxa"/>
              <w:right w:w="108" w:type="dxa"/>
            </w:tcMar>
            <w:vAlign w:val="center"/>
          </w:tcPr>
          <w:p w14:paraId="3740787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8</w:t>
            </w:r>
          </w:p>
        </w:tc>
        <w:tc>
          <w:tcPr>
            <w:tcW w:w="1125" w:type="dxa"/>
            <w:shd w:val="clear" w:color="auto" w:fill="FFFFFF" w:themeFill="background1"/>
            <w:tcMar>
              <w:top w:w="0" w:type="dxa"/>
              <w:left w:w="108" w:type="dxa"/>
              <w:bottom w:w="0" w:type="dxa"/>
              <w:right w:w="108" w:type="dxa"/>
            </w:tcMar>
            <w:vAlign w:val="center"/>
          </w:tcPr>
          <w:p w14:paraId="3F5B720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24,24%</w:t>
            </w:r>
          </w:p>
        </w:tc>
        <w:tc>
          <w:tcPr>
            <w:tcW w:w="506" w:type="dxa"/>
            <w:shd w:val="clear" w:color="auto" w:fill="FFFFFF" w:themeFill="background1"/>
            <w:tcMar>
              <w:top w:w="0" w:type="dxa"/>
              <w:left w:w="108" w:type="dxa"/>
              <w:bottom w:w="0" w:type="dxa"/>
              <w:right w:w="108" w:type="dxa"/>
            </w:tcMar>
            <w:vAlign w:val="center"/>
          </w:tcPr>
          <w:p w14:paraId="32328B3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16</w:t>
            </w:r>
          </w:p>
        </w:tc>
        <w:tc>
          <w:tcPr>
            <w:tcW w:w="1127" w:type="dxa"/>
            <w:shd w:val="clear" w:color="auto" w:fill="FFFFFF" w:themeFill="background1"/>
            <w:tcMar>
              <w:top w:w="0" w:type="dxa"/>
              <w:left w:w="108" w:type="dxa"/>
              <w:bottom w:w="0" w:type="dxa"/>
              <w:right w:w="108" w:type="dxa"/>
            </w:tcMar>
            <w:vAlign w:val="center"/>
          </w:tcPr>
          <w:p w14:paraId="58130BC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25,81%</w:t>
            </w:r>
          </w:p>
        </w:tc>
        <w:tc>
          <w:tcPr>
            <w:tcW w:w="595" w:type="dxa"/>
            <w:shd w:val="clear" w:color="auto" w:fill="FFFFFF" w:themeFill="background1"/>
            <w:tcMar>
              <w:top w:w="0" w:type="dxa"/>
              <w:left w:w="108" w:type="dxa"/>
              <w:bottom w:w="0" w:type="dxa"/>
              <w:right w:w="108" w:type="dxa"/>
            </w:tcMar>
            <w:vAlign w:val="center"/>
          </w:tcPr>
          <w:p w14:paraId="6DB6B7F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19</w:t>
            </w:r>
          </w:p>
        </w:tc>
        <w:tc>
          <w:tcPr>
            <w:tcW w:w="1125" w:type="dxa"/>
            <w:shd w:val="clear" w:color="auto" w:fill="FFFFFF" w:themeFill="background1"/>
            <w:tcMar>
              <w:top w:w="0" w:type="dxa"/>
              <w:left w:w="108" w:type="dxa"/>
              <w:bottom w:w="0" w:type="dxa"/>
              <w:right w:w="108" w:type="dxa"/>
            </w:tcMar>
            <w:vAlign w:val="center"/>
          </w:tcPr>
          <w:p w14:paraId="15BD4CB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27,94%</w:t>
            </w:r>
          </w:p>
        </w:tc>
        <w:tc>
          <w:tcPr>
            <w:tcW w:w="506" w:type="dxa"/>
            <w:shd w:val="clear" w:color="auto" w:fill="FFFFFF" w:themeFill="background1"/>
            <w:tcMar>
              <w:top w:w="0" w:type="dxa"/>
              <w:left w:w="108" w:type="dxa"/>
              <w:bottom w:w="0" w:type="dxa"/>
              <w:right w:w="108" w:type="dxa"/>
            </w:tcMar>
            <w:vAlign w:val="center"/>
          </w:tcPr>
          <w:p w14:paraId="1A33C57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42</w:t>
            </w:r>
          </w:p>
        </w:tc>
        <w:tc>
          <w:tcPr>
            <w:tcW w:w="1127" w:type="dxa"/>
            <w:shd w:val="clear" w:color="auto" w:fill="FFFFFF" w:themeFill="background1"/>
            <w:tcMar>
              <w:top w:w="0" w:type="dxa"/>
              <w:left w:w="108" w:type="dxa"/>
              <w:bottom w:w="0" w:type="dxa"/>
              <w:right w:w="108" w:type="dxa"/>
            </w:tcMar>
            <w:vAlign w:val="center"/>
          </w:tcPr>
          <w:p w14:paraId="4F2A612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38,89%</w:t>
            </w:r>
          </w:p>
        </w:tc>
        <w:tc>
          <w:tcPr>
            <w:tcW w:w="595" w:type="dxa"/>
            <w:shd w:val="clear" w:color="auto" w:fill="FFFFFF" w:themeFill="background1"/>
            <w:tcMar>
              <w:top w:w="0" w:type="dxa"/>
              <w:left w:w="108" w:type="dxa"/>
              <w:bottom w:w="0" w:type="dxa"/>
              <w:right w:w="108" w:type="dxa"/>
            </w:tcMar>
            <w:vAlign w:val="center"/>
          </w:tcPr>
          <w:p w14:paraId="27DE24F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10</w:t>
            </w:r>
          </w:p>
        </w:tc>
        <w:tc>
          <w:tcPr>
            <w:tcW w:w="1125" w:type="dxa"/>
            <w:shd w:val="clear" w:color="auto" w:fill="FFFFFF" w:themeFill="background1"/>
            <w:tcMar>
              <w:top w:w="0" w:type="dxa"/>
              <w:left w:w="108" w:type="dxa"/>
              <w:bottom w:w="0" w:type="dxa"/>
              <w:right w:w="108" w:type="dxa"/>
            </w:tcMar>
            <w:vAlign w:val="center"/>
          </w:tcPr>
          <w:p w14:paraId="103C944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13,70%</w:t>
            </w:r>
          </w:p>
        </w:tc>
        <w:tc>
          <w:tcPr>
            <w:tcW w:w="506" w:type="dxa"/>
            <w:shd w:val="clear" w:color="auto" w:fill="FFFFFF" w:themeFill="background1"/>
            <w:tcMar>
              <w:top w:w="0" w:type="dxa"/>
              <w:left w:w="108" w:type="dxa"/>
              <w:bottom w:w="0" w:type="dxa"/>
              <w:right w:w="108" w:type="dxa"/>
            </w:tcMar>
            <w:vAlign w:val="center"/>
          </w:tcPr>
          <w:p w14:paraId="7F1180B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17</w:t>
            </w:r>
          </w:p>
        </w:tc>
        <w:tc>
          <w:tcPr>
            <w:tcW w:w="1125" w:type="dxa"/>
            <w:shd w:val="clear" w:color="auto" w:fill="FFFFFF" w:themeFill="background1"/>
            <w:tcMar>
              <w:top w:w="0" w:type="dxa"/>
              <w:left w:w="108" w:type="dxa"/>
              <w:bottom w:w="0" w:type="dxa"/>
              <w:right w:w="108" w:type="dxa"/>
            </w:tcMar>
            <w:vAlign w:val="center"/>
          </w:tcPr>
          <w:p w14:paraId="5D8408A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11,49%</w:t>
            </w:r>
          </w:p>
        </w:tc>
        <w:tc>
          <w:tcPr>
            <w:tcW w:w="598" w:type="dxa"/>
            <w:gridSpan w:val="2"/>
            <w:shd w:val="clear" w:color="auto" w:fill="FFFFFF" w:themeFill="background1"/>
            <w:tcMar>
              <w:top w:w="0" w:type="dxa"/>
              <w:left w:w="108" w:type="dxa"/>
              <w:bottom w:w="0" w:type="dxa"/>
              <w:right w:w="108" w:type="dxa"/>
            </w:tcMar>
            <w:vAlign w:val="center"/>
          </w:tcPr>
          <w:p w14:paraId="2D4BF70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12</w:t>
            </w:r>
          </w:p>
        </w:tc>
        <w:tc>
          <w:tcPr>
            <w:tcW w:w="1125" w:type="dxa"/>
            <w:shd w:val="clear" w:color="auto" w:fill="FFFFFF" w:themeFill="background1"/>
            <w:tcMar>
              <w:top w:w="0" w:type="dxa"/>
              <w:left w:w="108" w:type="dxa"/>
              <w:bottom w:w="0" w:type="dxa"/>
              <w:right w:w="108" w:type="dxa"/>
            </w:tcMar>
            <w:vAlign w:val="center"/>
          </w:tcPr>
          <w:p w14:paraId="564FDE7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41,38%</w:t>
            </w:r>
          </w:p>
        </w:tc>
        <w:tc>
          <w:tcPr>
            <w:tcW w:w="506" w:type="dxa"/>
            <w:shd w:val="clear" w:color="auto" w:fill="FFFFFF" w:themeFill="background1"/>
            <w:tcMar>
              <w:top w:w="0" w:type="dxa"/>
              <w:left w:w="108" w:type="dxa"/>
              <w:bottom w:w="0" w:type="dxa"/>
              <w:right w:w="108" w:type="dxa"/>
            </w:tcMar>
            <w:vAlign w:val="center"/>
          </w:tcPr>
          <w:p w14:paraId="51176EA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14</w:t>
            </w:r>
          </w:p>
        </w:tc>
        <w:tc>
          <w:tcPr>
            <w:tcW w:w="1125" w:type="dxa"/>
            <w:shd w:val="clear" w:color="auto" w:fill="FFFFFF" w:themeFill="background1"/>
            <w:tcMar>
              <w:top w:w="0" w:type="dxa"/>
              <w:left w:w="108" w:type="dxa"/>
              <w:bottom w:w="0" w:type="dxa"/>
              <w:right w:w="108" w:type="dxa"/>
            </w:tcMar>
            <w:vAlign w:val="center"/>
          </w:tcPr>
          <w:p w14:paraId="0AFCBF3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43,75%</w:t>
            </w:r>
          </w:p>
        </w:tc>
      </w:tr>
      <w:tr w:rsidR="00284822" w14:paraId="0C5CE797" w14:textId="77777777">
        <w:trPr>
          <w:gridAfter w:val="1"/>
          <w:wAfter w:w="16" w:type="dxa"/>
          <w:trHeight w:val="133"/>
          <w:jc w:val="center"/>
        </w:trPr>
        <w:tc>
          <w:tcPr>
            <w:tcW w:w="849" w:type="dxa"/>
            <w:shd w:val="clear" w:color="auto" w:fill="FFFFFF" w:themeFill="background1"/>
            <w:noWrap/>
            <w:tcMar>
              <w:top w:w="0" w:type="dxa"/>
              <w:left w:w="108" w:type="dxa"/>
              <w:bottom w:w="0" w:type="dxa"/>
              <w:right w:w="108" w:type="dxa"/>
            </w:tcMar>
            <w:vAlign w:val="bottom"/>
          </w:tcPr>
          <w:p w14:paraId="3E2A4EF3"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22</w:t>
            </w:r>
          </w:p>
        </w:tc>
        <w:tc>
          <w:tcPr>
            <w:tcW w:w="1920" w:type="dxa"/>
            <w:shd w:val="clear" w:color="auto" w:fill="FFFFFF" w:themeFill="background1"/>
            <w:tcMar>
              <w:top w:w="0" w:type="dxa"/>
              <w:left w:w="108" w:type="dxa"/>
              <w:bottom w:w="0" w:type="dxa"/>
              <w:right w:w="108" w:type="dxa"/>
            </w:tcMar>
            <w:vAlign w:val="bottom"/>
          </w:tcPr>
          <w:p w14:paraId="78238D13"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MRB</w:t>
            </w:r>
          </w:p>
        </w:tc>
        <w:tc>
          <w:tcPr>
            <w:tcW w:w="595" w:type="dxa"/>
            <w:shd w:val="clear" w:color="auto" w:fill="FFFFFF" w:themeFill="background1"/>
            <w:tcMar>
              <w:top w:w="0" w:type="dxa"/>
              <w:left w:w="108" w:type="dxa"/>
              <w:bottom w:w="0" w:type="dxa"/>
              <w:right w:w="108" w:type="dxa"/>
            </w:tcMar>
            <w:vAlign w:val="center"/>
          </w:tcPr>
          <w:p w14:paraId="06E8191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125" w:type="dxa"/>
            <w:shd w:val="clear" w:color="auto" w:fill="FFFFFF" w:themeFill="background1"/>
            <w:tcMar>
              <w:top w:w="0" w:type="dxa"/>
              <w:left w:w="108" w:type="dxa"/>
              <w:bottom w:w="0" w:type="dxa"/>
              <w:right w:w="108" w:type="dxa"/>
            </w:tcMar>
            <w:vAlign w:val="center"/>
          </w:tcPr>
          <w:p w14:paraId="1116BB7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6,06%</w:t>
            </w:r>
          </w:p>
        </w:tc>
        <w:tc>
          <w:tcPr>
            <w:tcW w:w="506" w:type="dxa"/>
            <w:shd w:val="clear" w:color="auto" w:fill="FFFFFF" w:themeFill="background1"/>
            <w:tcMar>
              <w:top w:w="0" w:type="dxa"/>
              <w:left w:w="108" w:type="dxa"/>
              <w:bottom w:w="0" w:type="dxa"/>
              <w:right w:w="108" w:type="dxa"/>
            </w:tcMar>
            <w:vAlign w:val="center"/>
          </w:tcPr>
          <w:p w14:paraId="30222AE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127" w:type="dxa"/>
            <w:shd w:val="clear" w:color="auto" w:fill="FFFFFF" w:themeFill="background1"/>
            <w:tcMar>
              <w:top w:w="0" w:type="dxa"/>
              <w:left w:w="108" w:type="dxa"/>
              <w:bottom w:w="0" w:type="dxa"/>
              <w:right w:w="108" w:type="dxa"/>
            </w:tcMar>
            <w:vAlign w:val="center"/>
          </w:tcPr>
          <w:p w14:paraId="29D4D0F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3,23%</w:t>
            </w:r>
          </w:p>
        </w:tc>
        <w:tc>
          <w:tcPr>
            <w:tcW w:w="595" w:type="dxa"/>
            <w:shd w:val="clear" w:color="auto" w:fill="FFFFFF" w:themeFill="background1"/>
            <w:tcMar>
              <w:top w:w="0" w:type="dxa"/>
              <w:left w:w="108" w:type="dxa"/>
              <w:bottom w:w="0" w:type="dxa"/>
              <w:right w:w="108" w:type="dxa"/>
            </w:tcMar>
            <w:vAlign w:val="center"/>
          </w:tcPr>
          <w:p w14:paraId="6462310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3</w:t>
            </w:r>
          </w:p>
        </w:tc>
        <w:tc>
          <w:tcPr>
            <w:tcW w:w="1125" w:type="dxa"/>
            <w:shd w:val="clear" w:color="auto" w:fill="FFFFFF" w:themeFill="background1"/>
            <w:tcMar>
              <w:top w:w="0" w:type="dxa"/>
              <w:left w:w="108" w:type="dxa"/>
              <w:bottom w:w="0" w:type="dxa"/>
              <w:right w:w="108" w:type="dxa"/>
            </w:tcMar>
            <w:vAlign w:val="center"/>
          </w:tcPr>
          <w:p w14:paraId="2600DA4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4,41%</w:t>
            </w:r>
          </w:p>
        </w:tc>
        <w:tc>
          <w:tcPr>
            <w:tcW w:w="506" w:type="dxa"/>
            <w:shd w:val="clear" w:color="auto" w:fill="FFFFFF" w:themeFill="background1"/>
            <w:tcMar>
              <w:top w:w="0" w:type="dxa"/>
              <w:left w:w="108" w:type="dxa"/>
              <w:bottom w:w="0" w:type="dxa"/>
              <w:right w:w="108" w:type="dxa"/>
            </w:tcMar>
            <w:vAlign w:val="center"/>
          </w:tcPr>
          <w:p w14:paraId="09C38B4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4</w:t>
            </w:r>
          </w:p>
        </w:tc>
        <w:tc>
          <w:tcPr>
            <w:tcW w:w="1127" w:type="dxa"/>
            <w:shd w:val="clear" w:color="auto" w:fill="FFFFFF" w:themeFill="background1"/>
            <w:tcMar>
              <w:top w:w="0" w:type="dxa"/>
              <w:left w:w="108" w:type="dxa"/>
              <w:bottom w:w="0" w:type="dxa"/>
              <w:right w:w="108" w:type="dxa"/>
            </w:tcMar>
            <w:vAlign w:val="center"/>
          </w:tcPr>
          <w:p w14:paraId="2DC1D07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3,70%</w:t>
            </w:r>
          </w:p>
        </w:tc>
        <w:tc>
          <w:tcPr>
            <w:tcW w:w="595" w:type="dxa"/>
            <w:shd w:val="clear" w:color="auto" w:fill="FFFFFF" w:themeFill="background1"/>
            <w:tcMar>
              <w:top w:w="0" w:type="dxa"/>
              <w:left w:w="108" w:type="dxa"/>
              <w:bottom w:w="0" w:type="dxa"/>
              <w:right w:w="108" w:type="dxa"/>
            </w:tcMar>
            <w:vAlign w:val="center"/>
          </w:tcPr>
          <w:p w14:paraId="7F676A9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125" w:type="dxa"/>
            <w:shd w:val="clear" w:color="auto" w:fill="FFFFFF" w:themeFill="background1"/>
            <w:tcMar>
              <w:top w:w="0" w:type="dxa"/>
              <w:left w:w="108" w:type="dxa"/>
              <w:bottom w:w="0" w:type="dxa"/>
              <w:right w:w="108" w:type="dxa"/>
            </w:tcMar>
            <w:vAlign w:val="center"/>
          </w:tcPr>
          <w:p w14:paraId="3D717C1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2,74%</w:t>
            </w:r>
          </w:p>
        </w:tc>
        <w:tc>
          <w:tcPr>
            <w:tcW w:w="506" w:type="dxa"/>
            <w:shd w:val="clear" w:color="auto" w:fill="FFFFFF" w:themeFill="background1"/>
            <w:tcMar>
              <w:top w:w="0" w:type="dxa"/>
              <w:left w:w="108" w:type="dxa"/>
              <w:bottom w:w="0" w:type="dxa"/>
              <w:right w:w="108" w:type="dxa"/>
            </w:tcMar>
            <w:vAlign w:val="center"/>
          </w:tcPr>
          <w:p w14:paraId="45B1AE8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125" w:type="dxa"/>
            <w:shd w:val="clear" w:color="auto" w:fill="FFFFFF" w:themeFill="background1"/>
            <w:tcMar>
              <w:top w:w="0" w:type="dxa"/>
              <w:left w:w="108" w:type="dxa"/>
              <w:bottom w:w="0" w:type="dxa"/>
              <w:right w:w="108" w:type="dxa"/>
            </w:tcMar>
            <w:vAlign w:val="center"/>
          </w:tcPr>
          <w:p w14:paraId="4C826CA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1,35%</w:t>
            </w:r>
          </w:p>
        </w:tc>
        <w:tc>
          <w:tcPr>
            <w:tcW w:w="598" w:type="dxa"/>
            <w:gridSpan w:val="2"/>
            <w:shd w:val="clear" w:color="auto" w:fill="FFFFFF" w:themeFill="background1"/>
            <w:tcMar>
              <w:top w:w="0" w:type="dxa"/>
              <w:left w:w="108" w:type="dxa"/>
              <w:bottom w:w="0" w:type="dxa"/>
              <w:right w:w="108" w:type="dxa"/>
            </w:tcMar>
            <w:vAlign w:val="center"/>
          </w:tcPr>
          <w:p w14:paraId="428E3DA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125" w:type="dxa"/>
            <w:shd w:val="clear" w:color="auto" w:fill="FFFFFF" w:themeFill="background1"/>
            <w:tcMar>
              <w:top w:w="0" w:type="dxa"/>
              <w:left w:w="108" w:type="dxa"/>
              <w:bottom w:w="0" w:type="dxa"/>
              <w:right w:w="108" w:type="dxa"/>
            </w:tcMar>
            <w:vAlign w:val="center"/>
          </w:tcPr>
          <w:p w14:paraId="65E0B98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6,90%</w:t>
            </w:r>
          </w:p>
        </w:tc>
        <w:tc>
          <w:tcPr>
            <w:tcW w:w="506" w:type="dxa"/>
            <w:shd w:val="clear" w:color="auto" w:fill="FFFFFF" w:themeFill="background1"/>
            <w:tcMar>
              <w:top w:w="0" w:type="dxa"/>
              <w:left w:w="108" w:type="dxa"/>
              <w:bottom w:w="0" w:type="dxa"/>
              <w:right w:w="108" w:type="dxa"/>
            </w:tcMar>
            <w:vAlign w:val="center"/>
          </w:tcPr>
          <w:p w14:paraId="7939C21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125" w:type="dxa"/>
            <w:shd w:val="clear" w:color="auto" w:fill="FFFFFF" w:themeFill="background1"/>
            <w:tcMar>
              <w:top w:w="0" w:type="dxa"/>
              <w:left w:w="108" w:type="dxa"/>
              <w:bottom w:w="0" w:type="dxa"/>
              <w:right w:w="108" w:type="dxa"/>
            </w:tcMar>
            <w:vAlign w:val="center"/>
          </w:tcPr>
          <w:p w14:paraId="37D89F1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6,25%</w:t>
            </w:r>
          </w:p>
        </w:tc>
      </w:tr>
    </w:tbl>
    <w:p w14:paraId="632D4D57" w14:textId="77777777" w:rsidR="00284822" w:rsidRDefault="00284822">
      <w:pPr>
        <w:pageBreakBefore/>
        <w:spacing w:before="120" w:after="120"/>
        <w:rPr>
          <w:rFonts w:ascii="Rockwell" w:hAnsi="Rockwell"/>
          <w:sz w:val="16"/>
          <w:szCs w:val="16"/>
          <w:u w:val="single"/>
        </w:rPr>
      </w:pPr>
    </w:p>
    <w:tbl>
      <w:tblPr>
        <w:tblW w:w="16013" w:type="dxa"/>
        <w:jc w:val="center"/>
        <w:tblLayout w:type="fixed"/>
        <w:tblCellMar>
          <w:left w:w="10" w:type="dxa"/>
          <w:right w:w="10" w:type="dxa"/>
        </w:tblCellMar>
        <w:tblLook w:val="04A0" w:firstRow="1" w:lastRow="0" w:firstColumn="1" w:lastColumn="0" w:noHBand="0" w:noVBand="1"/>
      </w:tblPr>
      <w:tblGrid>
        <w:gridCol w:w="846"/>
        <w:gridCol w:w="1417"/>
        <w:gridCol w:w="841"/>
        <w:gridCol w:w="981"/>
        <w:gridCol w:w="564"/>
        <w:gridCol w:w="995"/>
        <w:gridCol w:w="559"/>
        <w:gridCol w:w="995"/>
        <w:gridCol w:w="565"/>
        <w:gridCol w:w="989"/>
        <w:gridCol w:w="849"/>
        <w:gridCol w:w="995"/>
        <w:gridCol w:w="842"/>
        <w:gridCol w:w="1137"/>
        <w:gridCol w:w="562"/>
        <w:gridCol w:w="1137"/>
        <w:gridCol w:w="707"/>
        <w:gridCol w:w="1032"/>
      </w:tblGrid>
      <w:tr w:rsidR="00284822" w14:paraId="0F24EB01" w14:textId="77777777">
        <w:trPr>
          <w:trHeight w:val="444"/>
          <w:jc w:val="center"/>
        </w:trPr>
        <w:tc>
          <w:tcPr>
            <w:tcW w:w="846" w:type="dxa"/>
            <w:vMerge w:val="restart"/>
            <w:tcBorders>
              <w:top w:val="single" w:sz="4" w:space="0" w:color="000000"/>
              <w:left w:val="single" w:sz="4" w:space="0" w:color="5B9BD5"/>
              <w:bottom w:val="single" w:sz="4" w:space="0" w:color="auto"/>
              <w:right w:val="single" w:sz="4" w:space="0" w:color="000000"/>
            </w:tcBorders>
            <w:shd w:val="clear" w:color="auto" w:fill="9CC2E5" w:themeFill="accent1" w:themeFillTint="99"/>
            <w:noWrap/>
            <w:tcMar>
              <w:top w:w="0" w:type="dxa"/>
              <w:left w:w="108" w:type="dxa"/>
              <w:bottom w:w="0" w:type="dxa"/>
              <w:right w:w="108" w:type="dxa"/>
            </w:tcMar>
          </w:tcPr>
          <w:p w14:paraId="5BFCF95E" w14:textId="77777777" w:rsidR="00284822" w:rsidRDefault="00F77BF8">
            <w:pPr>
              <w:spacing w:line="240" w:lineRule="auto"/>
              <w:jc w:val="center"/>
              <w:rPr>
                <w:rFonts w:ascii="Rockwell" w:hAnsi="Rockwell"/>
                <w:b/>
                <w:bCs/>
                <w:sz w:val="18"/>
                <w:szCs w:val="18"/>
              </w:rPr>
            </w:pPr>
            <w:r>
              <w:rPr>
                <w:rFonts w:ascii="Rockwell" w:hAnsi="Rockwell"/>
                <w:b/>
                <w:bCs/>
                <w:sz w:val="18"/>
                <w:szCs w:val="18"/>
              </w:rPr>
              <w:t>NRO</w:t>
            </w:r>
          </w:p>
        </w:tc>
        <w:tc>
          <w:tcPr>
            <w:tcW w:w="1417" w:type="dxa"/>
            <w:vMerge w:val="restart"/>
            <w:tcBorders>
              <w:top w:val="single" w:sz="4" w:space="0" w:color="000000"/>
              <w:left w:val="single" w:sz="4" w:space="0" w:color="000000"/>
              <w:bottom w:val="single" w:sz="4" w:space="0" w:color="auto"/>
              <w:right w:val="single" w:sz="4" w:space="0" w:color="000000"/>
            </w:tcBorders>
            <w:shd w:val="clear" w:color="auto" w:fill="9CC2E5" w:themeFill="accent1" w:themeFillTint="99"/>
            <w:tcMar>
              <w:top w:w="0" w:type="dxa"/>
              <w:left w:w="108" w:type="dxa"/>
              <w:bottom w:w="0" w:type="dxa"/>
              <w:right w:w="108" w:type="dxa"/>
            </w:tcMar>
          </w:tcPr>
          <w:p w14:paraId="12F7612B" w14:textId="77777777" w:rsidR="00284822" w:rsidRDefault="00F77BF8">
            <w:pPr>
              <w:spacing w:line="240" w:lineRule="auto"/>
              <w:jc w:val="center"/>
              <w:rPr>
                <w:rFonts w:ascii="Rockwell" w:hAnsi="Rockwell"/>
                <w:sz w:val="18"/>
                <w:szCs w:val="18"/>
              </w:rPr>
            </w:pPr>
            <w:r>
              <w:rPr>
                <w:rFonts w:ascii="Rockwell" w:hAnsi="Rockwell"/>
                <w:b/>
                <w:bCs/>
                <w:sz w:val="18"/>
                <w:szCs w:val="18"/>
              </w:rPr>
              <w:t>ACTEURS POLITIQUES</w:t>
            </w:r>
          </w:p>
        </w:tc>
        <w:tc>
          <w:tcPr>
            <w:tcW w:w="4935" w:type="dxa"/>
            <w:gridSpan w:val="6"/>
            <w:tcBorders>
              <w:top w:val="single" w:sz="4" w:space="0" w:color="000000"/>
              <w:left w:val="single" w:sz="4" w:space="0" w:color="000000"/>
              <w:bottom w:val="single" w:sz="4" w:space="0" w:color="auto"/>
              <w:right w:val="single" w:sz="4" w:space="0" w:color="000000"/>
            </w:tcBorders>
            <w:shd w:val="clear" w:color="auto" w:fill="9CC2E5" w:themeFill="accent1" w:themeFillTint="99"/>
            <w:tcMar>
              <w:top w:w="0" w:type="dxa"/>
              <w:left w:w="108" w:type="dxa"/>
              <w:bottom w:w="0" w:type="dxa"/>
              <w:right w:w="108" w:type="dxa"/>
            </w:tcMar>
            <w:vAlign w:val="center"/>
          </w:tcPr>
          <w:p w14:paraId="3757762E" w14:textId="77777777" w:rsidR="00284822" w:rsidRDefault="00F77BF8">
            <w:pPr>
              <w:spacing w:line="240" w:lineRule="auto"/>
              <w:jc w:val="center"/>
              <w:rPr>
                <w:rFonts w:ascii="Rockwell" w:hAnsi="Rockwell"/>
                <w:b/>
                <w:bCs/>
                <w:sz w:val="18"/>
                <w:szCs w:val="18"/>
              </w:rPr>
            </w:pPr>
            <w:r>
              <w:rPr>
                <w:rFonts w:ascii="Rockwell" w:hAnsi="Rockwell"/>
                <w:b/>
                <w:bCs/>
                <w:sz w:val="18"/>
                <w:szCs w:val="18"/>
              </w:rPr>
              <w:t>infoh24.info</w:t>
            </w:r>
          </w:p>
        </w:tc>
        <w:tc>
          <w:tcPr>
            <w:tcW w:w="2403" w:type="dxa"/>
            <w:gridSpan w:val="3"/>
            <w:tcBorders>
              <w:top w:val="single" w:sz="4" w:space="0" w:color="000000"/>
              <w:left w:val="single" w:sz="4" w:space="0" w:color="000000"/>
              <w:bottom w:val="single" w:sz="4" w:space="0" w:color="auto"/>
              <w:right w:val="single" w:sz="4" w:space="0" w:color="000000"/>
            </w:tcBorders>
            <w:shd w:val="clear" w:color="auto" w:fill="9CC2E5" w:themeFill="accent1" w:themeFillTint="99"/>
            <w:tcMar>
              <w:top w:w="0" w:type="dxa"/>
              <w:left w:w="108" w:type="dxa"/>
              <w:bottom w:w="0" w:type="dxa"/>
              <w:right w:w="108" w:type="dxa"/>
            </w:tcMar>
            <w:vAlign w:val="center"/>
          </w:tcPr>
          <w:p w14:paraId="315D8819" w14:textId="77777777" w:rsidR="00284822" w:rsidRDefault="00F77BF8">
            <w:pPr>
              <w:spacing w:line="240" w:lineRule="auto"/>
              <w:jc w:val="center"/>
              <w:rPr>
                <w:rFonts w:ascii="Rockwell" w:hAnsi="Rockwell"/>
                <w:b/>
                <w:bCs/>
                <w:sz w:val="18"/>
                <w:szCs w:val="18"/>
              </w:rPr>
            </w:pPr>
            <w:r>
              <w:rPr>
                <w:rFonts w:ascii="Rockwell" w:hAnsi="Rockwell"/>
                <w:b/>
                <w:bCs/>
                <w:sz w:val="18"/>
                <w:szCs w:val="18"/>
              </w:rPr>
              <w:t>infowakat.net</w:t>
            </w:r>
          </w:p>
        </w:tc>
        <w:tc>
          <w:tcPr>
            <w:tcW w:w="3536" w:type="dxa"/>
            <w:gridSpan w:val="4"/>
            <w:tcBorders>
              <w:top w:val="single" w:sz="4" w:space="0" w:color="000000"/>
              <w:left w:val="single" w:sz="4" w:space="0" w:color="000000"/>
              <w:bottom w:val="single" w:sz="4" w:space="0" w:color="auto"/>
              <w:right w:val="single" w:sz="4" w:space="0" w:color="000000"/>
            </w:tcBorders>
            <w:shd w:val="clear" w:color="auto" w:fill="9CC2E5" w:themeFill="accent1" w:themeFillTint="99"/>
            <w:tcMar>
              <w:top w:w="0" w:type="dxa"/>
              <w:left w:w="108" w:type="dxa"/>
              <w:bottom w:w="0" w:type="dxa"/>
              <w:right w:w="108" w:type="dxa"/>
            </w:tcMar>
            <w:vAlign w:val="center"/>
          </w:tcPr>
          <w:p w14:paraId="6C3AE233" w14:textId="77777777" w:rsidR="00284822" w:rsidRDefault="00F77BF8">
            <w:pPr>
              <w:spacing w:line="240" w:lineRule="auto"/>
              <w:jc w:val="center"/>
              <w:rPr>
                <w:rFonts w:ascii="Rockwell" w:hAnsi="Rockwell"/>
                <w:b/>
                <w:bCs/>
                <w:sz w:val="18"/>
                <w:szCs w:val="18"/>
              </w:rPr>
            </w:pPr>
            <w:r>
              <w:rPr>
                <w:rFonts w:ascii="Rockwell" w:hAnsi="Rockwell"/>
                <w:b/>
                <w:bCs/>
                <w:sz w:val="18"/>
                <w:szCs w:val="18"/>
              </w:rPr>
              <w:t>burkina24.com</w:t>
            </w:r>
          </w:p>
        </w:tc>
        <w:tc>
          <w:tcPr>
            <w:tcW w:w="2876" w:type="dxa"/>
            <w:gridSpan w:val="3"/>
            <w:tcBorders>
              <w:top w:val="single" w:sz="4" w:space="0" w:color="000000"/>
              <w:left w:val="single" w:sz="4" w:space="0" w:color="000000"/>
              <w:bottom w:val="single" w:sz="4" w:space="0" w:color="auto"/>
              <w:right w:val="single" w:sz="4" w:space="0" w:color="000000"/>
            </w:tcBorders>
            <w:shd w:val="clear" w:color="auto" w:fill="9CC2E5" w:themeFill="accent1" w:themeFillTint="99"/>
            <w:tcMar>
              <w:top w:w="0" w:type="dxa"/>
              <w:left w:w="108" w:type="dxa"/>
              <w:bottom w:w="0" w:type="dxa"/>
              <w:right w:w="108" w:type="dxa"/>
            </w:tcMar>
            <w:vAlign w:val="center"/>
          </w:tcPr>
          <w:p w14:paraId="2A04A46E" w14:textId="77777777" w:rsidR="00284822" w:rsidRDefault="00F77BF8">
            <w:pPr>
              <w:spacing w:line="240" w:lineRule="auto"/>
              <w:jc w:val="center"/>
              <w:rPr>
                <w:rFonts w:ascii="Rockwell" w:hAnsi="Rockwell"/>
                <w:b/>
                <w:bCs/>
                <w:sz w:val="18"/>
                <w:szCs w:val="18"/>
              </w:rPr>
            </w:pPr>
            <w:r>
              <w:rPr>
                <w:rFonts w:ascii="Rockwell" w:hAnsi="Rockwell"/>
                <w:b/>
                <w:bCs/>
                <w:sz w:val="18"/>
                <w:szCs w:val="18"/>
              </w:rPr>
              <w:t>filinfos.net</w:t>
            </w:r>
          </w:p>
        </w:tc>
      </w:tr>
      <w:tr w:rsidR="00284822" w14:paraId="3A9565BC" w14:textId="77777777">
        <w:trPr>
          <w:trHeight w:val="421"/>
          <w:jc w:val="center"/>
        </w:trPr>
        <w:tc>
          <w:tcPr>
            <w:tcW w:w="846" w:type="dxa"/>
            <w:vMerge/>
            <w:tcBorders>
              <w:top w:val="single" w:sz="4" w:space="0" w:color="auto"/>
              <w:left w:val="single" w:sz="4" w:space="0" w:color="auto"/>
              <w:bottom w:val="single" w:sz="4" w:space="0" w:color="auto"/>
              <w:right w:val="single" w:sz="4" w:space="0" w:color="auto"/>
            </w:tcBorders>
            <w:shd w:val="clear" w:color="auto" w:fill="9CC2E5" w:themeFill="accent1" w:themeFillTint="99"/>
            <w:noWrap/>
            <w:tcMar>
              <w:top w:w="0" w:type="dxa"/>
              <w:left w:w="108" w:type="dxa"/>
              <w:bottom w:w="0" w:type="dxa"/>
              <w:right w:w="108" w:type="dxa"/>
            </w:tcMar>
          </w:tcPr>
          <w:p w14:paraId="16582D14" w14:textId="77777777" w:rsidR="00284822" w:rsidRDefault="00284822">
            <w:pPr>
              <w:shd w:val="clear" w:color="auto" w:fill="FFFFFF" w:themeFill="background1"/>
              <w:spacing w:line="240" w:lineRule="auto"/>
              <w:jc w:val="center"/>
              <w:rPr>
                <w:rFonts w:ascii="Rockwell" w:hAnsi="Rockwell"/>
                <w:b/>
                <w:bCs/>
                <w:sz w:val="18"/>
                <w:szCs w:val="18"/>
              </w:rPr>
            </w:pPr>
          </w:p>
        </w:tc>
        <w:tc>
          <w:tcPr>
            <w:tcW w:w="1417" w:type="dxa"/>
            <w:vMerge/>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108" w:type="dxa"/>
              <w:bottom w:w="0" w:type="dxa"/>
              <w:right w:w="108" w:type="dxa"/>
            </w:tcMar>
          </w:tcPr>
          <w:p w14:paraId="4FC61615" w14:textId="77777777" w:rsidR="00284822" w:rsidRDefault="00284822">
            <w:pPr>
              <w:shd w:val="clear" w:color="auto" w:fill="FFFFFF" w:themeFill="background1"/>
              <w:spacing w:line="240" w:lineRule="auto"/>
              <w:jc w:val="center"/>
              <w:rPr>
                <w:rFonts w:ascii="Rockwell" w:hAnsi="Rockwell"/>
                <w:sz w:val="18"/>
                <w:szCs w:val="18"/>
              </w:rPr>
            </w:pPr>
          </w:p>
        </w:tc>
        <w:tc>
          <w:tcPr>
            <w:tcW w:w="841"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108" w:type="dxa"/>
              <w:bottom w:w="0" w:type="dxa"/>
              <w:right w:w="108" w:type="dxa"/>
            </w:tcMar>
            <w:vAlign w:val="center"/>
          </w:tcPr>
          <w:p w14:paraId="7D49F7D8" w14:textId="77777777" w:rsidR="00284822" w:rsidRDefault="00F77BF8">
            <w:pPr>
              <w:shd w:val="clear" w:color="auto" w:fill="FFFFFF" w:themeFill="background1"/>
              <w:spacing w:line="240" w:lineRule="auto"/>
              <w:jc w:val="center"/>
              <w:rPr>
                <w:rFonts w:ascii="Rockwell" w:hAnsi="Rockwell"/>
                <w:color w:val="000000"/>
                <w:sz w:val="18"/>
                <w:szCs w:val="18"/>
              </w:rPr>
            </w:pPr>
            <w:r>
              <w:rPr>
                <w:rFonts w:ascii="Rockwell" w:hAnsi="Rockwell"/>
                <w:color w:val="000000"/>
                <w:sz w:val="18"/>
                <w:szCs w:val="18"/>
              </w:rPr>
              <w:t>NA</w:t>
            </w:r>
          </w:p>
        </w:tc>
        <w:tc>
          <w:tcPr>
            <w:tcW w:w="981"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108" w:type="dxa"/>
              <w:bottom w:w="0" w:type="dxa"/>
              <w:right w:w="108" w:type="dxa"/>
            </w:tcMar>
            <w:vAlign w:val="center"/>
          </w:tcPr>
          <w:p w14:paraId="19B61FF8" w14:textId="77777777" w:rsidR="00284822" w:rsidRDefault="00F77BF8">
            <w:pPr>
              <w:shd w:val="clear" w:color="auto" w:fill="FFFFFF" w:themeFill="background1"/>
              <w:spacing w:line="240" w:lineRule="auto"/>
              <w:jc w:val="center"/>
              <w:rPr>
                <w:rFonts w:ascii="Rockwell" w:hAnsi="Rockwell"/>
                <w:color w:val="000000"/>
                <w:sz w:val="18"/>
                <w:szCs w:val="18"/>
              </w:rPr>
            </w:pPr>
            <w:r>
              <w:rPr>
                <w:rFonts w:ascii="Rockwell" w:hAnsi="Rockwell"/>
                <w:color w:val="000000"/>
                <w:sz w:val="18"/>
                <w:szCs w:val="18"/>
              </w:rPr>
              <w:t>% NA</w:t>
            </w:r>
          </w:p>
        </w:tc>
        <w:tc>
          <w:tcPr>
            <w:tcW w:w="564"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108" w:type="dxa"/>
              <w:bottom w:w="0" w:type="dxa"/>
              <w:right w:w="108" w:type="dxa"/>
            </w:tcMar>
            <w:vAlign w:val="center"/>
          </w:tcPr>
          <w:p w14:paraId="7AF5225D" w14:textId="77777777" w:rsidR="00284822" w:rsidRDefault="00F77BF8">
            <w:pPr>
              <w:shd w:val="clear" w:color="auto" w:fill="FFFFFF" w:themeFill="background1"/>
              <w:spacing w:line="240" w:lineRule="auto"/>
              <w:jc w:val="center"/>
              <w:rPr>
                <w:rFonts w:ascii="Rockwell" w:hAnsi="Rockwell"/>
                <w:color w:val="000000"/>
                <w:sz w:val="18"/>
                <w:szCs w:val="18"/>
              </w:rPr>
            </w:pPr>
            <w:r>
              <w:rPr>
                <w:rFonts w:ascii="Rockwell" w:hAnsi="Rockwell"/>
                <w:color w:val="000000"/>
                <w:sz w:val="18"/>
                <w:szCs w:val="18"/>
              </w:rPr>
              <w:t>NI</w:t>
            </w:r>
          </w:p>
        </w:tc>
        <w:tc>
          <w:tcPr>
            <w:tcW w:w="995"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108" w:type="dxa"/>
              <w:bottom w:w="0" w:type="dxa"/>
              <w:right w:w="108" w:type="dxa"/>
            </w:tcMar>
            <w:vAlign w:val="center"/>
          </w:tcPr>
          <w:p w14:paraId="29344F9C" w14:textId="77777777" w:rsidR="00284822" w:rsidRDefault="00F77BF8">
            <w:pPr>
              <w:shd w:val="clear" w:color="auto" w:fill="FFFFFF" w:themeFill="background1"/>
              <w:spacing w:line="240" w:lineRule="auto"/>
              <w:jc w:val="center"/>
              <w:rPr>
                <w:rFonts w:ascii="Rockwell" w:hAnsi="Rockwell"/>
                <w:color w:val="000000"/>
                <w:sz w:val="18"/>
                <w:szCs w:val="18"/>
              </w:rPr>
            </w:pPr>
            <w:r>
              <w:rPr>
                <w:rFonts w:ascii="Rockwell" w:hAnsi="Rockwell"/>
                <w:color w:val="000000"/>
                <w:sz w:val="18"/>
                <w:szCs w:val="18"/>
              </w:rPr>
              <w:t>% NI</w:t>
            </w:r>
          </w:p>
        </w:tc>
        <w:tc>
          <w:tcPr>
            <w:tcW w:w="559"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108" w:type="dxa"/>
              <w:bottom w:w="0" w:type="dxa"/>
              <w:right w:w="108" w:type="dxa"/>
            </w:tcMar>
            <w:vAlign w:val="center"/>
          </w:tcPr>
          <w:p w14:paraId="56DED708" w14:textId="77777777" w:rsidR="00284822" w:rsidRDefault="00F77BF8">
            <w:pPr>
              <w:shd w:val="clear" w:color="auto" w:fill="FFFFFF" w:themeFill="background1"/>
              <w:spacing w:line="240" w:lineRule="auto"/>
              <w:jc w:val="center"/>
              <w:rPr>
                <w:rFonts w:ascii="Rockwell" w:hAnsi="Rockwell"/>
                <w:color w:val="000000"/>
                <w:sz w:val="18"/>
                <w:szCs w:val="18"/>
              </w:rPr>
            </w:pPr>
            <w:r>
              <w:rPr>
                <w:rFonts w:ascii="Rockwell" w:hAnsi="Rockwell"/>
                <w:color w:val="000000"/>
                <w:sz w:val="18"/>
                <w:szCs w:val="18"/>
              </w:rPr>
              <w:t>NA</w:t>
            </w:r>
          </w:p>
        </w:tc>
        <w:tc>
          <w:tcPr>
            <w:tcW w:w="995"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108" w:type="dxa"/>
              <w:bottom w:w="0" w:type="dxa"/>
              <w:right w:w="108" w:type="dxa"/>
            </w:tcMar>
            <w:vAlign w:val="center"/>
          </w:tcPr>
          <w:p w14:paraId="3DEC330F" w14:textId="77777777" w:rsidR="00284822" w:rsidRDefault="00F77BF8">
            <w:pPr>
              <w:shd w:val="clear" w:color="auto" w:fill="FFFFFF" w:themeFill="background1"/>
              <w:spacing w:line="240" w:lineRule="auto"/>
              <w:jc w:val="center"/>
              <w:rPr>
                <w:rFonts w:ascii="Rockwell" w:hAnsi="Rockwell"/>
                <w:color w:val="000000"/>
                <w:sz w:val="18"/>
                <w:szCs w:val="18"/>
              </w:rPr>
            </w:pPr>
            <w:r>
              <w:rPr>
                <w:rFonts w:ascii="Rockwell" w:hAnsi="Rockwell"/>
                <w:color w:val="000000"/>
                <w:sz w:val="18"/>
                <w:szCs w:val="18"/>
              </w:rPr>
              <w:t>% NA</w:t>
            </w:r>
          </w:p>
        </w:tc>
        <w:tc>
          <w:tcPr>
            <w:tcW w:w="565"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108" w:type="dxa"/>
              <w:bottom w:w="0" w:type="dxa"/>
              <w:right w:w="108" w:type="dxa"/>
            </w:tcMar>
            <w:vAlign w:val="center"/>
          </w:tcPr>
          <w:p w14:paraId="296FA888" w14:textId="77777777" w:rsidR="00284822" w:rsidRDefault="00F77BF8">
            <w:pPr>
              <w:shd w:val="clear" w:color="auto" w:fill="FFFFFF" w:themeFill="background1"/>
              <w:spacing w:line="240" w:lineRule="auto"/>
              <w:jc w:val="center"/>
              <w:rPr>
                <w:rFonts w:ascii="Rockwell" w:hAnsi="Rockwell"/>
                <w:color w:val="000000"/>
                <w:sz w:val="18"/>
                <w:szCs w:val="18"/>
              </w:rPr>
            </w:pPr>
            <w:r>
              <w:rPr>
                <w:rFonts w:ascii="Rockwell" w:hAnsi="Rockwell"/>
                <w:color w:val="000000"/>
                <w:sz w:val="18"/>
                <w:szCs w:val="18"/>
              </w:rPr>
              <w:t>NI</w:t>
            </w:r>
          </w:p>
        </w:tc>
        <w:tc>
          <w:tcPr>
            <w:tcW w:w="989"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108" w:type="dxa"/>
              <w:bottom w:w="0" w:type="dxa"/>
              <w:right w:w="108" w:type="dxa"/>
            </w:tcMar>
            <w:vAlign w:val="center"/>
          </w:tcPr>
          <w:p w14:paraId="3BA13A54" w14:textId="77777777" w:rsidR="00284822" w:rsidRDefault="00F77BF8">
            <w:pPr>
              <w:shd w:val="clear" w:color="auto" w:fill="FFFFFF" w:themeFill="background1"/>
              <w:spacing w:line="240" w:lineRule="auto"/>
              <w:jc w:val="center"/>
              <w:rPr>
                <w:rFonts w:ascii="Rockwell" w:hAnsi="Rockwell"/>
                <w:color w:val="000000"/>
                <w:sz w:val="18"/>
                <w:szCs w:val="18"/>
              </w:rPr>
            </w:pPr>
            <w:r>
              <w:rPr>
                <w:rFonts w:ascii="Rockwell" w:hAnsi="Rockwell"/>
                <w:color w:val="000000"/>
                <w:sz w:val="18"/>
                <w:szCs w:val="18"/>
              </w:rPr>
              <w:t>% NI</w:t>
            </w:r>
          </w:p>
        </w:tc>
        <w:tc>
          <w:tcPr>
            <w:tcW w:w="849"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108" w:type="dxa"/>
              <w:bottom w:w="0" w:type="dxa"/>
              <w:right w:w="108" w:type="dxa"/>
            </w:tcMar>
            <w:vAlign w:val="center"/>
          </w:tcPr>
          <w:p w14:paraId="334788F3" w14:textId="77777777" w:rsidR="00284822" w:rsidRDefault="00F77BF8">
            <w:pPr>
              <w:shd w:val="clear" w:color="auto" w:fill="FFFFFF" w:themeFill="background1"/>
              <w:spacing w:line="240" w:lineRule="auto"/>
              <w:jc w:val="center"/>
              <w:rPr>
                <w:rFonts w:ascii="Rockwell" w:hAnsi="Rockwell"/>
                <w:color w:val="000000"/>
                <w:sz w:val="18"/>
                <w:szCs w:val="18"/>
              </w:rPr>
            </w:pPr>
            <w:r>
              <w:rPr>
                <w:rFonts w:ascii="Rockwell" w:hAnsi="Rockwell"/>
                <w:color w:val="000000"/>
                <w:sz w:val="18"/>
                <w:szCs w:val="18"/>
              </w:rPr>
              <w:t>NA</w:t>
            </w:r>
          </w:p>
        </w:tc>
        <w:tc>
          <w:tcPr>
            <w:tcW w:w="995"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108" w:type="dxa"/>
              <w:bottom w:w="0" w:type="dxa"/>
              <w:right w:w="108" w:type="dxa"/>
            </w:tcMar>
            <w:vAlign w:val="center"/>
          </w:tcPr>
          <w:p w14:paraId="5A5DA359" w14:textId="77777777" w:rsidR="00284822" w:rsidRDefault="00F77BF8">
            <w:pPr>
              <w:shd w:val="clear" w:color="auto" w:fill="FFFFFF" w:themeFill="background1"/>
              <w:spacing w:line="240" w:lineRule="auto"/>
              <w:jc w:val="center"/>
              <w:rPr>
                <w:rFonts w:ascii="Rockwell" w:hAnsi="Rockwell"/>
                <w:color w:val="000000"/>
                <w:sz w:val="18"/>
                <w:szCs w:val="18"/>
              </w:rPr>
            </w:pPr>
            <w:r>
              <w:rPr>
                <w:rFonts w:ascii="Rockwell" w:hAnsi="Rockwell"/>
                <w:color w:val="000000"/>
                <w:sz w:val="18"/>
                <w:szCs w:val="18"/>
              </w:rPr>
              <w:t>% NA</w:t>
            </w:r>
          </w:p>
        </w:tc>
        <w:tc>
          <w:tcPr>
            <w:tcW w:w="842"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108" w:type="dxa"/>
              <w:bottom w:w="0" w:type="dxa"/>
              <w:right w:w="108" w:type="dxa"/>
            </w:tcMar>
            <w:vAlign w:val="center"/>
          </w:tcPr>
          <w:p w14:paraId="55507BB3" w14:textId="77777777" w:rsidR="00284822" w:rsidRDefault="00F77BF8">
            <w:pPr>
              <w:shd w:val="clear" w:color="auto" w:fill="FFFFFF" w:themeFill="background1"/>
              <w:spacing w:line="240" w:lineRule="auto"/>
              <w:jc w:val="center"/>
              <w:rPr>
                <w:rFonts w:ascii="Rockwell" w:hAnsi="Rockwell"/>
                <w:color w:val="000000"/>
                <w:sz w:val="18"/>
                <w:szCs w:val="18"/>
              </w:rPr>
            </w:pPr>
            <w:r>
              <w:rPr>
                <w:rFonts w:ascii="Rockwell" w:hAnsi="Rockwell"/>
                <w:color w:val="000000"/>
                <w:sz w:val="18"/>
                <w:szCs w:val="18"/>
              </w:rPr>
              <w:t>NI</w:t>
            </w:r>
          </w:p>
        </w:tc>
        <w:tc>
          <w:tcPr>
            <w:tcW w:w="1137"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108" w:type="dxa"/>
              <w:bottom w:w="0" w:type="dxa"/>
              <w:right w:w="108" w:type="dxa"/>
            </w:tcMar>
            <w:vAlign w:val="center"/>
          </w:tcPr>
          <w:p w14:paraId="0BA67139" w14:textId="77777777" w:rsidR="00284822" w:rsidRDefault="00F77BF8">
            <w:pPr>
              <w:shd w:val="clear" w:color="auto" w:fill="FFFFFF" w:themeFill="background1"/>
              <w:spacing w:line="240" w:lineRule="auto"/>
              <w:jc w:val="center"/>
              <w:rPr>
                <w:rFonts w:ascii="Rockwell" w:hAnsi="Rockwell"/>
                <w:color w:val="000000"/>
                <w:sz w:val="18"/>
                <w:szCs w:val="18"/>
              </w:rPr>
            </w:pPr>
            <w:r>
              <w:rPr>
                <w:rFonts w:ascii="Rockwell" w:hAnsi="Rockwell"/>
                <w:color w:val="000000"/>
                <w:sz w:val="18"/>
                <w:szCs w:val="18"/>
              </w:rPr>
              <w:t>% NI</w:t>
            </w:r>
          </w:p>
        </w:tc>
        <w:tc>
          <w:tcPr>
            <w:tcW w:w="562"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108" w:type="dxa"/>
              <w:bottom w:w="0" w:type="dxa"/>
              <w:right w:w="108" w:type="dxa"/>
            </w:tcMar>
            <w:vAlign w:val="center"/>
          </w:tcPr>
          <w:p w14:paraId="0B526077" w14:textId="77777777" w:rsidR="00284822" w:rsidRDefault="00F77BF8">
            <w:pPr>
              <w:shd w:val="clear" w:color="auto" w:fill="FFFFFF" w:themeFill="background1"/>
              <w:spacing w:line="240" w:lineRule="auto"/>
              <w:jc w:val="center"/>
              <w:rPr>
                <w:rFonts w:ascii="Rockwell" w:hAnsi="Rockwell"/>
                <w:color w:val="000000"/>
                <w:sz w:val="18"/>
                <w:szCs w:val="18"/>
              </w:rPr>
            </w:pPr>
            <w:r>
              <w:rPr>
                <w:rFonts w:ascii="Rockwell" w:hAnsi="Rockwell"/>
                <w:color w:val="000000"/>
                <w:sz w:val="18"/>
                <w:szCs w:val="18"/>
              </w:rPr>
              <w:t>NA</w:t>
            </w:r>
          </w:p>
        </w:tc>
        <w:tc>
          <w:tcPr>
            <w:tcW w:w="1137"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108" w:type="dxa"/>
              <w:bottom w:w="0" w:type="dxa"/>
              <w:right w:w="108" w:type="dxa"/>
            </w:tcMar>
            <w:vAlign w:val="center"/>
          </w:tcPr>
          <w:p w14:paraId="724B7704" w14:textId="77777777" w:rsidR="00284822" w:rsidRDefault="00F77BF8">
            <w:pPr>
              <w:shd w:val="clear" w:color="auto" w:fill="FFFFFF" w:themeFill="background1"/>
              <w:spacing w:line="240" w:lineRule="auto"/>
              <w:jc w:val="center"/>
              <w:rPr>
                <w:rFonts w:ascii="Rockwell" w:hAnsi="Rockwell"/>
                <w:color w:val="000000"/>
                <w:sz w:val="18"/>
                <w:szCs w:val="18"/>
              </w:rPr>
            </w:pPr>
            <w:r>
              <w:rPr>
                <w:rFonts w:ascii="Rockwell" w:hAnsi="Rockwell"/>
                <w:color w:val="000000"/>
                <w:sz w:val="18"/>
                <w:szCs w:val="18"/>
              </w:rPr>
              <w:t>% NA</w:t>
            </w:r>
          </w:p>
        </w:tc>
        <w:tc>
          <w:tcPr>
            <w:tcW w:w="707"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108" w:type="dxa"/>
              <w:bottom w:w="0" w:type="dxa"/>
              <w:right w:w="108" w:type="dxa"/>
            </w:tcMar>
            <w:vAlign w:val="center"/>
          </w:tcPr>
          <w:p w14:paraId="5421C0B9" w14:textId="77777777" w:rsidR="00284822" w:rsidRDefault="00F77BF8">
            <w:pPr>
              <w:shd w:val="clear" w:color="auto" w:fill="FFFFFF" w:themeFill="background1"/>
              <w:spacing w:line="240" w:lineRule="auto"/>
              <w:jc w:val="center"/>
              <w:rPr>
                <w:rFonts w:ascii="Rockwell" w:hAnsi="Rockwell"/>
                <w:color w:val="000000"/>
                <w:sz w:val="18"/>
                <w:szCs w:val="18"/>
              </w:rPr>
            </w:pPr>
            <w:r>
              <w:rPr>
                <w:rFonts w:ascii="Rockwell" w:hAnsi="Rockwell"/>
                <w:color w:val="000000"/>
                <w:sz w:val="18"/>
                <w:szCs w:val="18"/>
              </w:rPr>
              <w:t>NI</w:t>
            </w:r>
          </w:p>
        </w:tc>
        <w:tc>
          <w:tcPr>
            <w:tcW w:w="1032"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108" w:type="dxa"/>
              <w:bottom w:w="0" w:type="dxa"/>
              <w:right w:w="108" w:type="dxa"/>
            </w:tcMar>
          </w:tcPr>
          <w:p w14:paraId="2DEB652E" w14:textId="77777777" w:rsidR="00284822" w:rsidRDefault="00F77BF8">
            <w:pPr>
              <w:shd w:val="clear" w:color="auto" w:fill="FFFFFF" w:themeFill="background1"/>
              <w:spacing w:line="240" w:lineRule="auto"/>
              <w:jc w:val="center"/>
              <w:rPr>
                <w:rFonts w:ascii="Rockwell" w:hAnsi="Rockwell"/>
                <w:color w:val="000000"/>
                <w:sz w:val="18"/>
                <w:szCs w:val="18"/>
              </w:rPr>
            </w:pPr>
            <w:r>
              <w:rPr>
                <w:rFonts w:ascii="Rockwell" w:hAnsi="Rockwell"/>
                <w:color w:val="000000"/>
                <w:sz w:val="18"/>
                <w:szCs w:val="18"/>
              </w:rPr>
              <w:t>% NI</w:t>
            </w:r>
          </w:p>
        </w:tc>
      </w:tr>
      <w:tr w:rsidR="00284822" w14:paraId="46657274" w14:textId="77777777">
        <w:trPr>
          <w:trHeight w:val="14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108" w:type="dxa"/>
              <w:bottom w:w="0" w:type="dxa"/>
              <w:right w:w="108" w:type="dxa"/>
            </w:tcMar>
            <w:vAlign w:val="center"/>
          </w:tcPr>
          <w:p w14:paraId="106CB6D7" w14:textId="77777777" w:rsidR="00284822" w:rsidRDefault="00F77BF8">
            <w:pPr>
              <w:shd w:val="clear" w:color="auto" w:fill="FFFFFF" w:themeFill="background1"/>
              <w:spacing w:line="240" w:lineRule="auto"/>
              <w:rPr>
                <w:rFonts w:ascii="Rockwell" w:hAnsi="Rockwell"/>
                <w:bCs/>
                <w:color w:val="000000"/>
                <w:sz w:val="18"/>
                <w:szCs w:val="18"/>
              </w:rPr>
            </w:pPr>
            <w:r>
              <w:rPr>
                <w:rFonts w:ascii="Rockwell" w:hAnsi="Rockwell"/>
                <w:bCs/>
                <w:color w:val="000000"/>
                <w:sz w:val="18"/>
                <w:szCs w:val="18"/>
              </w:rPr>
              <w:t>23</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bottom"/>
          </w:tcPr>
          <w:p w14:paraId="35AF0BE8" w14:textId="77777777" w:rsidR="00284822" w:rsidRDefault="00F77BF8">
            <w:pPr>
              <w:shd w:val="clear" w:color="auto" w:fill="FFFFFF" w:themeFill="background1"/>
              <w:spacing w:line="240" w:lineRule="auto"/>
              <w:rPr>
                <w:rFonts w:ascii="Rockwell" w:hAnsi="Rockwell"/>
                <w:b/>
                <w:color w:val="000000"/>
                <w:sz w:val="18"/>
                <w:szCs w:val="18"/>
              </w:rPr>
            </w:pPr>
            <w:r>
              <w:rPr>
                <w:rFonts w:ascii="Rockwell" w:hAnsi="Rockwell"/>
                <w:b/>
                <w:color w:val="000000"/>
                <w:sz w:val="18"/>
                <w:szCs w:val="18"/>
              </w:rPr>
              <w:t>NAFA</w:t>
            </w:r>
          </w:p>
        </w:tc>
        <w:tc>
          <w:tcPr>
            <w:tcW w:w="84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76886CB"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007E67A"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A2189CB"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3B028C9"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38195A0C"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3FA04C96"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3A6E240"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344256DD"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00B3D2A"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A366F23"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5528DB9"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B13BD5D"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F545361"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10F8BBA"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C703019"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46F1D42C"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r>
      <w:tr w:rsidR="00284822" w14:paraId="0BE5AACB" w14:textId="77777777">
        <w:trPr>
          <w:trHeight w:val="14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108" w:type="dxa"/>
              <w:bottom w:w="0" w:type="dxa"/>
              <w:right w:w="108" w:type="dxa"/>
            </w:tcMar>
            <w:vAlign w:val="center"/>
          </w:tcPr>
          <w:p w14:paraId="3CE49725" w14:textId="77777777" w:rsidR="00284822" w:rsidRDefault="00F77BF8">
            <w:pPr>
              <w:shd w:val="clear" w:color="auto" w:fill="FFFFFF" w:themeFill="background1"/>
              <w:spacing w:line="240" w:lineRule="auto"/>
              <w:rPr>
                <w:rFonts w:ascii="Rockwell" w:hAnsi="Rockwell"/>
                <w:bCs/>
                <w:color w:val="000000"/>
                <w:sz w:val="18"/>
                <w:szCs w:val="18"/>
              </w:rPr>
            </w:pPr>
            <w:r>
              <w:rPr>
                <w:rFonts w:ascii="Rockwell" w:hAnsi="Rockwell"/>
                <w:bCs/>
                <w:color w:val="000000"/>
                <w:sz w:val="18"/>
                <w:szCs w:val="18"/>
              </w:rPr>
              <w:t>24</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bottom"/>
          </w:tcPr>
          <w:p w14:paraId="28873977" w14:textId="77777777" w:rsidR="00284822" w:rsidRDefault="00F77BF8">
            <w:pPr>
              <w:shd w:val="clear" w:color="auto" w:fill="FFFFFF" w:themeFill="background1"/>
              <w:spacing w:line="240" w:lineRule="auto"/>
              <w:rPr>
                <w:rFonts w:ascii="Rockwell" w:hAnsi="Rockwell"/>
                <w:b/>
                <w:color w:val="000000"/>
                <w:sz w:val="18"/>
                <w:szCs w:val="18"/>
              </w:rPr>
            </w:pPr>
            <w:r>
              <w:rPr>
                <w:rFonts w:ascii="Rockwell" w:hAnsi="Rockwell"/>
                <w:b/>
                <w:color w:val="000000"/>
                <w:sz w:val="18"/>
                <w:szCs w:val="18"/>
              </w:rPr>
              <w:t>NOVI</w:t>
            </w:r>
          </w:p>
        </w:tc>
        <w:tc>
          <w:tcPr>
            <w:tcW w:w="84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6B44798"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D2B895B"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A413A8D"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337032E7"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25D8F2C"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A4A813A"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74C3375"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15F01D7"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4D69C59"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2</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838FD4B"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2,74%</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D59DC7E"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4</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B6CBB18"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2,70%</w:t>
            </w:r>
          </w:p>
        </w:tc>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5526214"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4899BB7"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E279E76"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30F6ECC2"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r>
      <w:tr w:rsidR="00284822" w14:paraId="4F056BC3" w14:textId="77777777">
        <w:trPr>
          <w:trHeight w:val="14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108" w:type="dxa"/>
              <w:bottom w:w="0" w:type="dxa"/>
              <w:right w:w="108" w:type="dxa"/>
            </w:tcMar>
            <w:vAlign w:val="center"/>
          </w:tcPr>
          <w:p w14:paraId="04D5D8D5" w14:textId="77777777" w:rsidR="00284822" w:rsidRDefault="00F77BF8">
            <w:pPr>
              <w:shd w:val="clear" w:color="auto" w:fill="FFFFFF" w:themeFill="background1"/>
              <w:spacing w:line="240" w:lineRule="auto"/>
              <w:rPr>
                <w:rFonts w:ascii="Rockwell" w:hAnsi="Rockwell"/>
                <w:bCs/>
                <w:color w:val="000000"/>
                <w:sz w:val="18"/>
                <w:szCs w:val="18"/>
              </w:rPr>
            </w:pPr>
            <w:r>
              <w:rPr>
                <w:rFonts w:ascii="Rockwell" w:hAnsi="Rockwell"/>
                <w:bCs/>
                <w:color w:val="000000"/>
                <w:sz w:val="18"/>
                <w:szCs w:val="18"/>
              </w:rPr>
              <w:t>25</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bottom"/>
          </w:tcPr>
          <w:p w14:paraId="1AEC27DE" w14:textId="77777777" w:rsidR="00284822" w:rsidRDefault="00F77BF8">
            <w:pPr>
              <w:shd w:val="clear" w:color="auto" w:fill="FFFFFF" w:themeFill="background1"/>
              <w:spacing w:line="240" w:lineRule="auto"/>
              <w:rPr>
                <w:rFonts w:ascii="Rockwell" w:hAnsi="Rockwell"/>
                <w:b/>
                <w:color w:val="000000"/>
                <w:sz w:val="18"/>
                <w:szCs w:val="18"/>
              </w:rPr>
            </w:pPr>
            <w:r>
              <w:rPr>
                <w:rFonts w:ascii="Rockwell" w:hAnsi="Rockwell"/>
                <w:b/>
                <w:color w:val="000000"/>
                <w:sz w:val="18"/>
                <w:szCs w:val="18"/>
              </w:rPr>
              <w:t>NTD</w:t>
            </w:r>
          </w:p>
        </w:tc>
        <w:tc>
          <w:tcPr>
            <w:tcW w:w="84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0C223DF"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2E71300"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5D0E3E8"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9C40D41"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13D4584"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6A096B2"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1,47%</w:t>
            </w:r>
          </w:p>
        </w:tc>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9C1F7EA"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150BBC4"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0,93%</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314011B7"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1F46636"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1,37%</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801D918"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2</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9F23F65"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1,35%</w:t>
            </w:r>
          </w:p>
        </w:tc>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D76CFB8"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20BB15D"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5A02FCD"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0D569E59"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r>
      <w:tr w:rsidR="00284822" w14:paraId="4C8F4B6A" w14:textId="77777777">
        <w:trPr>
          <w:trHeight w:val="14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108" w:type="dxa"/>
              <w:bottom w:w="0" w:type="dxa"/>
              <w:right w:w="108" w:type="dxa"/>
            </w:tcMar>
            <w:vAlign w:val="center"/>
          </w:tcPr>
          <w:p w14:paraId="1E03F0DB" w14:textId="77777777" w:rsidR="00284822" w:rsidRDefault="00F77BF8">
            <w:pPr>
              <w:shd w:val="clear" w:color="auto" w:fill="FFFFFF" w:themeFill="background1"/>
              <w:spacing w:line="240" w:lineRule="auto"/>
              <w:rPr>
                <w:rFonts w:ascii="Rockwell" w:hAnsi="Rockwell"/>
                <w:bCs/>
                <w:color w:val="000000"/>
                <w:sz w:val="18"/>
                <w:szCs w:val="18"/>
              </w:rPr>
            </w:pPr>
            <w:r>
              <w:rPr>
                <w:rFonts w:ascii="Rockwell" w:hAnsi="Rockwell"/>
                <w:bCs/>
                <w:color w:val="000000"/>
                <w:sz w:val="18"/>
                <w:szCs w:val="18"/>
              </w:rPr>
              <w:t>26</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bottom"/>
          </w:tcPr>
          <w:p w14:paraId="183BD34F" w14:textId="77777777" w:rsidR="00284822" w:rsidRDefault="00F77BF8">
            <w:pPr>
              <w:shd w:val="clear" w:color="auto" w:fill="FFFFFF" w:themeFill="background1"/>
              <w:spacing w:line="240" w:lineRule="auto"/>
              <w:rPr>
                <w:rFonts w:ascii="Rockwell" w:hAnsi="Rockwell"/>
                <w:b/>
                <w:color w:val="000000"/>
                <w:sz w:val="18"/>
                <w:szCs w:val="18"/>
              </w:rPr>
            </w:pPr>
            <w:r>
              <w:rPr>
                <w:rFonts w:ascii="Rockwell" w:hAnsi="Rockwell"/>
                <w:b/>
                <w:color w:val="000000"/>
                <w:sz w:val="18"/>
                <w:szCs w:val="18"/>
              </w:rPr>
              <w:t>PAREN</w:t>
            </w:r>
          </w:p>
        </w:tc>
        <w:tc>
          <w:tcPr>
            <w:tcW w:w="84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A2637B2"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373371C5"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BA05EB1"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25D9B1E"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3C14C08A"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32B4487"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DF0B314"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612DD6A"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CC4D924"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6CB054E"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5976942"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CAE06B5"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B441FCD"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F84D158"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55FD696"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78B82C7A"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r>
      <w:tr w:rsidR="00284822" w14:paraId="0C09959B" w14:textId="77777777">
        <w:trPr>
          <w:trHeight w:val="14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108" w:type="dxa"/>
              <w:bottom w:w="0" w:type="dxa"/>
              <w:right w:w="108" w:type="dxa"/>
            </w:tcMar>
            <w:vAlign w:val="center"/>
          </w:tcPr>
          <w:p w14:paraId="304D0E88" w14:textId="77777777" w:rsidR="00284822" w:rsidRDefault="00F77BF8">
            <w:pPr>
              <w:shd w:val="clear" w:color="auto" w:fill="FFFFFF" w:themeFill="background1"/>
              <w:spacing w:line="240" w:lineRule="auto"/>
              <w:rPr>
                <w:rFonts w:ascii="Rockwell" w:hAnsi="Rockwell"/>
                <w:bCs/>
                <w:color w:val="000000"/>
                <w:sz w:val="18"/>
                <w:szCs w:val="18"/>
              </w:rPr>
            </w:pPr>
            <w:r>
              <w:rPr>
                <w:rFonts w:ascii="Rockwell" w:hAnsi="Rockwell"/>
                <w:bCs/>
                <w:color w:val="000000"/>
                <w:sz w:val="18"/>
                <w:szCs w:val="18"/>
              </w:rPr>
              <w:t>27</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bottom"/>
          </w:tcPr>
          <w:p w14:paraId="173335E6" w14:textId="77777777" w:rsidR="00284822" w:rsidRDefault="00F77BF8">
            <w:pPr>
              <w:shd w:val="clear" w:color="auto" w:fill="FFFFFF" w:themeFill="background1"/>
              <w:spacing w:line="240" w:lineRule="auto"/>
              <w:rPr>
                <w:rFonts w:ascii="Rockwell" w:hAnsi="Rockwell"/>
                <w:b/>
                <w:color w:val="000000"/>
                <w:sz w:val="18"/>
                <w:szCs w:val="18"/>
              </w:rPr>
            </w:pPr>
            <w:r>
              <w:rPr>
                <w:rFonts w:ascii="Rockwell" w:hAnsi="Rockwell"/>
                <w:b/>
                <w:color w:val="000000"/>
                <w:sz w:val="18"/>
                <w:szCs w:val="18"/>
              </w:rPr>
              <w:t>PDIS LAFIA</w:t>
            </w:r>
          </w:p>
        </w:tc>
        <w:tc>
          <w:tcPr>
            <w:tcW w:w="84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2A77EC4"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EB6E040"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8C5AFD3"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2F6EA72"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58D0B7B"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EFE2F19"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8619B83"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397CABA"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1492F1D"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FA15ACD"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C25608F"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0F631FA"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FE8308B"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99B0D8C"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C63B7E2"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2892350A"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r>
      <w:tr w:rsidR="00284822" w14:paraId="0B01DCC7" w14:textId="77777777">
        <w:trPr>
          <w:trHeight w:val="14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108" w:type="dxa"/>
              <w:bottom w:w="0" w:type="dxa"/>
              <w:right w:w="108" w:type="dxa"/>
            </w:tcMar>
            <w:vAlign w:val="center"/>
          </w:tcPr>
          <w:p w14:paraId="66BD0E08" w14:textId="77777777" w:rsidR="00284822" w:rsidRDefault="00F77BF8">
            <w:pPr>
              <w:shd w:val="clear" w:color="auto" w:fill="FFFFFF" w:themeFill="background1"/>
              <w:spacing w:line="240" w:lineRule="auto"/>
              <w:rPr>
                <w:rFonts w:ascii="Rockwell" w:hAnsi="Rockwell"/>
                <w:bCs/>
                <w:color w:val="000000"/>
                <w:sz w:val="18"/>
                <w:szCs w:val="18"/>
              </w:rPr>
            </w:pPr>
            <w:r>
              <w:rPr>
                <w:rFonts w:ascii="Rockwell" w:hAnsi="Rockwell"/>
                <w:bCs/>
                <w:color w:val="000000"/>
                <w:sz w:val="18"/>
                <w:szCs w:val="18"/>
              </w:rPr>
              <w:t>28</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bottom"/>
          </w:tcPr>
          <w:p w14:paraId="7DD047FB" w14:textId="77777777" w:rsidR="00284822" w:rsidRDefault="00F77BF8">
            <w:pPr>
              <w:shd w:val="clear" w:color="auto" w:fill="FFFFFF" w:themeFill="background1"/>
              <w:spacing w:line="240" w:lineRule="auto"/>
              <w:rPr>
                <w:rFonts w:ascii="Rockwell" w:hAnsi="Rockwell"/>
                <w:b/>
                <w:color w:val="000000"/>
                <w:sz w:val="18"/>
                <w:szCs w:val="18"/>
              </w:rPr>
            </w:pPr>
            <w:r>
              <w:rPr>
                <w:rFonts w:ascii="Rockwell" w:hAnsi="Rockwell"/>
                <w:b/>
                <w:color w:val="000000"/>
                <w:sz w:val="18"/>
                <w:szCs w:val="18"/>
              </w:rPr>
              <w:t>PDP/PS</w:t>
            </w:r>
          </w:p>
        </w:tc>
        <w:tc>
          <w:tcPr>
            <w:tcW w:w="84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3A666AC9"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61B6B94"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3,03%</w:t>
            </w:r>
          </w:p>
        </w:tc>
        <w:tc>
          <w:tcPr>
            <w:tcW w:w="56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4FAB5F9"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3</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1240DEB"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4,84%</w:t>
            </w:r>
          </w:p>
        </w:tc>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F369888"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C868108"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F10FD3A"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9CF746F"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6B2A26A"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E0D790C"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1,37%</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5E9B892"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325A9281"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0,68%</w:t>
            </w:r>
          </w:p>
        </w:tc>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7B3340E"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0E0EB15"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FA750FC"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70DA8A8B"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r>
      <w:tr w:rsidR="00284822" w14:paraId="4DABEA95" w14:textId="77777777">
        <w:trPr>
          <w:trHeight w:val="14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108" w:type="dxa"/>
              <w:bottom w:w="0" w:type="dxa"/>
              <w:right w:w="108" w:type="dxa"/>
            </w:tcMar>
            <w:vAlign w:val="center"/>
          </w:tcPr>
          <w:p w14:paraId="617F6F85" w14:textId="77777777" w:rsidR="00284822" w:rsidRDefault="00F77BF8">
            <w:pPr>
              <w:shd w:val="clear" w:color="auto" w:fill="FFFFFF" w:themeFill="background1"/>
              <w:spacing w:line="240" w:lineRule="auto"/>
              <w:rPr>
                <w:rFonts w:ascii="Rockwell" w:hAnsi="Rockwell"/>
                <w:bCs/>
                <w:color w:val="000000"/>
                <w:sz w:val="18"/>
                <w:szCs w:val="18"/>
              </w:rPr>
            </w:pPr>
            <w:r>
              <w:rPr>
                <w:rFonts w:ascii="Rockwell" w:hAnsi="Rockwell"/>
                <w:bCs/>
                <w:color w:val="000000"/>
                <w:sz w:val="18"/>
                <w:szCs w:val="18"/>
              </w:rPr>
              <w:t>29</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bottom"/>
          </w:tcPr>
          <w:p w14:paraId="70E6281E" w14:textId="77777777" w:rsidR="00284822" w:rsidRDefault="00F77BF8">
            <w:pPr>
              <w:shd w:val="clear" w:color="auto" w:fill="FFFFFF" w:themeFill="background1"/>
              <w:spacing w:line="240" w:lineRule="auto"/>
              <w:rPr>
                <w:rFonts w:ascii="Rockwell" w:hAnsi="Rockwell"/>
                <w:b/>
                <w:color w:val="000000"/>
                <w:sz w:val="18"/>
                <w:szCs w:val="18"/>
              </w:rPr>
            </w:pPr>
            <w:r>
              <w:rPr>
                <w:rFonts w:ascii="Rockwell" w:hAnsi="Rockwell"/>
                <w:b/>
                <w:color w:val="000000"/>
                <w:sz w:val="18"/>
                <w:szCs w:val="18"/>
              </w:rPr>
              <w:t>PPS</w:t>
            </w:r>
          </w:p>
        </w:tc>
        <w:tc>
          <w:tcPr>
            <w:tcW w:w="84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89DE8D4"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2</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CF9F670"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6,06%</w:t>
            </w:r>
          </w:p>
        </w:tc>
        <w:tc>
          <w:tcPr>
            <w:tcW w:w="56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C701655"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315873C"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16,13%</w:t>
            </w:r>
          </w:p>
        </w:tc>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BF1BFCB"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3457B507"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3C895B3"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123CACB"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3527B4A0"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8</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F4920A9"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10,96%</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376D89F"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15</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16134D0"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10,14%</w:t>
            </w:r>
          </w:p>
        </w:tc>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933DC5D"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599BC97"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5E4E0C5"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488FBF55"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r>
      <w:tr w:rsidR="00284822" w14:paraId="438CF68C" w14:textId="77777777">
        <w:trPr>
          <w:trHeight w:val="14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108" w:type="dxa"/>
              <w:bottom w:w="0" w:type="dxa"/>
              <w:right w:w="108" w:type="dxa"/>
            </w:tcMar>
            <w:vAlign w:val="center"/>
          </w:tcPr>
          <w:p w14:paraId="575333A3" w14:textId="77777777" w:rsidR="00284822" w:rsidRDefault="00F77BF8">
            <w:pPr>
              <w:shd w:val="clear" w:color="auto" w:fill="FFFFFF" w:themeFill="background1"/>
              <w:spacing w:line="240" w:lineRule="auto"/>
              <w:rPr>
                <w:rFonts w:ascii="Rockwell" w:hAnsi="Rockwell"/>
                <w:bCs/>
                <w:color w:val="000000"/>
                <w:sz w:val="18"/>
                <w:szCs w:val="18"/>
              </w:rPr>
            </w:pPr>
            <w:r>
              <w:rPr>
                <w:rFonts w:ascii="Rockwell" w:hAnsi="Rockwell"/>
                <w:bCs/>
                <w:color w:val="000000"/>
                <w:sz w:val="18"/>
                <w:szCs w:val="18"/>
              </w:rPr>
              <w:t>30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bottom"/>
          </w:tcPr>
          <w:p w14:paraId="2DF0E86E" w14:textId="77777777" w:rsidR="00284822" w:rsidRDefault="00F77BF8">
            <w:pPr>
              <w:shd w:val="clear" w:color="auto" w:fill="FFFFFF" w:themeFill="background1"/>
              <w:spacing w:line="240" w:lineRule="auto"/>
              <w:rPr>
                <w:rFonts w:ascii="Rockwell" w:hAnsi="Rockwell"/>
                <w:b/>
                <w:color w:val="000000"/>
                <w:sz w:val="18"/>
                <w:szCs w:val="18"/>
              </w:rPr>
            </w:pPr>
            <w:r>
              <w:rPr>
                <w:rFonts w:ascii="Rockwell" w:hAnsi="Rockwell"/>
                <w:b/>
                <w:color w:val="000000"/>
                <w:sz w:val="18"/>
                <w:szCs w:val="18"/>
              </w:rPr>
              <w:t>PRC</w:t>
            </w:r>
          </w:p>
        </w:tc>
        <w:tc>
          <w:tcPr>
            <w:tcW w:w="84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E11933D"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34A4561"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354793F"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3ABC4C04"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4BCFF08"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190BDFB"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8D52B7C"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4F22410"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85E68DB"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8E97ABF"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016950F"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D60FF3E"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D2CE078"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DAC0EEC"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CC53779"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54EDD839"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r>
      <w:tr w:rsidR="00284822" w14:paraId="3CD3D296" w14:textId="77777777">
        <w:trPr>
          <w:trHeight w:val="14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108" w:type="dxa"/>
              <w:bottom w:w="0" w:type="dxa"/>
              <w:right w:w="108" w:type="dxa"/>
            </w:tcMar>
            <w:vAlign w:val="center"/>
          </w:tcPr>
          <w:p w14:paraId="11DB2BA9" w14:textId="77777777" w:rsidR="00284822" w:rsidRDefault="00F77BF8">
            <w:pPr>
              <w:shd w:val="clear" w:color="auto" w:fill="FFFFFF" w:themeFill="background1"/>
              <w:spacing w:line="240" w:lineRule="auto"/>
              <w:rPr>
                <w:rFonts w:ascii="Rockwell" w:hAnsi="Rockwell"/>
                <w:bCs/>
                <w:color w:val="000000"/>
                <w:sz w:val="18"/>
                <w:szCs w:val="18"/>
              </w:rPr>
            </w:pPr>
            <w:r>
              <w:rPr>
                <w:rFonts w:ascii="Rockwell" w:hAnsi="Rockwell"/>
                <w:bCs/>
                <w:color w:val="000000"/>
                <w:sz w:val="18"/>
                <w:szCs w:val="18"/>
              </w:rPr>
              <w:t>31</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bottom"/>
          </w:tcPr>
          <w:p w14:paraId="20269ADC" w14:textId="77777777" w:rsidR="00284822" w:rsidRDefault="00F77BF8">
            <w:pPr>
              <w:shd w:val="clear" w:color="auto" w:fill="FFFFFF" w:themeFill="background1"/>
              <w:spacing w:line="240" w:lineRule="auto"/>
              <w:rPr>
                <w:rFonts w:ascii="Rockwell" w:hAnsi="Rockwell"/>
                <w:b/>
                <w:color w:val="000000"/>
                <w:sz w:val="18"/>
                <w:szCs w:val="18"/>
              </w:rPr>
            </w:pPr>
            <w:r>
              <w:rPr>
                <w:rFonts w:ascii="Rockwell" w:hAnsi="Rockwell"/>
                <w:b/>
                <w:color w:val="000000"/>
                <w:sz w:val="18"/>
                <w:szCs w:val="18"/>
              </w:rPr>
              <w:t>PUR</w:t>
            </w:r>
          </w:p>
        </w:tc>
        <w:tc>
          <w:tcPr>
            <w:tcW w:w="84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40FA0B3"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6949E09"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E7FA325"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31A2C784"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CCCDD35"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A4F1451"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6CB4E00"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07C4963"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B1850AD"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EDBE47A"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4D8D7E3"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3DDF08D1"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3061FC63"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3A1C403A"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8D8B7E0"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5D12FF2A"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r>
      <w:tr w:rsidR="00284822" w14:paraId="2F55CCCC" w14:textId="77777777">
        <w:trPr>
          <w:trHeight w:val="14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108" w:type="dxa"/>
              <w:bottom w:w="0" w:type="dxa"/>
              <w:right w:w="108" w:type="dxa"/>
            </w:tcMar>
            <w:vAlign w:val="center"/>
          </w:tcPr>
          <w:p w14:paraId="2542A6A6" w14:textId="77777777" w:rsidR="00284822" w:rsidRDefault="00F77BF8">
            <w:pPr>
              <w:shd w:val="clear" w:color="auto" w:fill="FFFFFF" w:themeFill="background1"/>
              <w:spacing w:line="240" w:lineRule="auto"/>
              <w:rPr>
                <w:rFonts w:ascii="Rockwell" w:hAnsi="Rockwell"/>
                <w:bCs/>
                <w:color w:val="000000"/>
                <w:sz w:val="18"/>
                <w:szCs w:val="18"/>
              </w:rPr>
            </w:pPr>
            <w:r>
              <w:rPr>
                <w:rFonts w:ascii="Rockwell" w:hAnsi="Rockwell"/>
                <w:bCs/>
                <w:color w:val="000000"/>
                <w:sz w:val="18"/>
                <w:szCs w:val="18"/>
              </w:rPr>
              <w:t>32</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bottom"/>
          </w:tcPr>
          <w:p w14:paraId="09000633" w14:textId="77777777" w:rsidR="00284822" w:rsidRDefault="00F77BF8">
            <w:pPr>
              <w:shd w:val="clear" w:color="auto" w:fill="FFFFFF" w:themeFill="background1"/>
              <w:spacing w:line="240" w:lineRule="auto"/>
              <w:rPr>
                <w:rFonts w:ascii="Rockwell" w:hAnsi="Rockwell"/>
                <w:b/>
                <w:color w:val="000000"/>
                <w:sz w:val="18"/>
                <w:szCs w:val="18"/>
              </w:rPr>
            </w:pPr>
            <w:r>
              <w:rPr>
                <w:rFonts w:ascii="Rockwell" w:hAnsi="Rockwell"/>
                <w:b/>
                <w:color w:val="000000"/>
                <w:sz w:val="18"/>
                <w:szCs w:val="18"/>
              </w:rPr>
              <w:t>RDP</w:t>
            </w:r>
          </w:p>
        </w:tc>
        <w:tc>
          <w:tcPr>
            <w:tcW w:w="84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0FA8879"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65281C5"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649270E"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F6BF84F"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C21DFB1"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A8F5FD8"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95CB370"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45CC4F3"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5FC8275"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32596CC"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3416F736"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016AA0E"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3086DA51"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0721963"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444BB23"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0BCC1532"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r>
      <w:tr w:rsidR="00284822" w14:paraId="29562AE2" w14:textId="77777777">
        <w:trPr>
          <w:trHeight w:val="14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108" w:type="dxa"/>
              <w:bottom w:w="0" w:type="dxa"/>
              <w:right w:w="108" w:type="dxa"/>
            </w:tcMar>
            <w:vAlign w:val="center"/>
          </w:tcPr>
          <w:p w14:paraId="099E7957" w14:textId="77777777" w:rsidR="00284822" w:rsidRDefault="00F77BF8">
            <w:pPr>
              <w:shd w:val="clear" w:color="auto" w:fill="FFFFFF" w:themeFill="background1"/>
              <w:spacing w:line="240" w:lineRule="auto"/>
              <w:rPr>
                <w:rFonts w:ascii="Rockwell" w:hAnsi="Rockwell"/>
                <w:bCs/>
                <w:color w:val="000000"/>
                <w:sz w:val="18"/>
                <w:szCs w:val="18"/>
              </w:rPr>
            </w:pPr>
            <w:r>
              <w:rPr>
                <w:rFonts w:ascii="Rockwell" w:hAnsi="Rockwell"/>
                <w:bCs/>
                <w:color w:val="000000"/>
                <w:sz w:val="18"/>
                <w:szCs w:val="18"/>
              </w:rPr>
              <w:t>33</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bottom"/>
          </w:tcPr>
          <w:p w14:paraId="1FA1C02C" w14:textId="77777777" w:rsidR="00284822" w:rsidRDefault="00F77BF8">
            <w:pPr>
              <w:shd w:val="clear" w:color="auto" w:fill="FFFFFF" w:themeFill="background1"/>
              <w:spacing w:line="240" w:lineRule="auto"/>
              <w:rPr>
                <w:rFonts w:ascii="Rockwell" w:hAnsi="Rockwell"/>
                <w:b/>
                <w:color w:val="000000"/>
                <w:sz w:val="18"/>
                <w:szCs w:val="18"/>
              </w:rPr>
            </w:pPr>
            <w:r>
              <w:rPr>
                <w:rFonts w:ascii="Rockwell" w:hAnsi="Rockwell"/>
                <w:b/>
                <w:color w:val="000000"/>
                <w:sz w:val="18"/>
                <w:szCs w:val="18"/>
              </w:rPr>
              <w:t>RDR</w:t>
            </w:r>
          </w:p>
        </w:tc>
        <w:tc>
          <w:tcPr>
            <w:tcW w:w="84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B5608FD"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EA3A3CE"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6D00421"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53B4E37"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F3460EE"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7777934"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D71ABB6"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CD54D92"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3E0D9575"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A2B84EB"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296F5EC"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46554AC"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E6E2094"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1E49C4A"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A4CAA82"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1A361F29"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r>
      <w:tr w:rsidR="00284822" w14:paraId="3DA312B3" w14:textId="77777777">
        <w:trPr>
          <w:trHeight w:val="14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108" w:type="dxa"/>
              <w:bottom w:w="0" w:type="dxa"/>
              <w:right w:w="108" w:type="dxa"/>
            </w:tcMar>
            <w:vAlign w:val="center"/>
          </w:tcPr>
          <w:p w14:paraId="69B7E269" w14:textId="77777777" w:rsidR="00284822" w:rsidRDefault="00F77BF8">
            <w:pPr>
              <w:shd w:val="clear" w:color="auto" w:fill="FFFFFF" w:themeFill="background1"/>
              <w:spacing w:line="240" w:lineRule="auto"/>
              <w:rPr>
                <w:rFonts w:ascii="Rockwell" w:hAnsi="Rockwell"/>
                <w:bCs/>
                <w:color w:val="000000"/>
                <w:sz w:val="18"/>
                <w:szCs w:val="18"/>
              </w:rPr>
            </w:pPr>
            <w:r>
              <w:rPr>
                <w:rFonts w:ascii="Rockwell" w:hAnsi="Rockwell"/>
                <w:bCs/>
                <w:color w:val="000000"/>
                <w:sz w:val="18"/>
                <w:szCs w:val="18"/>
              </w:rPr>
              <w:t>34</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bottom"/>
          </w:tcPr>
          <w:p w14:paraId="4E75CCD5" w14:textId="77777777" w:rsidR="00284822" w:rsidRDefault="00F77BF8">
            <w:pPr>
              <w:shd w:val="clear" w:color="auto" w:fill="FFFFFF" w:themeFill="background1"/>
              <w:spacing w:line="240" w:lineRule="auto"/>
              <w:rPr>
                <w:rFonts w:ascii="Rockwell" w:hAnsi="Rockwell"/>
                <w:b/>
                <w:color w:val="000000"/>
                <w:sz w:val="18"/>
                <w:szCs w:val="18"/>
              </w:rPr>
            </w:pPr>
            <w:r>
              <w:rPr>
                <w:rFonts w:ascii="Rockwell" w:hAnsi="Rockwell"/>
                <w:b/>
                <w:color w:val="000000"/>
                <w:sz w:val="18"/>
                <w:szCs w:val="18"/>
              </w:rPr>
              <w:t>RDRN</w:t>
            </w:r>
          </w:p>
        </w:tc>
        <w:tc>
          <w:tcPr>
            <w:tcW w:w="84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83FD66E"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41205A3"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3,03%</w:t>
            </w:r>
          </w:p>
        </w:tc>
        <w:tc>
          <w:tcPr>
            <w:tcW w:w="56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26F2997"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D9B447F"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1,61%</w:t>
            </w:r>
          </w:p>
        </w:tc>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89F9047"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C6EF352"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7797079"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8DCAA12"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47565C1"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6CD888F"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5FCC213"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CAE0A7F"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BD5A1CB"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DACEC18"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DEA3E97"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4E701A05"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r>
      <w:tr w:rsidR="00284822" w14:paraId="11DE7192" w14:textId="77777777">
        <w:trPr>
          <w:trHeight w:val="14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108" w:type="dxa"/>
              <w:bottom w:w="0" w:type="dxa"/>
              <w:right w:w="108" w:type="dxa"/>
            </w:tcMar>
            <w:vAlign w:val="center"/>
          </w:tcPr>
          <w:p w14:paraId="3411318C" w14:textId="77777777" w:rsidR="00284822" w:rsidRDefault="00F77BF8">
            <w:pPr>
              <w:shd w:val="clear" w:color="auto" w:fill="FFFFFF" w:themeFill="background1"/>
              <w:spacing w:line="240" w:lineRule="auto"/>
              <w:rPr>
                <w:rFonts w:ascii="Rockwell" w:hAnsi="Rockwell"/>
                <w:bCs/>
                <w:color w:val="000000"/>
                <w:sz w:val="18"/>
                <w:szCs w:val="18"/>
              </w:rPr>
            </w:pPr>
            <w:r>
              <w:rPr>
                <w:rFonts w:ascii="Rockwell" w:hAnsi="Rockwell"/>
                <w:bCs/>
                <w:color w:val="000000"/>
                <w:sz w:val="18"/>
                <w:szCs w:val="18"/>
              </w:rPr>
              <w:t>35</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bottom"/>
          </w:tcPr>
          <w:p w14:paraId="12A69D81" w14:textId="77777777" w:rsidR="00284822" w:rsidRDefault="00F77BF8">
            <w:pPr>
              <w:shd w:val="clear" w:color="auto" w:fill="FFFFFF" w:themeFill="background1"/>
              <w:spacing w:line="240" w:lineRule="auto"/>
              <w:rPr>
                <w:rFonts w:ascii="Rockwell" w:hAnsi="Rockwell"/>
                <w:b/>
                <w:color w:val="000000"/>
                <w:sz w:val="18"/>
                <w:szCs w:val="18"/>
              </w:rPr>
            </w:pPr>
            <w:r>
              <w:rPr>
                <w:rFonts w:ascii="Rockwell" w:hAnsi="Rockwell"/>
                <w:b/>
                <w:color w:val="000000"/>
                <w:sz w:val="18"/>
                <w:szCs w:val="18"/>
              </w:rPr>
              <w:t>RMB</w:t>
            </w:r>
          </w:p>
        </w:tc>
        <w:tc>
          <w:tcPr>
            <w:tcW w:w="84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CF528F2"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4307F8B"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399B0BE"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A1E3A2C"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4AA78F6"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AEF3A14"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693DA65"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12E3952"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559D674"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2850DEA"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5738188"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B3D08BD"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3F84F554"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AC479F8"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E8812DC"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15484DD4"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r>
      <w:tr w:rsidR="00284822" w14:paraId="2D14809A" w14:textId="77777777">
        <w:trPr>
          <w:trHeight w:val="14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108" w:type="dxa"/>
              <w:bottom w:w="0" w:type="dxa"/>
              <w:right w:w="108" w:type="dxa"/>
            </w:tcMar>
            <w:vAlign w:val="center"/>
          </w:tcPr>
          <w:p w14:paraId="1DB7A052" w14:textId="77777777" w:rsidR="00284822" w:rsidRDefault="00F77BF8">
            <w:pPr>
              <w:shd w:val="clear" w:color="auto" w:fill="FFFFFF" w:themeFill="background1"/>
              <w:spacing w:line="240" w:lineRule="auto"/>
              <w:rPr>
                <w:rFonts w:ascii="Rockwell" w:hAnsi="Rockwell"/>
                <w:bCs/>
                <w:color w:val="000000"/>
                <w:sz w:val="18"/>
                <w:szCs w:val="18"/>
              </w:rPr>
            </w:pPr>
            <w:r>
              <w:rPr>
                <w:rFonts w:ascii="Rockwell" w:hAnsi="Rockwell"/>
                <w:bCs/>
                <w:color w:val="000000"/>
                <w:sz w:val="18"/>
                <w:szCs w:val="18"/>
              </w:rPr>
              <w:t>36</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bottom"/>
          </w:tcPr>
          <w:p w14:paraId="288E18B2" w14:textId="77777777" w:rsidR="00284822" w:rsidRDefault="00F77BF8">
            <w:pPr>
              <w:shd w:val="clear" w:color="auto" w:fill="FFFFFF" w:themeFill="background1"/>
              <w:spacing w:line="240" w:lineRule="auto"/>
              <w:rPr>
                <w:rFonts w:ascii="Rockwell" w:hAnsi="Rockwell"/>
                <w:b/>
                <w:color w:val="000000"/>
                <w:sz w:val="18"/>
                <w:szCs w:val="18"/>
              </w:rPr>
            </w:pPr>
            <w:r>
              <w:rPr>
                <w:rFonts w:ascii="Rockwell" w:hAnsi="Rockwell"/>
                <w:b/>
                <w:color w:val="000000"/>
                <w:sz w:val="18"/>
                <w:szCs w:val="18"/>
              </w:rPr>
              <w:t>RPD</w:t>
            </w:r>
          </w:p>
        </w:tc>
        <w:tc>
          <w:tcPr>
            <w:tcW w:w="84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E563343"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BF97FEE"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DADD190"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04D3DC9"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E47EB89"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823C45C"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F30BA44"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B66890F"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7A4F3CB"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E298996"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1,37%</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A902D57"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2</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828212C"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1,35%</w:t>
            </w:r>
          </w:p>
        </w:tc>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68D622A"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8FB9C2F"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7A37006"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240D4B75"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r>
      <w:tr w:rsidR="00284822" w14:paraId="0DB61F7A" w14:textId="77777777">
        <w:trPr>
          <w:trHeight w:val="14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108" w:type="dxa"/>
              <w:bottom w:w="0" w:type="dxa"/>
              <w:right w:w="108" w:type="dxa"/>
            </w:tcMar>
            <w:vAlign w:val="center"/>
          </w:tcPr>
          <w:p w14:paraId="06965729" w14:textId="77777777" w:rsidR="00284822" w:rsidRDefault="00F77BF8">
            <w:pPr>
              <w:shd w:val="clear" w:color="auto" w:fill="FFFFFF" w:themeFill="background1"/>
              <w:spacing w:line="240" w:lineRule="auto"/>
              <w:rPr>
                <w:rFonts w:ascii="Rockwell" w:hAnsi="Rockwell"/>
                <w:bCs/>
                <w:color w:val="000000"/>
                <w:sz w:val="18"/>
                <w:szCs w:val="18"/>
              </w:rPr>
            </w:pPr>
            <w:r>
              <w:rPr>
                <w:rFonts w:ascii="Rockwell" w:hAnsi="Rockwell"/>
                <w:bCs/>
                <w:color w:val="000000"/>
                <w:sz w:val="18"/>
                <w:szCs w:val="18"/>
              </w:rPr>
              <w:t>37</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bottom"/>
          </w:tcPr>
          <w:p w14:paraId="509A70BF" w14:textId="77777777" w:rsidR="00284822" w:rsidRDefault="00F77BF8">
            <w:pPr>
              <w:shd w:val="clear" w:color="auto" w:fill="FFFFFF" w:themeFill="background1"/>
              <w:spacing w:line="240" w:lineRule="auto"/>
              <w:rPr>
                <w:rFonts w:ascii="Rockwell" w:hAnsi="Rockwell"/>
                <w:b/>
                <w:color w:val="000000"/>
                <w:sz w:val="18"/>
                <w:szCs w:val="18"/>
              </w:rPr>
            </w:pPr>
            <w:r>
              <w:rPr>
                <w:rFonts w:ascii="Rockwell" w:hAnsi="Rockwell"/>
                <w:b/>
                <w:color w:val="000000"/>
                <w:sz w:val="18"/>
                <w:szCs w:val="18"/>
              </w:rPr>
              <w:t>RPI</w:t>
            </w:r>
          </w:p>
        </w:tc>
        <w:tc>
          <w:tcPr>
            <w:tcW w:w="84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FE439B6"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186CB4B"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B31BD5C"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E3A4658"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CA96DBC"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AE37344"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2C9CF1B"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31B2768"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3C3B07F"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3556F1BF"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1,37%</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384FEBB"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3</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02D3DAE"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2,03%</w:t>
            </w:r>
          </w:p>
        </w:tc>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2A3E558"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4A25675"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2DBA78A"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5FB71539"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r>
      <w:tr w:rsidR="00284822" w14:paraId="7427E984" w14:textId="77777777">
        <w:trPr>
          <w:trHeight w:val="14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108" w:type="dxa"/>
              <w:bottom w:w="0" w:type="dxa"/>
              <w:right w:w="108" w:type="dxa"/>
            </w:tcMar>
            <w:vAlign w:val="center"/>
          </w:tcPr>
          <w:p w14:paraId="1EE230C9" w14:textId="77777777" w:rsidR="00284822" w:rsidRDefault="00F77BF8">
            <w:pPr>
              <w:shd w:val="clear" w:color="auto" w:fill="FFFFFF" w:themeFill="background1"/>
              <w:spacing w:line="240" w:lineRule="auto"/>
              <w:rPr>
                <w:rFonts w:ascii="Rockwell" w:hAnsi="Rockwell"/>
                <w:bCs/>
                <w:color w:val="000000"/>
                <w:sz w:val="18"/>
                <w:szCs w:val="18"/>
              </w:rPr>
            </w:pPr>
            <w:r>
              <w:rPr>
                <w:rFonts w:ascii="Rockwell" w:hAnsi="Rockwell"/>
                <w:bCs/>
                <w:color w:val="000000"/>
                <w:sz w:val="18"/>
                <w:szCs w:val="18"/>
              </w:rPr>
              <w:t>38</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bottom"/>
          </w:tcPr>
          <w:p w14:paraId="667661F7" w14:textId="77777777" w:rsidR="00284822" w:rsidRDefault="00F77BF8">
            <w:pPr>
              <w:shd w:val="clear" w:color="auto" w:fill="FFFFFF" w:themeFill="background1"/>
              <w:spacing w:line="240" w:lineRule="auto"/>
              <w:rPr>
                <w:rFonts w:ascii="Rockwell" w:hAnsi="Rockwell"/>
                <w:b/>
                <w:color w:val="000000"/>
                <w:sz w:val="18"/>
                <w:szCs w:val="18"/>
              </w:rPr>
            </w:pPr>
            <w:r>
              <w:rPr>
                <w:rFonts w:ascii="Rockwell" w:hAnsi="Rockwell"/>
                <w:b/>
                <w:color w:val="000000"/>
                <w:sz w:val="18"/>
                <w:szCs w:val="18"/>
              </w:rPr>
              <w:t>SA</w:t>
            </w:r>
          </w:p>
        </w:tc>
        <w:tc>
          <w:tcPr>
            <w:tcW w:w="84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6991D7D"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B0D3FAB"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650553E"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32E3085C"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AC48D49"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16CF784"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C608686"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E15C163"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3A8AC6F"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38EC0461"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170BFD9"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D7CD407"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8DEF578"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2</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C7BF035"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6,90%</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9BB0582"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2</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26CF276B"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6,25%</w:t>
            </w:r>
          </w:p>
        </w:tc>
      </w:tr>
      <w:tr w:rsidR="00284822" w14:paraId="585B733D" w14:textId="77777777">
        <w:trPr>
          <w:trHeight w:val="14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108" w:type="dxa"/>
              <w:bottom w:w="0" w:type="dxa"/>
              <w:right w:w="108" w:type="dxa"/>
            </w:tcMar>
            <w:vAlign w:val="center"/>
          </w:tcPr>
          <w:p w14:paraId="3A366F41" w14:textId="77777777" w:rsidR="00284822" w:rsidRDefault="00F77BF8">
            <w:pPr>
              <w:shd w:val="clear" w:color="auto" w:fill="FFFFFF" w:themeFill="background1"/>
              <w:spacing w:line="240" w:lineRule="auto"/>
              <w:rPr>
                <w:rFonts w:ascii="Rockwell" w:hAnsi="Rockwell"/>
                <w:bCs/>
                <w:color w:val="000000"/>
                <w:sz w:val="18"/>
                <w:szCs w:val="18"/>
              </w:rPr>
            </w:pPr>
            <w:r>
              <w:rPr>
                <w:rFonts w:ascii="Rockwell" w:hAnsi="Rockwell"/>
                <w:bCs/>
                <w:color w:val="000000"/>
                <w:sz w:val="18"/>
                <w:szCs w:val="18"/>
              </w:rPr>
              <w:t>39</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bottom"/>
          </w:tcPr>
          <w:p w14:paraId="5556E5A8" w14:textId="77777777" w:rsidR="00284822" w:rsidRDefault="00F77BF8">
            <w:pPr>
              <w:shd w:val="clear" w:color="auto" w:fill="FFFFFF" w:themeFill="background1"/>
              <w:spacing w:line="240" w:lineRule="auto"/>
              <w:rPr>
                <w:rFonts w:ascii="Rockwell" w:hAnsi="Rockwell"/>
                <w:b/>
                <w:color w:val="000000"/>
                <w:sz w:val="18"/>
                <w:szCs w:val="18"/>
              </w:rPr>
            </w:pPr>
            <w:r>
              <w:rPr>
                <w:rFonts w:ascii="Rockwell" w:hAnsi="Rockwell"/>
                <w:b/>
                <w:color w:val="000000"/>
                <w:sz w:val="18"/>
                <w:szCs w:val="18"/>
              </w:rPr>
              <w:t>SENS</w:t>
            </w:r>
          </w:p>
        </w:tc>
        <w:tc>
          <w:tcPr>
            <w:tcW w:w="84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1B53E18"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3</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11BCCF4"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9,09%</w:t>
            </w:r>
          </w:p>
        </w:tc>
        <w:tc>
          <w:tcPr>
            <w:tcW w:w="56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29262E4"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5</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4E8A2CB"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8,06%</w:t>
            </w:r>
          </w:p>
        </w:tc>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BB9F0AD"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753201F"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B042818"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982EA99"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E6ECD2C"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BC1BF71"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1,37%</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2DA1D34"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2</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49F34D9"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1,35%</w:t>
            </w:r>
          </w:p>
        </w:tc>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ABB4452"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D38CF51"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3,45%</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775FB84"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643ECD6B"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3,13%</w:t>
            </w:r>
          </w:p>
        </w:tc>
      </w:tr>
      <w:tr w:rsidR="00284822" w14:paraId="289072B2" w14:textId="77777777">
        <w:trPr>
          <w:trHeight w:val="14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108" w:type="dxa"/>
              <w:bottom w:w="0" w:type="dxa"/>
              <w:right w:w="108" w:type="dxa"/>
            </w:tcMar>
            <w:vAlign w:val="center"/>
          </w:tcPr>
          <w:p w14:paraId="4760BE2E" w14:textId="77777777" w:rsidR="00284822" w:rsidRDefault="00F77BF8">
            <w:pPr>
              <w:shd w:val="clear" w:color="auto" w:fill="FFFFFF" w:themeFill="background1"/>
              <w:spacing w:line="240" w:lineRule="auto"/>
              <w:rPr>
                <w:rFonts w:ascii="Rockwell" w:hAnsi="Rockwell"/>
                <w:bCs/>
                <w:color w:val="000000"/>
                <w:sz w:val="18"/>
                <w:szCs w:val="18"/>
              </w:rPr>
            </w:pPr>
            <w:r>
              <w:rPr>
                <w:rFonts w:ascii="Rockwell" w:hAnsi="Rockwell"/>
                <w:bCs/>
                <w:color w:val="000000"/>
                <w:sz w:val="18"/>
                <w:szCs w:val="18"/>
              </w:rPr>
              <w:t>40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bottom"/>
          </w:tcPr>
          <w:p w14:paraId="656CCE70" w14:textId="77777777" w:rsidR="00284822" w:rsidRDefault="00F77BF8">
            <w:pPr>
              <w:shd w:val="clear" w:color="auto" w:fill="FFFFFF" w:themeFill="background1"/>
              <w:spacing w:line="240" w:lineRule="auto"/>
              <w:rPr>
                <w:rFonts w:ascii="Rockwell" w:hAnsi="Rockwell"/>
                <w:b/>
                <w:color w:val="000000"/>
                <w:sz w:val="18"/>
                <w:szCs w:val="18"/>
              </w:rPr>
            </w:pPr>
            <w:r>
              <w:rPr>
                <w:rFonts w:ascii="Rockwell" w:hAnsi="Rockwell"/>
                <w:b/>
                <w:color w:val="000000"/>
                <w:sz w:val="18"/>
                <w:szCs w:val="18"/>
              </w:rPr>
              <w:t>SOCL</w:t>
            </w:r>
          </w:p>
        </w:tc>
        <w:tc>
          <w:tcPr>
            <w:tcW w:w="84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A3895D3"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7D89227"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A6B951F"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C448D85"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CF5F730"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318DE67"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1,47%</w:t>
            </w:r>
          </w:p>
        </w:tc>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C18F9D2"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534D669"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0,93%</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7127448"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2</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A03A4A0"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2,74%</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8CF905A"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3</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3DE19AB2"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2,03%</w:t>
            </w:r>
          </w:p>
        </w:tc>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2F87BE1"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1B518B7"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3,45%</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B82043C"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45E9773E"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3,13%</w:t>
            </w:r>
          </w:p>
        </w:tc>
      </w:tr>
      <w:tr w:rsidR="00284822" w14:paraId="3A1AFDFC" w14:textId="77777777">
        <w:trPr>
          <w:trHeight w:val="14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108" w:type="dxa"/>
              <w:bottom w:w="0" w:type="dxa"/>
              <w:right w:w="108" w:type="dxa"/>
            </w:tcMar>
            <w:vAlign w:val="center"/>
          </w:tcPr>
          <w:p w14:paraId="488CE317" w14:textId="77777777" w:rsidR="00284822" w:rsidRDefault="00F77BF8">
            <w:pPr>
              <w:shd w:val="clear" w:color="auto" w:fill="FFFFFF" w:themeFill="background1"/>
              <w:spacing w:line="240" w:lineRule="auto"/>
              <w:rPr>
                <w:rFonts w:ascii="Rockwell" w:hAnsi="Rockwell"/>
                <w:bCs/>
                <w:color w:val="000000"/>
                <w:sz w:val="18"/>
                <w:szCs w:val="18"/>
              </w:rPr>
            </w:pPr>
            <w:r>
              <w:rPr>
                <w:rFonts w:ascii="Rockwell" w:hAnsi="Rockwell"/>
                <w:bCs/>
                <w:color w:val="000000"/>
                <w:sz w:val="18"/>
                <w:szCs w:val="18"/>
              </w:rPr>
              <w:t>41</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bottom"/>
          </w:tcPr>
          <w:p w14:paraId="5FF0CDAF" w14:textId="77777777" w:rsidR="00284822" w:rsidRDefault="00F77BF8">
            <w:pPr>
              <w:shd w:val="clear" w:color="auto" w:fill="FFFFFF" w:themeFill="background1"/>
              <w:spacing w:line="240" w:lineRule="auto"/>
              <w:rPr>
                <w:rFonts w:ascii="Rockwell" w:hAnsi="Rockwell"/>
                <w:b/>
                <w:color w:val="000000"/>
                <w:sz w:val="18"/>
                <w:szCs w:val="18"/>
              </w:rPr>
            </w:pPr>
            <w:r>
              <w:rPr>
                <w:rFonts w:ascii="Rockwell" w:hAnsi="Rockwell"/>
                <w:b/>
                <w:color w:val="000000"/>
                <w:sz w:val="18"/>
                <w:szCs w:val="18"/>
              </w:rPr>
              <w:t>UFP</w:t>
            </w:r>
          </w:p>
        </w:tc>
        <w:tc>
          <w:tcPr>
            <w:tcW w:w="84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340F94BB"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4C9A1D3"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651F7F7"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1A2902E"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481F931"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3941CDC1"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C7F2FD1"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65A4270"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FB39089"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6BCCD68"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420EF84"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E91618A"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A57A2A8"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F07D15D"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9F79775"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7A7A1F98"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r>
      <w:tr w:rsidR="00284822" w14:paraId="742A8B8E" w14:textId="77777777">
        <w:trPr>
          <w:trHeight w:val="14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108" w:type="dxa"/>
              <w:bottom w:w="0" w:type="dxa"/>
              <w:right w:w="108" w:type="dxa"/>
            </w:tcMar>
            <w:vAlign w:val="center"/>
          </w:tcPr>
          <w:p w14:paraId="388E7873" w14:textId="77777777" w:rsidR="00284822" w:rsidRDefault="00F77BF8">
            <w:pPr>
              <w:shd w:val="clear" w:color="auto" w:fill="FFFFFF" w:themeFill="background1"/>
              <w:spacing w:line="240" w:lineRule="auto"/>
              <w:rPr>
                <w:rFonts w:ascii="Rockwell" w:hAnsi="Rockwell"/>
                <w:bCs/>
                <w:color w:val="000000"/>
                <w:sz w:val="18"/>
                <w:szCs w:val="18"/>
              </w:rPr>
            </w:pPr>
            <w:r>
              <w:rPr>
                <w:rFonts w:ascii="Rockwell" w:hAnsi="Rockwell"/>
                <w:bCs/>
                <w:color w:val="000000"/>
                <w:sz w:val="18"/>
                <w:szCs w:val="18"/>
              </w:rPr>
              <w:t>42</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bottom"/>
          </w:tcPr>
          <w:p w14:paraId="4CAFADB1" w14:textId="77777777" w:rsidR="00284822" w:rsidRDefault="00F77BF8">
            <w:pPr>
              <w:shd w:val="clear" w:color="auto" w:fill="FFFFFF" w:themeFill="background1"/>
              <w:spacing w:line="240" w:lineRule="auto"/>
              <w:rPr>
                <w:rFonts w:ascii="Rockwell" w:hAnsi="Rockwell"/>
                <w:b/>
                <w:color w:val="000000"/>
                <w:sz w:val="18"/>
                <w:szCs w:val="18"/>
              </w:rPr>
            </w:pPr>
            <w:r>
              <w:rPr>
                <w:rFonts w:ascii="Rockwell" w:hAnsi="Rockwell"/>
                <w:b/>
                <w:color w:val="000000"/>
                <w:sz w:val="18"/>
                <w:szCs w:val="18"/>
              </w:rPr>
              <w:t>UNDD</w:t>
            </w:r>
          </w:p>
        </w:tc>
        <w:tc>
          <w:tcPr>
            <w:tcW w:w="84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AA737F2"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C19EDD2"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9C55FE4"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3FC760F"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749FB2F"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C361CD4"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2FCDA4A"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94F2AA9"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D24972B"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4</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FC83D8A"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5,48%</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FEDA6C8"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B2423B8"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6,76%</w:t>
            </w:r>
          </w:p>
        </w:tc>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47B143F"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0C49CE3"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1C38ECC"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564A1C3F"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r>
      <w:tr w:rsidR="00284822" w14:paraId="01D6BC02" w14:textId="77777777">
        <w:trPr>
          <w:trHeight w:val="189"/>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108" w:type="dxa"/>
              <w:bottom w:w="0" w:type="dxa"/>
              <w:right w:w="108" w:type="dxa"/>
            </w:tcMar>
            <w:vAlign w:val="center"/>
          </w:tcPr>
          <w:p w14:paraId="1F38AB4B" w14:textId="77777777" w:rsidR="00284822" w:rsidRDefault="00F77BF8">
            <w:pPr>
              <w:shd w:val="clear" w:color="auto" w:fill="FFFFFF" w:themeFill="background1"/>
              <w:spacing w:line="240" w:lineRule="auto"/>
              <w:rPr>
                <w:rFonts w:ascii="Rockwell" w:hAnsi="Rockwell"/>
                <w:bCs/>
                <w:color w:val="000000"/>
                <w:sz w:val="18"/>
                <w:szCs w:val="18"/>
              </w:rPr>
            </w:pPr>
            <w:r>
              <w:rPr>
                <w:rFonts w:ascii="Rockwell" w:hAnsi="Rockwell"/>
                <w:bCs/>
                <w:color w:val="000000"/>
                <w:sz w:val="18"/>
                <w:szCs w:val="18"/>
              </w:rPr>
              <w:t>43</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5C101484" w14:textId="77777777" w:rsidR="00284822" w:rsidRDefault="00F77BF8">
            <w:pPr>
              <w:shd w:val="clear" w:color="auto" w:fill="FFFFFF" w:themeFill="background1"/>
              <w:spacing w:line="240" w:lineRule="auto"/>
              <w:jc w:val="left"/>
              <w:rPr>
                <w:rFonts w:ascii="Rockwell" w:hAnsi="Rockwell"/>
                <w:b/>
                <w:color w:val="000000"/>
                <w:sz w:val="18"/>
                <w:szCs w:val="18"/>
              </w:rPr>
            </w:pPr>
            <w:r>
              <w:rPr>
                <w:rFonts w:ascii="Rockwell" w:hAnsi="Rockwell"/>
                <w:b/>
                <w:color w:val="000000"/>
                <w:sz w:val="18"/>
                <w:szCs w:val="18"/>
              </w:rPr>
              <w:t>UNIR/MPS</w:t>
            </w:r>
          </w:p>
        </w:tc>
        <w:tc>
          <w:tcPr>
            <w:tcW w:w="84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6FEFF599"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7</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63ADF321"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21,21%</w:t>
            </w:r>
          </w:p>
        </w:tc>
        <w:tc>
          <w:tcPr>
            <w:tcW w:w="56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23551F44"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8</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139D4B39"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12,90%</w:t>
            </w:r>
          </w:p>
        </w:tc>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145B832E"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10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15C43B67"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14,71%</w:t>
            </w:r>
          </w:p>
        </w:tc>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2427A108"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11</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1F5975BE"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10,19%</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4606B897"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5</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0AE44609"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6,85%</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725F7E30"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7</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5478FD1C"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4,73%</w:t>
            </w:r>
          </w:p>
        </w:tc>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4092F6CF"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611342A8"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0,00%</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3AF1109B"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0</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4D16E186"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0,00%</w:t>
            </w:r>
          </w:p>
        </w:tc>
      </w:tr>
      <w:tr w:rsidR="00284822" w14:paraId="3B671E43" w14:textId="77777777">
        <w:trPr>
          <w:trHeight w:val="26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108" w:type="dxa"/>
              <w:bottom w:w="0" w:type="dxa"/>
              <w:right w:w="108" w:type="dxa"/>
            </w:tcMar>
            <w:vAlign w:val="center"/>
          </w:tcPr>
          <w:p w14:paraId="25F7428A" w14:textId="77777777" w:rsidR="00284822" w:rsidRDefault="00F77BF8">
            <w:pPr>
              <w:shd w:val="clear" w:color="auto" w:fill="FFFFFF" w:themeFill="background1"/>
              <w:spacing w:line="240" w:lineRule="auto"/>
              <w:rPr>
                <w:rFonts w:ascii="Rockwell" w:hAnsi="Rockwell"/>
                <w:bCs/>
                <w:color w:val="000000"/>
                <w:sz w:val="18"/>
                <w:szCs w:val="18"/>
              </w:rPr>
            </w:pPr>
            <w:r>
              <w:rPr>
                <w:rFonts w:ascii="Rockwell" w:hAnsi="Rockwell"/>
                <w:bCs/>
                <w:color w:val="000000"/>
                <w:sz w:val="18"/>
                <w:szCs w:val="18"/>
              </w:rPr>
              <w:t>44</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19C06940" w14:textId="77777777" w:rsidR="00284822" w:rsidRDefault="00F77BF8">
            <w:pPr>
              <w:shd w:val="clear" w:color="auto" w:fill="FFFFFF" w:themeFill="background1"/>
              <w:spacing w:line="240" w:lineRule="auto"/>
              <w:jc w:val="left"/>
              <w:rPr>
                <w:rFonts w:ascii="Rockwell" w:hAnsi="Rockwell"/>
                <w:b/>
                <w:color w:val="000000"/>
                <w:sz w:val="18"/>
                <w:szCs w:val="18"/>
              </w:rPr>
            </w:pPr>
            <w:r>
              <w:rPr>
                <w:rFonts w:ascii="Rockwell" w:hAnsi="Rockwell"/>
                <w:b/>
                <w:color w:val="000000"/>
                <w:sz w:val="18"/>
                <w:szCs w:val="18"/>
              </w:rPr>
              <w:t>UPC</w:t>
            </w:r>
          </w:p>
        </w:tc>
        <w:tc>
          <w:tcPr>
            <w:tcW w:w="84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059280D0"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0</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606466C1"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0,00%</w:t>
            </w:r>
          </w:p>
        </w:tc>
        <w:tc>
          <w:tcPr>
            <w:tcW w:w="56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06C6E6FD"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17982877"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0,00%</w:t>
            </w:r>
          </w:p>
        </w:tc>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43552BAE"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6</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357992DF"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8,82%</w:t>
            </w:r>
          </w:p>
        </w:tc>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140434A1"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12</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0063C023"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11,11%</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0DCEA24F"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11</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4B356EE4"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15,07%</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5BEBFFE4"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26</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07C4C2CC"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17,57%</w:t>
            </w:r>
          </w:p>
        </w:tc>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2271ADFB"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2</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7E2C2D8D"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6,90%</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7FDC8356"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2</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49A78A08" w14:textId="77777777" w:rsidR="00284822" w:rsidRDefault="00F77BF8">
            <w:pPr>
              <w:shd w:val="clear" w:color="auto" w:fill="FFFFFF" w:themeFill="background1"/>
              <w:spacing w:line="240" w:lineRule="auto"/>
              <w:jc w:val="left"/>
              <w:rPr>
                <w:rFonts w:ascii="Rockwell" w:hAnsi="Rockwell"/>
                <w:color w:val="000000"/>
                <w:sz w:val="18"/>
                <w:szCs w:val="18"/>
              </w:rPr>
            </w:pPr>
            <w:r>
              <w:rPr>
                <w:rFonts w:ascii="Rockwell" w:hAnsi="Rockwell"/>
                <w:color w:val="000000"/>
                <w:sz w:val="18"/>
                <w:szCs w:val="18"/>
              </w:rPr>
              <w:t>6,25%</w:t>
            </w:r>
          </w:p>
        </w:tc>
      </w:tr>
      <w:tr w:rsidR="00284822" w14:paraId="40D04633" w14:textId="77777777">
        <w:trPr>
          <w:trHeight w:val="143"/>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108" w:type="dxa"/>
              <w:bottom w:w="0" w:type="dxa"/>
              <w:right w:w="108" w:type="dxa"/>
            </w:tcMar>
            <w:vAlign w:val="center"/>
          </w:tcPr>
          <w:p w14:paraId="7E00C382" w14:textId="77777777" w:rsidR="00284822" w:rsidRDefault="00F77BF8">
            <w:pPr>
              <w:shd w:val="clear" w:color="auto" w:fill="FFFFFF" w:themeFill="background1"/>
              <w:spacing w:line="240" w:lineRule="auto"/>
              <w:rPr>
                <w:rFonts w:ascii="Rockwell" w:hAnsi="Rockwell"/>
                <w:bCs/>
                <w:color w:val="000000"/>
                <w:sz w:val="18"/>
                <w:szCs w:val="18"/>
              </w:rPr>
            </w:pPr>
            <w:r>
              <w:rPr>
                <w:rFonts w:ascii="Rockwell" w:hAnsi="Rockwell"/>
                <w:bCs/>
                <w:color w:val="000000"/>
                <w:sz w:val="18"/>
                <w:szCs w:val="18"/>
              </w:rPr>
              <w:t>45</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bottom"/>
          </w:tcPr>
          <w:p w14:paraId="7E5943E4" w14:textId="77777777" w:rsidR="00284822" w:rsidRDefault="00F77BF8">
            <w:pPr>
              <w:shd w:val="clear" w:color="auto" w:fill="FFFFFF" w:themeFill="background1"/>
              <w:spacing w:line="240" w:lineRule="auto"/>
              <w:rPr>
                <w:rFonts w:ascii="Rockwell" w:hAnsi="Rockwell"/>
                <w:b/>
                <w:color w:val="000000"/>
                <w:sz w:val="18"/>
                <w:szCs w:val="18"/>
              </w:rPr>
            </w:pPr>
            <w:r>
              <w:rPr>
                <w:rFonts w:ascii="Rockwell" w:hAnsi="Rockwell"/>
                <w:b/>
                <w:color w:val="000000"/>
                <w:sz w:val="18"/>
                <w:szCs w:val="18"/>
              </w:rPr>
              <w:t>VB</w:t>
            </w:r>
          </w:p>
        </w:tc>
        <w:tc>
          <w:tcPr>
            <w:tcW w:w="84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418E70CC"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08A1C67"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D704A2D"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7DA6102"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FC88091"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19F8F173"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7E539A25"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84D87AF"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15B235D"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206851A5"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1,37%</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D10FCE2"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2</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FC25C8D"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1,35%</w:t>
            </w:r>
          </w:p>
        </w:tc>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0E658BB4"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68AD433E"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vAlign w:val="center"/>
          </w:tcPr>
          <w:p w14:paraId="59F98CF8"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55A1F210" w14:textId="77777777" w:rsidR="00284822" w:rsidRDefault="00F77BF8">
            <w:pPr>
              <w:shd w:val="clear" w:color="auto" w:fill="FFFFFF" w:themeFill="background1"/>
              <w:spacing w:line="240" w:lineRule="auto"/>
              <w:rPr>
                <w:rFonts w:ascii="Rockwell" w:hAnsi="Rockwell"/>
                <w:color w:val="000000"/>
                <w:sz w:val="18"/>
                <w:szCs w:val="18"/>
              </w:rPr>
            </w:pPr>
            <w:r>
              <w:rPr>
                <w:rFonts w:ascii="Rockwell" w:hAnsi="Rockwell"/>
                <w:color w:val="000000"/>
                <w:sz w:val="18"/>
                <w:szCs w:val="18"/>
              </w:rPr>
              <w:t>0,00%</w:t>
            </w:r>
          </w:p>
        </w:tc>
      </w:tr>
      <w:tr w:rsidR="00284822" w14:paraId="5D01A3ED" w14:textId="77777777">
        <w:trPr>
          <w:trHeight w:val="363"/>
          <w:jc w:val="center"/>
        </w:trPr>
        <w:tc>
          <w:tcPr>
            <w:tcW w:w="2263"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108" w:type="dxa"/>
              <w:bottom w:w="0" w:type="dxa"/>
              <w:right w:w="108" w:type="dxa"/>
            </w:tcMar>
            <w:vAlign w:val="center"/>
          </w:tcPr>
          <w:p w14:paraId="1121EC12" w14:textId="77777777" w:rsidR="00284822" w:rsidRDefault="00F77BF8">
            <w:pPr>
              <w:shd w:val="clear" w:color="auto" w:fill="FFFFFF" w:themeFill="background1"/>
              <w:spacing w:line="240" w:lineRule="auto"/>
              <w:rPr>
                <w:rFonts w:ascii="Rockwell" w:hAnsi="Rockwell"/>
                <w:sz w:val="18"/>
                <w:szCs w:val="18"/>
              </w:rPr>
            </w:pPr>
            <w:r>
              <w:rPr>
                <w:rFonts w:ascii="Rockwell" w:hAnsi="Rockwell"/>
                <w:b/>
                <w:bCs/>
                <w:color w:val="000000"/>
                <w:sz w:val="18"/>
                <w:szCs w:val="18"/>
              </w:rPr>
              <w:t>TOTAL</w:t>
            </w:r>
          </w:p>
        </w:tc>
        <w:tc>
          <w:tcPr>
            <w:tcW w:w="84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5D6A2456" w14:textId="77777777" w:rsidR="00284822" w:rsidRDefault="00F77BF8">
            <w:pPr>
              <w:shd w:val="clear" w:color="auto" w:fill="FFFFFF" w:themeFill="background1"/>
              <w:spacing w:line="240" w:lineRule="auto"/>
              <w:jc w:val="center"/>
              <w:rPr>
                <w:rFonts w:ascii="Rockwell" w:hAnsi="Rockwell"/>
                <w:b/>
                <w:sz w:val="18"/>
                <w:szCs w:val="18"/>
              </w:rPr>
            </w:pPr>
            <w:r>
              <w:rPr>
                <w:rFonts w:ascii="Rockwell" w:hAnsi="Rockwell"/>
                <w:b/>
                <w:color w:val="000000"/>
                <w:sz w:val="18"/>
                <w:szCs w:val="18"/>
              </w:rPr>
              <w:t>33</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4C00E11E" w14:textId="77777777" w:rsidR="00284822" w:rsidRDefault="00F77BF8">
            <w:pPr>
              <w:shd w:val="clear" w:color="auto" w:fill="FFFFFF" w:themeFill="background1"/>
              <w:spacing w:line="240" w:lineRule="auto"/>
              <w:jc w:val="center"/>
              <w:rPr>
                <w:rFonts w:ascii="Rockwell" w:hAnsi="Rockwell"/>
                <w:b/>
                <w:sz w:val="18"/>
                <w:szCs w:val="18"/>
              </w:rPr>
            </w:pPr>
            <w:r>
              <w:rPr>
                <w:rFonts w:ascii="Rockwell" w:hAnsi="Rockwell"/>
                <w:b/>
                <w:color w:val="000000"/>
                <w:sz w:val="18"/>
                <w:szCs w:val="18"/>
              </w:rPr>
              <w:t>100,00%</w:t>
            </w:r>
          </w:p>
        </w:tc>
        <w:tc>
          <w:tcPr>
            <w:tcW w:w="56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58C908A0" w14:textId="77777777" w:rsidR="00284822" w:rsidRDefault="00F77BF8">
            <w:pPr>
              <w:shd w:val="clear" w:color="auto" w:fill="FFFFFF" w:themeFill="background1"/>
              <w:spacing w:line="240" w:lineRule="auto"/>
              <w:jc w:val="center"/>
              <w:rPr>
                <w:rFonts w:ascii="Rockwell" w:hAnsi="Rockwell"/>
                <w:b/>
                <w:sz w:val="18"/>
                <w:szCs w:val="18"/>
              </w:rPr>
            </w:pPr>
            <w:r>
              <w:rPr>
                <w:rFonts w:ascii="Rockwell" w:hAnsi="Rockwell"/>
                <w:b/>
                <w:color w:val="000000"/>
                <w:sz w:val="18"/>
                <w:szCs w:val="18"/>
              </w:rPr>
              <w:t>62</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335CBBF7" w14:textId="77777777" w:rsidR="00284822" w:rsidRDefault="00F77BF8">
            <w:pPr>
              <w:shd w:val="clear" w:color="auto" w:fill="FFFFFF" w:themeFill="background1"/>
              <w:spacing w:line="240" w:lineRule="auto"/>
              <w:jc w:val="center"/>
              <w:rPr>
                <w:rFonts w:ascii="Rockwell" w:hAnsi="Rockwell"/>
                <w:b/>
                <w:sz w:val="18"/>
                <w:szCs w:val="18"/>
              </w:rPr>
            </w:pPr>
            <w:r>
              <w:rPr>
                <w:rFonts w:ascii="Rockwell" w:hAnsi="Rockwell"/>
                <w:b/>
                <w:color w:val="000000"/>
                <w:sz w:val="18"/>
                <w:szCs w:val="18"/>
              </w:rPr>
              <w:t>100,00%</w:t>
            </w:r>
          </w:p>
        </w:tc>
        <w:tc>
          <w:tcPr>
            <w:tcW w:w="55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07A3C468" w14:textId="77777777" w:rsidR="00284822" w:rsidRDefault="00F77BF8">
            <w:pPr>
              <w:shd w:val="clear" w:color="auto" w:fill="FFFFFF" w:themeFill="background1"/>
              <w:spacing w:line="240" w:lineRule="auto"/>
              <w:jc w:val="left"/>
              <w:rPr>
                <w:rFonts w:ascii="Rockwell" w:hAnsi="Rockwell"/>
                <w:b/>
                <w:sz w:val="18"/>
                <w:szCs w:val="18"/>
              </w:rPr>
            </w:pPr>
            <w:r>
              <w:rPr>
                <w:rFonts w:ascii="Rockwell" w:hAnsi="Rockwell"/>
                <w:b/>
                <w:color w:val="000000"/>
                <w:sz w:val="18"/>
                <w:szCs w:val="18"/>
              </w:rPr>
              <w:t>68</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30B27CCF" w14:textId="77777777" w:rsidR="00284822" w:rsidRDefault="00F77BF8">
            <w:pPr>
              <w:shd w:val="clear" w:color="auto" w:fill="FFFFFF" w:themeFill="background1"/>
              <w:spacing w:line="240" w:lineRule="auto"/>
              <w:jc w:val="center"/>
              <w:rPr>
                <w:rFonts w:ascii="Rockwell" w:hAnsi="Rockwell"/>
                <w:b/>
                <w:sz w:val="18"/>
                <w:szCs w:val="18"/>
              </w:rPr>
            </w:pPr>
            <w:r>
              <w:rPr>
                <w:rFonts w:ascii="Rockwell" w:hAnsi="Rockwell"/>
                <w:b/>
                <w:color w:val="000000"/>
                <w:sz w:val="18"/>
                <w:szCs w:val="18"/>
              </w:rPr>
              <w:t>100,00%</w:t>
            </w:r>
          </w:p>
        </w:tc>
        <w:tc>
          <w:tcPr>
            <w:tcW w:w="5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4A6ADF6D" w14:textId="77777777" w:rsidR="00284822" w:rsidRDefault="00F77BF8">
            <w:pPr>
              <w:shd w:val="clear" w:color="auto" w:fill="FFFFFF" w:themeFill="background1"/>
              <w:spacing w:line="240" w:lineRule="auto"/>
              <w:jc w:val="center"/>
              <w:rPr>
                <w:rFonts w:ascii="Rockwell" w:hAnsi="Rockwell"/>
                <w:b/>
                <w:sz w:val="18"/>
                <w:szCs w:val="18"/>
              </w:rPr>
            </w:pPr>
            <w:r>
              <w:rPr>
                <w:rFonts w:ascii="Rockwell" w:hAnsi="Rockwell"/>
                <w:b/>
                <w:color w:val="000000"/>
                <w:sz w:val="18"/>
                <w:szCs w:val="18"/>
              </w:rPr>
              <w:t>108</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010A245B" w14:textId="77777777" w:rsidR="00284822" w:rsidRDefault="00F77BF8">
            <w:pPr>
              <w:shd w:val="clear" w:color="auto" w:fill="FFFFFF" w:themeFill="background1"/>
              <w:spacing w:line="240" w:lineRule="auto"/>
              <w:jc w:val="center"/>
              <w:rPr>
                <w:rFonts w:ascii="Rockwell" w:hAnsi="Rockwell"/>
                <w:b/>
                <w:sz w:val="18"/>
                <w:szCs w:val="18"/>
              </w:rPr>
            </w:pPr>
            <w:r>
              <w:rPr>
                <w:rFonts w:ascii="Rockwell" w:hAnsi="Rockwell"/>
                <w:b/>
                <w:color w:val="000000"/>
                <w:sz w:val="18"/>
                <w:szCs w:val="18"/>
              </w:rPr>
              <w:t>100,00%</w:t>
            </w: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7D215CAB" w14:textId="77777777" w:rsidR="00284822" w:rsidRDefault="00F77BF8">
            <w:pPr>
              <w:shd w:val="clear" w:color="auto" w:fill="FFFFFF" w:themeFill="background1"/>
              <w:spacing w:line="240" w:lineRule="auto"/>
              <w:jc w:val="center"/>
              <w:rPr>
                <w:rFonts w:ascii="Rockwell" w:hAnsi="Rockwell"/>
                <w:b/>
                <w:sz w:val="18"/>
                <w:szCs w:val="18"/>
              </w:rPr>
            </w:pPr>
            <w:r>
              <w:rPr>
                <w:rFonts w:ascii="Rockwell" w:hAnsi="Rockwell"/>
                <w:b/>
                <w:color w:val="000000"/>
                <w:sz w:val="18"/>
                <w:szCs w:val="18"/>
              </w:rPr>
              <w:t>73</w:t>
            </w:r>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03ED135F" w14:textId="77777777" w:rsidR="00284822" w:rsidRDefault="00F77BF8">
            <w:pPr>
              <w:shd w:val="clear" w:color="auto" w:fill="FFFFFF" w:themeFill="background1"/>
              <w:spacing w:line="240" w:lineRule="auto"/>
              <w:jc w:val="center"/>
              <w:rPr>
                <w:rFonts w:ascii="Rockwell" w:hAnsi="Rockwell"/>
                <w:b/>
                <w:sz w:val="18"/>
                <w:szCs w:val="18"/>
              </w:rPr>
            </w:pPr>
            <w:r>
              <w:rPr>
                <w:rFonts w:ascii="Rockwell" w:hAnsi="Rockwell"/>
                <w:b/>
                <w:color w:val="000000"/>
                <w:sz w:val="18"/>
                <w:szCs w:val="18"/>
              </w:rPr>
              <w:t>100,00%</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390CDD48" w14:textId="77777777" w:rsidR="00284822" w:rsidRDefault="00F77BF8">
            <w:pPr>
              <w:shd w:val="clear" w:color="auto" w:fill="FFFFFF" w:themeFill="background1"/>
              <w:spacing w:line="240" w:lineRule="auto"/>
              <w:jc w:val="center"/>
              <w:rPr>
                <w:rFonts w:ascii="Rockwell" w:hAnsi="Rockwell"/>
                <w:b/>
                <w:sz w:val="18"/>
                <w:szCs w:val="18"/>
              </w:rPr>
            </w:pPr>
            <w:r>
              <w:rPr>
                <w:rFonts w:ascii="Rockwell" w:hAnsi="Rockwell"/>
                <w:b/>
                <w:color w:val="000000"/>
                <w:sz w:val="18"/>
                <w:szCs w:val="18"/>
              </w:rPr>
              <w:t>148</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3D91EEB8" w14:textId="77777777" w:rsidR="00284822" w:rsidRDefault="00F77BF8">
            <w:pPr>
              <w:shd w:val="clear" w:color="auto" w:fill="FFFFFF" w:themeFill="background1"/>
              <w:spacing w:line="240" w:lineRule="auto"/>
              <w:jc w:val="center"/>
              <w:rPr>
                <w:rFonts w:ascii="Rockwell" w:hAnsi="Rockwell"/>
                <w:b/>
                <w:sz w:val="18"/>
                <w:szCs w:val="18"/>
              </w:rPr>
            </w:pPr>
            <w:r>
              <w:rPr>
                <w:rFonts w:ascii="Rockwell" w:hAnsi="Rockwell"/>
                <w:b/>
                <w:color w:val="000000"/>
                <w:sz w:val="18"/>
                <w:szCs w:val="18"/>
              </w:rPr>
              <w:t>100,00%</w:t>
            </w:r>
          </w:p>
        </w:tc>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227FE156" w14:textId="77777777" w:rsidR="00284822" w:rsidRDefault="00F77BF8">
            <w:pPr>
              <w:shd w:val="clear" w:color="auto" w:fill="FFFFFF" w:themeFill="background1"/>
              <w:spacing w:line="240" w:lineRule="auto"/>
              <w:jc w:val="center"/>
              <w:rPr>
                <w:rFonts w:ascii="Rockwell" w:hAnsi="Rockwell"/>
                <w:b/>
                <w:sz w:val="18"/>
                <w:szCs w:val="18"/>
              </w:rPr>
            </w:pPr>
            <w:r>
              <w:rPr>
                <w:rFonts w:ascii="Rockwell" w:hAnsi="Rockwell"/>
                <w:b/>
                <w:color w:val="000000"/>
                <w:sz w:val="18"/>
                <w:szCs w:val="18"/>
              </w:rPr>
              <w:t>29</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1EF46794" w14:textId="77777777" w:rsidR="00284822" w:rsidRDefault="00F77BF8">
            <w:pPr>
              <w:shd w:val="clear" w:color="auto" w:fill="FFFFFF" w:themeFill="background1"/>
              <w:spacing w:line="240" w:lineRule="auto"/>
              <w:jc w:val="center"/>
              <w:rPr>
                <w:rFonts w:ascii="Rockwell" w:hAnsi="Rockwell"/>
                <w:b/>
                <w:sz w:val="18"/>
                <w:szCs w:val="18"/>
              </w:rPr>
            </w:pPr>
            <w:r>
              <w:rPr>
                <w:rFonts w:ascii="Rockwell" w:hAnsi="Rockwell"/>
                <w:b/>
                <w:color w:val="000000"/>
                <w:sz w:val="18"/>
                <w:szCs w:val="18"/>
              </w:rPr>
              <w:t>100,00%</w:t>
            </w:r>
          </w:p>
        </w:tc>
        <w:tc>
          <w:tcPr>
            <w:tcW w:w="70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2136493F" w14:textId="77777777" w:rsidR="00284822" w:rsidRDefault="00F77BF8">
            <w:pPr>
              <w:shd w:val="clear" w:color="auto" w:fill="FFFFFF" w:themeFill="background1"/>
              <w:spacing w:line="240" w:lineRule="auto"/>
              <w:jc w:val="center"/>
              <w:rPr>
                <w:rFonts w:ascii="Rockwell" w:hAnsi="Rockwell"/>
                <w:b/>
                <w:sz w:val="18"/>
                <w:szCs w:val="18"/>
              </w:rPr>
            </w:pPr>
            <w:r>
              <w:rPr>
                <w:rFonts w:ascii="Rockwell" w:hAnsi="Rockwell"/>
                <w:b/>
                <w:color w:val="000000"/>
                <w:sz w:val="18"/>
                <w:szCs w:val="18"/>
              </w:rPr>
              <w:t>32</w:t>
            </w:r>
          </w:p>
        </w:tc>
        <w:tc>
          <w:tcPr>
            <w:tcW w:w="103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3AA4BD5E" w14:textId="77777777" w:rsidR="00284822" w:rsidRDefault="00F77BF8">
            <w:pPr>
              <w:shd w:val="clear" w:color="auto" w:fill="FFFFFF" w:themeFill="background1"/>
              <w:spacing w:line="240" w:lineRule="auto"/>
              <w:jc w:val="center"/>
              <w:rPr>
                <w:rFonts w:ascii="Rockwell" w:hAnsi="Rockwell"/>
                <w:b/>
                <w:sz w:val="18"/>
                <w:szCs w:val="18"/>
              </w:rPr>
            </w:pPr>
            <w:r>
              <w:rPr>
                <w:rFonts w:ascii="Rockwell" w:hAnsi="Rockwell"/>
                <w:b/>
                <w:color w:val="000000"/>
                <w:sz w:val="18"/>
                <w:szCs w:val="18"/>
              </w:rPr>
              <w:t>100,00%</w:t>
            </w:r>
          </w:p>
        </w:tc>
      </w:tr>
    </w:tbl>
    <w:p w14:paraId="22FAA0B4" w14:textId="77777777" w:rsidR="00284822" w:rsidRDefault="00284822">
      <w:pPr>
        <w:shd w:val="clear" w:color="auto" w:fill="FFFFFF" w:themeFill="background1"/>
        <w:spacing w:before="120" w:after="120"/>
        <w:ind w:left="360"/>
        <w:rPr>
          <w:rFonts w:ascii="Rockwell" w:hAnsi="Rockwell"/>
          <w:b/>
          <w:sz w:val="20"/>
          <w:szCs w:val="20"/>
          <w:u w:val="single"/>
        </w:rPr>
      </w:pPr>
    </w:p>
    <w:p w14:paraId="03F3D88F" w14:textId="77777777" w:rsidR="00284822" w:rsidRDefault="00284822">
      <w:pPr>
        <w:shd w:val="clear" w:color="auto" w:fill="FFFFFF" w:themeFill="background1"/>
        <w:spacing w:before="120" w:after="120"/>
        <w:rPr>
          <w:rFonts w:ascii="Rockwell" w:hAnsi="Rockwell"/>
          <w:szCs w:val="26"/>
        </w:rPr>
      </w:pPr>
    </w:p>
    <w:tbl>
      <w:tblPr>
        <w:tblpPr w:leftFromText="141" w:rightFromText="141" w:vertAnchor="text" w:horzAnchor="margin" w:tblpXSpec="center" w:tblpY="-6"/>
        <w:tblW w:w="55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10" w:type="dxa"/>
          <w:right w:w="10" w:type="dxa"/>
        </w:tblCellMar>
        <w:tblLook w:val="04A0" w:firstRow="1" w:lastRow="0" w:firstColumn="1" w:lastColumn="0" w:noHBand="0" w:noVBand="1"/>
      </w:tblPr>
      <w:tblGrid>
        <w:gridCol w:w="863"/>
        <w:gridCol w:w="1736"/>
        <w:gridCol w:w="577"/>
        <w:gridCol w:w="1111"/>
        <w:gridCol w:w="725"/>
        <w:gridCol w:w="1070"/>
        <w:gridCol w:w="1219"/>
        <w:gridCol w:w="1357"/>
        <w:gridCol w:w="1045"/>
        <w:gridCol w:w="1466"/>
        <w:gridCol w:w="1069"/>
        <w:gridCol w:w="1045"/>
        <w:gridCol w:w="901"/>
        <w:gridCol w:w="1193"/>
        <w:gridCol w:w="23"/>
      </w:tblGrid>
      <w:tr w:rsidR="00284822" w14:paraId="7D118204" w14:textId="77777777">
        <w:trPr>
          <w:trHeight w:val="418"/>
        </w:trPr>
        <w:tc>
          <w:tcPr>
            <w:tcW w:w="864" w:type="dxa"/>
            <w:vMerge w:val="restart"/>
            <w:shd w:val="clear" w:color="auto" w:fill="9CC2E5" w:themeFill="accent1" w:themeFillTint="99"/>
            <w:noWrap/>
            <w:tcMar>
              <w:top w:w="0" w:type="dxa"/>
              <w:left w:w="108" w:type="dxa"/>
              <w:bottom w:w="0" w:type="dxa"/>
              <w:right w:w="108" w:type="dxa"/>
            </w:tcMar>
            <w:vAlign w:val="center"/>
          </w:tcPr>
          <w:p w14:paraId="3CC79E25" w14:textId="77777777" w:rsidR="00284822" w:rsidRDefault="00F77BF8">
            <w:pPr>
              <w:spacing w:line="240" w:lineRule="auto"/>
              <w:jc w:val="center"/>
              <w:rPr>
                <w:rFonts w:ascii="Rockwell" w:hAnsi="Rockwell"/>
                <w:sz w:val="20"/>
                <w:szCs w:val="20"/>
              </w:rPr>
            </w:pPr>
            <w:r>
              <w:rPr>
                <w:rFonts w:ascii="Rockwell" w:hAnsi="Rockwell"/>
                <w:b/>
                <w:bCs/>
                <w:sz w:val="20"/>
                <w:szCs w:val="20"/>
              </w:rPr>
              <w:lastRenderedPageBreak/>
              <w:t>NRO</w:t>
            </w:r>
          </w:p>
        </w:tc>
        <w:tc>
          <w:tcPr>
            <w:tcW w:w="1737" w:type="dxa"/>
            <w:vMerge w:val="restart"/>
            <w:shd w:val="clear" w:color="auto" w:fill="9CC2E5" w:themeFill="accent1" w:themeFillTint="99"/>
            <w:tcMar>
              <w:top w:w="0" w:type="dxa"/>
              <w:left w:w="108" w:type="dxa"/>
              <w:bottom w:w="0" w:type="dxa"/>
              <w:right w:w="108" w:type="dxa"/>
            </w:tcMar>
            <w:vAlign w:val="center"/>
          </w:tcPr>
          <w:p w14:paraId="510AD41F" w14:textId="77777777" w:rsidR="00284822" w:rsidRDefault="00F77BF8">
            <w:pPr>
              <w:spacing w:line="240" w:lineRule="auto"/>
              <w:jc w:val="center"/>
              <w:rPr>
                <w:rFonts w:ascii="Rockwell" w:hAnsi="Rockwell"/>
                <w:b/>
                <w:bCs/>
                <w:color w:val="000000"/>
                <w:sz w:val="20"/>
                <w:szCs w:val="20"/>
              </w:rPr>
            </w:pPr>
            <w:r>
              <w:rPr>
                <w:rFonts w:ascii="Rockwell" w:hAnsi="Rockwell"/>
                <w:b/>
                <w:bCs/>
                <w:color w:val="000000"/>
                <w:sz w:val="20"/>
                <w:szCs w:val="20"/>
              </w:rPr>
              <w:t>ACTEURS POLITIQUES</w:t>
            </w:r>
          </w:p>
        </w:tc>
        <w:tc>
          <w:tcPr>
            <w:tcW w:w="3485" w:type="dxa"/>
            <w:gridSpan w:val="4"/>
            <w:shd w:val="clear" w:color="auto" w:fill="9CC2E5" w:themeFill="accent1" w:themeFillTint="99"/>
            <w:tcMar>
              <w:top w:w="0" w:type="dxa"/>
              <w:left w:w="108" w:type="dxa"/>
              <w:bottom w:w="0" w:type="dxa"/>
              <w:right w:w="108" w:type="dxa"/>
            </w:tcMar>
            <w:vAlign w:val="center"/>
          </w:tcPr>
          <w:p w14:paraId="27788B92" w14:textId="77777777" w:rsidR="00284822" w:rsidRDefault="00F77BF8">
            <w:pPr>
              <w:spacing w:line="240" w:lineRule="auto"/>
              <w:jc w:val="center"/>
              <w:rPr>
                <w:rFonts w:ascii="Rockwell" w:hAnsi="Rockwell"/>
                <w:b/>
                <w:bCs/>
                <w:color w:val="000000"/>
                <w:sz w:val="20"/>
                <w:szCs w:val="20"/>
              </w:rPr>
            </w:pPr>
            <w:r>
              <w:rPr>
                <w:rFonts w:ascii="Rockwell" w:hAnsi="Rockwell"/>
                <w:b/>
                <w:bCs/>
                <w:color w:val="000000"/>
                <w:sz w:val="20"/>
                <w:szCs w:val="20"/>
              </w:rPr>
              <w:t>libreinfo.net</w:t>
            </w:r>
          </w:p>
        </w:tc>
        <w:tc>
          <w:tcPr>
            <w:tcW w:w="5087" w:type="dxa"/>
            <w:gridSpan w:val="4"/>
            <w:shd w:val="clear" w:color="auto" w:fill="9CC2E5" w:themeFill="accent1" w:themeFillTint="99"/>
            <w:tcMar>
              <w:top w:w="0" w:type="dxa"/>
              <w:left w:w="108" w:type="dxa"/>
              <w:bottom w:w="0" w:type="dxa"/>
              <w:right w:w="108" w:type="dxa"/>
            </w:tcMar>
            <w:vAlign w:val="center"/>
          </w:tcPr>
          <w:p w14:paraId="568F1F81" w14:textId="77777777" w:rsidR="00284822" w:rsidRDefault="00F77BF8">
            <w:pPr>
              <w:spacing w:line="240" w:lineRule="auto"/>
              <w:jc w:val="center"/>
              <w:rPr>
                <w:rFonts w:ascii="Rockwell" w:hAnsi="Rockwell"/>
                <w:b/>
                <w:bCs/>
                <w:color w:val="000000"/>
                <w:sz w:val="20"/>
                <w:szCs w:val="20"/>
              </w:rPr>
            </w:pPr>
            <w:r>
              <w:rPr>
                <w:rFonts w:ascii="Rockwell" w:hAnsi="Rockwell"/>
                <w:b/>
                <w:bCs/>
                <w:color w:val="000000"/>
                <w:sz w:val="20"/>
                <w:szCs w:val="20"/>
              </w:rPr>
              <w:t>directinfoburkina.net</w:t>
            </w:r>
          </w:p>
        </w:tc>
        <w:tc>
          <w:tcPr>
            <w:tcW w:w="4227" w:type="dxa"/>
            <w:gridSpan w:val="5"/>
            <w:shd w:val="clear" w:color="auto" w:fill="9CC2E5" w:themeFill="accent1" w:themeFillTint="99"/>
            <w:tcMar>
              <w:top w:w="0" w:type="dxa"/>
              <w:left w:w="108" w:type="dxa"/>
              <w:bottom w:w="0" w:type="dxa"/>
              <w:right w:w="108" w:type="dxa"/>
            </w:tcMar>
            <w:vAlign w:val="center"/>
          </w:tcPr>
          <w:p w14:paraId="4BB86BEF" w14:textId="77777777" w:rsidR="00284822" w:rsidRDefault="00F77BF8">
            <w:pPr>
              <w:spacing w:line="240" w:lineRule="auto"/>
              <w:jc w:val="center"/>
              <w:rPr>
                <w:rFonts w:ascii="Rockwell" w:hAnsi="Rockwell"/>
                <w:b/>
                <w:bCs/>
                <w:color w:val="000000"/>
                <w:sz w:val="20"/>
                <w:szCs w:val="20"/>
              </w:rPr>
            </w:pPr>
            <w:r>
              <w:rPr>
                <w:rFonts w:ascii="Rockwell" w:hAnsi="Rockwell"/>
                <w:b/>
                <w:bCs/>
                <w:color w:val="000000"/>
                <w:sz w:val="20"/>
                <w:szCs w:val="20"/>
              </w:rPr>
              <w:t>TOTAL</w:t>
            </w:r>
          </w:p>
        </w:tc>
      </w:tr>
      <w:tr w:rsidR="00284822" w14:paraId="4F9CDE32" w14:textId="77777777">
        <w:trPr>
          <w:gridAfter w:val="1"/>
          <w:wAfter w:w="23" w:type="dxa"/>
          <w:trHeight w:val="410"/>
        </w:trPr>
        <w:tc>
          <w:tcPr>
            <w:tcW w:w="864" w:type="dxa"/>
            <w:vMerge/>
            <w:shd w:val="clear" w:color="auto" w:fill="9CC2E5" w:themeFill="accent1" w:themeFillTint="99"/>
            <w:noWrap/>
            <w:tcMar>
              <w:top w:w="0" w:type="dxa"/>
              <w:left w:w="108" w:type="dxa"/>
              <w:bottom w:w="0" w:type="dxa"/>
              <w:right w:w="108" w:type="dxa"/>
            </w:tcMar>
            <w:vAlign w:val="center"/>
          </w:tcPr>
          <w:p w14:paraId="23B5DD9F" w14:textId="77777777" w:rsidR="00284822" w:rsidRDefault="00284822">
            <w:pPr>
              <w:spacing w:line="240" w:lineRule="auto"/>
              <w:rPr>
                <w:rFonts w:ascii="Rockwell" w:hAnsi="Rockwell"/>
                <w:b/>
                <w:bCs/>
                <w:sz w:val="20"/>
                <w:szCs w:val="20"/>
              </w:rPr>
            </w:pPr>
          </w:p>
        </w:tc>
        <w:tc>
          <w:tcPr>
            <w:tcW w:w="1737" w:type="dxa"/>
            <w:vMerge/>
            <w:shd w:val="clear" w:color="auto" w:fill="9CC2E5" w:themeFill="accent1" w:themeFillTint="99"/>
            <w:tcMar>
              <w:top w:w="0" w:type="dxa"/>
              <w:left w:w="108" w:type="dxa"/>
              <w:bottom w:w="0" w:type="dxa"/>
              <w:right w:w="108" w:type="dxa"/>
            </w:tcMar>
            <w:vAlign w:val="center"/>
          </w:tcPr>
          <w:p w14:paraId="1303F481" w14:textId="77777777" w:rsidR="00284822" w:rsidRDefault="00284822">
            <w:pPr>
              <w:spacing w:line="240" w:lineRule="auto"/>
              <w:rPr>
                <w:rFonts w:ascii="Rockwell" w:hAnsi="Rockwell"/>
                <w:sz w:val="20"/>
                <w:szCs w:val="20"/>
              </w:rPr>
            </w:pPr>
          </w:p>
        </w:tc>
        <w:tc>
          <w:tcPr>
            <w:tcW w:w="578" w:type="dxa"/>
            <w:shd w:val="clear" w:color="auto" w:fill="9CC2E5" w:themeFill="accent1" w:themeFillTint="99"/>
            <w:tcMar>
              <w:top w:w="0" w:type="dxa"/>
              <w:left w:w="108" w:type="dxa"/>
              <w:bottom w:w="0" w:type="dxa"/>
              <w:right w:w="108" w:type="dxa"/>
            </w:tcMar>
            <w:vAlign w:val="center"/>
          </w:tcPr>
          <w:p w14:paraId="19C7C73E"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NA</w:t>
            </w:r>
          </w:p>
        </w:tc>
        <w:tc>
          <w:tcPr>
            <w:tcW w:w="1112" w:type="dxa"/>
            <w:shd w:val="clear" w:color="auto" w:fill="9CC2E5" w:themeFill="accent1" w:themeFillTint="99"/>
            <w:tcMar>
              <w:top w:w="0" w:type="dxa"/>
              <w:left w:w="108" w:type="dxa"/>
              <w:bottom w:w="0" w:type="dxa"/>
              <w:right w:w="108" w:type="dxa"/>
            </w:tcMar>
            <w:vAlign w:val="center"/>
          </w:tcPr>
          <w:p w14:paraId="203348DA"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 NA</w:t>
            </w:r>
          </w:p>
        </w:tc>
        <w:tc>
          <w:tcPr>
            <w:tcW w:w="725" w:type="dxa"/>
            <w:shd w:val="clear" w:color="auto" w:fill="9CC2E5" w:themeFill="accent1" w:themeFillTint="99"/>
            <w:tcMar>
              <w:top w:w="0" w:type="dxa"/>
              <w:left w:w="108" w:type="dxa"/>
              <w:bottom w:w="0" w:type="dxa"/>
              <w:right w:w="108" w:type="dxa"/>
            </w:tcMar>
            <w:vAlign w:val="center"/>
          </w:tcPr>
          <w:p w14:paraId="6A7E96EE"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NI</w:t>
            </w:r>
          </w:p>
        </w:tc>
        <w:tc>
          <w:tcPr>
            <w:tcW w:w="1068" w:type="dxa"/>
            <w:shd w:val="clear" w:color="auto" w:fill="9CC2E5" w:themeFill="accent1" w:themeFillTint="99"/>
            <w:tcMar>
              <w:top w:w="0" w:type="dxa"/>
              <w:left w:w="108" w:type="dxa"/>
              <w:bottom w:w="0" w:type="dxa"/>
              <w:right w:w="108" w:type="dxa"/>
            </w:tcMar>
            <w:vAlign w:val="center"/>
          </w:tcPr>
          <w:p w14:paraId="15710A18"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 NI</w:t>
            </w:r>
          </w:p>
        </w:tc>
        <w:tc>
          <w:tcPr>
            <w:tcW w:w="1219" w:type="dxa"/>
            <w:shd w:val="clear" w:color="auto" w:fill="9CC2E5" w:themeFill="accent1" w:themeFillTint="99"/>
            <w:tcMar>
              <w:top w:w="0" w:type="dxa"/>
              <w:left w:w="108" w:type="dxa"/>
              <w:bottom w:w="0" w:type="dxa"/>
              <w:right w:w="108" w:type="dxa"/>
            </w:tcMar>
            <w:vAlign w:val="center"/>
          </w:tcPr>
          <w:p w14:paraId="2C9D0832"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NA</w:t>
            </w:r>
          </w:p>
        </w:tc>
        <w:tc>
          <w:tcPr>
            <w:tcW w:w="1357" w:type="dxa"/>
            <w:shd w:val="clear" w:color="auto" w:fill="9CC2E5" w:themeFill="accent1" w:themeFillTint="99"/>
            <w:tcMar>
              <w:top w:w="0" w:type="dxa"/>
              <w:left w:w="108" w:type="dxa"/>
              <w:bottom w:w="0" w:type="dxa"/>
              <w:right w:w="108" w:type="dxa"/>
            </w:tcMar>
            <w:vAlign w:val="center"/>
          </w:tcPr>
          <w:p w14:paraId="1F5038F6"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 NA</w:t>
            </w:r>
          </w:p>
        </w:tc>
        <w:tc>
          <w:tcPr>
            <w:tcW w:w="1045" w:type="dxa"/>
            <w:shd w:val="clear" w:color="auto" w:fill="9CC2E5" w:themeFill="accent1" w:themeFillTint="99"/>
            <w:tcMar>
              <w:top w:w="0" w:type="dxa"/>
              <w:left w:w="108" w:type="dxa"/>
              <w:bottom w:w="0" w:type="dxa"/>
              <w:right w:w="108" w:type="dxa"/>
            </w:tcMar>
            <w:vAlign w:val="center"/>
          </w:tcPr>
          <w:p w14:paraId="63A60431"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NI</w:t>
            </w:r>
          </w:p>
        </w:tc>
        <w:tc>
          <w:tcPr>
            <w:tcW w:w="1464" w:type="dxa"/>
            <w:shd w:val="clear" w:color="auto" w:fill="9CC2E5" w:themeFill="accent1" w:themeFillTint="99"/>
            <w:tcMar>
              <w:top w:w="0" w:type="dxa"/>
              <w:left w:w="108" w:type="dxa"/>
              <w:bottom w:w="0" w:type="dxa"/>
              <w:right w:w="108" w:type="dxa"/>
            </w:tcMar>
            <w:vAlign w:val="center"/>
          </w:tcPr>
          <w:p w14:paraId="72FBA8EF"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 NI</w:t>
            </w:r>
          </w:p>
        </w:tc>
        <w:tc>
          <w:tcPr>
            <w:tcW w:w="1069" w:type="dxa"/>
            <w:shd w:val="clear" w:color="auto" w:fill="9CC2E5" w:themeFill="accent1" w:themeFillTint="99"/>
            <w:tcMar>
              <w:top w:w="0" w:type="dxa"/>
              <w:left w:w="108" w:type="dxa"/>
              <w:bottom w:w="0" w:type="dxa"/>
              <w:right w:w="108" w:type="dxa"/>
            </w:tcMar>
            <w:vAlign w:val="center"/>
          </w:tcPr>
          <w:p w14:paraId="3B8CD08F" w14:textId="77777777" w:rsidR="00284822" w:rsidRDefault="00F77BF8">
            <w:pPr>
              <w:spacing w:line="240" w:lineRule="auto"/>
              <w:rPr>
                <w:rFonts w:ascii="Rockwell" w:hAnsi="Rockwell"/>
                <w:b/>
                <w:bCs/>
                <w:color w:val="000000"/>
                <w:sz w:val="20"/>
                <w:szCs w:val="20"/>
              </w:rPr>
            </w:pPr>
            <w:r>
              <w:rPr>
                <w:rFonts w:ascii="Rockwell" w:hAnsi="Rockwell"/>
                <w:b/>
                <w:bCs/>
                <w:color w:val="000000"/>
                <w:sz w:val="20"/>
                <w:szCs w:val="20"/>
              </w:rPr>
              <w:t>NA</w:t>
            </w:r>
          </w:p>
        </w:tc>
        <w:tc>
          <w:tcPr>
            <w:tcW w:w="1045" w:type="dxa"/>
            <w:shd w:val="clear" w:color="auto" w:fill="9CC2E5" w:themeFill="accent1" w:themeFillTint="99"/>
            <w:tcMar>
              <w:top w:w="0" w:type="dxa"/>
              <w:left w:w="108" w:type="dxa"/>
              <w:bottom w:w="0" w:type="dxa"/>
              <w:right w:w="108" w:type="dxa"/>
            </w:tcMar>
            <w:vAlign w:val="center"/>
          </w:tcPr>
          <w:p w14:paraId="2429E1FB" w14:textId="77777777" w:rsidR="00284822" w:rsidRDefault="00F77BF8">
            <w:pPr>
              <w:spacing w:line="240" w:lineRule="auto"/>
              <w:rPr>
                <w:rFonts w:ascii="Rockwell" w:hAnsi="Rockwell"/>
                <w:b/>
                <w:bCs/>
                <w:color w:val="000000"/>
                <w:sz w:val="20"/>
                <w:szCs w:val="20"/>
              </w:rPr>
            </w:pPr>
            <w:r>
              <w:rPr>
                <w:rFonts w:ascii="Rockwell" w:hAnsi="Rockwell"/>
                <w:b/>
                <w:bCs/>
                <w:color w:val="000000"/>
                <w:sz w:val="20"/>
                <w:szCs w:val="20"/>
              </w:rPr>
              <w:t>% NA</w:t>
            </w:r>
          </w:p>
        </w:tc>
        <w:tc>
          <w:tcPr>
            <w:tcW w:w="901" w:type="dxa"/>
            <w:shd w:val="clear" w:color="auto" w:fill="9CC2E5" w:themeFill="accent1" w:themeFillTint="99"/>
            <w:tcMar>
              <w:top w:w="0" w:type="dxa"/>
              <w:left w:w="108" w:type="dxa"/>
              <w:bottom w:w="0" w:type="dxa"/>
              <w:right w:w="108" w:type="dxa"/>
            </w:tcMar>
            <w:vAlign w:val="center"/>
          </w:tcPr>
          <w:p w14:paraId="75CF2077" w14:textId="77777777" w:rsidR="00284822" w:rsidRDefault="00F77BF8">
            <w:pPr>
              <w:spacing w:line="240" w:lineRule="auto"/>
              <w:rPr>
                <w:rFonts w:ascii="Rockwell" w:hAnsi="Rockwell"/>
                <w:b/>
                <w:bCs/>
                <w:color w:val="000000"/>
                <w:sz w:val="20"/>
                <w:szCs w:val="20"/>
              </w:rPr>
            </w:pPr>
            <w:r>
              <w:rPr>
                <w:rFonts w:ascii="Rockwell" w:hAnsi="Rockwell"/>
                <w:b/>
                <w:bCs/>
                <w:color w:val="000000"/>
                <w:sz w:val="20"/>
                <w:szCs w:val="20"/>
              </w:rPr>
              <w:t>NI</w:t>
            </w:r>
          </w:p>
        </w:tc>
        <w:tc>
          <w:tcPr>
            <w:tcW w:w="1193" w:type="dxa"/>
            <w:shd w:val="clear" w:color="auto" w:fill="9CC2E5" w:themeFill="accent1" w:themeFillTint="99"/>
            <w:tcMar>
              <w:top w:w="0" w:type="dxa"/>
              <w:left w:w="108" w:type="dxa"/>
              <w:bottom w:w="0" w:type="dxa"/>
              <w:right w:w="108" w:type="dxa"/>
            </w:tcMar>
            <w:vAlign w:val="center"/>
          </w:tcPr>
          <w:p w14:paraId="261D5D9C" w14:textId="77777777" w:rsidR="00284822" w:rsidRDefault="00F77BF8">
            <w:pPr>
              <w:spacing w:line="240" w:lineRule="auto"/>
              <w:rPr>
                <w:rFonts w:ascii="Rockwell" w:hAnsi="Rockwell"/>
                <w:b/>
                <w:bCs/>
                <w:color w:val="000000"/>
                <w:sz w:val="20"/>
                <w:szCs w:val="20"/>
              </w:rPr>
            </w:pPr>
            <w:r>
              <w:rPr>
                <w:rFonts w:ascii="Rockwell" w:hAnsi="Rockwell"/>
                <w:b/>
                <w:bCs/>
                <w:color w:val="000000"/>
                <w:sz w:val="20"/>
                <w:szCs w:val="20"/>
              </w:rPr>
              <w:t>% NI</w:t>
            </w:r>
          </w:p>
        </w:tc>
      </w:tr>
      <w:tr w:rsidR="00284822" w14:paraId="79DCD1D6" w14:textId="77777777">
        <w:trPr>
          <w:gridAfter w:val="1"/>
          <w:wAfter w:w="23" w:type="dxa"/>
          <w:trHeight w:val="308"/>
        </w:trPr>
        <w:tc>
          <w:tcPr>
            <w:tcW w:w="864" w:type="dxa"/>
            <w:shd w:val="clear" w:color="auto" w:fill="FFFFFF" w:themeFill="background1"/>
            <w:noWrap/>
            <w:tcMar>
              <w:top w:w="0" w:type="dxa"/>
              <w:left w:w="108" w:type="dxa"/>
              <w:bottom w:w="0" w:type="dxa"/>
              <w:right w:w="108" w:type="dxa"/>
            </w:tcMar>
            <w:vAlign w:val="bottom"/>
          </w:tcPr>
          <w:p w14:paraId="50050AAA"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1</w:t>
            </w:r>
          </w:p>
        </w:tc>
        <w:tc>
          <w:tcPr>
            <w:tcW w:w="1737" w:type="dxa"/>
            <w:shd w:val="clear" w:color="auto" w:fill="FFFFFF" w:themeFill="background1"/>
            <w:tcMar>
              <w:top w:w="0" w:type="dxa"/>
              <w:left w:w="108" w:type="dxa"/>
              <w:bottom w:w="0" w:type="dxa"/>
              <w:right w:w="108" w:type="dxa"/>
            </w:tcMar>
            <w:vAlign w:val="bottom"/>
          </w:tcPr>
          <w:p w14:paraId="6C77082D"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ADF/RDA</w:t>
            </w:r>
          </w:p>
        </w:tc>
        <w:tc>
          <w:tcPr>
            <w:tcW w:w="578" w:type="dxa"/>
            <w:shd w:val="clear" w:color="auto" w:fill="FFFFFF" w:themeFill="background1"/>
            <w:tcMar>
              <w:top w:w="0" w:type="dxa"/>
              <w:left w:w="108" w:type="dxa"/>
              <w:bottom w:w="0" w:type="dxa"/>
              <w:right w:w="108" w:type="dxa"/>
            </w:tcMar>
            <w:vAlign w:val="center"/>
          </w:tcPr>
          <w:p w14:paraId="2D81A02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112" w:type="dxa"/>
            <w:shd w:val="clear" w:color="auto" w:fill="FFFFFF" w:themeFill="background1"/>
            <w:tcMar>
              <w:top w:w="0" w:type="dxa"/>
              <w:left w:w="108" w:type="dxa"/>
              <w:bottom w:w="0" w:type="dxa"/>
              <w:right w:w="108" w:type="dxa"/>
            </w:tcMar>
            <w:vAlign w:val="center"/>
          </w:tcPr>
          <w:p w14:paraId="60EAEC0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4,35%</w:t>
            </w:r>
          </w:p>
        </w:tc>
        <w:tc>
          <w:tcPr>
            <w:tcW w:w="725" w:type="dxa"/>
            <w:shd w:val="clear" w:color="auto" w:fill="FFFFFF" w:themeFill="background1"/>
            <w:tcMar>
              <w:top w:w="0" w:type="dxa"/>
              <w:left w:w="108" w:type="dxa"/>
              <w:bottom w:w="0" w:type="dxa"/>
              <w:right w:w="108" w:type="dxa"/>
            </w:tcMar>
            <w:vAlign w:val="center"/>
          </w:tcPr>
          <w:p w14:paraId="2F6E019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068" w:type="dxa"/>
            <w:shd w:val="clear" w:color="auto" w:fill="FFFFFF" w:themeFill="background1"/>
            <w:tcMar>
              <w:top w:w="0" w:type="dxa"/>
              <w:left w:w="108" w:type="dxa"/>
              <w:bottom w:w="0" w:type="dxa"/>
              <w:right w:w="108" w:type="dxa"/>
            </w:tcMar>
            <w:vAlign w:val="center"/>
          </w:tcPr>
          <w:p w14:paraId="2A40D6E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4,17%</w:t>
            </w:r>
          </w:p>
        </w:tc>
        <w:tc>
          <w:tcPr>
            <w:tcW w:w="1219" w:type="dxa"/>
            <w:shd w:val="clear" w:color="auto" w:fill="FFFFFF" w:themeFill="background1"/>
            <w:tcMar>
              <w:top w:w="0" w:type="dxa"/>
              <w:left w:w="108" w:type="dxa"/>
              <w:bottom w:w="0" w:type="dxa"/>
              <w:right w:w="108" w:type="dxa"/>
            </w:tcMar>
            <w:vAlign w:val="center"/>
          </w:tcPr>
          <w:p w14:paraId="148120D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357" w:type="dxa"/>
            <w:shd w:val="clear" w:color="auto" w:fill="FFFFFF" w:themeFill="background1"/>
            <w:tcMar>
              <w:top w:w="0" w:type="dxa"/>
              <w:left w:w="108" w:type="dxa"/>
              <w:bottom w:w="0" w:type="dxa"/>
              <w:right w:w="108" w:type="dxa"/>
            </w:tcMar>
            <w:vAlign w:val="center"/>
          </w:tcPr>
          <w:p w14:paraId="38D6293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45" w:type="dxa"/>
            <w:shd w:val="clear" w:color="auto" w:fill="FFFFFF" w:themeFill="background1"/>
            <w:tcMar>
              <w:top w:w="0" w:type="dxa"/>
              <w:left w:w="108" w:type="dxa"/>
              <w:bottom w:w="0" w:type="dxa"/>
              <w:right w:w="108" w:type="dxa"/>
            </w:tcMar>
            <w:vAlign w:val="center"/>
          </w:tcPr>
          <w:p w14:paraId="0AF894B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464" w:type="dxa"/>
            <w:shd w:val="clear" w:color="auto" w:fill="FFFFFF" w:themeFill="background1"/>
            <w:tcMar>
              <w:top w:w="0" w:type="dxa"/>
              <w:left w:w="108" w:type="dxa"/>
              <w:bottom w:w="0" w:type="dxa"/>
              <w:right w:w="108" w:type="dxa"/>
            </w:tcMar>
            <w:vAlign w:val="center"/>
          </w:tcPr>
          <w:p w14:paraId="7D6D6FD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69" w:type="dxa"/>
            <w:shd w:val="clear" w:color="auto" w:fill="FFFFFF" w:themeFill="background1"/>
            <w:tcMar>
              <w:top w:w="0" w:type="dxa"/>
              <w:left w:w="108" w:type="dxa"/>
              <w:bottom w:w="0" w:type="dxa"/>
              <w:right w:w="108" w:type="dxa"/>
            </w:tcMar>
            <w:vAlign w:val="center"/>
          </w:tcPr>
          <w:p w14:paraId="6A678821" w14:textId="77777777" w:rsidR="00284822" w:rsidRDefault="00F77BF8">
            <w:pPr>
              <w:spacing w:line="240" w:lineRule="auto"/>
              <w:rPr>
                <w:rFonts w:ascii="Rockwell" w:hAnsi="Rockwell"/>
                <w:b/>
                <w:bCs/>
                <w:sz w:val="20"/>
                <w:szCs w:val="20"/>
              </w:rPr>
            </w:pPr>
            <w:r>
              <w:rPr>
                <w:rFonts w:ascii="Rockwell" w:hAnsi="Rockwell"/>
                <w:b/>
                <w:bCs/>
                <w:sz w:val="20"/>
                <w:szCs w:val="20"/>
              </w:rPr>
              <w:t>17</w:t>
            </w:r>
          </w:p>
        </w:tc>
        <w:tc>
          <w:tcPr>
            <w:tcW w:w="1045" w:type="dxa"/>
            <w:shd w:val="clear" w:color="auto" w:fill="FFFFFF" w:themeFill="background1"/>
            <w:tcMar>
              <w:top w:w="0" w:type="dxa"/>
              <w:left w:w="108" w:type="dxa"/>
              <w:bottom w:w="0" w:type="dxa"/>
              <w:right w:w="108" w:type="dxa"/>
            </w:tcMar>
            <w:vAlign w:val="center"/>
          </w:tcPr>
          <w:p w14:paraId="20DE46B6" w14:textId="77777777" w:rsidR="00284822" w:rsidRDefault="00F77BF8">
            <w:pPr>
              <w:spacing w:line="240" w:lineRule="auto"/>
              <w:rPr>
                <w:rFonts w:ascii="Rockwell" w:hAnsi="Rockwell"/>
                <w:b/>
                <w:bCs/>
                <w:sz w:val="20"/>
                <w:szCs w:val="20"/>
              </w:rPr>
            </w:pPr>
            <w:r>
              <w:rPr>
                <w:rFonts w:ascii="Rockwell" w:hAnsi="Rockwell"/>
                <w:b/>
                <w:bCs/>
                <w:sz w:val="20"/>
                <w:szCs w:val="20"/>
              </w:rPr>
              <w:t>2,28%</w:t>
            </w:r>
          </w:p>
        </w:tc>
        <w:tc>
          <w:tcPr>
            <w:tcW w:w="901" w:type="dxa"/>
            <w:shd w:val="clear" w:color="auto" w:fill="FFFFFF" w:themeFill="background1"/>
            <w:tcMar>
              <w:top w:w="0" w:type="dxa"/>
              <w:left w:w="108" w:type="dxa"/>
              <w:bottom w:w="0" w:type="dxa"/>
              <w:right w:w="108" w:type="dxa"/>
            </w:tcMar>
            <w:vAlign w:val="center"/>
          </w:tcPr>
          <w:p w14:paraId="0A4B7D1A" w14:textId="77777777" w:rsidR="00284822" w:rsidRDefault="00F77BF8">
            <w:pPr>
              <w:spacing w:line="240" w:lineRule="auto"/>
              <w:rPr>
                <w:rFonts w:ascii="Rockwell" w:hAnsi="Rockwell"/>
                <w:b/>
                <w:bCs/>
                <w:sz w:val="20"/>
                <w:szCs w:val="20"/>
              </w:rPr>
            </w:pPr>
            <w:r>
              <w:rPr>
                <w:rFonts w:ascii="Rockwell" w:hAnsi="Rockwell"/>
                <w:b/>
                <w:bCs/>
                <w:sz w:val="20"/>
                <w:szCs w:val="20"/>
              </w:rPr>
              <w:t>22</w:t>
            </w:r>
          </w:p>
        </w:tc>
        <w:tc>
          <w:tcPr>
            <w:tcW w:w="1193" w:type="dxa"/>
            <w:shd w:val="clear" w:color="auto" w:fill="FFFFFF" w:themeFill="background1"/>
            <w:tcMar>
              <w:top w:w="0" w:type="dxa"/>
              <w:left w:w="108" w:type="dxa"/>
              <w:bottom w:w="0" w:type="dxa"/>
              <w:right w:w="108" w:type="dxa"/>
            </w:tcMar>
            <w:vAlign w:val="center"/>
          </w:tcPr>
          <w:p w14:paraId="0D0AFEC7" w14:textId="77777777" w:rsidR="00284822" w:rsidRDefault="00F77BF8">
            <w:pPr>
              <w:spacing w:line="240" w:lineRule="auto"/>
              <w:rPr>
                <w:rFonts w:ascii="Rockwell" w:hAnsi="Rockwell"/>
                <w:b/>
                <w:bCs/>
                <w:sz w:val="20"/>
                <w:szCs w:val="20"/>
              </w:rPr>
            </w:pPr>
            <w:r>
              <w:rPr>
                <w:rFonts w:ascii="Rockwell" w:hAnsi="Rockwell"/>
                <w:b/>
                <w:bCs/>
                <w:sz w:val="20"/>
                <w:szCs w:val="20"/>
              </w:rPr>
              <w:t>1,84%</w:t>
            </w:r>
          </w:p>
        </w:tc>
      </w:tr>
      <w:tr w:rsidR="00284822" w14:paraId="479557E4" w14:textId="77777777">
        <w:trPr>
          <w:gridAfter w:val="1"/>
          <w:wAfter w:w="23" w:type="dxa"/>
          <w:trHeight w:val="308"/>
        </w:trPr>
        <w:tc>
          <w:tcPr>
            <w:tcW w:w="864" w:type="dxa"/>
            <w:shd w:val="clear" w:color="auto" w:fill="FFFFFF" w:themeFill="background1"/>
            <w:noWrap/>
            <w:tcMar>
              <w:top w:w="0" w:type="dxa"/>
              <w:left w:w="108" w:type="dxa"/>
              <w:bottom w:w="0" w:type="dxa"/>
              <w:right w:w="108" w:type="dxa"/>
            </w:tcMar>
            <w:vAlign w:val="bottom"/>
          </w:tcPr>
          <w:p w14:paraId="276AEBC4"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2</w:t>
            </w:r>
          </w:p>
        </w:tc>
        <w:tc>
          <w:tcPr>
            <w:tcW w:w="1737" w:type="dxa"/>
            <w:shd w:val="clear" w:color="auto" w:fill="FFFFFF" w:themeFill="background1"/>
            <w:tcMar>
              <w:top w:w="0" w:type="dxa"/>
              <w:left w:w="108" w:type="dxa"/>
              <w:bottom w:w="0" w:type="dxa"/>
              <w:right w:w="108" w:type="dxa"/>
            </w:tcMar>
            <w:vAlign w:val="bottom"/>
          </w:tcPr>
          <w:p w14:paraId="4BE37CC5"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ADP</w:t>
            </w:r>
          </w:p>
        </w:tc>
        <w:tc>
          <w:tcPr>
            <w:tcW w:w="578" w:type="dxa"/>
            <w:shd w:val="clear" w:color="auto" w:fill="FFFFFF" w:themeFill="background1"/>
            <w:tcMar>
              <w:top w:w="0" w:type="dxa"/>
              <w:left w:w="108" w:type="dxa"/>
              <w:bottom w:w="0" w:type="dxa"/>
              <w:right w:w="108" w:type="dxa"/>
            </w:tcMar>
            <w:vAlign w:val="center"/>
          </w:tcPr>
          <w:p w14:paraId="71365EB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12" w:type="dxa"/>
            <w:shd w:val="clear" w:color="auto" w:fill="FFFFFF" w:themeFill="background1"/>
            <w:tcMar>
              <w:top w:w="0" w:type="dxa"/>
              <w:left w:w="108" w:type="dxa"/>
              <w:bottom w:w="0" w:type="dxa"/>
              <w:right w:w="108" w:type="dxa"/>
            </w:tcMar>
            <w:vAlign w:val="center"/>
          </w:tcPr>
          <w:p w14:paraId="4DDD7C4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725" w:type="dxa"/>
            <w:shd w:val="clear" w:color="auto" w:fill="FFFFFF" w:themeFill="background1"/>
            <w:tcMar>
              <w:top w:w="0" w:type="dxa"/>
              <w:left w:w="108" w:type="dxa"/>
              <w:bottom w:w="0" w:type="dxa"/>
              <w:right w:w="108" w:type="dxa"/>
            </w:tcMar>
            <w:vAlign w:val="center"/>
          </w:tcPr>
          <w:p w14:paraId="44F6C21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68" w:type="dxa"/>
            <w:shd w:val="clear" w:color="auto" w:fill="FFFFFF" w:themeFill="background1"/>
            <w:tcMar>
              <w:top w:w="0" w:type="dxa"/>
              <w:left w:w="108" w:type="dxa"/>
              <w:bottom w:w="0" w:type="dxa"/>
              <w:right w:w="108" w:type="dxa"/>
            </w:tcMar>
            <w:vAlign w:val="center"/>
          </w:tcPr>
          <w:p w14:paraId="4980823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219" w:type="dxa"/>
            <w:shd w:val="clear" w:color="auto" w:fill="FFFFFF" w:themeFill="background1"/>
            <w:tcMar>
              <w:top w:w="0" w:type="dxa"/>
              <w:left w:w="108" w:type="dxa"/>
              <w:bottom w:w="0" w:type="dxa"/>
              <w:right w:w="108" w:type="dxa"/>
            </w:tcMar>
            <w:vAlign w:val="center"/>
          </w:tcPr>
          <w:p w14:paraId="6211132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357" w:type="dxa"/>
            <w:shd w:val="clear" w:color="auto" w:fill="FFFFFF" w:themeFill="background1"/>
            <w:tcMar>
              <w:top w:w="0" w:type="dxa"/>
              <w:left w:w="108" w:type="dxa"/>
              <w:bottom w:w="0" w:type="dxa"/>
              <w:right w:w="108" w:type="dxa"/>
            </w:tcMar>
            <w:vAlign w:val="center"/>
          </w:tcPr>
          <w:p w14:paraId="4417E94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45" w:type="dxa"/>
            <w:shd w:val="clear" w:color="auto" w:fill="FFFFFF" w:themeFill="background1"/>
            <w:tcMar>
              <w:top w:w="0" w:type="dxa"/>
              <w:left w:w="108" w:type="dxa"/>
              <w:bottom w:w="0" w:type="dxa"/>
              <w:right w:w="108" w:type="dxa"/>
            </w:tcMar>
            <w:vAlign w:val="center"/>
          </w:tcPr>
          <w:p w14:paraId="645E02A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464" w:type="dxa"/>
            <w:shd w:val="clear" w:color="auto" w:fill="FFFFFF" w:themeFill="background1"/>
            <w:tcMar>
              <w:top w:w="0" w:type="dxa"/>
              <w:left w:w="108" w:type="dxa"/>
              <w:bottom w:w="0" w:type="dxa"/>
              <w:right w:w="108" w:type="dxa"/>
            </w:tcMar>
            <w:vAlign w:val="center"/>
          </w:tcPr>
          <w:p w14:paraId="05992FD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69" w:type="dxa"/>
            <w:shd w:val="clear" w:color="auto" w:fill="FFFFFF" w:themeFill="background1"/>
            <w:tcMar>
              <w:top w:w="0" w:type="dxa"/>
              <w:left w:w="108" w:type="dxa"/>
              <w:bottom w:w="0" w:type="dxa"/>
              <w:right w:w="108" w:type="dxa"/>
            </w:tcMar>
            <w:vAlign w:val="center"/>
          </w:tcPr>
          <w:p w14:paraId="60CD1D26" w14:textId="77777777" w:rsidR="00284822" w:rsidRDefault="00F77BF8">
            <w:pPr>
              <w:spacing w:line="240" w:lineRule="auto"/>
              <w:rPr>
                <w:rFonts w:ascii="Rockwell" w:hAnsi="Rockwell"/>
                <w:b/>
                <w:bCs/>
                <w:sz w:val="20"/>
                <w:szCs w:val="20"/>
              </w:rPr>
            </w:pPr>
            <w:r>
              <w:rPr>
                <w:rFonts w:ascii="Rockwell" w:hAnsi="Rockwell"/>
                <w:b/>
                <w:bCs/>
                <w:sz w:val="20"/>
                <w:szCs w:val="20"/>
              </w:rPr>
              <w:t>3</w:t>
            </w:r>
          </w:p>
        </w:tc>
        <w:tc>
          <w:tcPr>
            <w:tcW w:w="1045" w:type="dxa"/>
            <w:shd w:val="clear" w:color="auto" w:fill="FFFFFF" w:themeFill="background1"/>
            <w:tcMar>
              <w:top w:w="0" w:type="dxa"/>
              <w:left w:w="108" w:type="dxa"/>
              <w:bottom w:w="0" w:type="dxa"/>
              <w:right w:w="108" w:type="dxa"/>
            </w:tcMar>
            <w:vAlign w:val="center"/>
          </w:tcPr>
          <w:p w14:paraId="37E43709" w14:textId="77777777" w:rsidR="00284822" w:rsidRDefault="00F77BF8">
            <w:pPr>
              <w:spacing w:line="240" w:lineRule="auto"/>
              <w:rPr>
                <w:rFonts w:ascii="Rockwell" w:hAnsi="Rockwell"/>
                <w:b/>
                <w:bCs/>
                <w:sz w:val="20"/>
                <w:szCs w:val="20"/>
              </w:rPr>
            </w:pPr>
            <w:r>
              <w:rPr>
                <w:rFonts w:ascii="Rockwell" w:hAnsi="Rockwell"/>
                <w:b/>
                <w:bCs/>
                <w:sz w:val="20"/>
                <w:szCs w:val="20"/>
              </w:rPr>
              <w:t>0,40%</w:t>
            </w:r>
          </w:p>
        </w:tc>
        <w:tc>
          <w:tcPr>
            <w:tcW w:w="901" w:type="dxa"/>
            <w:shd w:val="clear" w:color="auto" w:fill="FFFFFF" w:themeFill="background1"/>
            <w:tcMar>
              <w:top w:w="0" w:type="dxa"/>
              <w:left w:w="108" w:type="dxa"/>
              <w:bottom w:w="0" w:type="dxa"/>
              <w:right w:w="108" w:type="dxa"/>
            </w:tcMar>
            <w:vAlign w:val="center"/>
          </w:tcPr>
          <w:p w14:paraId="49203441" w14:textId="77777777" w:rsidR="00284822" w:rsidRDefault="00F77BF8">
            <w:pPr>
              <w:spacing w:line="240" w:lineRule="auto"/>
              <w:rPr>
                <w:rFonts w:ascii="Rockwell" w:hAnsi="Rockwell"/>
                <w:b/>
                <w:bCs/>
                <w:sz w:val="20"/>
                <w:szCs w:val="20"/>
              </w:rPr>
            </w:pPr>
            <w:r>
              <w:rPr>
                <w:rFonts w:ascii="Rockwell" w:hAnsi="Rockwell"/>
                <w:b/>
                <w:bCs/>
                <w:sz w:val="20"/>
                <w:szCs w:val="20"/>
              </w:rPr>
              <w:t>5</w:t>
            </w:r>
          </w:p>
        </w:tc>
        <w:tc>
          <w:tcPr>
            <w:tcW w:w="1193" w:type="dxa"/>
            <w:shd w:val="clear" w:color="auto" w:fill="FFFFFF" w:themeFill="background1"/>
            <w:tcMar>
              <w:top w:w="0" w:type="dxa"/>
              <w:left w:w="108" w:type="dxa"/>
              <w:bottom w:w="0" w:type="dxa"/>
              <w:right w:w="108" w:type="dxa"/>
            </w:tcMar>
            <w:vAlign w:val="center"/>
          </w:tcPr>
          <w:p w14:paraId="73816F3C" w14:textId="77777777" w:rsidR="00284822" w:rsidRDefault="00F77BF8">
            <w:pPr>
              <w:spacing w:line="240" w:lineRule="auto"/>
              <w:rPr>
                <w:rFonts w:ascii="Rockwell" w:hAnsi="Rockwell"/>
                <w:b/>
                <w:bCs/>
                <w:sz w:val="20"/>
                <w:szCs w:val="20"/>
              </w:rPr>
            </w:pPr>
            <w:r>
              <w:rPr>
                <w:rFonts w:ascii="Rockwell" w:hAnsi="Rockwell"/>
                <w:b/>
                <w:bCs/>
                <w:sz w:val="20"/>
                <w:szCs w:val="20"/>
              </w:rPr>
              <w:t>0,42%</w:t>
            </w:r>
          </w:p>
        </w:tc>
      </w:tr>
      <w:tr w:rsidR="00284822" w14:paraId="1B52B9B8" w14:textId="77777777">
        <w:trPr>
          <w:gridAfter w:val="1"/>
          <w:wAfter w:w="23" w:type="dxa"/>
          <w:trHeight w:val="308"/>
        </w:trPr>
        <w:tc>
          <w:tcPr>
            <w:tcW w:w="864" w:type="dxa"/>
            <w:shd w:val="clear" w:color="auto" w:fill="FFFFFF" w:themeFill="background1"/>
            <w:noWrap/>
            <w:tcMar>
              <w:top w:w="0" w:type="dxa"/>
              <w:left w:w="108" w:type="dxa"/>
              <w:bottom w:w="0" w:type="dxa"/>
              <w:right w:w="108" w:type="dxa"/>
            </w:tcMar>
            <w:vAlign w:val="bottom"/>
          </w:tcPr>
          <w:p w14:paraId="4759B2D9"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3</w:t>
            </w:r>
          </w:p>
        </w:tc>
        <w:tc>
          <w:tcPr>
            <w:tcW w:w="1737" w:type="dxa"/>
            <w:shd w:val="clear" w:color="auto" w:fill="FFFFFF" w:themeFill="background1"/>
            <w:tcMar>
              <w:top w:w="0" w:type="dxa"/>
              <w:left w:w="108" w:type="dxa"/>
              <w:bottom w:w="0" w:type="dxa"/>
              <w:right w:w="108" w:type="dxa"/>
            </w:tcMar>
            <w:vAlign w:val="bottom"/>
          </w:tcPr>
          <w:p w14:paraId="572F13AF"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APP/B</w:t>
            </w:r>
          </w:p>
        </w:tc>
        <w:tc>
          <w:tcPr>
            <w:tcW w:w="578" w:type="dxa"/>
            <w:shd w:val="clear" w:color="auto" w:fill="FFFFFF" w:themeFill="background1"/>
            <w:tcMar>
              <w:top w:w="0" w:type="dxa"/>
              <w:left w:w="108" w:type="dxa"/>
              <w:bottom w:w="0" w:type="dxa"/>
              <w:right w:w="108" w:type="dxa"/>
            </w:tcMar>
            <w:vAlign w:val="center"/>
          </w:tcPr>
          <w:p w14:paraId="44130D2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12" w:type="dxa"/>
            <w:shd w:val="clear" w:color="auto" w:fill="FFFFFF" w:themeFill="background1"/>
            <w:tcMar>
              <w:top w:w="0" w:type="dxa"/>
              <w:left w:w="108" w:type="dxa"/>
              <w:bottom w:w="0" w:type="dxa"/>
              <w:right w:w="108" w:type="dxa"/>
            </w:tcMar>
            <w:vAlign w:val="center"/>
          </w:tcPr>
          <w:p w14:paraId="29EC25D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725" w:type="dxa"/>
            <w:shd w:val="clear" w:color="auto" w:fill="FFFFFF" w:themeFill="background1"/>
            <w:tcMar>
              <w:top w:w="0" w:type="dxa"/>
              <w:left w:w="108" w:type="dxa"/>
              <w:bottom w:w="0" w:type="dxa"/>
              <w:right w:w="108" w:type="dxa"/>
            </w:tcMar>
            <w:vAlign w:val="center"/>
          </w:tcPr>
          <w:p w14:paraId="6374D4C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68" w:type="dxa"/>
            <w:shd w:val="clear" w:color="auto" w:fill="FFFFFF" w:themeFill="background1"/>
            <w:tcMar>
              <w:top w:w="0" w:type="dxa"/>
              <w:left w:w="108" w:type="dxa"/>
              <w:bottom w:w="0" w:type="dxa"/>
              <w:right w:w="108" w:type="dxa"/>
            </w:tcMar>
            <w:vAlign w:val="center"/>
          </w:tcPr>
          <w:p w14:paraId="1413425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219" w:type="dxa"/>
            <w:shd w:val="clear" w:color="auto" w:fill="FFFFFF" w:themeFill="background1"/>
            <w:tcMar>
              <w:top w:w="0" w:type="dxa"/>
              <w:left w:w="108" w:type="dxa"/>
              <w:bottom w:w="0" w:type="dxa"/>
              <w:right w:w="108" w:type="dxa"/>
            </w:tcMar>
            <w:vAlign w:val="center"/>
          </w:tcPr>
          <w:p w14:paraId="41E5B77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357" w:type="dxa"/>
            <w:shd w:val="clear" w:color="auto" w:fill="FFFFFF" w:themeFill="background1"/>
            <w:tcMar>
              <w:top w:w="0" w:type="dxa"/>
              <w:left w:w="108" w:type="dxa"/>
              <w:bottom w:w="0" w:type="dxa"/>
              <w:right w:w="108" w:type="dxa"/>
            </w:tcMar>
            <w:vAlign w:val="center"/>
          </w:tcPr>
          <w:p w14:paraId="24BCF7C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45" w:type="dxa"/>
            <w:shd w:val="clear" w:color="auto" w:fill="FFFFFF" w:themeFill="background1"/>
            <w:tcMar>
              <w:top w:w="0" w:type="dxa"/>
              <w:left w:w="108" w:type="dxa"/>
              <w:bottom w:w="0" w:type="dxa"/>
              <w:right w:w="108" w:type="dxa"/>
            </w:tcMar>
            <w:vAlign w:val="center"/>
          </w:tcPr>
          <w:p w14:paraId="0079433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464" w:type="dxa"/>
            <w:shd w:val="clear" w:color="auto" w:fill="FFFFFF" w:themeFill="background1"/>
            <w:tcMar>
              <w:top w:w="0" w:type="dxa"/>
              <w:left w:w="108" w:type="dxa"/>
              <w:bottom w:w="0" w:type="dxa"/>
              <w:right w:w="108" w:type="dxa"/>
            </w:tcMar>
            <w:vAlign w:val="center"/>
          </w:tcPr>
          <w:p w14:paraId="47144CE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69" w:type="dxa"/>
            <w:shd w:val="clear" w:color="auto" w:fill="FFFFFF" w:themeFill="background1"/>
            <w:tcMar>
              <w:top w:w="0" w:type="dxa"/>
              <w:left w:w="108" w:type="dxa"/>
              <w:bottom w:w="0" w:type="dxa"/>
              <w:right w:w="108" w:type="dxa"/>
            </w:tcMar>
            <w:vAlign w:val="center"/>
          </w:tcPr>
          <w:p w14:paraId="70D61A8B" w14:textId="77777777" w:rsidR="00284822" w:rsidRDefault="00F77BF8">
            <w:pPr>
              <w:spacing w:line="240" w:lineRule="auto"/>
              <w:rPr>
                <w:rFonts w:ascii="Rockwell" w:hAnsi="Rockwell"/>
                <w:b/>
                <w:bCs/>
                <w:sz w:val="20"/>
                <w:szCs w:val="20"/>
              </w:rPr>
            </w:pPr>
            <w:r>
              <w:rPr>
                <w:rFonts w:ascii="Rockwell" w:hAnsi="Rockwell"/>
                <w:b/>
                <w:bCs/>
                <w:sz w:val="20"/>
                <w:szCs w:val="20"/>
              </w:rPr>
              <w:t>3</w:t>
            </w:r>
          </w:p>
        </w:tc>
        <w:tc>
          <w:tcPr>
            <w:tcW w:w="1045" w:type="dxa"/>
            <w:shd w:val="clear" w:color="auto" w:fill="FFFFFF" w:themeFill="background1"/>
            <w:tcMar>
              <w:top w:w="0" w:type="dxa"/>
              <w:left w:w="108" w:type="dxa"/>
              <w:bottom w:w="0" w:type="dxa"/>
              <w:right w:w="108" w:type="dxa"/>
            </w:tcMar>
            <w:vAlign w:val="center"/>
          </w:tcPr>
          <w:p w14:paraId="60C544C0" w14:textId="77777777" w:rsidR="00284822" w:rsidRDefault="00F77BF8">
            <w:pPr>
              <w:spacing w:line="240" w:lineRule="auto"/>
              <w:rPr>
                <w:rFonts w:ascii="Rockwell" w:hAnsi="Rockwell"/>
                <w:b/>
                <w:bCs/>
                <w:sz w:val="20"/>
                <w:szCs w:val="20"/>
              </w:rPr>
            </w:pPr>
            <w:r>
              <w:rPr>
                <w:rFonts w:ascii="Rockwell" w:hAnsi="Rockwell"/>
                <w:b/>
                <w:bCs/>
                <w:sz w:val="20"/>
                <w:szCs w:val="20"/>
              </w:rPr>
              <w:t>0,40%</w:t>
            </w:r>
          </w:p>
        </w:tc>
        <w:tc>
          <w:tcPr>
            <w:tcW w:w="901" w:type="dxa"/>
            <w:shd w:val="clear" w:color="auto" w:fill="FFFFFF" w:themeFill="background1"/>
            <w:tcMar>
              <w:top w:w="0" w:type="dxa"/>
              <w:left w:w="108" w:type="dxa"/>
              <w:bottom w:w="0" w:type="dxa"/>
              <w:right w:w="108" w:type="dxa"/>
            </w:tcMar>
            <w:vAlign w:val="center"/>
          </w:tcPr>
          <w:p w14:paraId="0AEB5624" w14:textId="77777777" w:rsidR="00284822" w:rsidRDefault="00F77BF8">
            <w:pPr>
              <w:spacing w:line="240" w:lineRule="auto"/>
              <w:rPr>
                <w:rFonts w:ascii="Rockwell" w:hAnsi="Rockwell"/>
                <w:b/>
                <w:bCs/>
                <w:sz w:val="20"/>
                <w:szCs w:val="20"/>
              </w:rPr>
            </w:pPr>
            <w:r>
              <w:rPr>
                <w:rFonts w:ascii="Rockwell" w:hAnsi="Rockwell"/>
                <w:b/>
                <w:bCs/>
                <w:sz w:val="20"/>
                <w:szCs w:val="20"/>
              </w:rPr>
              <w:t>3</w:t>
            </w:r>
          </w:p>
        </w:tc>
        <w:tc>
          <w:tcPr>
            <w:tcW w:w="1193" w:type="dxa"/>
            <w:shd w:val="clear" w:color="auto" w:fill="FFFFFF" w:themeFill="background1"/>
            <w:tcMar>
              <w:top w:w="0" w:type="dxa"/>
              <w:left w:w="108" w:type="dxa"/>
              <w:bottom w:w="0" w:type="dxa"/>
              <w:right w:w="108" w:type="dxa"/>
            </w:tcMar>
            <w:vAlign w:val="center"/>
          </w:tcPr>
          <w:p w14:paraId="01545522" w14:textId="77777777" w:rsidR="00284822" w:rsidRDefault="00F77BF8">
            <w:pPr>
              <w:spacing w:line="240" w:lineRule="auto"/>
              <w:rPr>
                <w:rFonts w:ascii="Rockwell" w:hAnsi="Rockwell"/>
                <w:b/>
                <w:bCs/>
                <w:sz w:val="20"/>
                <w:szCs w:val="20"/>
              </w:rPr>
            </w:pPr>
            <w:r>
              <w:rPr>
                <w:rFonts w:ascii="Rockwell" w:hAnsi="Rockwell"/>
                <w:b/>
                <w:bCs/>
                <w:sz w:val="20"/>
                <w:szCs w:val="20"/>
              </w:rPr>
              <w:t>0,25%</w:t>
            </w:r>
          </w:p>
        </w:tc>
      </w:tr>
      <w:tr w:rsidR="00284822" w14:paraId="0703F488" w14:textId="77777777">
        <w:trPr>
          <w:gridAfter w:val="1"/>
          <w:wAfter w:w="23" w:type="dxa"/>
          <w:trHeight w:val="308"/>
        </w:trPr>
        <w:tc>
          <w:tcPr>
            <w:tcW w:w="864" w:type="dxa"/>
            <w:shd w:val="clear" w:color="auto" w:fill="FFFFFF" w:themeFill="background1"/>
            <w:noWrap/>
            <w:tcMar>
              <w:top w:w="0" w:type="dxa"/>
              <w:left w:w="108" w:type="dxa"/>
              <w:bottom w:w="0" w:type="dxa"/>
              <w:right w:w="108" w:type="dxa"/>
            </w:tcMar>
            <w:vAlign w:val="bottom"/>
          </w:tcPr>
          <w:p w14:paraId="4FAB7C72"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4</w:t>
            </w:r>
          </w:p>
        </w:tc>
        <w:tc>
          <w:tcPr>
            <w:tcW w:w="1737" w:type="dxa"/>
            <w:shd w:val="clear" w:color="auto" w:fill="FFFFFF" w:themeFill="background1"/>
            <w:tcMar>
              <w:top w:w="0" w:type="dxa"/>
              <w:left w:w="108" w:type="dxa"/>
              <w:bottom w:w="0" w:type="dxa"/>
              <w:right w:w="108" w:type="dxa"/>
            </w:tcMar>
            <w:vAlign w:val="bottom"/>
          </w:tcPr>
          <w:p w14:paraId="00D1F407"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ATD</w:t>
            </w:r>
          </w:p>
        </w:tc>
        <w:tc>
          <w:tcPr>
            <w:tcW w:w="578" w:type="dxa"/>
            <w:shd w:val="clear" w:color="auto" w:fill="FFFFFF" w:themeFill="background1"/>
            <w:tcMar>
              <w:top w:w="0" w:type="dxa"/>
              <w:left w:w="108" w:type="dxa"/>
              <w:bottom w:w="0" w:type="dxa"/>
              <w:right w:w="108" w:type="dxa"/>
            </w:tcMar>
            <w:vAlign w:val="center"/>
          </w:tcPr>
          <w:p w14:paraId="118B5AC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12" w:type="dxa"/>
            <w:shd w:val="clear" w:color="auto" w:fill="FFFFFF" w:themeFill="background1"/>
            <w:tcMar>
              <w:top w:w="0" w:type="dxa"/>
              <w:left w:w="108" w:type="dxa"/>
              <w:bottom w:w="0" w:type="dxa"/>
              <w:right w:w="108" w:type="dxa"/>
            </w:tcMar>
            <w:vAlign w:val="center"/>
          </w:tcPr>
          <w:p w14:paraId="2A27556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725" w:type="dxa"/>
            <w:shd w:val="clear" w:color="auto" w:fill="FFFFFF" w:themeFill="background1"/>
            <w:tcMar>
              <w:top w:w="0" w:type="dxa"/>
              <w:left w:w="108" w:type="dxa"/>
              <w:bottom w:w="0" w:type="dxa"/>
              <w:right w:w="108" w:type="dxa"/>
            </w:tcMar>
            <w:vAlign w:val="center"/>
          </w:tcPr>
          <w:p w14:paraId="4203F0C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68" w:type="dxa"/>
            <w:shd w:val="clear" w:color="auto" w:fill="FFFFFF" w:themeFill="background1"/>
            <w:tcMar>
              <w:top w:w="0" w:type="dxa"/>
              <w:left w:w="108" w:type="dxa"/>
              <w:bottom w:w="0" w:type="dxa"/>
              <w:right w:w="108" w:type="dxa"/>
            </w:tcMar>
            <w:vAlign w:val="center"/>
          </w:tcPr>
          <w:p w14:paraId="2C37CAE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219" w:type="dxa"/>
            <w:shd w:val="clear" w:color="auto" w:fill="FFFFFF" w:themeFill="background1"/>
            <w:tcMar>
              <w:top w:w="0" w:type="dxa"/>
              <w:left w:w="108" w:type="dxa"/>
              <w:bottom w:w="0" w:type="dxa"/>
              <w:right w:w="108" w:type="dxa"/>
            </w:tcMar>
            <w:vAlign w:val="center"/>
          </w:tcPr>
          <w:p w14:paraId="736FFDA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357" w:type="dxa"/>
            <w:shd w:val="clear" w:color="auto" w:fill="FFFFFF" w:themeFill="background1"/>
            <w:tcMar>
              <w:top w:w="0" w:type="dxa"/>
              <w:left w:w="108" w:type="dxa"/>
              <w:bottom w:w="0" w:type="dxa"/>
              <w:right w:w="108" w:type="dxa"/>
            </w:tcMar>
            <w:vAlign w:val="center"/>
          </w:tcPr>
          <w:p w14:paraId="2A629B3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45" w:type="dxa"/>
            <w:shd w:val="clear" w:color="auto" w:fill="FFFFFF" w:themeFill="background1"/>
            <w:tcMar>
              <w:top w:w="0" w:type="dxa"/>
              <w:left w:w="108" w:type="dxa"/>
              <w:bottom w:w="0" w:type="dxa"/>
              <w:right w:w="108" w:type="dxa"/>
            </w:tcMar>
            <w:vAlign w:val="center"/>
          </w:tcPr>
          <w:p w14:paraId="23E8E1E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464" w:type="dxa"/>
            <w:shd w:val="clear" w:color="auto" w:fill="FFFFFF" w:themeFill="background1"/>
            <w:tcMar>
              <w:top w:w="0" w:type="dxa"/>
              <w:left w:w="108" w:type="dxa"/>
              <w:bottom w:w="0" w:type="dxa"/>
              <w:right w:w="108" w:type="dxa"/>
            </w:tcMar>
            <w:vAlign w:val="center"/>
          </w:tcPr>
          <w:p w14:paraId="382EFD6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69" w:type="dxa"/>
            <w:shd w:val="clear" w:color="auto" w:fill="FFFFFF" w:themeFill="background1"/>
            <w:tcMar>
              <w:top w:w="0" w:type="dxa"/>
              <w:left w:w="108" w:type="dxa"/>
              <w:bottom w:w="0" w:type="dxa"/>
              <w:right w:w="108" w:type="dxa"/>
            </w:tcMar>
            <w:vAlign w:val="center"/>
          </w:tcPr>
          <w:p w14:paraId="7DBB87B7" w14:textId="77777777" w:rsidR="00284822" w:rsidRDefault="00F77BF8">
            <w:pPr>
              <w:spacing w:line="240" w:lineRule="auto"/>
              <w:rPr>
                <w:rFonts w:ascii="Rockwell" w:hAnsi="Rockwell"/>
                <w:b/>
                <w:bCs/>
                <w:sz w:val="20"/>
                <w:szCs w:val="20"/>
              </w:rPr>
            </w:pPr>
            <w:r>
              <w:rPr>
                <w:rFonts w:ascii="Rockwell" w:hAnsi="Rockwell"/>
                <w:b/>
                <w:bCs/>
                <w:sz w:val="20"/>
                <w:szCs w:val="20"/>
              </w:rPr>
              <w:t>1</w:t>
            </w:r>
          </w:p>
        </w:tc>
        <w:tc>
          <w:tcPr>
            <w:tcW w:w="1045" w:type="dxa"/>
            <w:shd w:val="clear" w:color="auto" w:fill="FFFFFF" w:themeFill="background1"/>
            <w:tcMar>
              <w:top w:w="0" w:type="dxa"/>
              <w:left w:w="108" w:type="dxa"/>
              <w:bottom w:w="0" w:type="dxa"/>
              <w:right w:w="108" w:type="dxa"/>
            </w:tcMar>
            <w:vAlign w:val="center"/>
          </w:tcPr>
          <w:p w14:paraId="1E5285FF" w14:textId="77777777" w:rsidR="00284822" w:rsidRDefault="00F77BF8">
            <w:pPr>
              <w:spacing w:line="240" w:lineRule="auto"/>
              <w:rPr>
                <w:rFonts w:ascii="Rockwell" w:hAnsi="Rockwell"/>
                <w:b/>
                <w:bCs/>
                <w:sz w:val="20"/>
                <w:szCs w:val="20"/>
              </w:rPr>
            </w:pPr>
            <w:r>
              <w:rPr>
                <w:rFonts w:ascii="Rockwell" w:hAnsi="Rockwell"/>
                <w:b/>
                <w:bCs/>
                <w:sz w:val="20"/>
                <w:szCs w:val="20"/>
              </w:rPr>
              <w:t>0,13%</w:t>
            </w:r>
          </w:p>
        </w:tc>
        <w:tc>
          <w:tcPr>
            <w:tcW w:w="901" w:type="dxa"/>
            <w:shd w:val="clear" w:color="auto" w:fill="FFFFFF" w:themeFill="background1"/>
            <w:tcMar>
              <w:top w:w="0" w:type="dxa"/>
              <w:left w:w="108" w:type="dxa"/>
              <w:bottom w:w="0" w:type="dxa"/>
              <w:right w:w="108" w:type="dxa"/>
            </w:tcMar>
            <w:vAlign w:val="center"/>
          </w:tcPr>
          <w:p w14:paraId="5EEB4DB1" w14:textId="77777777" w:rsidR="00284822" w:rsidRDefault="00F77BF8">
            <w:pPr>
              <w:spacing w:line="240" w:lineRule="auto"/>
              <w:rPr>
                <w:rFonts w:ascii="Rockwell" w:hAnsi="Rockwell"/>
                <w:b/>
                <w:bCs/>
                <w:sz w:val="20"/>
                <w:szCs w:val="20"/>
              </w:rPr>
            </w:pPr>
            <w:r>
              <w:rPr>
                <w:rFonts w:ascii="Rockwell" w:hAnsi="Rockwell"/>
                <w:b/>
                <w:bCs/>
                <w:sz w:val="20"/>
                <w:szCs w:val="20"/>
              </w:rPr>
              <w:t>1</w:t>
            </w:r>
          </w:p>
        </w:tc>
        <w:tc>
          <w:tcPr>
            <w:tcW w:w="1193" w:type="dxa"/>
            <w:shd w:val="clear" w:color="auto" w:fill="FFFFFF" w:themeFill="background1"/>
            <w:tcMar>
              <w:top w:w="0" w:type="dxa"/>
              <w:left w:w="108" w:type="dxa"/>
              <w:bottom w:w="0" w:type="dxa"/>
              <w:right w:w="108" w:type="dxa"/>
            </w:tcMar>
            <w:vAlign w:val="center"/>
          </w:tcPr>
          <w:p w14:paraId="04107923" w14:textId="77777777" w:rsidR="00284822" w:rsidRDefault="00F77BF8">
            <w:pPr>
              <w:spacing w:line="240" w:lineRule="auto"/>
              <w:rPr>
                <w:rFonts w:ascii="Rockwell" w:hAnsi="Rockwell"/>
                <w:b/>
                <w:bCs/>
                <w:sz w:val="20"/>
                <w:szCs w:val="20"/>
              </w:rPr>
            </w:pPr>
            <w:r>
              <w:rPr>
                <w:rFonts w:ascii="Rockwell" w:hAnsi="Rockwell"/>
                <w:b/>
                <w:bCs/>
                <w:sz w:val="20"/>
                <w:szCs w:val="20"/>
              </w:rPr>
              <w:t>0,08%</w:t>
            </w:r>
          </w:p>
        </w:tc>
      </w:tr>
      <w:tr w:rsidR="00284822" w14:paraId="5FD39628" w14:textId="77777777">
        <w:trPr>
          <w:gridAfter w:val="1"/>
          <w:wAfter w:w="23" w:type="dxa"/>
          <w:trHeight w:val="308"/>
        </w:trPr>
        <w:tc>
          <w:tcPr>
            <w:tcW w:w="864" w:type="dxa"/>
            <w:shd w:val="clear" w:color="auto" w:fill="FFFFFF" w:themeFill="background1"/>
            <w:noWrap/>
            <w:tcMar>
              <w:top w:w="0" w:type="dxa"/>
              <w:left w:w="108" w:type="dxa"/>
              <w:bottom w:w="0" w:type="dxa"/>
              <w:right w:w="108" w:type="dxa"/>
            </w:tcMar>
            <w:vAlign w:val="bottom"/>
          </w:tcPr>
          <w:p w14:paraId="3DC8BD74"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5</w:t>
            </w:r>
          </w:p>
        </w:tc>
        <w:tc>
          <w:tcPr>
            <w:tcW w:w="1737" w:type="dxa"/>
            <w:shd w:val="clear" w:color="auto" w:fill="FFFFFF" w:themeFill="background1"/>
            <w:tcMar>
              <w:top w:w="0" w:type="dxa"/>
              <w:left w:w="108" w:type="dxa"/>
              <w:bottom w:w="0" w:type="dxa"/>
              <w:right w:w="108" w:type="dxa"/>
            </w:tcMar>
            <w:vAlign w:val="bottom"/>
          </w:tcPr>
          <w:p w14:paraId="5918DFE2"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CDP</w:t>
            </w:r>
          </w:p>
        </w:tc>
        <w:tc>
          <w:tcPr>
            <w:tcW w:w="578" w:type="dxa"/>
            <w:shd w:val="clear" w:color="auto" w:fill="FFFFFF" w:themeFill="background1"/>
            <w:tcMar>
              <w:top w:w="0" w:type="dxa"/>
              <w:left w:w="108" w:type="dxa"/>
              <w:bottom w:w="0" w:type="dxa"/>
              <w:right w:w="108" w:type="dxa"/>
            </w:tcMar>
            <w:vAlign w:val="center"/>
          </w:tcPr>
          <w:p w14:paraId="2A51CBA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8</w:t>
            </w:r>
          </w:p>
        </w:tc>
        <w:tc>
          <w:tcPr>
            <w:tcW w:w="1112" w:type="dxa"/>
            <w:shd w:val="clear" w:color="auto" w:fill="FFFFFF" w:themeFill="background1"/>
            <w:tcMar>
              <w:top w:w="0" w:type="dxa"/>
              <w:left w:w="108" w:type="dxa"/>
              <w:bottom w:w="0" w:type="dxa"/>
              <w:right w:w="108" w:type="dxa"/>
            </w:tcMar>
            <w:vAlign w:val="center"/>
          </w:tcPr>
          <w:p w14:paraId="1EFE846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17,39%</w:t>
            </w:r>
          </w:p>
        </w:tc>
        <w:tc>
          <w:tcPr>
            <w:tcW w:w="725" w:type="dxa"/>
            <w:shd w:val="clear" w:color="auto" w:fill="FFFFFF" w:themeFill="background1"/>
            <w:tcMar>
              <w:top w:w="0" w:type="dxa"/>
              <w:left w:w="108" w:type="dxa"/>
              <w:bottom w:w="0" w:type="dxa"/>
              <w:right w:w="108" w:type="dxa"/>
            </w:tcMar>
            <w:vAlign w:val="center"/>
          </w:tcPr>
          <w:p w14:paraId="25297EB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8</w:t>
            </w:r>
          </w:p>
        </w:tc>
        <w:tc>
          <w:tcPr>
            <w:tcW w:w="1068" w:type="dxa"/>
            <w:shd w:val="clear" w:color="auto" w:fill="FFFFFF" w:themeFill="background1"/>
            <w:tcMar>
              <w:top w:w="0" w:type="dxa"/>
              <w:left w:w="108" w:type="dxa"/>
              <w:bottom w:w="0" w:type="dxa"/>
              <w:right w:w="108" w:type="dxa"/>
            </w:tcMar>
            <w:vAlign w:val="center"/>
          </w:tcPr>
          <w:p w14:paraId="43EF078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16,67%</w:t>
            </w:r>
          </w:p>
        </w:tc>
        <w:tc>
          <w:tcPr>
            <w:tcW w:w="1219" w:type="dxa"/>
            <w:shd w:val="clear" w:color="auto" w:fill="FFFFFF" w:themeFill="background1"/>
            <w:tcMar>
              <w:top w:w="0" w:type="dxa"/>
              <w:left w:w="108" w:type="dxa"/>
              <w:bottom w:w="0" w:type="dxa"/>
              <w:right w:w="108" w:type="dxa"/>
            </w:tcMar>
            <w:vAlign w:val="center"/>
          </w:tcPr>
          <w:p w14:paraId="44007FB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4</w:t>
            </w:r>
          </w:p>
        </w:tc>
        <w:tc>
          <w:tcPr>
            <w:tcW w:w="1357" w:type="dxa"/>
            <w:shd w:val="clear" w:color="auto" w:fill="FFFFFF" w:themeFill="background1"/>
            <w:tcMar>
              <w:top w:w="0" w:type="dxa"/>
              <w:left w:w="108" w:type="dxa"/>
              <w:bottom w:w="0" w:type="dxa"/>
              <w:right w:w="108" w:type="dxa"/>
            </w:tcMar>
            <w:vAlign w:val="center"/>
          </w:tcPr>
          <w:p w14:paraId="62314A4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21,05%</w:t>
            </w:r>
          </w:p>
        </w:tc>
        <w:tc>
          <w:tcPr>
            <w:tcW w:w="1045" w:type="dxa"/>
            <w:shd w:val="clear" w:color="auto" w:fill="FFFFFF" w:themeFill="background1"/>
            <w:tcMar>
              <w:top w:w="0" w:type="dxa"/>
              <w:left w:w="108" w:type="dxa"/>
              <w:bottom w:w="0" w:type="dxa"/>
              <w:right w:w="108" w:type="dxa"/>
            </w:tcMar>
            <w:vAlign w:val="center"/>
          </w:tcPr>
          <w:p w14:paraId="17FA7C3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4</w:t>
            </w:r>
          </w:p>
        </w:tc>
        <w:tc>
          <w:tcPr>
            <w:tcW w:w="1464" w:type="dxa"/>
            <w:shd w:val="clear" w:color="auto" w:fill="FFFFFF" w:themeFill="background1"/>
            <w:tcMar>
              <w:top w:w="0" w:type="dxa"/>
              <w:left w:w="108" w:type="dxa"/>
              <w:bottom w:w="0" w:type="dxa"/>
              <w:right w:w="108" w:type="dxa"/>
            </w:tcMar>
            <w:vAlign w:val="center"/>
          </w:tcPr>
          <w:p w14:paraId="7F7C840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16,67%</w:t>
            </w:r>
          </w:p>
        </w:tc>
        <w:tc>
          <w:tcPr>
            <w:tcW w:w="1069" w:type="dxa"/>
            <w:shd w:val="clear" w:color="auto" w:fill="FFFFFF" w:themeFill="background1"/>
            <w:tcMar>
              <w:top w:w="0" w:type="dxa"/>
              <w:left w:w="108" w:type="dxa"/>
              <w:bottom w:w="0" w:type="dxa"/>
              <w:right w:w="108" w:type="dxa"/>
            </w:tcMar>
            <w:vAlign w:val="center"/>
          </w:tcPr>
          <w:p w14:paraId="66E1DAE8" w14:textId="77777777" w:rsidR="00284822" w:rsidRDefault="00F77BF8">
            <w:pPr>
              <w:spacing w:line="240" w:lineRule="auto"/>
              <w:rPr>
                <w:rFonts w:ascii="Rockwell" w:hAnsi="Rockwell"/>
                <w:b/>
                <w:bCs/>
                <w:sz w:val="20"/>
                <w:szCs w:val="20"/>
              </w:rPr>
            </w:pPr>
            <w:r>
              <w:rPr>
                <w:rFonts w:ascii="Rockwell" w:hAnsi="Rockwell"/>
                <w:b/>
                <w:bCs/>
                <w:sz w:val="20"/>
                <w:szCs w:val="20"/>
              </w:rPr>
              <w:t>138</w:t>
            </w:r>
          </w:p>
        </w:tc>
        <w:tc>
          <w:tcPr>
            <w:tcW w:w="1045" w:type="dxa"/>
            <w:shd w:val="clear" w:color="auto" w:fill="FFFFFF" w:themeFill="background1"/>
            <w:tcMar>
              <w:top w:w="0" w:type="dxa"/>
              <w:left w:w="108" w:type="dxa"/>
              <w:bottom w:w="0" w:type="dxa"/>
              <w:right w:w="108" w:type="dxa"/>
            </w:tcMar>
            <w:vAlign w:val="center"/>
          </w:tcPr>
          <w:p w14:paraId="0197D286" w14:textId="77777777" w:rsidR="00284822" w:rsidRDefault="00F77BF8">
            <w:pPr>
              <w:spacing w:line="240" w:lineRule="auto"/>
              <w:rPr>
                <w:rFonts w:ascii="Rockwell" w:hAnsi="Rockwell"/>
                <w:b/>
                <w:bCs/>
                <w:sz w:val="20"/>
                <w:szCs w:val="20"/>
              </w:rPr>
            </w:pPr>
            <w:r>
              <w:rPr>
                <w:rFonts w:ascii="Rockwell" w:hAnsi="Rockwell"/>
                <w:b/>
                <w:bCs/>
                <w:sz w:val="20"/>
                <w:szCs w:val="20"/>
              </w:rPr>
              <w:t>18,52%</w:t>
            </w:r>
          </w:p>
        </w:tc>
        <w:tc>
          <w:tcPr>
            <w:tcW w:w="901" w:type="dxa"/>
            <w:shd w:val="clear" w:color="auto" w:fill="FFFFFF" w:themeFill="background1"/>
            <w:tcMar>
              <w:top w:w="0" w:type="dxa"/>
              <w:left w:w="108" w:type="dxa"/>
              <w:bottom w:w="0" w:type="dxa"/>
              <w:right w:w="108" w:type="dxa"/>
            </w:tcMar>
            <w:vAlign w:val="center"/>
          </w:tcPr>
          <w:p w14:paraId="387402CC" w14:textId="77777777" w:rsidR="00284822" w:rsidRDefault="00F77BF8">
            <w:pPr>
              <w:spacing w:line="240" w:lineRule="auto"/>
              <w:rPr>
                <w:rFonts w:ascii="Rockwell" w:hAnsi="Rockwell"/>
                <w:b/>
                <w:bCs/>
                <w:sz w:val="20"/>
                <w:szCs w:val="20"/>
              </w:rPr>
            </w:pPr>
            <w:r>
              <w:rPr>
                <w:rFonts w:ascii="Rockwell" w:hAnsi="Rockwell"/>
                <w:b/>
                <w:bCs/>
                <w:sz w:val="20"/>
                <w:szCs w:val="20"/>
              </w:rPr>
              <w:t>223</w:t>
            </w:r>
          </w:p>
        </w:tc>
        <w:tc>
          <w:tcPr>
            <w:tcW w:w="1193" w:type="dxa"/>
            <w:shd w:val="clear" w:color="auto" w:fill="FFFFFF" w:themeFill="background1"/>
            <w:tcMar>
              <w:top w:w="0" w:type="dxa"/>
              <w:left w:w="108" w:type="dxa"/>
              <w:bottom w:w="0" w:type="dxa"/>
              <w:right w:w="108" w:type="dxa"/>
            </w:tcMar>
            <w:vAlign w:val="center"/>
          </w:tcPr>
          <w:p w14:paraId="559C14B7" w14:textId="77777777" w:rsidR="00284822" w:rsidRDefault="00F77BF8">
            <w:pPr>
              <w:spacing w:line="240" w:lineRule="auto"/>
              <w:rPr>
                <w:rFonts w:ascii="Rockwell" w:hAnsi="Rockwell"/>
                <w:b/>
                <w:bCs/>
                <w:sz w:val="20"/>
                <w:szCs w:val="20"/>
              </w:rPr>
            </w:pPr>
            <w:r>
              <w:rPr>
                <w:rFonts w:ascii="Rockwell" w:hAnsi="Rockwell"/>
                <w:b/>
                <w:bCs/>
                <w:sz w:val="20"/>
                <w:szCs w:val="20"/>
              </w:rPr>
              <w:t>18,61%</w:t>
            </w:r>
          </w:p>
        </w:tc>
      </w:tr>
      <w:tr w:rsidR="00284822" w14:paraId="7DE2F516" w14:textId="77777777">
        <w:trPr>
          <w:gridAfter w:val="1"/>
          <w:wAfter w:w="23" w:type="dxa"/>
          <w:trHeight w:val="308"/>
        </w:trPr>
        <w:tc>
          <w:tcPr>
            <w:tcW w:w="864" w:type="dxa"/>
            <w:shd w:val="clear" w:color="auto" w:fill="FFFFFF" w:themeFill="background1"/>
            <w:noWrap/>
            <w:tcMar>
              <w:top w:w="0" w:type="dxa"/>
              <w:left w:w="108" w:type="dxa"/>
              <w:bottom w:w="0" w:type="dxa"/>
              <w:right w:w="108" w:type="dxa"/>
            </w:tcMar>
            <w:vAlign w:val="bottom"/>
          </w:tcPr>
          <w:p w14:paraId="53346907"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6</w:t>
            </w:r>
          </w:p>
        </w:tc>
        <w:tc>
          <w:tcPr>
            <w:tcW w:w="1737" w:type="dxa"/>
            <w:shd w:val="clear" w:color="auto" w:fill="FFFFFF" w:themeFill="background1"/>
            <w:tcMar>
              <w:top w:w="0" w:type="dxa"/>
              <w:left w:w="108" w:type="dxa"/>
              <w:bottom w:w="0" w:type="dxa"/>
              <w:right w:w="108" w:type="dxa"/>
            </w:tcMar>
            <w:vAlign w:val="bottom"/>
          </w:tcPr>
          <w:p w14:paraId="1CAE0BFC"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CRP</w:t>
            </w:r>
          </w:p>
        </w:tc>
        <w:tc>
          <w:tcPr>
            <w:tcW w:w="578" w:type="dxa"/>
            <w:shd w:val="clear" w:color="auto" w:fill="FFFFFF" w:themeFill="background1"/>
            <w:tcMar>
              <w:top w:w="0" w:type="dxa"/>
              <w:left w:w="108" w:type="dxa"/>
              <w:bottom w:w="0" w:type="dxa"/>
              <w:right w:w="108" w:type="dxa"/>
            </w:tcMar>
            <w:vAlign w:val="center"/>
          </w:tcPr>
          <w:p w14:paraId="5C0E7F3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12" w:type="dxa"/>
            <w:shd w:val="clear" w:color="auto" w:fill="FFFFFF" w:themeFill="background1"/>
            <w:tcMar>
              <w:top w:w="0" w:type="dxa"/>
              <w:left w:w="108" w:type="dxa"/>
              <w:bottom w:w="0" w:type="dxa"/>
              <w:right w:w="108" w:type="dxa"/>
            </w:tcMar>
            <w:vAlign w:val="center"/>
          </w:tcPr>
          <w:p w14:paraId="333425F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725" w:type="dxa"/>
            <w:shd w:val="clear" w:color="auto" w:fill="FFFFFF" w:themeFill="background1"/>
            <w:tcMar>
              <w:top w:w="0" w:type="dxa"/>
              <w:left w:w="108" w:type="dxa"/>
              <w:bottom w:w="0" w:type="dxa"/>
              <w:right w:w="108" w:type="dxa"/>
            </w:tcMar>
            <w:vAlign w:val="center"/>
          </w:tcPr>
          <w:p w14:paraId="72A0862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68" w:type="dxa"/>
            <w:shd w:val="clear" w:color="auto" w:fill="FFFFFF" w:themeFill="background1"/>
            <w:tcMar>
              <w:top w:w="0" w:type="dxa"/>
              <w:left w:w="108" w:type="dxa"/>
              <w:bottom w:w="0" w:type="dxa"/>
              <w:right w:w="108" w:type="dxa"/>
            </w:tcMar>
            <w:vAlign w:val="center"/>
          </w:tcPr>
          <w:p w14:paraId="1346C2A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219" w:type="dxa"/>
            <w:shd w:val="clear" w:color="auto" w:fill="FFFFFF" w:themeFill="background1"/>
            <w:tcMar>
              <w:top w:w="0" w:type="dxa"/>
              <w:left w:w="108" w:type="dxa"/>
              <w:bottom w:w="0" w:type="dxa"/>
              <w:right w:w="108" w:type="dxa"/>
            </w:tcMar>
            <w:vAlign w:val="center"/>
          </w:tcPr>
          <w:p w14:paraId="1CA68E0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357" w:type="dxa"/>
            <w:shd w:val="clear" w:color="auto" w:fill="FFFFFF" w:themeFill="background1"/>
            <w:tcMar>
              <w:top w:w="0" w:type="dxa"/>
              <w:left w:w="108" w:type="dxa"/>
              <w:bottom w:w="0" w:type="dxa"/>
              <w:right w:w="108" w:type="dxa"/>
            </w:tcMar>
            <w:vAlign w:val="center"/>
          </w:tcPr>
          <w:p w14:paraId="3CA4A5E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45" w:type="dxa"/>
            <w:shd w:val="clear" w:color="auto" w:fill="FFFFFF" w:themeFill="background1"/>
            <w:tcMar>
              <w:top w:w="0" w:type="dxa"/>
              <w:left w:w="108" w:type="dxa"/>
              <w:bottom w:w="0" w:type="dxa"/>
              <w:right w:w="108" w:type="dxa"/>
            </w:tcMar>
            <w:vAlign w:val="center"/>
          </w:tcPr>
          <w:p w14:paraId="137E2BB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464" w:type="dxa"/>
            <w:shd w:val="clear" w:color="auto" w:fill="FFFFFF" w:themeFill="background1"/>
            <w:tcMar>
              <w:top w:w="0" w:type="dxa"/>
              <w:left w:w="108" w:type="dxa"/>
              <w:bottom w:w="0" w:type="dxa"/>
              <w:right w:w="108" w:type="dxa"/>
            </w:tcMar>
            <w:vAlign w:val="center"/>
          </w:tcPr>
          <w:p w14:paraId="6A601BA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69" w:type="dxa"/>
            <w:shd w:val="clear" w:color="auto" w:fill="FFFFFF" w:themeFill="background1"/>
            <w:tcMar>
              <w:top w:w="0" w:type="dxa"/>
              <w:left w:w="108" w:type="dxa"/>
              <w:bottom w:w="0" w:type="dxa"/>
              <w:right w:w="108" w:type="dxa"/>
            </w:tcMar>
            <w:vAlign w:val="center"/>
          </w:tcPr>
          <w:p w14:paraId="04114EB4" w14:textId="77777777" w:rsidR="00284822" w:rsidRDefault="00F77BF8">
            <w:pPr>
              <w:spacing w:line="240" w:lineRule="auto"/>
              <w:rPr>
                <w:rFonts w:ascii="Rockwell" w:hAnsi="Rockwell"/>
                <w:b/>
                <w:bCs/>
                <w:sz w:val="20"/>
                <w:szCs w:val="20"/>
              </w:rPr>
            </w:pPr>
            <w:r>
              <w:rPr>
                <w:rFonts w:ascii="Rockwell" w:hAnsi="Rockwell"/>
                <w:b/>
                <w:bCs/>
                <w:sz w:val="20"/>
                <w:szCs w:val="20"/>
              </w:rPr>
              <w:t>1</w:t>
            </w:r>
          </w:p>
        </w:tc>
        <w:tc>
          <w:tcPr>
            <w:tcW w:w="1045" w:type="dxa"/>
            <w:shd w:val="clear" w:color="auto" w:fill="FFFFFF" w:themeFill="background1"/>
            <w:tcMar>
              <w:top w:w="0" w:type="dxa"/>
              <w:left w:w="108" w:type="dxa"/>
              <w:bottom w:w="0" w:type="dxa"/>
              <w:right w:w="108" w:type="dxa"/>
            </w:tcMar>
            <w:vAlign w:val="center"/>
          </w:tcPr>
          <w:p w14:paraId="270506FD" w14:textId="77777777" w:rsidR="00284822" w:rsidRDefault="00F77BF8">
            <w:pPr>
              <w:spacing w:line="240" w:lineRule="auto"/>
              <w:rPr>
                <w:rFonts w:ascii="Rockwell" w:hAnsi="Rockwell"/>
                <w:b/>
                <w:bCs/>
                <w:sz w:val="20"/>
                <w:szCs w:val="20"/>
              </w:rPr>
            </w:pPr>
            <w:r>
              <w:rPr>
                <w:rFonts w:ascii="Rockwell" w:hAnsi="Rockwell"/>
                <w:b/>
                <w:bCs/>
                <w:sz w:val="20"/>
                <w:szCs w:val="20"/>
              </w:rPr>
              <w:t>0,13%</w:t>
            </w:r>
          </w:p>
        </w:tc>
        <w:tc>
          <w:tcPr>
            <w:tcW w:w="901" w:type="dxa"/>
            <w:shd w:val="clear" w:color="auto" w:fill="FFFFFF" w:themeFill="background1"/>
            <w:tcMar>
              <w:top w:w="0" w:type="dxa"/>
              <w:left w:w="108" w:type="dxa"/>
              <w:bottom w:w="0" w:type="dxa"/>
              <w:right w:w="108" w:type="dxa"/>
            </w:tcMar>
            <w:vAlign w:val="center"/>
          </w:tcPr>
          <w:p w14:paraId="06E9E936" w14:textId="77777777" w:rsidR="00284822" w:rsidRDefault="00F77BF8">
            <w:pPr>
              <w:spacing w:line="240" w:lineRule="auto"/>
              <w:rPr>
                <w:rFonts w:ascii="Rockwell" w:hAnsi="Rockwell"/>
                <w:b/>
                <w:bCs/>
                <w:sz w:val="20"/>
                <w:szCs w:val="20"/>
              </w:rPr>
            </w:pPr>
            <w:r>
              <w:rPr>
                <w:rFonts w:ascii="Rockwell" w:hAnsi="Rockwell"/>
                <w:b/>
                <w:bCs/>
                <w:sz w:val="20"/>
                <w:szCs w:val="20"/>
              </w:rPr>
              <w:t>1</w:t>
            </w:r>
          </w:p>
        </w:tc>
        <w:tc>
          <w:tcPr>
            <w:tcW w:w="1193" w:type="dxa"/>
            <w:shd w:val="clear" w:color="auto" w:fill="FFFFFF" w:themeFill="background1"/>
            <w:tcMar>
              <w:top w:w="0" w:type="dxa"/>
              <w:left w:w="108" w:type="dxa"/>
              <w:bottom w:w="0" w:type="dxa"/>
              <w:right w:w="108" w:type="dxa"/>
            </w:tcMar>
            <w:vAlign w:val="center"/>
          </w:tcPr>
          <w:p w14:paraId="56A4732A" w14:textId="77777777" w:rsidR="00284822" w:rsidRDefault="00F77BF8">
            <w:pPr>
              <w:spacing w:line="240" w:lineRule="auto"/>
              <w:rPr>
                <w:rFonts w:ascii="Rockwell" w:hAnsi="Rockwell"/>
                <w:b/>
                <w:bCs/>
                <w:sz w:val="20"/>
                <w:szCs w:val="20"/>
              </w:rPr>
            </w:pPr>
            <w:r>
              <w:rPr>
                <w:rFonts w:ascii="Rockwell" w:hAnsi="Rockwell"/>
                <w:b/>
                <w:bCs/>
                <w:sz w:val="20"/>
                <w:szCs w:val="20"/>
              </w:rPr>
              <w:t>0,08%</w:t>
            </w:r>
          </w:p>
        </w:tc>
      </w:tr>
      <w:tr w:rsidR="00284822" w14:paraId="7C415326" w14:textId="77777777">
        <w:trPr>
          <w:gridAfter w:val="1"/>
          <w:wAfter w:w="23" w:type="dxa"/>
          <w:trHeight w:val="308"/>
        </w:trPr>
        <w:tc>
          <w:tcPr>
            <w:tcW w:w="864" w:type="dxa"/>
            <w:shd w:val="clear" w:color="auto" w:fill="FFFFFF" w:themeFill="background1"/>
            <w:noWrap/>
            <w:tcMar>
              <w:top w:w="0" w:type="dxa"/>
              <w:left w:w="108" w:type="dxa"/>
              <w:bottom w:w="0" w:type="dxa"/>
              <w:right w:w="108" w:type="dxa"/>
            </w:tcMar>
            <w:vAlign w:val="bottom"/>
          </w:tcPr>
          <w:p w14:paraId="06E13D3D"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7</w:t>
            </w:r>
          </w:p>
        </w:tc>
        <w:tc>
          <w:tcPr>
            <w:tcW w:w="1737" w:type="dxa"/>
            <w:shd w:val="clear" w:color="auto" w:fill="FFFFFF" w:themeFill="background1"/>
            <w:tcMar>
              <w:top w:w="0" w:type="dxa"/>
              <w:left w:w="108" w:type="dxa"/>
              <w:bottom w:w="0" w:type="dxa"/>
              <w:right w:w="108" w:type="dxa"/>
            </w:tcMar>
            <w:vAlign w:val="bottom"/>
          </w:tcPr>
          <w:p w14:paraId="09F70489"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FA</w:t>
            </w:r>
          </w:p>
        </w:tc>
        <w:tc>
          <w:tcPr>
            <w:tcW w:w="578" w:type="dxa"/>
            <w:shd w:val="clear" w:color="auto" w:fill="FFFFFF" w:themeFill="background1"/>
            <w:tcMar>
              <w:top w:w="0" w:type="dxa"/>
              <w:left w:w="108" w:type="dxa"/>
              <w:bottom w:w="0" w:type="dxa"/>
              <w:right w:w="108" w:type="dxa"/>
            </w:tcMar>
            <w:vAlign w:val="center"/>
          </w:tcPr>
          <w:p w14:paraId="6475B82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112" w:type="dxa"/>
            <w:shd w:val="clear" w:color="auto" w:fill="FFFFFF" w:themeFill="background1"/>
            <w:tcMar>
              <w:top w:w="0" w:type="dxa"/>
              <w:left w:w="108" w:type="dxa"/>
              <w:bottom w:w="0" w:type="dxa"/>
              <w:right w:w="108" w:type="dxa"/>
            </w:tcMar>
            <w:vAlign w:val="center"/>
          </w:tcPr>
          <w:p w14:paraId="1326E62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4,35%</w:t>
            </w:r>
          </w:p>
        </w:tc>
        <w:tc>
          <w:tcPr>
            <w:tcW w:w="725" w:type="dxa"/>
            <w:shd w:val="clear" w:color="auto" w:fill="FFFFFF" w:themeFill="background1"/>
            <w:tcMar>
              <w:top w:w="0" w:type="dxa"/>
              <w:left w:w="108" w:type="dxa"/>
              <w:bottom w:w="0" w:type="dxa"/>
              <w:right w:w="108" w:type="dxa"/>
            </w:tcMar>
            <w:vAlign w:val="center"/>
          </w:tcPr>
          <w:p w14:paraId="5658E15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068" w:type="dxa"/>
            <w:shd w:val="clear" w:color="auto" w:fill="FFFFFF" w:themeFill="background1"/>
            <w:tcMar>
              <w:top w:w="0" w:type="dxa"/>
              <w:left w:w="108" w:type="dxa"/>
              <w:bottom w:w="0" w:type="dxa"/>
              <w:right w:w="108" w:type="dxa"/>
            </w:tcMar>
            <w:vAlign w:val="center"/>
          </w:tcPr>
          <w:p w14:paraId="2AC927F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4,17%</w:t>
            </w:r>
          </w:p>
        </w:tc>
        <w:tc>
          <w:tcPr>
            <w:tcW w:w="1219" w:type="dxa"/>
            <w:shd w:val="clear" w:color="auto" w:fill="FFFFFF" w:themeFill="background1"/>
            <w:tcMar>
              <w:top w:w="0" w:type="dxa"/>
              <w:left w:w="108" w:type="dxa"/>
              <w:bottom w:w="0" w:type="dxa"/>
              <w:right w:w="108" w:type="dxa"/>
            </w:tcMar>
            <w:vAlign w:val="center"/>
          </w:tcPr>
          <w:p w14:paraId="020ED70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357" w:type="dxa"/>
            <w:shd w:val="clear" w:color="auto" w:fill="FFFFFF" w:themeFill="background1"/>
            <w:tcMar>
              <w:top w:w="0" w:type="dxa"/>
              <w:left w:w="108" w:type="dxa"/>
              <w:bottom w:w="0" w:type="dxa"/>
              <w:right w:w="108" w:type="dxa"/>
            </w:tcMar>
            <w:vAlign w:val="center"/>
          </w:tcPr>
          <w:p w14:paraId="0E5C903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45" w:type="dxa"/>
            <w:shd w:val="clear" w:color="auto" w:fill="FFFFFF" w:themeFill="background1"/>
            <w:tcMar>
              <w:top w:w="0" w:type="dxa"/>
              <w:left w:w="108" w:type="dxa"/>
              <w:bottom w:w="0" w:type="dxa"/>
              <w:right w:w="108" w:type="dxa"/>
            </w:tcMar>
            <w:vAlign w:val="center"/>
          </w:tcPr>
          <w:p w14:paraId="1014A7C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464" w:type="dxa"/>
            <w:shd w:val="clear" w:color="auto" w:fill="FFFFFF" w:themeFill="background1"/>
            <w:tcMar>
              <w:top w:w="0" w:type="dxa"/>
              <w:left w:w="108" w:type="dxa"/>
              <w:bottom w:w="0" w:type="dxa"/>
              <w:right w:w="108" w:type="dxa"/>
            </w:tcMar>
            <w:vAlign w:val="center"/>
          </w:tcPr>
          <w:p w14:paraId="0375776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69" w:type="dxa"/>
            <w:shd w:val="clear" w:color="auto" w:fill="FFFFFF" w:themeFill="background1"/>
            <w:tcMar>
              <w:top w:w="0" w:type="dxa"/>
              <w:left w:w="108" w:type="dxa"/>
              <w:bottom w:w="0" w:type="dxa"/>
              <w:right w:w="108" w:type="dxa"/>
            </w:tcMar>
            <w:vAlign w:val="center"/>
          </w:tcPr>
          <w:p w14:paraId="4C736D49" w14:textId="77777777" w:rsidR="00284822" w:rsidRDefault="00F77BF8">
            <w:pPr>
              <w:spacing w:line="240" w:lineRule="auto"/>
              <w:rPr>
                <w:rFonts w:ascii="Rockwell" w:hAnsi="Rockwell"/>
                <w:b/>
                <w:bCs/>
                <w:sz w:val="20"/>
                <w:szCs w:val="20"/>
              </w:rPr>
            </w:pPr>
            <w:r>
              <w:rPr>
                <w:rFonts w:ascii="Rockwell" w:hAnsi="Rockwell"/>
                <w:b/>
                <w:bCs/>
                <w:sz w:val="20"/>
                <w:szCs w:val="20"/>
              </w:rPr>
              <w:t>29</w:t>
            </w:r>
          </w:p>
        </w:tc>
        <w:tc>
          <w:tcPr>
            <w:tcW w:w="1045" w:type="dxa"/>
            <w:shd w:val="clear" w:color="auto" w:fill="FFFFFF" w:themeFill="background1"/>
            <w:tcMar>
              <w:top w:w="0" w:type="dxa"/>
              <w:left w:w="108" w:type="dxa"/>
              <w:bottom w:w="0" w:type="dxa"/>
              <w:right w:w="108" w:type="dxa"/>
            </w:tcMar>
            <w:vAlign w:val="center"/>
          </w:tcPr>
          <w:p w14:paraId="03345773" w14:textId="77777777" w:rsidR="00284822" w:rsidRDefault="00F77BF8">
            <w:pPr>
              <w:spacing w:line="240" w:lineRule="auto"/>
              <w:rPr>
                <w:rFonts w:ascii="Rockwell" w:hAnsi="Rockwell"/>
                <w:b/>
                <w:bCs/>
                <w:sz w:val="20"/>
                <w:szCs w:val="20"/>
              </w:rPr>
            </w:pPr>
            <w:r>
              <w:rPr>
                <w:rFonts w:ascii="Rockwell" w:hAnsi="Rockwell"/>
                <w:b/>
                <w:bCs/>
                <w:sz w:val="20"/>
                <w:szCs w:val="20"/>
              </w:rPr>
              <w:t>3,89%</w:t>
            </w:r>
          </w:p>
        </w:tc>
        <w:tc>
          <w:tcPr>
            <w:tcW w:w="901" w:type="dxa"/>
            <w:shd w:val="clear" w:color="auto" w:fill="FFFFFF" w:themeFill="background1"/>
            <w:tcMar>
              <w:top w:w="0" w:type="dxa"/>
              <w:left w:w="108" w:type="dxa"/>
              <w:bottom w:w="0" w:type="dxa"/>
              <w:right w:w="108" w:type="dxa"/>
            </w:tcMar>
            <w:vAlign w:val="center"/>
          </w:tcPr>
          <w:p w14:paraId="0A0B86A9" w14:textId="77777777" w:rsidR="00284822" w:rsidRDefault="00F77BF8">
            <w:pPr>
              <w:spacing w:line="240" w:lineRule="auto"/>
              <w:rPr>
                <w:rFonts w:ascii="Rockwell" w:hAnsi="Rockwell"/>
                <w:b/>
                <w:bCs/>
                <w:sz w:val="20"/>
                <w:szCs w:val="20"/>
              </w:rPr>
            </w:pPr>
            <w:r>
              <w:rPr>
                <w:rFonts w:ascii="Rockwell" w:hAnsi="Rockwell"/>
                <w:b/>
                <w:bCs/>
                <w:sz w:val="20"/>
                <w:szCs w:val="20"/>
              </w:rPr>
              <w:t>32</w:t>
            </w:r>
          </w:p>
        </w:tc>
        <w:tc>
          <w:tcPr>
            <w:tcW w:w="1193" w:type="dxa"/>
            <w:shd w:val="clear" w:color="auto" w:fill="FFFFFF" w:themeFill="background1"/>
            <w:tcMar>
              <w:top w:w="0" w:type="dxa"/>
              <w:left w:w="108" w:type="dxa"/>
              <w:bottom w:w="0" w:type="dxa"/>
              <w:right w:w="108" w:type="dxa"/>
            </w:tcMar>
            <w:vAlign w:val="center"/>
          </w:tcPr>
          <w:p w14:paraId="7739B77E" w14:textId="77777777" w:rsidR="00284822" w:rsidRDefault="00F77BF8">
            <w:pPr>
              <w:spacing w:line="240" w:lineRule="auto"/>
              <w:rPr>
                <w:rFonts w:ascii="Rockwell" w:hAnsi="Rockwell"/>
                <w:b/>
                <w:bCs/>
                <w:sz w:val="20"/>
                <w:szCs w:val="20"/>
              </w:rPr>
            </w:pPr>
            <w:r>
              <w:rPr>
                <w:rFonts w:ascii="Rockwell" w:hAnsi="Rockwell"/>
                <w:b/>
                <w:bCs/>
                <w:sz w:val="20"/>
                <w:szCs w:val="20"/>
              </w:rPr>
              <w:t>2,67%</w:t>
            </w:r>
          </w:p>
        </w:tc>
      </w:tr>
      <w:tr w:rsidR="00284822" w14:paraId="1B257203" w14:textId="77777777">
        <w:trPr>
          <w:gridAfter w:val="1"/>
          <w:wAfter w:w="23" w:type="dxa"/>
          <w:trHeight w:val="308"/>
        </w:trPr>
        <w:tc>
          <w:tcPr>
            <w:tcW w:w="864" w:type="dxa"/>
            <w:shd w:val="clear" w:color="auto" w:fill="FFFFFF" w:themeFill="background1"/>
            <w:noWrap/>
            <w:tcMar>
              <w:top w:w="0" w:type="dxa"/>
              <w:left w:w="108" w:type="dxa"/>
              <w:bottom w:w="0" w:type="dxa"/>
              <w:right w:w="108" w:type="dxa"/>
            </w:tcMar>
            <w:vAlign w:val="bottom"/>
          </w:tcPr>
          <w:p w14:paraId="711FC992"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8</w:t>
            </w:r>
          </w:p>
        </w:tc>
        <w:tc>
          <w:tcPr>
            <w:tcW w:w="1737" w:type="dxa"/>
            <w:shd w:val="clear" w:color="auto" w:fill="FFFFFF" w:themeFill="background1"/>
            <w:tcMar>
              <w:top w:w="0" w:type="dxa"/>
              <w:left w:w="108" w:type="dxa"/>
              <w:bottom w:w="0" w:type="dxa"/>
              <w:right w:w="108" w:type="dxa"/>
            </w:tcMar>
            <w:vAlign w:val="bottom"/>
          </w:tcPr>
          <w:p w14:paraId="6B84CE1D"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FCD</w:t>
            </w:r>
          </w:p>
        </w:tc>
        <w:tc>
          <w:tcPr>
            <w:tcW w:w="578" w:type="dxa"/>
            <w:shd w:val="clear" w:color="auto" w:fill="FFFFFF" w:themeFill="background1"/>
            <w:tcMar>
              <w:top w:w="0" w:type="dxa"/>
              <w:left w:w="108" w:type="dxa"/>
              <w:bottom w:w="0" w:type="dxa"/>
              <w:right w:w="108" w:type="dxa"/>
            </w:tcMar>
            <w:vAlign w:val="center"/>
          </w:tcPr>
          <w:p w14:paraId="60E413E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12" w:type="dxa"/>
            <w:shd w:val="clear" w:color="auto" w:fill="FFFFFF" w:themeFill="background1"/>
            <w:tcMar>
              <w:top w:w="0" w:type="dxa"/>
              <w:left w:w="108" w:type="dxa"/>
              <w:bottom w:w="0" w:type="dxa"/>
              <w:right w:w="108" w:type="dxa"/>
            </w:tcMar>
            <w:vAlign w:val="center"/>
          </w:tcPr>
          <w:p w14:paraId="28DCC8B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725" w:type="dxa"/>
            <w:shd w:val="clear" w:color="auto" w:fill="FFFFFF" w:themeFill="background1"/>
            <w:tcMar>
              <w:top w:w="0" w:type="dxa"/>
              <w:left w:w="108" w:type="dxa"/>
              <w:bottom w:w="0" w:type="dxa"/>
              <w:right w:w="108" w:type="dxa"/>
            </w:tcMar>
            <w:vAlign w:val="center"/>
          </w:tcPr>
          <w:p w14:paraId="390C934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68" w:type="dxa"/>
            <w:shd w:val="clear" w:color="auto" w:fill="FFFFFF" w:themeFill="background1"/>
            <w:tcMar>
              <w:top w:w="0" w:type="dxa"/>
              <w:left w:w="108" w:type="dxa"/>
              <w:bottom w:w="0" w:type="dxa"/>
              <w:right w:w="108" w:type="dxa"/>
            </w:tcMar>
            <w:vAlign w:val="center"/>
          </w:tcPr>
          <w:p w14:paraId="327B0E9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219" w:type="dxa"/>
            <w:shd w:val="clear" w:color="auto" w:fill="FFFFFF" w:themeFill="background1"/>
            <w:tcMar>
              <w:top w:w="0" w:type="dxa"/>
              <w:left w:w="108" w:type="dxa"/>
              <w:bottom w:w="0" w:type="dxa"/>
              <w:right w:w="108" w:type="dxa"/>
            </w:tcMar>
            <w:vAlign w:val="center"/>
          </w:tcPr>
          <w:p w14:paraId="35EBA41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357" w:type="dxa"/>
            <w:shd w:val="clear" w:color="auto" w:fill="FFFFFF" w:themeFill="background1"/>
            <w:tcMar>
              <w:top w:w="0" w:type="dxa"/>
              <w:left w:w="108" w:type="dxa"/>
              <w:bottom w:w="0" w:type="dxa"/>
              <w:right w:w="108" w:type="dxa"/>
            </w:tcMar>
            <w:vAlign w:val="center"/>
          </w:tcPr>
          <w:p w14:paraId="2C034CD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45" w:type="dxa"/>
            <w:shd w:val="clear" w:color="auto" w:fill="FFFFFF" w:themeFill="background1"/>
            <w:tcMar>
              <w:top w:w="0" w:type="dxa"/>
              <w:left w:w="108" w:type="dxa"/>
              <w:bottom w:w="0" w:type="dxa"/>
              <w:right w:w="108" w:type="dxa"/>
            </w:tcMar>
            <w:vAlign w:val="center"/>
          </w:tcPr>
          <w:p w14:paraId="15A7B45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464" w:type="dxa"/>
            <w:shd w:val="clear" w:color="auto" w:fill="FFFFFF" w:themeFill="background1"/>
            <w:tcMar>
              <w:top w:w="0" w:type="dxa"/>
              <w:left w:w="108" w:type="dxa"/>
              <w:bottom w:w="0" w:type="dxa"/>
              <w:right w:w="108" w:type="dxa"/>
            </w:tcMar>
            <w:vAlign w:val="center"/>
          </w:tcPr>
          <w:p w14:paraId="5DBD439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69" w:type="dxa"/>
            <w:shd w:val="clear" w:color="auto" w:fill="FFFFFF" w:themeFill="background1"/>
            <w:tcMar>
              <w:top w:w="0" w:type="dxa"/>
              <w:left w:w="108" w:type="dxa"/>
              <w:bottom w:w="0" w:type="dxa"/>
              <w:right w:w="108" w:type="dxa"/>
            </w:tcMar>
            <w:vAlign w:val="center"/>
          </w:tcPr>
          <w:p w14:paraId="40D6F297" w14:textId="77777777" w:rsidR="00284822" w:rsidRDefault="00F77BF8">
            <w:pPr>
              <w:spacing w:line="240" w:lineRule="auto"/>
              <w:rPr>
                <w:rFonts w:ascii="Rockwell" w:hAnsi="Rockwell"/>
                <w:b/>
                <w:bCs/>
                <w:sz w:val="20"/>
                <w:szCs w:val="20"/>
              </w:rPr>
            </w:pPr>
            <w:r>
              <w:rPr>
                <w:rFonts w:ascii="Rockwell" w:hAnsi="Rockwell"/>
                <w:b/>
                <w:bCs/>
                <w:sz w:val="20"/>
                <w:szCs w:val="20"/>
              </w:rPr>
              <w:t>1</w:t>
            </w:r>
          </w:p>
        </w:tc>
        <w:tc>
          <w:tcPr>
            <w:tcW w:w="1045" w:type="dxa"/>
            <w:shd w:val="clear" w:color="auto" w:fill="FFFFFF" w:themeFill="background1"/>
            <w:tcMar>
              <w:top w:w="0" w:type="dxa"/>
              <w:left w:w="108" w:type="dxa"/>
              <w:bottom w:w="0" w:type="dxa"/>
              <w:right w:w="108" w:type="dxa"/>
            </w:tcMar>
            <w:vAlign w:val="center"/>
          </w:tcPr>
          <w:p w14:paraId="11255291" w14:textId="77777777" w:rsidR="00284822" w:rsidRDefault="00F77BF8">
            <w:pPr>
              <w:spacing w:line="240" w:lineRule="auto"/>
              <w:rPr>
                <w:rFonts w:ascii="Rockwell" w:hAnsi="Rockwell"/>
                <w:b/>
                <w:bCs/>
                <w:sz w:val="20"/>
                <w:szCs w:val="20"/>
              </w:rPr>
            </w:pPr>
            <w:r>
              <w:rPr>
                <w:rFonts w:ascii="Rockwell" w:hAnsi="Rockwell"/>
                <w:b/>
                <w:bCs/>
                <w:sz w:val="20"/>
                <w:szCs w:val="20"/>
              </w:rPr>
              <w:t>0,13%</w:t>
            </w:r>
          </w:p>
        </w:tc>
        <w:tc>
          <w:tcPr>
            <w:tcW w:w="901" w:type="dxa"/>
            <w:shd w:val="clear" w:color="auto" w:fill="FFFFFF" w:themeFill="background1"/>
            <w:tcMar>
              <w:top w:w="0" w:type="dxa"/>
              <w:left w:w="108" w:type="dxa"/>
              <w:bottom w:w="0" w:type="dxa"/>
              <w:right w:w="108" w:type="dxa"/>
            </w:tcMar>
            <w:vAlign w:val="center"/>
          </w:tcPr>
          <w:p w14:paraId="5FDD31A2" w14:textId="77777777" w:rsidR="00284822" w:rsidRDefault="00F77BF8">
            <w:pPr>
              <w:spacing w:line="240" w:lineRule="auto"/>
              <w:rPr>
                <w:rFonts w:ascii="Rockwell" w:hAnsi="Rockwell"/>
                <w:b/>
                <w:bCs/>
                <w:sz w:val="20"/>
                <w:szCs w:val="20"/>
              </w:rPr>
            </w:pPr>
            <w:r>
              <w:rPr>
                <w:rFonts w:ascii="Rockwell" w:hAnsi="Rockwell"/>
                <w:b/>
                <w:bCs/>
                <w:sz w:val="20"/>
                <w:szCs w:val="20"/>
              </w:rPr>
              <w:t>1</w:t>
            </w:r>
          </w:p>
        </w:tc>
        <w:tc>
          <w:tcPr>
            <w:tcW w:w="1193" w:type="dxa"/>
            <w:shd w:val="clear" w:color="auto" w:fill="FFFFFF" w:themeFill="background1"/>
            <w:tcMar>
              <w:top w:w="0" w:type="dxa"/>
              <w:left w:w="108" w:type="dxa"/>
              <w:bottom w:w="0" w:type="dxa"/>
              <w:right w:w="108" w:type="dxa"/>
            </w:tcMar>
            <w:vAlign w:val="center"/>
          </w:tcPr>
          <w:p w14:paraId="43C5ED17" w14:textId="77777777" w:rsidR="00284822" w:rsidRDefault="00F77BF8">
            <w:pPr>
              <w:spacing w:line="240" w:lineRule="auto"/>
              <w:rPr>
                <w:rFonts w:ascii="Rockwell" w:hAnsi="Rockwell"/>
                <w:b/>
                <w:bCs/>
                <w:sz w:val="20"/>
                <w:szCs w:val="20"/>
              </w:rPr>
            </w:pPr>
            <w:r>
              <w:rPr>
                <w:rFonts w:ascii="Rockwell" w:hAnsi="Rockwell"/>
                <w:b/>
                <w:bCs/>
                <w:sz w:val="20"/>
                <w:szCs w:val="20"/>
              </w:rPr>
              <w:t>0,08%</w:t>
            </w:r>
          </w:p>
        </w:tc>
      </w:tr>
      <w:tr w:rsidR="00284822" w14:paraId="6E888B62" w14:textId="77777777">
        <w:trPr>
          <w:gridAfter w:val="1"/>
          <w:wAfter w:w="23" w:type="dxa"/>
          <w:trHeight w:val="308"/>
        </w:trPr>
        <w:tc>
          <w:tcPr>
            <w:tcW w:w="864" w:type="dxa"/>
            <w:shd w:val="clear" w:color="auto" w:fill="FFFFFF" w:themeFill="background1"/>
            <w:noWrap/>
            <w:tcMar>
              <w:top w:w="0" w:type="dxa"/>
              <w:left w:w="108" w:type="dxa"/>
              <w:bottom w:w="0" w:type="dxa"/>
              <w:right w:w="108" w:type="dxa"/>
            </w:tcMar>
            <w:vAlign w:val="bottom"/>
          </w:tcPr>
          <w:p w14:paraId="06938ABA"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9</w:t>
            </w:r>
          </w:p>
        </w:tc>
        <w:tc>
          <w:tcPr>
            <w:tcW w:w="1737" w:type="dxa"/>
            <w:shd w:val="clear" w:color="auto" w:fill="FFFFFF" w:themeFill="background1"/>
            <w:tcMar>
              <w:top w:w="0" w:type="dxa"/>
              <w:left w:w="108" w:type="dxa"/>
              <w:bottom w:w="0" w:type="dxa"/>
              <w:right w:w="108" w:type="dxa"/>
            </w:tcMar>
            <w:vAlign w:val="bottom"/>
          </w:tcPr>
          <w:p w14:paraId="653DA66F"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FP</w:t>
            </w:r>
          </w:p>
        </w:tc>
        <w:tc>
          <w:tcPr>
            <w:tcW w:w="578" w:type="dxa"/>
            <w:shd w:val="clear" w:color="auto" w:fill="FFFFFF" w:themeFill="background1"/>
            <w:tcMar>
              <w:top w:w="0" w:type="dxa"/>
              <w:left w:w="108" w:type="dxa"/>
              <w:bottom w:w="0" w:type="dxa"/>
              <w:right w:w="108" w:type="dxa"/>
            </w:tcMar>
            <w:vAlign w:val="center"/>
          </w:tcPr>
          <w:p w14:paraId="0926D84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12" w:type="dxa"/>
            <w:shd w:val="clear" w:color="auto" w:fill="FFFFFF" w:themeFill="background1"/>
            <w:tcMar>
              <w:top w:w="0" w:type="dxa"/>
              <w:left w:w="108" w:type="dxa"/>
              <w:bottom w:w="0" w:type="dxa"/>
              <w:right w:w="108" w:type="dxa"/>
            </w:tcMar>
            <w:vAlign w:val="center"/>
          </w:tcPr>
          <w:p w14:paraId="3242E69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725" w:type="dxa"/>
            <w:shd w:val="clear" w:color="auto" w:fill="FFFFFF" w:themeFill="background1"/>
            <w:tcMar>
              <w:top w:w="0" w:type="dxa"/>
              <w:left w:w="108" w:type="dxa"/>
              <w:bottom w:w="0" w:type="dxa"/>
              <w:right w:w="108" w:type="dxa"/>
            </w:tcMar>
            <w:vAlign w:val="center"/>
          </w:tcPr>
          <w:p w14:paraId="4B960D4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68" w:type="dxa"/>
            <w:shd w:val="clear" w:color="auto" w:fill="FFFFFF" w:themeFill="background1"/>
            <w:tcMar>
              <w:top w:w="0" w:type="dxa"/>
              <w:left w:w="108" w:type="dxa"/>
              <w:bottom w:w="0" w:type="dxa"/>
              <w:right w:w="108" w:type="dxa"/>
            </w:tcMar>
            <w:vAlign w:val="center"/>
          </w:tcPr>
          <w:p w14:paraId="5688E48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219" w:type="dxa"/>
            <w:shd w:val="clear" w:color="auto" w:fill="FFFFFF" w:themeFill="background1"/>
            <w:tcMar>
              <w:top w:w="0" w:type="dxa"/>
              <w:left w:w="108" w:type="dxa"/>
              <w:bottom w:w="0" w:type="dxa"/>
              <w:right w:w="108" w:type="dxa"/>
            </w:tcMar>
            <w:vAlign w:val="center"/>
          </w:tcPr>
          <w:p w14:paraId="5CB46A5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357" w:type="dxa"/>
            <w:shd w:val="clear" w:color="auto" w:fill="FFFFFF" w:themeFill="background1"/>
            <w:tcMar>
              <w:top w:w="0" w:type="dxa"/>
              <w:left w:w="108" w:type="dxa"/>
              <w:bottom w:w="0" w:type="dxa"/>
              <w:right w:w="108" w:type="dxa"/>
            </w:tcMar>
            <w:vAlign w:val="center"/>
          </w:tcPr>
          <w:p w14:paraId="1061184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45" w:type="dxa"/>
            <w:shd w:val="clear" w:color="auto" w:fill="FFFFFF" w:themeFill="background1"/>
            <w:tcMar>
              <w:top w:w="0" w:type="dxa"/>
              <w:left w:w="108" w:type="dxa"/>
              <w:bottom w:w="0" w:type="dxa"/>
              <w:right w:w="108" w:type="dxa"/>
            </w:tcMar>
            <w:vAlign w:val="center"/>
          </w:tcPr>
          <w:p w14:paraId="77EE036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464" w:type="dxa"/>
            <w:shd w:val="clear" w:color="auto" w:fill="FFFFFF" w:themeFill="background1"/>
            <w:tcMar>
              <w:top w:w="0" w:type="dxa"/>
              <w:left w:w="108" w:type="dxa"/>
              <w:bottom w:w="0" w:type="dxa"/>
              <w:right w:w="108" w:type="dxa"/>
            </w:tcMar>
            <w:vAlign w:val="center"/>
          </w:tcPr>
          <w:p w14:paraId="0104B66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69" w:type="dxa"/>
            <w:shd w:val="clear" w:color="auto" w:fill="FFFFFF" w:themeFill="background1"/>
            <w:tcMar>
              <w:top w:w="0" w:type="dxa"/>
              <w:left w:w="108" w:type="dxa"/>
              <w:bottom w:w="0" w:type="dxa"/>
              <w:right w:w="108" w:type="dxa"/>
            </w:tcMar>
            <w:vAlign w:val="center"/>
          </w:tcPr>
          <w:p w14:paraId="2CD61AD5" w14:textId="77777777" w:rsidR="00284822" w:rsidRDefault="00F77BF8">
            <w:pPr>
              <w:spacing w:line="240" w:lineRule="auto"/>
              <w:rPr>
                <w:rFonts w:ascii="Rockwell" w:hAnsi="Rockwell"/>
                <w:b/>
                <w:bCs/>
                <w:sz w:val="20"/>
                <w:szCs w:val="20"/>
              </w:rPr>
            </w:pPr>
            <w:r>
              <w:rPr>
                <w:rFonts w:ascii="Rockwell" w:hAnsi="Rockwell"/>
                <w:b/>
                <w:bCs/>
                <w:sz w:val="20"/>
                <w:szCs w:val="20"/>
              </w:rPr>
              <w:t>2</w:t>
            </w:r>
          </w:p>
        </w:tc>
        <w:tc>
          <w:tcPr>
            <w:tcW w:w="1045" w:type="dxa"/>
            <w:shd w:val="clear" w:color="auto" w:fill="FFFFFF" w:themeFill="background1"/>
            <w:tcMar>
              <w:top w:w="0" w:type="dxa"/>
              <w:left w:w="108" w:type="dxa"/>
              <w:bottom w:w="0" w:type="dxa"/>
              <w:right w:w="108" w:type="dxa"/>
            </w:tcMar>
            <w:vAlign w:val="center"/>
          </w:tcPr>
          <w:p w14:paraId="2CD02490" w14:textId="77777777" w:rsidR="00284822" w:rsidRDefault="00F77BF8">
            <w:pPr>
              <w:spacing w:line="240" w:lineRule="auto"/>
              <w:rPr>
                <w:rFonts w:ascii="Rockwell" w:hAnsi="Rockwell"/>
                <w:b/>
                <w:bCs/>
                <w:sz w:val="20"/>
                <w:szCs w:val="20"/>
              </w:rPr>
            </w:pPr>
            <w:r>
              <w:rPr>
                <w:rFonts w:ascii="Rockwell" w:hAnsi="Rockwell"/>
                <w:b/>
                <w:bCs/>
                <w:sz w:val="20"/>
                <w:szCs w:val="20"/>
              </w:rPr>
              <w:t>0,27%</w:t>
            </w:r>
          </w:p>
        </w:tc>
        <w:tc>
          <w:tcPr>
            <w:tcW w:w="901" w:type="dxa"/>
            <w:shd w:val="clear" w:color="auto" w:fill="FFFFFF" w:themeFill="background1"/>
            <w:tcMar>
              <w:top w:w="0" w:type="dxa"/>
              <w:left w:w="108" w:type="dxa"/>
              <w:bottom w:w="0" w:type="dxa"/>
              <w:right w:w="108" w:type="dxa"/>
            </w:tcMar>
            <w:vAlign w:val="center"/>
          </w:tcPr>
          <w:p w14:paraId="48177CB8" w14:textId="77777777" w:rsidR="00284822" w:rsidRDefault="00F77BF8">
            <w:pPr>
              <w:spacing w:line="240" w:lineRule="auto"/>
              <w:rPr>
                <w:rFonts w:ascii="Rockwell" w:hAnsi="Rockwell"/>
                <w:b/>
                <w:bCs/>
                <w:sz w:val="20"/>
                <w:szCs w:val="20"/>
              </w:rPr>
            </w:pPr>
            <w:r>
              <w:rPr>
                <w:rFonts w:ascii="Rockwell" w:hAnsi="Rockwell"/>
                <w:b/>
                <w:bCs/>
                <w:sz w:val="20"/>
                <w:szCs w:val="20"/>
              </w:rPr>
              <w:t>3</w:t>
            </w:r>
          </w:p>
        </w:tc>
        <w:tc>
          <w:tcPr>
            <w:tcW w:w="1193" w:type="dxa"/>
            <w:shd w:val="clear" w:color="auto" w:fill="FFFFFF" w:themeFill="background1"/>
            <w:tcMar>
              <w:top w:w="0" w:type="dxa"/>
              <w:left w:w="108" w:type="dxa"/>
              <w:bottom w:w="0" w:type="dxa"/>
              <w:right w:w="108" w:type="dxa"/>
            </w:tcMar>
            <w:vAlign w:val="center"/>
          </w:tcPr>
          <w:p w14:paraId="48187D37" w14:textId="77777777" w:rsidR="00284822" w:rsidRDefault="00F77BF8">
            <w:pPr>
              <w:spacing w:line="240" w:lineRule="auto"/>
              <w:rPr>
                <w:rFonts w:ascii="Rockwell" w:hAnsi="Rockwell"/>
                <w:b/>
                <w:bCs/>
                <w:sz w:val="20"/>
                <w:szCs w:val="20"/>
              </w:rPr>
            </w:pPr>
            <w:r>
              <w:rPr>
                <w:rFonts w:ascii="Rockwell" w:hAnsi="Rockwell"/>
                <w:b/>
                <w:bCs/>
                <w:sz w:val="20"/>
                <w:szCs w:val="20"/>
              </w:rPr>
              <w:t>0,25%</w:t>
            </w:r>
          </w:p>
        </w:tc>
      </w:tr>
      <w:tr w:rsidR="00284822" w14:paraId="5E96E2BD" w14:textId="77777777">
        <w:trPr>
          <w:gridAfter w:val="1"/>
          <w:wAfter w:w="23" w:type="dxa"/>
          <w:trHeight w:val="308"/>
        </w:trPr>
        <w:tc>
          <w:tcPr>
            <w:tcW w:w="864" w:type="dxa"/>
            <w:shd w:val="clear" w:color="auto" w:fill="FFFFFF" w:themeFill="background1"/>
            <w:noWrap/>
            <w:tcMar>
              <w:top w:w="0" w:type="dxa"/>
              <w:left w:w="108" w:type="dxa"/>
              <w:bottom w:w="0" w:type="dxa"/>
              <w:right w:w="108" w:type="dxa"/>
            </w:tcMar>
            <w:vAlign w:val="bottom"/>
          </w:tcPr>
          <w:p w14:paraId="075817BB"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10</w:t>
            </w:r>
          </w:p>
        </w:tc>
        <w:tc>
          <w:tcPr>
            <w:tcW w:w="1737" w:type="dxa"/>
            <w:shd w:val="clear" w:color="auto" w:fill="FFFFFF" w:themeFill="background1"/>
            <w:tcMar>
              <w:top w:w="0" w:type="dxa"/>
              <w:left w:w="108" w:type="dxa"/>
              <w:bottom w:w="0" w:type="dxa"/>
              <w:right w:w="108" w:type="dxa"/>
            </w:tcMar>
            <w:vAlign w:val="bottom"/>
          </w:tcPr>
          <w:p w14:paraId="59930E6A"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FPC/Y</w:t>
            </w:r>
          </w:p>
        </w:tc>
        <w:tc>
          <w:tcPr>
            <w:tcW w:w="578" w:type="dxa"/>
            <w:shd w:val="clear" w:color="auto" w:fill="FFFFFF" w:themeFill="background1"/>
            <w:tcMar>
              <w:top w:w="0" w:type="dxa"/>
              <w:left w:w="108" w:type="dxa"/>
              <w:bottom w:w="0" w:type="dxa"/>
              <w:right w:w="108" w:type="dxa"/>
            </w:tcMar>
            <w:vAlign w:val="center"/>
          </w:tcPr>
          <w:p w14:paraId="799CDC2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12" w:type="dxa"/>
            <w:shd w:val="clear" w:color="auto" w:fill="FFFFFF" w:themeFill="background1"/>
            <w:tcMar>
              <w:top w:w="0" w:type="dxa"/>
              <w:left w:w="108" w:type="dxa"/>
              <w:bottom w:w="0" w:type="dxa"/>
              <w:right w:w="108" w:type="dxa"/>
            </w:tcMar>
            <w:vAlign w:val="center"/>
          </w:tcPr>
          <w:p w14:paraId="11B7011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725" w:type="dxa"/>
            <w:shd w:val="clear" w:color="auto" w:fill="FFFFFF" w:themeFill="background1"/>
            <w:tcMar>
              <w:top w:w="0" w:type="dxa"/>
              <w:left w:w="108" w:type="dxa"/>
              <w:bottom w:w="0" w:type="dxa"/>
              <w:right w:w="108" w:type="dxa"/>
            </w:tcMar>
            <w:vAlign w:val="center"/>
          </w:tcPr>
          <w:p w14:paraId="34B0998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68" w:type="dxa"/>
            <w:shd w:val="clear" w:color="auto" w:fill="FFFFFF" w:themeFill="background1"/>
            <w:tcMar>
              <w:top w:w="0" w:type="dxa"/>
              <w:left w:w="108" w:type="dxa"/>
              <w:bottom w:w="0" w:type="dxa"/>
              <w:right w:w="108" w:type="dxa"/>
            </w:tcMar>
            <w:vAlign w:val="center"/>
          </w:tcPr>
          <w:p w14:paraId="75FDC9C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219" w:type="dxa"/>
            <w:shd w:val="clear" w:color="auto" w:fill="FFFFFF" w:themeFill="background1"/>
            <w:tcMar>
              <w:top w:w="0" w:type="dxa"/>
              <w:left w:w="108" w:type="dxa"/>
              <w:bottom w:w="0" w:type="dxa"/>
              <w:right w:w="108" w:type="dxa"/>
            </w:tcMar>
            <w:vAlign w:val="center"/>
          </w:tcPr>
          <w:p w14:paraId="2432779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357" w:type="dxa"/>
            <w:shd w:val="clear" w:color="auto" w:fill="FFFFFF" w:themeFill="background1"/>
            <w:tcMar>
              <w:top w:w="0" w:type="dxa"/>
              <w:left w:w="108" w:type="dxa"/>
              <w:bottom w:w="0" w:type="dxa"/>
              <w:right w:w="108" w:type="dxa"/>
            </w:tcMar>
            <w:vAlign w:val="center"/>
          </w:tcPr>
          <w:p w14:paraId="3F229A6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45" w:type="dxa"/>
            <w:shd w:val="clear" w:color="auto" w:fill="FFFFFF" w:themeFill="background1"/>
            <w:tcMar>
              <w:top w:w="0" w:type="dxa"/>
              <w:left w:w="108" w:type="dxa"/>
              <w:bottom w:w="0" w:type="dxa"/>
              <w:right w:w="108" w:type="dxa"/>
            </w:tcMar>
            <w:vAlign w:val="center"/>
          </w:tcPr>
          <w:p w14:paraId="2D8AEE6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464" w:type="dxa"/>
            <w:shd w:val="clear" w:color="auto" w:fill="FFFFFF" w:themeFill="background1"/>
            <w:tcMar>
              <w:top w:w="0" w:type="dxa"/>
              <w:left w:w="108" w:type="dxa"/>
              <w:bottom w:w="0" w:type="dxa"/>
              <w:right w:w="108" w:type="dxa"/>
            </w:tcMar>
            <w:vAlign w:val="center"/>
          </w:tcPr>
          <w:p w14:paraId="45E90F6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69" w:type="dxa"/>
            <w:shd w:val="clear" w:color="auto" w:fill="FFFFFF" w:themeFill="background1"/>
            <w:tcMar>
              <w:top w:w="0" w:type="dxa"/>
              <w:left w:w="108" w:type="dxa"/>
              <w:bottom w:w="0" w:type="dxa"/>
              <w:right w:w="108" w:type="dxa"/>
            </w:tcMar>
            <w:vAlign w:val="center"/>
          </w:tcPr>
          <w:p w14:paraId="1901CE46" w14:textId="77777777" w:rsidR="00284822" w:rsidRDefault="00F77BF8">
            <w:pPr>
              <w:spacing w:line="240" w:lineRule="auto"/>
              <w:rPr>
                <w:rFonts w:ascii="Rockwell" w:hAnsi="Rockwell"/>
                <w:b/>
                <w:bCs/>
                <w:sz w:val="20"/>
                <w:szCs w:val="20"/>
              </w:rPr>
            </w:pPr>
            <w:r>
              <w:rPr>
                <w:rFonts w:ascii="Rockwell" w:hAnsi="Rockwell"/>
                <w:b/>
                <w:bCs/>
                <w:sz w:val="20"/>
                <w:szCs w:val="20"/>
              </w:rPr>
              <w:t>2</w:t>
            </w:r>
          </w:p>
        </w:tc>
        <w:tc>
          <w:tcPr>
            <w:tcW w:w="1045" w:type="dxa"/>
            <w:shd w:val="clear" w:color="auto" w:fill="FFFFFF" w:themeFill="background1"/>
            <w:tcMar>
              <w:top w:w="0" w:type="dxa"/>
              <w:left w:w="108" w:type="dxa"/>
              <w:bottom w:w="0" w:type="dxa"/>
              <w:right w:w="108" w:type="dxa"/>
            </w:tcMar>
            <w:vAlign w:val="center"/>
          </w:tcPr>
          <w:p w14:paraId="755308B3" w14:textId="77777777" w:rsidR="00284822" w:rsidRDefault="00F77BF8">
            <w:pPr>
              <w:spacing w:line="240" w:lineRule="auto"/>
              <w:rPr>
                <w:rFonts w:ascii="Rockwell" w:hAnsi="Rockwell"/>
                <w:b/>
                <w:bCs/>
                <w:sz w:val="20"/>
                <w:szCs w:val="20"/>
              </w:rPr>
            </w:pPr>
            <w:r>
              <w:rPr>
                <w:rFonts w:ascii="Rockwell" w:hAnsi="Rockwell"/>
                <w:b/>
                <w:bCs/>
                <w:sz w:val="20"/>
                <w:szCs w:val="20"/>
              </w:rPr>
              <w:t>0,27%</w:t>
            </w:r>
          </w:p>
        </w:tc>
        <w:tc>
          <w:tcPr>
            <w:tcW w:w="901" w:type="dxa"/>
            <w:shd w:val="clear" w:color="auto" w:fill="FFFFFF" w:themeFill="background1"/>
            <w:tcMar>
              <w:top w:w="0" w:type="dxa"/>
              <w:left w:w="108" w:type="dxa"/>
              <w:bottom w:w="0" w:type="dxa"/>
              <w:right w:w="108" w:type="dxa"/>
            </w:tcMar>
            <w:vAlign w:val="center"/>
          </w:tcPr>
          <w:p w14:paraId="0D81C0DA" w14:textId="77777777" w:rsidR="00284822" w:rsidRDefault="00F77BF8">
            <w:pPr>
              <w:spacing w:line="240" w:lineRule="auto"/>
              <w:rPr>
                <w:rFonts w:ascii="Rockwell" w:hAnsi="Rockwell"/>
                <w:b/>
                <w:bCs/>
                <w:sz w:val="20"/>
                <w:szCs w:val="20"/>
              </w:rPr>
            </w:pPr>
            <w:r>
              <w:rPr>
                <w:rFonts w:ascii="Rockwell" w:hAnsi="Rockwell"/>
                <w:b/>
                <w:bCs/>
                <w:sz w:val="20"/>
                <w:szCs w:val="20"/>
              </w:rPr>
              <w:t>2</w:t>
            </w:r>
          </w:p>
        </w:tc>
        <w:tc>
          <w:tcPr>
            <w:tcW w:w="1193" w:type="dxa"/>
            <w:shd w:val="clear" w:color="auto" w:fill="FFFFFF" w:themeFill="background1"/>
            <w:tcMar>
              <w:top w:w="0" w:type="dxa"/>
              <w:left w:w="108" w:type="dxa"/>
              <w:bottom w:w="0" w:type="dxa"/>
              <w:right w:w="108" w:type="dxa"/>
            </w:tcMar>
            <w:vAlign w:val="center"/>
          </w:tcPr>
          <w:p w14:paraId="45D02E8E" w14:textId="77777777" w:rsidR="00284822" w:rsidRDefault="00F77BF8">
            <w:pPr>
              <w:spacing w:line="240" w:lineRule="auto"/>
              <w:rPr>
                <w:rFonts w:ascii="Rockwell" w:hAnsi="Rockwell"/>
                <w:b/>
                <w:bCs/>
                <w:sz w:val="20"/>
                <w:szCs w:val="20"/>
              </w:rPr>
            </w:pPr>
            <w:r>
              <w:rPr>
                <w:rFonts w:ascii="Rockwell" w:hAnsi="Rockwell"/>
                <w:b/>
                <w:bCs/>
                <w:sz w:val="20"/>
                <w:szCs w:val="20"/>
              </w:rPr>
              <w:t>0,17%</w:t>
            </w:r>
          </w:p>
        </w:tc>
      </w:tr>
      <w:tr w:rsidR="00284822" w14:paraId="616F39FB" w14:textId="77777777">
        <w:trPr>
          <w:gridAfter w:val="1"/>
          <w:wAfter w:w="23" w:type="dxa"/>
          <w:trHeight w:val="308"/>
        </w:trPr>
        <w:tc>
          <w:tcPr>
            <w:tcW w:w="864" w:type="dxa"/>
            <w:shd w:val="clear" w:color="auto" w:fill="FFFFFF" w:themeFill="background1"/>
            <w:noWrap/>
            <w:tcMar>
              <w:top w:w="0" w:type="dxa"/>
              <w:left w:w="108" w:type="dxa"/>
              <w:bottom w:w="0" w:type="dxa"/>
              <w:right w:w="108" w:type="dxa"/>
            </w:tcMar>
            <w:vAlign w:val="bottom"/>
          </w:tcPr>
          <w:p w14:paraId="5D854EBD"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11</w:t>
            </w:r>
          </w:p>
        </w:tc>
        <w:tc>
          <w:tcPr>
            <w:tcW w:w="1737" w:type="dxa"/>
            <w:shd w:val="clear" w:color="auto" w:fill="FFFFFF" w:themeFill="background1"/>
            <w:tcMar>
              <w:top w:w="0" w:type="dxa"/>
              <w:left w:w="108" w:type="dxa"/>
              <w:bottom w:w="0" w:type="dxa"/>
              <w:right w:w="108" w:type="dxa"/>
            </w:tcMar>
            <w:vAlign w:val="bottom"/>
          </w:tcPr>
          <w:p w14:paraId="5E2A9FF2"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FPR</w:t>
            </w:r>
          </w:p>
        </w:tc>
        <w:tc>
          <w:tcPr>
            <w:tcW w:w="578" w:type="dxa"/>
            <w:shd w:val="clear" w:color="auto" w:fill="FFFFFF" w:themeFill="background1"/>
            <w:tcMar>
              <w:top w:w="0" w:type="dxa"/>
              <w:left w:w="108" w:type="dxa"/>
              <w:bottom w:w="0" w:type="dxa"/>
              <w:right w:w="108" w:type="dxa"/>
            </w:tcMar>
            <w:vAlign w:val="center"/>
          </w:tcPr>
          <w:p w14:paraId="2446E75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12" w:type="dxa"/>
            <w:shd w:val="clear" w:color="auto" w:fill="FFFFFF" w:themeFill="background1"/>
            <w:tcMar>
              <w:top w:w="0" w:type="dxa"/>
              <w:left w:w="108" w:type="dxa"/>
              <w:bottom w:w="0" w:type="dxa"/>
              <w:right w:w="108" w:type="dxa"/>
            </w:tcMar>
            <w:vAlign w:val="center"/>
          </w:tcPr>
          <w:p w14:paraId="4F26126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725" w:type="dxa"/>
            <w:shd w:val="clear" w:color="auto" w:fill="FFFFFF" w:themeFill="background1"/>
            <w:tcMar>
              <w:top w:w="0" w:type="dxa"/>
              <w:left w:w="108" w:type="dxa"/>
              <w:bottom w:w="0" w:type="dxa"/>
              <w:right w:w="108" w:type="dxa"/>
            </w:tcMar>
            <w:vAlign w:val="center"/>
          </w:tcPr>
          <w:p w14:paraId="029CE7C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68" w:type="dxa"/>
            <w:shd w:val="clear" w:color="auto" w:fill="FFFFFF" w:themeFill="background1"/>
            <w:tcMar>
              <w:top w:w="0" w:type="dxa"/>
              <w:left w:w="108" w:type="dxa"/>
              <w:bottom w:w="0" w:type="dxa"/>
              <w:right w:w="108" w:type="dxa"/>
            </w:tcMar>
            <w:vAlign w:val="center"/>
          </w:tcPr>
          <w:p w14:paraId="5874F93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219" w:type="dxa"/>
            <w:shd w:val="clear" w:color="auto" w:fill="FFFFFF" w:themeFill="background1"/>
            <w:tcMar>
              <w:top w:w="0" w:type="dxa"/>
              <w:left w:w="108" w:type="dxa"/>
              <w:bottom w:w="0" w:type="dxa"/>
              <w:right w:w="108" w:type="dxa"/>
            </w:tcMar>
            <w:vAlign w:val="center"/>
          </w:tcPr>
          <w:p w14:paraId="1A897BB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357" w:type="dxa"/>
            <w:shd w:val="clear" w:color="auto" w:fill="FFFFFF" w:themeFill="background1"/>
            <w:tcMar>
              <w:top w:w="0" w:type="dxa"/>
              <w:left w:w="108" w:type="dxa"/>
              <w:bottom w:w="0" w:type="dxa"/>
              <w:right w:w="108" w:type="dxa"/>
            </w:tcMar>
            <w:vAlign w:val="center"/>
          </w:tcPr>
          <w:p w14:paraId="275CDA7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45" w:type="dxa"/>
            <w:shd w:val="clear" w:color="auto" w:fill="FFFFFF" w:themeFill="background1"/>
            <w:tcMar>
              <w:top w:w="0" w:type="dxa"/>
              <w:left w:w="108" w:type="dxa"/>
              <w:bottom w:w="0" w:type="dxa"/>
              <w:right w:w="108" w:type="dxa"/>
            </w:tcMar>
            <w:vAlign w:val="center"/>
          </w:tcPr>
          <w:p w14:paraId="303550F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464" w:type="dxa"/>
            <w:shd w:val="clear" w:color="auto" w:fill="FFFFFF" w:themeFill="background1"/>
            <w:tcMar>
              <w:top w:w="0" w:type="dxa"/>
              <w:left w:w="108" w:type="dxa"/>
              <w:bottom w:w="0" w:type="dxa"/>
              <w:right w:w="108" w:type="dxa"/>
            </w:tcMar>
            <w:vAlign w:val="center"/>
          </w:tcPr>
          <w:p w14:paraId="087099E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69" w:type="dxa"/>
            <w:shd w:val="clear" w:color="auto" w:fill="FFFFFF" w:themeFill="background1"/>
            <w:tcMar>
              <w:top w:w="0" w:type="dxa"/>
              <w:left w:w="108" w:type="dxa"/>
              <w:bottom w:w="0" w:type="dxa"/>
              <w:right w:w="108" w:type="dxa"/>
            </w:tcMar>
            <w:vAlign w:val="center"/>
          </w:tcPr>
          <w:p w14:paraId="62CD2242" w14:textId="77777777" w:rsidR="00284822" w:rsidRDefault="00F77BF8">
            <w:pPr>
              <w:spacing w:line="240" w:lineRule="auto"/>
              <w:rPr>
                <w:rFonts w:ascii="Rockwell" w:hAnsi="Rockwell"/>
                <w:b/>
                <w:bCs/>
                <w:sz w:val="20"/>
                <w:szCs w:val="20"/>
              </w:rPr>
            </w:pPr>
            <w:r>
              <w:rPr>
                <w:rFonts w:ascii="Rockwell" w:hAnsi="Rockwell"/>
                <w:b/>
                <w:bCs/>
                <w:sz w:val="20"/>
                <w:szCs w:val="20"/>
              </w:rPr>
              <w:t>3</w:t>
            </w:r>
          </w:p>
        </w:tc>
        <w:tc>
          <w:tcPr>
            <w:tcW w:w="1045" w:type="dxa"/>
            <w:shd w:val="clear" w:color="auto" w:fill="FFFFFF" w:themeFill="background1"/>
            <w:tcMar>
              <w:top w:w="0" w:type="dxa"/>
              <w:left w:w="108" w:type="dxa"/>
              <w:bottom w:w="0" w:type="dxa"/>
              <w:right w:w="108" w:type="dxa"/>
            </w:tcMar>
            <w:vAlign w:val="center"/>
          </w:tcPr>
          <w:p w14:paraId="72A83B07" w14:textId="77777777" w:rsidR="00284822" w:rsidRDefault="00F77BF8">
            <w:pPr>
              <w:spacing w:line="240" w:lineRule="auto"/>
              <w:rPr>
                <w:rFonts w:ascii="Rockwell" w:hAnsi="Rockwell"/>
                <w:b/>
                <w:bCs/>
                <w:sz w:val="20"/>
                <w:szCs w:val="20"/>
              </w:rPr>
            </w:pPr>
            <w:r>
              <w:rPr>
                <w:rFonts w:ascii="Rockwell" w:hAnsi="Rockwell"/>
                <w:b/>
                <w:bCs/>
                <w:sz w:val="20"/>
                <w:szCs w:val="20"/>
              </w:rPr>
              <w:t>0,40%</w:t>
            </w:r>
          </w:p>
        </w:tc>
        <w:tc>
          <w:tcPr>
            <w:tcW w:w="901" w:type="dxa"/>
            <w:shd w:val="clear" w:color="auto" w:fill="FFFFFF" w:themeFill="background1"/>
            <w:tcMar>
              <w:top w:w="0" w:type="dxa"/>
              <w:left w:w="108" w:type="dxa"/>
              <w:bottom w:w="0" w:type="dxa"/>
              <w:right w:w="108" w:type="dxa"/>
            </w:tcMar>
            <w:vAlign w:val="center"/>
          </w:tcPr>
          <w:p w14:paraId="3AED81D1" w14:textId="77777777" w:rsidR="00284822" w:rsidRDefault="00F77BF8">
            <w:pPr>
              <w:spacing w:line="240" w:lineRule="auto"/>
              <w:rPr>
                <w:rFonts w:ascii="Rockwell" w:hAnsi="Rockwell"/>
                <w:b/>
                <w:bCs/>
                <w:sz w:val="20"/>
                <w:szCs w:val="20"/>
              </w:rPr>
            </w:pPr>
            <w:r>
              <w:rPr>
                <w:rFonts w:ascii="Rockwell" w:hAnsi="Rockwell"/>
                <w:b/>
                <w:bCs/>
                <w:sz w:val="20"/>
                <w:szCs w:val="20"/>
              </w:rPr>
              <w:t>3</w:t>
            </w:r>
          </w:p>
        </w:tc>
        <w:tc>
          <w:tcPr>
            <w:tcW w:w="1193" w:type="dxa"/>
            <w:shd w:val="clear" w:color="auto" w:fill="FFFFFF" w:themeFill="background1"/>
            <w:tcMar>
              <w:top w:w="0" w:type="dxa"/>
              <w:left w:w="108" w:type="dxa"/>
              <w:bottom w:w="0" w:type="dxa"/>
              <w:right w:w="108" w:type="dxa"/>
            </w:tcMar>
            <w:vAlign w:val="center"/>
          </w:tcPr>
          <w:p w14:paraId="4499F595" w14:textId="77777777" w:rsidR="00284822" w:rsidRDefault="00F77BF8">
            <w:pPr>
              <w:spacing w:line="240" w:lineRule="auto"/>
              <w:rPr>
                <w:rFonts w:ascii="Rockwell" w:hAnsi="Rockwell"/>
                <w:b/>
                <w:bCs/>
                <w:sz w:val="20"/>
                <w:szCs w:val="20"/>
              </w:rPr>
            </w:pPr>
            <w:r>
              <w:rPr>
                <w:rFonts w:ascii="Rockwell" w:hAnsi="Rockwell"/>
                <w:b/>
                <w:bCs/>
                <w:sz w:val="20"/>
                <w:szCs w:val="20"/>
              </w:rPr>
              <w:t>0,25%</w:t>
            </w:r>
          </w:p>
        </w:tc>
      </w:tr>
      <w:tr w:rsidR="00284822" w14:paraId="443F59B8" w14:textId="77777777">
        <w:trPr>
          <w:gridAfter w:val="1"/>
          <w:wAfter w:w="23" w:type="dxa"/>
          <w:trHeight w:val="308"/>
        </w:trPr>
        <w:tc>
          <w:tcPr>
            <w:tcW w:w="864" w:type="dxa"/>
            <w:shd w:val="clear" w:color="auto" w:fill="FFFFFF" w:themeFill="background1"/>
            <w:noWrap/>
            <w:tcMar>
              <w:top w:w="0" w:type="dxa"/>
              <w:left w:w="108" w:type="dxa"/>
              <w:bottom w:w="0" w:type="dxa"/>
              <w:right w:w="108" w:type="dxa"/>
            </w:tcMar>
            <w:vAlign w:val="bottom"/>
          </w:tcPr>
          <w:p w14:paraId="03103EC2"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12</w:t>
            </w:r>
          </w:p>
        </w:tc>
        <w:tc>
          <w:tcPr>
            <w:tcW w:w="1737" w:type="dxa"/>
            <w:shd w:val="clear" w:color="auto" w:fill="FFFFFF" w:themeFill="background1"/>
            <w:tcMar>
              <w:top w:w="0" w:type="dxa"/>
              <w:left w:w="108" w:type="dxa"/>
              <w:bottom w:w="0" w:type="dxa"/>
              <w:right w:w="108" w:type="dxa"/>
            </w:tcMar>
            <w:vAlign w:val="bottom"/>
          </w:tcPr>
          <w:p w14:paraId="21445386"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L'AB/PSR</w:t>
            </w:r>
          </w:p>
        </w:tc>
        <w:tc>
          <w:tcPr>
            <w:tcW w:w="578" w:type="dxa"/>
            <w:shd w:val="clear" w:color="auto" w:fill="FFFFFF" w:themeFill="background1"/>
            <w:tcMar>
              <w:top w:w="0" w:type="dxa"/>
              <w:left w:w="108" w:type="dxa"/>
              <w:bottom w:w="0" w:type="dxa"/>
              <w:right w:w="108" w:type="dxa"/>
            </w:tcMar>
            <w:vAlign w:val="center"/>
          </w:tcPr>
          <w:p w14:paraId="5544F44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12" w:type="dxa"/>
            <w:shd w:val="clear" w:color="auto" w:fill="FFFFFF" w:themeFill="background1"/>
            <w:tcMar>
              <w:top w:w="0" w:type="dxa"/>
              <w:left w:w="108" w:type="dxa"/>
              <w:bottom w:w="0" w:type="dxa"/>
              <w:right w:w="108" w:type="dxa"/>
            </w:tcMar>
            <w:vAlign w:val="center"/>
          </w:tcPr>
          <w:p w14:paraId="515B316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725" w:type="dxa"/>
            <w:shd w:val="clear" w:color="auto" w:fill="FFFFFF" w:themeFill="background1"/>
            <w:tcMar>
              <w:top w:w="0" w:type="dxa"/>
              <w:left w:w="108" w:type="dxa"/>
              <w:bottom w:w="0" w:type="dxa"/>
              <w:right w:w="108" w:type="dxa"/>
            </w:tcMar>
            <w:vAlign w:val="center"/>
          </w:tcPr>
          <w:p w14:paraId="3283742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68" w:type="dxa"/>
            <w:shd w:val="clear" w:color="auto" w:fill="FFFFFF" w:themeFill="background1"/>
            <w:tcMar>
              <w:top w:w="0" w:type="dxa"/>
              <w:left w:w="108" w:type="dxa"/>
              <w:bottom w:w="0" w:type="dxa"/>
              <w:right w:w="108" w:type="dxa"/>
            </w:tcMar>
            <w:vAlign w:val="center"/>
          </w:tcPr>
          <w:p w14:paraId="780B719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219" w:type="dxa"/>
            <w:shd w:val="clear" w:color="auto" w:fill="FFFFFF" w:themeFill="background1"/>
            <w:tcMar>
              <w:top w:w="0" w:type="dxa"/>
              <w:left w:w="108" w:type="dxa"/>
              <w:bottom w:w="0" w:type="dxa"/>
              <w:right w:w="108" w:type="dxa"/>
            </w:tcMar>
            <w:vAlign w:val="center"/>
          </w:tcPr>
          <w:p w14:paraId="6A1209B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357" w:type="dxa"/>
            <w:shd w:val="clear" w:color="auto" w:fill="FFFFFF" w:themeFill="background1"/>
            <w:tcMar>
              <w:top w:w="0" w:type="dxa"/>
              <w:left w:w="108" w:type="dxa"/>
              <w:bottom w:w="0" w:type="dxa"/>
              <w:right w:w="108" w:type="dxa"/>
            </w:tcMar>
            <w:vAlign w:val="center"/>
          </w:tcPr>
          <w:p w14:paraId="510AC91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45" w:type="dxa"/>
            <w:shd w:val="clear" w:color="auto" w:fill="FFFFFF" w:themeFill="background1"/>
            <w:tcMar>
              <w:top w:w="0" w:type="dxa"/>
              <w:left w:w="108" w:type="dxa"/>
              <w:bottom w:w="0" w:type="dxa"/>
              <w:right w:w="108" w:type="dxa"/>
            </w:tcMar>
            <w:vAlign w:val="center"/>
          </w:tcPr>
          <w:p w14:paraId="25D1E9AD" w14:textId="77777777" w:rsidR="00284822" w:rsidRDefault="00284822">
            <w:pPr>
              <w:spacing w:line="240" w:lineRule="auto"/>
              <w:rPr>
                <w:rFonts w:ascii="Rockwell" w:hAnsi="Rockwell"/>
                <w:color w:val="000000"/>
                <w:sz w:val="20"/>
                <w:szCs w:val="20"/>
              </w:rPr>
            </w:pPr>
          </w:p>
        </w:tc>
        <w:tc>
          <w:tcPr>
            <w:tcW w:w="1464" w:type="dxa"/>
            <w:shd w:val="clear" w:color="auto" w:fill="FFFFFF" w:themeFill="background1"/>
            <w:tcMar>
              <w:top w:w="0" w:type="dxa"/>
              <w:left w:w="108" w:type="dxa"/>
              <w:bottom w:w="0" w:type="dxa"/>
              <w:right w:w="108" w:type="dxa"/>
            </w:tcMar>
            <w:vAlign w:val="center"/>
          </w:tcPr>
          <w:p w14:paraId="00FE55A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69" w:type="dxa"/>
            <w:shd w:val="clear" w:color="auto" w:fill="FFFFFF" w:themeFill="background1"/>
            <w:tcMar>
              <w:top w:w="0" w:type="dxa"/>
              <w:left w:w="108" w:type="dxa"/>
              <w:bottom w:w="0" w:type="dxa"/>
              <w:right w:w="108" w:type="dxa"/>
            </w:tcMar>
            <w:vAlign w:val="center"/>
          </w:tcPr>
          <w:p w14:paraId="3828F6A2" w14:textId="77777777" w:rsidR="00284822" w:rsidRDefault="00F77BF8">
            <w:pPr>
              <w:spacing w:line="240" w:lineRule="auto"/>
              <w:rPr>
                <w:rFonts w:ascii="Rockwell" w:hAnsi="Rockwell"/>
                <w:b/>
                <w:bCs/>
                <w:sz w:val="20"/>
                <w:szCs w:val="20"/>
              </w:rPr>
            </w:pPr>
            <w:r>
              <w:rPr>
                <w:rFonts w:ascii="Rockwell" w:hAnsi="Rockwell"/>
                <w:b/>
                <w:bCs/>
                <w:sz w:val="20"/>
                <w:szCs w:val="20"/>
              </w:rPr>
              <w:t>3</w:t>
            </w:r>
          </w:p>
        </w:tc>
        <w:tc>
          <w:tcPr>
            <w:tcW w:w="1045" w:type="dxa"/>
            <w:shd w:val="clear" w:color="auto" w:fill="FFFFFF" w:themeFill="background1"/>
            <w:tcMar>
              <w:top w:w="0" w:type="dxa"/>
              <w:left w:w="108" w:type="dxa"/>
              <w:bottom w:w="0" w:type="dxa"/>
              <w:right w:w="108" w:type="dxa"/>
            </w:tcMar>
            <w:vAlign w:val="center"/>
          </w:tcPr>
          <w:p w14:paraId="168A6E36" w14:textId="77777777" w:rsidR="00284822" w:rsidRDefault="00F77BF8">
            <w:pPr>
              <w:spacing w:line="240" w:lineRule="auto"/>
              <w:rPr>
                <w:rFonts w:ascii="Rockwell" w:hAnsi="Rockwell"/>
                <w:b/>
                <w:bCs/>
                <w:sz w:val="20"/>
                <w:szCs w:val="20"/>
              </w:rPr>
            </w:pPr>
            <w:r>
              <w:rPr>
                <w:rFonts w:ascii="Rockwell" w:hAnsi="Rockwell"/>
                <w:b/>
                <w:bCs/>
                <w:sz w:val="20"/>
                <w:szCs w:val="20"/>
              </w:rPr>
              <w:t>0,40%</w:t>
            </w:r>
          </w:p>
        </w:tc>
        <w:tc>
          <w:tcPr>
            <w:tcW w:w="901" w:type="dxa"/>
            <w:shd w:val="clear" w:color="auto" w:fill="FFFFFF" w:themeFill="background1"/>
            <w:tcMar>
              <w:top w:w="0" w:type="dxa"/>
              <w:left w:w="108" w:type="dxa"/>
              <w:bottom w:w="0" w:type="dxa"/>
              <w:right w:w="108" w:type="dxa"/>
            </w:tcMar>
            <w:vAlign w:val="center"/>
          </w:tcPr>
          <w:p w14:paraId="57B2C5E3" w14:textId="77777777" w:rsidR="00284822" w:rsidRDefault="00F77BF8">
            <w:pPr>
              <w:spacing w:line="240" w:lineRule="auto"/>
              <w:rPr>
                <w:rFonts w:ascii="Rockwell" w:hAnsi="Rockwell"/>
                <w:b/>
                <w:bCs/>
                <w:sz w:val="20"/>
                <w:szCs w:val="20"/>
              </w:rPr>
            </w:pPr>
            <w:r>
              <w:rPr>
                <w:rFonts w:ascii="Rockwell" w:hAnsi="Rockwell"/>
                <w:b/>
                <w:bCs/>
                <w:sz w:val="20"/>
                <w:szCs w:val="20"/>
              </w:rPr>
              <w:t>3</w:t>
            </w:r>
          </w:p>
        </w:tc>
        <w:tc>
          <w:tcPr>
            <w:tcW w:w="1193" w:type="dxa"/>
            <w:shd w:val="clear" w:color="auto" w:fill="FFFFFF" w:themeFill="background1"/>
            <w:tcMar>
              <w:top w:w="0" w:type="dxa"/>
              <w:left w:w="108" w:type="dxa"/>
              <w:bottom w:w="0" w:type="dxa"/>
              <w:right w:w="108" w:type="dxa"/>
            </w:tcMar>
            <w:vAlign w:val="center"/>
          </w:tcPr>
          <w:p w14:paraId="005E7F1E" w14:textId="77777777" w:rsidR="00284822" w:rsidRDefault="00F77BF8">
            <w:pPr>
              <w:spacing w:line="240" w:lineRule="auto"/>
              <w:rPr>
                <w:rFonts w:ascii="Rockwell" w:hAnsi="Rockwell"/>
                <w:b/>
                <w:bCs/>
                <w:sz w:val="20"/>
                <w:szCs w:val="20"/>
              </w:rPr>
            </w:pPr>
            <w:r>
              <w:rPr>
                <w:rFonts w:ascii="Rockwell" w:hAnsi="Rockwell"/>
                <w:b/>
                <w:bCs/>
                <w:sz w:val="20"/>
                <w:szCs w:val="20"/>
              </w:rPr>
              <w:t>0,25%</w:t>
            </w:r>
          </w:p>
        </w:tc>
      </w:tr>
      <w:tr w:rsidR="00284822" w14:paraId="57D8E079" w14:textId="77777777">
        <w:trPr>
          <w:gridAfter w:val="1"/>
          <w:wAfter w:w="23" w:type="dxa"/>
          <w:trHeight w:val="308"/>
        </w:trPr>
        <w:tc>
          <w:tcPr>
            <w:tcW w:w="864" w:type="dxa"/>
            <w:shd w:val="clear" w:color="auto" w:fill="FFFFFF" w:themeFill="background1"/>
            <w:noWrap/>
            <w:tcMar>
              <w:top w:w="0" w:type="dxa"/>
              <w:left w:w="108" w:type="dxa"/>
              <w:bottom w:w="0" w:type="dxa"/>
              <w:right w:w="108" w:type="dxa"/>
            </w:tcMar>
            <w:vAlign w:val="bottom"/>
          </w:tcPr>
          <w:p w14:paraId="4D61CE0C"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13</w:t>
            </w:r>
          </w:p>
        </w:tc>
        <w:tc>
          <w:tcPr>
            <w:tcW w:w="1737" w:type="dxa"/>
            <w:shd w:val="clear" w:color="auto" w:fill="FFFFFF" w:themeFill="background1"/>
            <w:tcMar>
              <w:top w:w="0" w:type="dxa"/>
              <w:left w:w="108" w:type="dxa"/>
              <w:bottom w:w="0" w:type="dxa"/>
              <w:right w:w="108" w:type="dxa"/>
            </w:tcMar>
            <w:vAlign w:val="bottom"/>
          </w:tcPr>
          <w:p w14:paraId="3C2A814B"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LES DEMOC</w:t>
            </w:r>
          </w:p>
        </w:tc>
        <w:tc>
          <w:tcPr>
            <w:tcW w:w="578" w:type="dxa"/>
            <w:shd w:val="clear" w:color="auto" w:fill="FFFFFF" w:themeFill="background1"/>
            <w:tcMar>
              <w:top w:w="0" w:type="dxa"/>
              <w:left w:w="108" w:type="dxa"/>
              <w:bottom w:w="0" w:type="dxa"/>
              <w:right w:w="108" w:type="dxa"/>
            </w:tcMar>
            <w:vAlign w:val="center"/>
          </w:tcPr>
          <w:p w14:paraId="45AEF96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12" w:type="dxa"/>
            <w:shd w:val="clear" w:color="auto" w:fill="FFFFFF" w:themeFill="background1"/>
            <w:tcMar>
              <w:top w:w="0" w:type="dxa"/>
              <w:left w:w="108" w:type="dxa"/>
              <w:bottom w:w="0" w:type="dxa"/>
              <w:right w:w="108" w:type="dxa"/>
            </w:tcMar>
            <w:vAlign w:val="center"/>
          </w:tcPr>
          <w:p w14:paraId="64A2D87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2,17%</w:t>
            </w:r>
          </w:p>
        </w:tc>
        <w:tc>
          <w:tcPr>
            <w:tcW w:w="725" w:type="dxa"/>
            <w:shd w:val="clear" w:color="auto" w:fill="FFFFFF" w:themeFill="background1"/>
            <w:tcMar>
              <w:top w:w="0" w:type="dxa"/>
              <w:left w:w="108" w:type="dxa"/>
              <w:bottom w:w="0" w:type="dxa"/>
              <w:right w:w="108" w:type="dxa"/>
            </w:tcMar>
            <w:vAlign w:val="center"/>
          </w:tcPr>
          <w:p w14:paraId="5657CE6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068" w:type="dxa"/>
            <w:shd w:val="clear" w:color="auto" w:fill="FFFFFF" w:themeFill="background1"/>
            <w:tcMar>
              <w:top w:w="0" w:type="dxa"/>
              <w:left w:w="108" w:type="dxa"/>
              <w:bottom w:w="0" w:type="dxa"/>
              <w:right w:w="108" w:type="dxa"/>
            </w:tcMar>
            <w:vAlign w:val="center"/>
          </w:tcPr>
          <w:p w14:paraId="01956E6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4,17%</w:t>
            </w:r>
          </w:p>
        </w:tc>
        <w:tc>
          <w:tcPr>
            <w:tcW w:w="1219" w:type="dxa"/>
            <w:shd w:val="clear" w:color="auto" w:fill="FFFFFF" w:themeFill="background1"/>
            <w:tcMar>
              <w:top w:w="0" w:type="dxa"/>
              <w:left w:w="108" w:type="dxa"/>
              <w:bottom w:w="0" w:type="dxa"/>
              <w:right w:w="108" w:type="dxa"/>
            </w:tcMar>
            <w:vAlign w:val="center"/>
          </w:tcPr>
          <w:p w14:paraId="5CBA29D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357" w:type="dxa"/>
            <w:shd w:val="clear" w:color="auto" w:fill="FFFFFF" w:themeFill="background1"/>
            <w:tcMar>
              <w:top w:w="0" w:type="dxa"/>
              <w:left w:w="108" w:type="dxa"/>
              <w:bottom w:w="0" w:type="dxa"/>
              <w:right w:w="108" w:type="dxa"/>
            </w:tcMar>
            <w:vAlign w:val="center"/>
          </w:tcPr>
          <w:p w14:paraId="6CE4A3B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5,26%</w:t>
            </w:r>
          </w:p>
        </w:tc>
        <w:tc>
          <w:tcPr>
            <w:tcW w:w="1045" w:type="dxa"/>
            <w:shd w:val="clear" w:color="auto" w:fill="FFFFFF" w:themeFill="background1"/>
            <w:tcMar>
              <w:top w:w="0" w:type="dxa"/>
              <w:left w:w="108" w:type="dxa"/>
              <w:bottom w:w="0" w:type="dxa"/>
              <w:right w:w="108" w:type="dxa"/>
            </w:tcMar>
            <w:vAlign w:val="center"/>
          </w:tcPr>
          <w:p w14:paraId="1A6A14D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464" w:type="dxa"/>
            <w:shd w:val="clear" w:color="auto" w:fill="FFFFFF" w:themeFill="background1"/>
            <w:tcMar>
              <w:top w:w="0" w:type="dxa"/>
              <w:left w:w="108" w:type="dxa"/>
              <w:bottom w:w="0" w:type="dxa"/>
              <w:right w:w="108" w:type="dxa"/>
            </w:tcMar>
            <w:vAlign w:val="center"/>
          </w:tcPr>
          <w:p w14:paraId="72ADBF0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8,33%</w:t>
            </w:r>
          </w:p>
        </w:tc>
        <w:tc>
          <w:tcPr>
            <w:tcW w:w="1069" w:type="dxa"/>
            <w:shd w:val="clear" w:color="auto" w:fill="FFFFFF" w:themeFill="background1"/>
            <w:tcMar>
              <w:top w:w="0" w:type="dxa"/>
              <w:left w:w="108" w:type="dxa"/>
              <w:bottom w:w="0" w:type="dxa"/>
              <w:right w:w="108" w:type="dxa"/>
            </w:tcMar>
            <w:vAlign w:val="center"/>
          </w:tcPr>
          <w:p w14:paraId="0E86BB0D" w14:textId="77777777" w:rsidR="00284822" w:rsidRDefault="00F77BF8">
            <w:pPr>
              <w:spacing w:line="240" w:lineRule="auto"/>
              <w:rPr>
                <w:rFonts w:ascii="Rockwell" w:hAnsi="Rockwell"/>
                <w:b/>
                <w:bCs/>
                <w:sz w:val="20"/>
                <w:szCs w:val="20"/>
              </w:rPr>
            </w:pPr>
            <w:r>
              <w:rPr>
                <w:rFonts w:ascii="Rockwell" w:hAnsi="Rockwell"/>
                <w:b/>
                <w:bCs/>
                <w:sz w:val="20"/>
                <w:szCs w:val="20"/>
              </w:rPr>
              <w:t>9</w:t>
            </w:r>
          </w:p>
        </w:tc>
        <w:tc>
          <w:tcPr>
            <w:tcW w:w="1045" w:type="dxa"/>
            <w:shd w:val="clear" w:color="auto" w:fill="FFFFFF" w:themeFill="background1"/>
            <w:tcMar>
              <w:top w:w="0" w:type="dxa"/>
              <w:left w:w="108" w:type="dxa"/>
              <w:bottom w:w="0" w:type="dxa"/>
              <w:right w:w="108" w:type="dxa"/>
            </w:tcMar>
            <w:vAlign w:val="center"/>
          </w:tcPr>
          <w:p w14:paraId="61C2A216" w14:textId="77777777" w:rsidR="00284822" w:rsidRDefault="00F77BF8">
            <w:pPr>
              <w:spacing w:line="240" w:lineRule="auto"/>
              <w:rPr>
                <w:rFonts w:ascii="Rockwell" w:hAnsi="Rockwell"/>
                <w:b/>
                <w:bCs/>
                <w:sz w:val="20"/>
                <w:szCs w:val="20"/>
              </w:rPr>
            </w:pPr>
            <w:r>
              <w:rPr>
                <w:rFonts w:ascii="Rockwell" w:hAnsi="Rockwell"/>
                <w:b/>
                <w:bCs/>
                <w:sz w:val="20"/>
                <w:szCs w:val="20"/>
              </w:rPr>
              <w:t>1,21%</w:t>
            </w:r>
          </w:p>
        </w:tc>
        <w:tc>
          <w:tcPr>
            <w:tcW w:w="901" w:type="dxa"/>
            <w:shd w:val="clear" w:color="auto" w:fill="FFFFFF" w:themeFill="background1"/>
            <w:tcMar>
              <w:top w:w="0" w:type="dxa"/>
              <w:left w:w="108" w:type="dxa"/>
              <w:bottom w:w="0" w:type="dxa"/>
              <w:right w:w="108" w:type="dxa"/>
            </w:tcMar>
            <w:vAlign w:val="center"/>
          </w:tcPr>
          <w:p w14:paraId="02D100F6" w14:textId="77777777" w:rsidR="00284822" w:rsidRDefault="00F77BF8">
            <w:pPr>
              <w:spacing w:line="240" w:lineRule="auto"/>
              <w:rPr>
                <w:rFonts w:ascii="Rockwell" w:hAnsi="Rockwell"/>
                <w:b/>
                <w:bCs/>
                <w:sz w:val="20"/>
                <w:szCs w:val="20"/>
              </w:rPr>
            </w:pPr>
            <w:r>
              <w:rPr>
                <w:rFonts w:ascii="Rockwell" w:hAnsi="Rockwell"/>
                <w:b/>
                <w:bCs/>
                <w:sz w:val="20"/>
                <w:szCs w:val="20"/>
              </w:rPr>
              <w:t>22</w:t>
            </w:r>
          </w:p>
        </w:tc>
        <w:tc>
          <w:tcPr>
            <w:tcW w:w="1193" w:type="dxa"/>
            <w:shd w:val="clear" w:color="auto" w:fill="FFFFFF" w:themeFill="background1"/>
            <w:tcMar>
              <w:top w:w="0" w:type="dxa"/>
              <w:left w:w="108" w:type="dxa"/>
              <w:bottom w:w="0" w:type="dxa"/>
              <w:right w:w="108" w:type="dxa"/>
            </w:tcMar>
            <w:vAlign w:val="center"/>
          </w:tcPr>
          <w:p w14:paraId="271E7E1D" w14:textId="77777777" w:rsidR="00284822" w:rsidRDefault="00F77BF8">
            <w:pPr>
              <w:spacing w:line="240" w:lineRule="auto"/>
              <w:rPr>
                <w:rFonts w:ascii="Rockwell" w:hAnsi="Rockwell"/>
                <w:b/>
                <w:bCs/>
                <w:sz w:val="20"/>
                <w:szCs w:val="20"/>
              </w:rPr>
            </w:pPr>
            <w:r>
              <w:rPr>
                <w:rFonts w:ascii="Rockwell" w:hAnsi="Rockwell"/>
                <w:b/>
                <w:bCs/>
                <w:sz w:val="20"/>
                <w:szCs w:val="20"/>
              </w:rPr>
              <w:t>1,84%</w:t>
            </w:r>
          </w:p>
        </w:tc>
      </w:tr>
      <w:tr w:rsidR="00284822" w14:paraId="1E3A5AFA" w14:textId="77777777">
        <w:trPr>
          <w:gridAfter w:val="1"/>
          <w:wAfter w:w="23" w:type="dxa"/>
          <w:trHeight w:val="308"/>
        </w:trPr>
        <w:tc>
          <w:tcPr>
            <w:tcW w:w="864" w:type="dxa"/>
            <w:shd w:val="clear" w:color="auto" w:fill="FFFFFF" w:themeFill="background1"/>
            <w:noWrap/>
            <w:tcMar>
              <w:top w:w="0" w:type="dxa"/>
              <w:left w:w="108" w:type="dxa"/>
              <w:bottom w:w="0" w:type="dxa"/>
              <w:right w:w="108" w:type="dxa"/>
            </w:tcMar>
            <w:vAlign w:val="bottom"/>
          </w:tcPr>
          <w:p w14:paraId="36286CCE"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14</w:t>
            </w:r>
          </w:p>
        </w:tc>
        <w:tc>
          <w:tcPr>
            <w:tcW w:w="1737" w:type="dxa"/>
            <w:shd w:val="clear" w:color="auto" w:fill="FFFFFF" w:themeFill="background1"/>
            <w:tcMar>
              <w:top w:w="0" w:type="dxa"/>
              <w:left w:w="108" w:type="dxa"/>
              <w:bottom w:w="0" w:type="dxa"/>
              <w:right w:w="108" w:type="dxa"/>
            </w:tcMar>
            <w:vAlign w:val="bottom"/>
          </w:tcPr>
          <w:p w14:paraId="47E2F56D"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LMP</w:t>
            </w:r>
          </w:p>
        </w:tc>
        <w:tc>
          <w:tcPr>
            <w:tcW w:w="578" w:type="dxa"/>
            <w:shd w:val="clear" w:color="auto" w:fill="FFFFFF" w:themeFill="background1"/>
            <w:tcMar>
              <w:top w:w="0" w:type="dxa"/>
              <w:left w:w="108" w:type="dxa"/>
              <w:bottom w:w="0" w:type="dxa"/>
              <w:right w:w="108" w:type="dxa"/>
            </w:tcMar>
            <w:vAlign w:val="center"/>
          </w:tcPr>
          <w:p w14:paraId="68EE213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12" w:type="dxa"/>
            <w:shd w:val="clear" w:color="auto" w:fill="FFFFFF" w:themeFill="background1"/>
            <w:tcMar>
              <w:top w:w="0" w:type="dxa"/>
              <w:left w:w="108" w:type="dxa"/>
              <w:bottom w:w="0" w:type="dxa"/>
              <w:right w:w="108" w:type="dxa"/>
            </w:tcMar>
            <w:vAlign w:val="center"/>
          </w:tcPr>
          <w:p w14:paraId="127D849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725" w:type="dxa"/>
            <w:shd w:val="clear" w:color="auto" w:fill="FFFFFF" w:themeFill="background1"/>
            <w:tcMar>
              <w:top w:w="0" w:type="dxa"/>
              <w:left w:w="108" w:type="dxa"/>
              <w:bottom w:w="0" w:type="dxa"/>
              <w:right w:w="108" w:type="dxa"/>
            </w:tcMar>
            <w:vAlign w:val="center"/>
          </w:tcPr>
          <w:p w14:paraId="74554D0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68" w:type="dxa"/>
            <w:shd w:val="clear" w:color="auto" w:fill="FFFFFF" w:themeFill="background1"/>
            <w:tcMar>
              <w:top w:w="0" w:type="dxa"/>
              <w:left w:w="108" w:type="dxa"/>
              <w:bottom w:w="0" w:type="dxa"/>
              <w:right w:w="108" w:type="dxa"/>
            </w:tcMar>
            <w:vAlign w:val="center"/>
          </w:tcPr>
          <w:p w14:paraId="077814A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219" w:type="dxa"/>
            <w:shd w:val="clear" w:color="auto" w:fill="FFFFFF" w:themeFill="background1"/>
            <w:tcMar>
              <w:top w:w="0" w:type="dxa"/>
              <w:left w:w="108" w:type="dxa"/>
              <w:bottom w:w="0" w:type="dxa"/>
              <w:right w:w="108" w:type="dxa"/>
            </w:tcMar>
            <w:vAlign w:val="center"/>
          </w:tcPr>
          <w:p w14:paraId="24BC224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357" w:type="dxa"/>
            <w:shd w:val="clear" w:color="auto" w:fill="FFFFFF" w:themeFill="background1"/>
            <w:tcMar>
              <w:top w:w="0" w:type="dxa"/>
              <w:left w:w="108" w:type="dxa"/>
              <w:bottom w:w="0" w:type="dxa"/>
              <w:right w:w="108" w:type="dxa"/>
            </w:tcMar>
            <w:vAlign w:val="center"/>
          </w:tcPr>
          <w:p w14:paraId="607CDE8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45" w:type="dxa"/>
            <w:shd w:val="clear" w:color="auto" w:fill="FFFFFF" w:themeFill="background1"/>
            <w:tcMar>
              <w:top w:w="0" w:type="dxa"/>
              <w:left w:w="108" w:type="dxa"/>
              <w:bottom w:w="0" w:type="dxa"/>
              <w:right w:w="108" w:type="dxa"/>
            </w:tcMar>
            <w:vAlign w:val="center"/>
          </w:tcPr>
          <w:p w14:paraId="3172CDB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464" w:type="dxa"/>
            <w:shd w:val="clear" w:color="auto" w:fill="FFFFFF" w:themeFill="background1"/>
            <w:tcMar>
              <w:top w:w="0" w:type="dxa"/>
              <w:left w:w="108" w:type="dxa"/>
              <w:bottom w:w="0" w:type="dxa"/>
              <w:right w:w="108" w:type="dxa"/>
            </w:tcMar>
            <w:vAlign w:val="center"/>
          </w:tcPr>
          <w:p w14:paraId="1C4AE76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69" w:type="dxa"/>
            <w:shd w:val="clear" w:color="auto" w:fill="FFFFFF" w:themeFill="background1"/>
            <w:tcMar>
              <w:top w:w="0" w:type="dxa"/>
              <w:left w:w="108" w:type="dxa"/>
              <w:bottom w:w="0" w:type="dxa"/>
              <w:right w:w="108" w:type="dxa"/>
            </w:tcMar>
            <w:vAlign w:val="center"/>
          </w:tcPr>
          <w:p w14:paraId="009C5947" w14:textId="77777777" w:rsidR="00284822" w:rsidRDefault="00F77BF8">
            <w:pPr>
              <w:spacing w:line="240" w:lineRule="auto"/>
              <w:rPr>
                <w:rFonts w:ascii="Rockwell" w:hAnsi="Rockwell"/>
                <w:b/>
                <w:bCs/>
                <w:sz w:val="20"/>
                <w:szCs w:val="20"/>
              </w:rPr>
            </w:pPr>
            <w:r>
              <w:rPr>
                <w:rFonts w:ascii="Rockwell" w:hAnsi="Rockwell"/>
                <w:b/>
                <w:bCs/>
                <w:sz w:val="20"/>
                <w:szCs w:val="20"/>
              </w:rPr>
              <w:t>1</w:t>
            </w:r>
          </w:p>
        </w:tc>
        <w:tc>
          <w:tcPr>
            <w:tcW w:w="1045" w:type="dxa"/>
            <w:shd w:val="clear" w:color="auto" w:fill="FFFFFF" w:themeFill="background1"/>
            <w:tcMar>
              <w:top w:w="0" w:type="dxa"/>
              <w:left w:w="108" w:type="dxa"/>
              <w:bottom w:w="0" w:type="dxa"/>
              <w:right w:w="108" w:type="dxa"/>
            </w:tcMar>
            <w:vAlign w:val="center"/>
          </w:tcPr>
          <w:p w14:paraId="091999C4" w14:textId="77777777" w:rsidR="00284822" w:rsidRDefault="00F77BF8">
            <w:pPr>
              <w:spacing w:line="240" w:lineRule="auto"/>
              <w:rPr>
                <w:rFonts w:ascii="Rockwell" w:hAnsi="Rockwell"/>
                <w:b/>
                <w:bCs/>
                <w:sz w:val="20"/>
                <w:szCs w:val="20"/>
              </w:rPr>
            </w:pPr>
            <w:r>
              <w:rPr>
                <w:rFonts w:ascii="Rockwell" w:hAnsi="Rockwell"/>
                <w:b/>
                <w:bCs/>
                <w:sz w:val="20"/>
                <w:szCs w:val="20"/>
              </w:rPr>
              <w:t>0,13%</w:t>
            </w:r>
          </w:p>
        </w:tc>
        <w:tc>
          <w:tcPr>
            <w:tcW w:w="901" w:type="dxa"/>
            <w:shd w:val="clear" w:color="auto" w:fill="FFFFFF" w:themeFill="background1"/>
            <w:tcMar>
              <w:top w:w="0" w:type="dxa"/>
              <w:left w:w="108" w:type="dxa"/>
              <w:bottom w:w="0" w:type="dxa"/>
              <w:right w:w="108" w:type="dxa"/>
            </w:tcMar>
            <w:vAlign w:val="center"/>
          </w:tcPr>
          <w:p w14:paraId="362CA4AF" w14:textId="77777777" w:rsidR="00284822" w:rsidRDefault="00F77BF8">
            <w:pPr>
              <w:spacing w:line="240" w:lineRule="auto"/>
              <w:rPr>
                <w:rFonts w:ascii="Rockwell" w:hAnsi="Rockwell"/>
                <w:b/>
                <w:bCs/>
                <w:sz w:val="20"/>
                <w:szCs w:val="20"/>
              </w:rPr>
            </w:pPr>
            <w:r>
              <w:rPr>
                <w:rFonts w:ascii="Rockwell" w:hAnsi="Rockwell"/>
                <w:b/>
                <w:bCs/>
                <w:sz w:val="20"/>
                <w:szCs w:val="20"/>
              </w:rPr>
              <w:t>1</w:t>
            </w:r>
          </w:p>
        </w:tc>
        <w:tc>
          <w:tcPr>
            <w:tcW w:w="1193" w:type="dxa"/>
            <w:shd w:val="clear" w:color="auto" w:fill="FFFFFF" w:themeFill="background1"/>
            <w:tcMar>
              <w:top w:w="0" w:type="dxa"/>
              <w:left w:w="108" w:type="dxa"/>
              <w:bottom w:w="0" w:type="dxa"/>
              <w:right w:w="108" w:type="dxa"/>
            </w:tcMar>
            <w:vAlign w:val="center"/>
          </w:tcPr>
          <w:p w14:paraId="69B6A08E" w14:textId="77777777" w:rsidR="00284822" w:rsidRDefault="00F77BF8">
            <w:pPr>
              <w:spacing w:line="240" w:lineRule="auto"/>
              <w:rPr>
                <w:rFonts w:ascii="Rockwell" w:hAnsi="Rockwell"/>
                <w:b/>
                <w:bCs/>
                <w:sz w:val="20"/>
                <w:szCs w:val="20"/>
              </w:rPr>
            </w:pPr>
            <w:r>
              <w:rPr>
                <w:rFonts w:ascii="Rockwell" w:hAnsi="Rockwell"/>
                <w:b/>
                <w:bCs/>
                <w:sz w:val="20"/>
                <w:szCs w:val="20"/>
              </w:rPr>
              <w:t>0,08%</w:t>
            </w:r>
          </w:p>
        </w:tc>
      </w:tr>
      <w:tr w:rsidR="00284822" w14:paraId="2A2A6CC1" w14:textId="77777777">
        <w:trPr>
          <w:gridAfter w:val="1"/>
          <w:wAfter w:w="23" w:type="dxa"/>
          <w:trHeight w:val="308"/>
        </w:trPr>
        <w:tc>
          <w:tcPr>
            <w:tcW w:w="864" w:type="dxa"/>
            <w:shd w:val="clear" w:color="auto" w:fill="FFFFFF" w:themeFill="background1"/>
            <w:noWrap/>
            <w:tcMar>
              <w:top w:w="0" w:type="dxa"/>
              <w:left w:w="108" w:type="dxa"/>
              <w:bottom w:w="0" w:type="dxa"/>
              <w:right w:w="108" w:type="dxa"/>
            </w:tcMar>
            <w:vAlign w:val="bottom"/>
          </w:tcPr>
          <w:p w14:paraId="3FC0F82B"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15</w:t>
            </w:r>
          </w:p>
        </w:tc>
        <w:tc>
          <w:tcPr>
            <w:tcW w:w="1737" w:type="dxa"/>
            <w:shd w:val="clear" w:color="auto" w:fill="FFFFFF" w:themeFill="background1"/>
            <w:tcMar>
              <w:top w:w="0" w:type="dxa"/>
              <w:left w:w="108" w:type="dxa"/>
              <w:bottom w:w="0" w:type="dxa"/>
              <w:right w:w="108" w:type="dxa"/>
            </w:tcMar>
            <w:vAlign w:val="bottom"/>
          </w:tcPr>
          <w:p w14:paraId="68FD712B"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MAE</w:t>
            </w:r>
          </w:p>
        </w:tc>
        <w:tc>
          <w:tcPr>
            <w:tcW w:w="578" w:type="dxa"/>
            <w:shd w:val="clear" w:color="auto" w:fill="FFFFFF" w:themeFill="background1"/>
            <w:tcMar>
              <w:top w:w="0" w:type="dxa"/>
              <w:left w:w="108" w:type="dxa"/>
              <w:bottom w:w="0" w:type="dxa"/>
              <w:right w:w="108" w:type="dxa"/>
            </w:tcMar>
            <w:vAlign w:val="center"/>
          </w:tcPr>
          <w:p w14:paraId="5DEB7FD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12" w:type="dxa"/>
            <w:shd w:val="clear" w:color="auto" w:fill="FFFFFF" w:themeFill="background1"/>
            <w:tcMar>
              <w:top w:w="0" w:type="dxa"/>
              <w:left w:w="108" w:type="dxa"/>
              <w:bottom w:w="0" w:type="dxa"/>
              <w:right w:w="108" w:type="dxa"/>
            </w:tcMar>
            <w:vAlign w:val="center"/>
          </w:tcPr>
          <w:p w14:paraId="2E95748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725" w:type="dxa"/>
            <w:shd w:val="clear" w:color="auto" w:fill="FFFFFF" w:themeFill="background1"/>
            <w:tcMar>
              <w:top w:w="0" w:type="dxa"/>
              <w:left w:w="108" w:type="dxa"/>
              <w:bottom w:w="0" w:type="dxa"/>
              <w:right w:w="108" w:type="dxa"/>
            </w:tcMar>
            <w:vAlign w:val="center"/>
          </w:tcPr>
          <w:p w14:paraId="36A3B20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68" w:type="dxa"/>
            <w:shd w:val="clear" w:color="auto" w:fill="FFFFFF" w:themeFill="background1"/>
            <w:tcMar>
              <w:top w:w="0" w:type="dxa"/>
              <w:left w:w="108" w:type="dxa"/>
              <w:bottom w:w="0" w:type="dxa"/>
              <w:right w:w="108" w:type="dxa"/>
            </w:tcMar>
            <w:vAlign w:val="center"/>
          </w:tcPr>
          <w:p w14:paraId="40F0F08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219" w:type="dxa"/>
            <w:shd w:val="clear" w:color="auto" w:fill="FFFFFF" w:themeFill="background1"/>
            <w:tcMar>
              <w:top w:w="0" w:type="dxa"/>
              <w:left w:w="108" w:type="dxa"/>
              <w:bottom w:w="0" w:type="dxa"/>
              <w:right w:w="108" w:type="dxa"/>
            </w:tcMar>
            <w:vAlign w:val="center"/>
          </w:tcPr>
          <w:p w14:paraId="7649851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357" w:type="dxa"/>
            <w:shd w:val="clear" w:color="auto" w:fill="FFFFFF" w:themeFill="background1"/>
            <w:tcMar>
              <w:top w:w="0" w:type="dxa"/>
              <w:left w:w="108" w:type="dxa"/>
              <w:bottom w:w="0" w:type="dxa"/>
              <w:right w:w="108" w:type="dxa"/>
            </w:tcMar>
            <w:vAlign w:val="center"/>
          </w:tcPr>
          <w:p w14:paraId="7D84FB0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45" w:type="dxa"/>
            <w:shd w:val="clear" w:color="auto" w:fill="FFFFFF" w:themeFill="background1"/>
            <w:tcMar>
              <w:top w:w="0" w:type="dxa"/>
              <w:left w:w="108" w:type="dxa"/>
              <w:bottom w:w="0" w:type="dxa"/>
              <w:right w:w="108" w:type="dxa"/>
            </w:tcMar>
            <w:vAlign w:val="center"/>
          </w:tcPr>
          <w:p w14:paraId="719F5D0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464" w:type="dxa"/>
            <w:shd w:val="clear" w:color="auto" w:fill="FFFFFF" w:themeFill="background1"/>
            <w:tcMar>
              <w:top w:w="0" w:type="dxa"/>
              <w:left w:w="108" w:type="dxa"/>
              <w:bottom w:w="0" w:type="dxa"/>
              <w:right w:w="108" w:type="dxa"/>
            </w:tcMar>
            <w:vAlign w:val="center"/>
          </w:tcPr>
          <w:p w14:paraId="09C026B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69" w:type="dxa"/>
            <w:shd w:val="clear" w:color="auto" w:fill="FFFFFF" w:themeFill="background1"/>
            <w:tcMar>
              <w:top w:w="0" w:type="dxa"/>
              <w:left w:w="108" w:type="dxa"/>
              <w:bottom w:w="0" w:type="dxa"/>
              <w:right w:w="108" w:type="dxa"/>
            </w:tcMar>
            <w:vAlign w:val="center"/>
          </w:tcPr>
          <w:p w14:paraId="2B9A003E" w14:textId="77777777" w:rsidR="00284822" w:rsidRDefault="00F77BF8">
            <w:pPr>
              <w:spacing w:line="240" w:lineRule="auto"/>
              <w:rPr>
                <w:rFonts w:ascii="Rockwell" w:hAnsi="Rockwell"/>
                <w:b/>
                <w:bCs/>
                <w:sz w:val="20"/>
                <w:szCs w:val="20"/>
              </w:rPr>
            </w:pPr>
            <w:r>
              <w:rPr>
                <w:rFonts w:ascii="Rockwell" w:hAnsi="Rockwell"/>
                <w:b/>
                <w:bCs/>
                <w:sz w:val="20"/>
                <w:szCs w:val="20"/>
              </w:rPr>
              <w:t>5</w:t>
            </w:r>
          </w:p>
        </w:tc>
        <w:tc>
          <w:tcPr>
            <w:tcW w:w="1045" w:type="dxa"/>
            <w:shd w:val="clear" w:color="auto" w:fill="FFFFFF" w:themeFill="background1"/>
            <w:tcMar>
              <w:top w:w="0" w:type="dxa"/>
              <w:left w:w="108" w:type="dxa"/>
              <w:bottom w:w="0" w:type="dxa"/>
              <w:right w:w="108" w:type="dxa"/>
            </w:tcMar>
            <w:vAlign w:val="center"/>
          </w:tcPr>
          <w:p w14:paraId="4E08021F" w14:textId="77777777" w:rsidR="00284822" w:rsidRDefault="00F77BF8">
            <w:pPr>
              <w:spacing w:line="240" w:lineRule="auto"/>
              <w:rPr>
                <w:rFonts w:ascii="Rockwell" w:hAnsi="Rockwell"/>
                <w:b/>
                <w:bCs/>
                <w:sz w:val="20"/>
                <w:szCs w:val="20"/>
              </w:rPr>
            </w:pPr>
            <w:r>
              <w:rPr>
                <w:rFonts w:ascii="Rockwell" w:hAnsi="Rockwell"/>
                <w:b/>
                <w:bCs/>
                <w:sz w:val="20"/>
                <w:szCs w:val="20"/>
              </w:rPr>
              <w:t>0,67%</w:t>
            </w:r>
          </w:p>
        </w:tc>
        <w:tc>
          <w:tcPr>
            <w:tcW w:w="901" w:type="dxa"/>
            <w:shd w:val="clear" w:color="auto" w:fill="FFFFFF" w:themeFill="background1"/>
            <w:tcMar>
              <w:top w:w="0" w:type="dxa"/>
              <w:left w:w="108" w:type="dxa"/>
              <w:bottom w:w="0" w:type="dxa"/>
              <w:right w:w="108" w:type="dxa"/>
            </w:tcMar>
            <w:vAlign w:val="center"/>
          </w:tcPr>
          <w:p w14:paraId="24463090" w14:textId="77777777" w:rsidR="00284822" w:rsidRDefault="00F77BF8">
            <w:pPr>
              <w:spacing w:line="240" w:lineRule="auto"/>
              <w:rPr>
                <w:rFonts w:ascii="Rockwell" w:hAnsi="Rockwell"/>
                <w:b/>
                <w:bCs/>
                <w:sz w:val="20"/>
                <w:szCs w:val="20"/>
              </w:rPr>
            </w:pPr>
            <w:r>
              <w:rPr>
                <w:rFonts w:ascii="Rockwell" w:hAnsi="Rockwell"/>
                <w:b/>
                <w:bCs/>
                <w:sz w:val="20"/>
                <w:szCs w:val="20"/>
              </w:rPr>
              <w:t>8</w:t>
            </w:r>
          </w:p>
        </w:tc>
        <w:tc>
          <w:tcPr>
            <w:tcW w:w="1193" w:type="dxa"/>
            <w:shd w:val="clear" w:color="auto" w:fill="FFFFFF" w:themeFill="background1"/>
            <w:tcMar>
              <w:top w:w="0" w:type="dxa"/>
              <w:left w:w="108" w:type="dxa"/>
              <w:bottom w:w="0" w:type="dxa"/>
              <w:right w:w="108" w:type="dxa"/>
            </w:tcMar>
            <w:vAlign w:val="center"/>
          </w:tcPr>
          <w:p w14:paraId="33C1BADD" w14:textId="77777777" w:rsidR="00284822" w:rsidRDefault="00F77BF8">
            <w:pPr>
              <w:spacing w:line="240" w:lineRule="auto"/>
              <w:rPr>
                <w:rFonts w:ascii="Rockwell" w:hAnsi="Rockwell"/>
                <w:b/>
                <w:bCs/>
                <w:sz w:val="20"/>
                <w:szCs w:val="20"/>
              </w:rPr>
            </w:pPr>
            <w:r>
              <w:rPr>
                <w:rFonts w:ascii="Rockwell" w:hAnsi="Rockwell"/>
                <w:b/>
                <w:bCs/>
                <w:sz w:val="20"/>
                <w:szCs w:val="20"/>
              </w:rPr>
              <w:t>0,67%</w:t>
            </w:r>
          </w:p>
        </w:tc>
      </w:tr>
      <w:tr w:rsidR="00284822" w14:paraId="5BB8E5EB" w14:textId="77777777">
        <w:trPr>
          <w:gridAfter w:val="1"/>
          <w:wAfter w:w="23" w:type="dxa"/>
          <w:trHeight w:val="308"/>
        </w:trPr>
        <w:tc>
          <w:tcPr>
            <w:tcW w:w="864" w:type="dxa"/>
            <w:shd w:val="clear" w:color="auto" w:fill="FFFFFF" w:themeFill="background1"/>
            <w:noWrap/>
            <w:tcMar>
              <w:top w:w="0" w:type="dxa"/>
              <w:left w:w="108" w:type="dxa"/>
              <w:bottom w:w="0" w:type="dxa"/>
              <w:right w:w="108" w:type="dxa"/>
            </w:tcMar>
            <w:vAlign w:val="bottom"/>
          </w:tcPr>
          <w:p w14:paraId="389AF1FE"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16</w:t>
            </w:r>
          </w:p>
        </w:tc>
        <w:tc>
          <w:tcPr>
            <w:tcW w:w="1737" w:type="dxa"/>
            <w:shd w:val="clear" w:color="auto" w:fill="FFFFFF" w:themeFill="background1"/>
            <w:tcMar>
              <w:top w:w="0" w:type="dxa"/>
              <w:left w:w="108" w:type="dxa"/>
              <w:bottom w:w="0" w:type="dxa"/>
              <w:right w:w="108" w:type="dxa"/>
            </w:tcMar>
            <w:vAlign w:val="bottom"/>
          </w:tcPr>
          <w:p w14:paraId="2B427ADC"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MBF</w:t>
            </w:r>
          </w:p>
        </w:tc>
        <w:tc>
          <w:tcPr>
            <w:tcW w:w="578" w:type="dxa"/>
            <w:shd w:val="clear" w:color="auto" w:fill="FFFFFF" w:themeFill="background1"/>
            <w:tcMar>
              <w:top w:w="0" w:type="dxa"/>
              <w:left w:w="108" w:type="dxa"/>
              <w:bottom w:w="0" w:type="dxa"/>
              <w:right w:w="108" w:type="dxa"/>
            </w:tcMar>
            <w:vAlign w:val="center"/>
          </w:tcPr>
          <w:p w14:paraId="30701EB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12" w:type="dxa"/>
            <w:shd w:val="clear" w:color="auto" w:fill="FFFFFF" w:themeFill="background1"/>
            <w:tcMar>
              <w:top w:w="0" w:type="dxa"/>
              <w:left w:w="108" w:type="dxa"/>
              <w:bottom w:w="0" w:type="dxa"/>
              <w:right w:w="108" w:type="dxa"/>
            </w:tcMar>
            <w:vAlign w:val="center"/>
          </w:tcPr>
          <w:p w14:paraId="58582A2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725" w:type="dxa"/>
            <w:shd w:val="clear" w:color="auto" w:fill="FFFFFF" w:themeFill="background1"/>
            <w:tcMar>
              <w:top w:w="0" w:type="dxa"/>
              <w:left w:w="108" w:type="dxa"/>
              <w:bottom w:w="0" w:type="dxa"/>
              <w:right w:w="108" w:type="dxa"/>
            </w:tcMar>
            <w:vAlign w:val="center"/>
          </w:tcPr>
          <w:p w14:paraId="4956E14E" w14:textId="77777777" w:rsidR="00284822" w:rsidRDefault="00284822">
            <w:pPr>
              <w:spacing w:line="240" w:lineRule="auto"/>
              <w:rPr>
                <w:rFonts w:ascii="Rockwell" w:hAnsi="Rockwell"/>
                <w:color w:val="000000"/>
                <w:sz w:val="20"/>
                <w:szCs w:val="20"/>
              </w:rPr>
            </w:pPr>
          </w:p>
        </w:tc>
        <w:tc>
          <w:tcPr>
            <w:tcW w:w="1068" w:type="dxa"/>
            <w:shd w:val="clear" w:color="auto" w:fill="FFFFFF" w:themeFill="background1"/>
            <w:tcMar>
              <w:top w:w="0" w:type="dxa"/>
              <w:left w:w="108" w:type="dxa"/>
              <w:bottom w:w="0" w:type="dxa"/>
              <w:right w:w="108" w:type="dxa"/>
            </w:tcMar>
            <w:vAlign w:val="center"/>
          </w:tcPr>
          <w:p w14:paraId="250E48D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219" w:type="dxa"/>
            <w:shd w:val="clear" w:color="auto" w:fill="FFFFFF" w:themeFill="background1"/>
            <w:tcMar>
              <w:top w:w="0" w:type="dxa"/>
              <w:left w:w="108" w:type="dxa"/>
              <w:bottom w:w="0" w:type="dxa"/>
              <w:right w:w="108" w:type="dxa"/>
            </w:tcMar>
            <w:vAlign w:val="center"/>
          </w:tcPr>
          <w:p w14:paraId="300C982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357" w:type="dxa"/>
            <w:shd w:val="clear" w:color="auto" w:fill="FFFFFF" w:themeFill="background1"/>
            <w:tcMar>
              <w:top w:w="0" w:type="dxa"/>
              <w:left w:w="108" w:type="dxa"/>
              <w:bottom w:w="0" w:type="dxa"/>
              <w:right w:w="108" w:type="dxa"/>
            </w:tcMar>
            <w:vAlign w:val="center"/>
          </w:tcPr>
          <w:p w14:paraId="6E36C1C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45" w:type="dxa"/>
            <w:shd w:val="clear" w:color="auto" w:fill="FFFFFF" w:themeFill="background1"/>
            <w:tcMar>
              <w:top w:w="0" w:type="dxa"/>
              <w:left w:w="108" w:type="dxa"/>
              <w:bottom w:w="0" w:type="dxa"/>
              <w:right w:w="108" w:type="dxa"/>
            </w:tcMar>
            <w:vAlign w:val="center"/>
          </w:tcPr>
          <w:p w14:paraId="45B5ABF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464" w:type="dxa"/>
            <w:shd w:val="clear" w:color="auto" w:fill="FFFFFF" w:themeFill="background1"/>
            <w:tcMar>
              <w:top w:w="0" w:type="dxa"/>
              <w:left w:w="108" w:type="dxa"/>
              <w:bottom w:w="0" w:type="dxa"/>
              <w:right w:w="108" w:type="dxa"/>
            </w:tcMar>
            <w:vAlign w:val="center"/>
          </w:tcPr>
          <w:p w14:paraId="659207B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69" w:type="dxa"/>
            <w:shd w:val="clear" w:color="auto" w:fill="FFFFFF" w:themeFill="background1"/>
            <w:tcMar>
              <w:top w:w="0" w:type="dxa"/>
              <w:left w:w="108" w:type="dxa"/>
              <w:bottom w:w="0" w:type="dxa"/>
              <w:right w:w="108" w:type="dxa"/>
            </w:tcMar>
            <w:vAlign w:val="center"/>
          </w:tcPr>
          <w:p w14:paraId="2E3E6559" w14:textId="77777777" w:rsidR="00284822" w:rsidRDefault="00F77BF8">
            <w:pPr>
              <w:spacing w:line="240" w:lineRule="auto"/>
              <w:rPr>
                <w:rFonts w:ascii="Rockwell" w:hAnsi="Rockwell"/>
                <w:b/>
                <w:bCs/>
                <w:sz w:val="20"/>
                <w:szCs w:val="20"/>
              </w:rPr>
            </w:pPr>
            <w:r>
              <w:rPr>
                <w:rFonts w:ascii="Rockwell" w:hAnsi="Rockwell"/>
                <w:b/>
                <w:bCs/>
                <w:sz w:val="20"/>
                <w:szCs w:val="20"/>
              </w:rPr>
              <w:t>3</w:t>
            </w:r>
          </w:p>
        </w:tc>
        <w:tc>
          <w:tcPr>
            <w:tcW w:w="1045" w:type="dxa"/>
            <w:shd w:val="clear" w:color="auto" w:fill="FFFFFF" w:themeFill="background1"/>
            <w:tcMar>
              <w:top w:w="0" w:type="dxa"/>
              <w:left w:w="108" w:type="dxa"/>
              <w:bottom w:w="0" w:type="dxa"/>
              <w:right w:w="108" w:type="dxa"/>
            </w:tcMar>
            <w:vAlign w:val="center"/>
          </w:tcPr>
          <w:p w14:paraId="2AC2E2D2" w14:textId="77777777" w:rsidR="00284822" w:rsidRDefault="00F77BF8">
            <w:pPr>
              <w:spacing w:line="240" w:lineRule="auto"/>
              <w:rPr>
                <w:rFonts w:ascii="Rockwell" w:hAnsi="Rockwell"/>
                <w:b/>
                <w:bCs/>
                <w:sz w:val="20"/>
                <w:szCs w:val="20"/>
              </w:rPr>
            </w:pPr>
            <w:r>
              <w:rPr>
                <w:rFonts w:ascii="Rockwell" w:hAnsi="Rockwell"/>
                <w:b/>
                <w:bCs/>
                <w:sz w:val="20"/>
                <w:szCs w:val="20"/>
              </w:rPr>
              <w:t>0,40%</w:t>
            </w:r>
          </w:p>
        </w:tc>
        <w:tc>
          <w:tcPr>
            <w:tcW w:w="901" w:type="dxa"/>
            <w:shd w:val="clear" w:color="auto" w:fill="FFFFFF" w:themeFill="background1"/>
            <w:tcMar>
              <w:top w:w="0" w:type="dxa"/>
              <w:left w:w="108" w:type="dxa"/>
              <w:bottom w:w="0" w:type="dxa"/>
              <w:right w:w="108" w:type="dxa"/>
            </w:tcMar>
            <w:vAlign w:val="center"/>
          </w:tcPr>
          <w:p w14:paraId="118463D0" w14:textId="77777777" w:rsidR="00284822" w:rsidRDefault="00F77BF8">
            <w:pPr>
              <w:spacing w:line="240" w:lineRule="auto"/>
              <w:rPr>
                <w:rFonts w:ascii="Rockwell" w:hAnsi="Rockwell"/>
                <w:b/>
                <w:bCs/>
                <w:sz w:val="20"/>
                <w:szCs w:val="20"/>
              </w:rPr>
            </w:pPr>
            <w:r>
              <w:rPr>
                <w:rFonts w:ascii="Rockwell" w:hAnsi="Rockwell"/>
                <w:b/>
                <w:bCs/>
                <w:sz w:val="20"/>
                <w:szCs w:val="20"/>
              </w:rPr>
              <w:t>4</w:t>
            </w:r>
          </w:p>
        </w:tc>
        <w:tc>
          <w:tcPr>
            <w:tcW w:w="1193" w:type="dxa"/>
            <w:shd w:val="clear" w:color="auto" w:fill="FFFFFF" w:themeFill="background1"/>
            <w:tcMar>
              <w:top w:w="0" w:type="dxa"/>
              <w:left w:w="108" w:type="dxa"/>
              <w:bottom w:w="0" w:type="dxa"/>
              <w:right w:w="108" w:type="dxa"/>
            </w:tcMar>
            <w:vAlign w:val="center"/>
          </w:tcPr>
          <w:p w14:paraId="1EF5EE05" w14:textId="77777777" w:rsidR="00284822" w:rsidRDefault="00F77BF8">
            <w:pPr>
              <w:spacing w:line="240" w:lineRule="auto"/>
              <w:rPr>
                <w:rFonts w:ascii="Rockwell" w:hAnsi="Rockwell"/>
                <w:b/>
                <w:bCs/>
                <w:sz w:val="20"/>
                <w:szCs w:val="20"/>
              </w:rPr>
            </w:pPr>
            <w:r>
              <w:rPr>
                <w:rFonts w:ascii="Rockwell" w:hAnsi="Rockwell"/>
                <w:b/>
                <w:bCs/>
                <w:sz w:val="20"/>
                <w:szCs w:val="20"/>
              </w:rPr>
              <w:t>0,33%</w:t>
            </w:r>
          </w:p>
        </w:tc>
      </w:tr>
      <w:tr w:rsidR="00284822" w14:paraId="700CD601" w14:textId="77777777">
        <w:trPr>
          <w:gridAfter w:val="1"/>
          <w:wAfter w:w="23" w:type="dxa"/>
          <w:trHeight w:val="308"/>
        </w:trPr>
        <w:tc>
          <w:tcPr>
            <w:tcW w:w="864" w:type="dxa"/>
            <w:shd w:val="clear" w:color="auto" w:fill="FFFFFF" w:themeFill="background1"/>
            <w:noWrap/>
            <w:tcMar>
              <w:top w:w="0" w:type="dxa"/>
              <w:left w:w="108" w:type="dxa"/>
              <w:bottom w:w="0" w:type="dxa"/>
              <w:right w:w="108" w:type="dxa"/>
            </w:tcMar>
            <w:vAlign w:val="bottom"/>
          </w:tcPr>
          <w:p w14:paraId="5F5959BC"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17</w:t>
            </w:r>
          </w:p>
        </w:tc>
        <w:tc>
          <w:tcPr>
            <w:tcW w:w="1737" w:type="dxa"/>
            <w:shd w:val="clear" w:color="auto" w:fill="FFFFFF" w:themeFill="background1"/>
            <w:tcMar>
              <w:top w:w="0" w:type="dxa"/>
              <w:left w:w="108" w:type="dxa"/>
              <w:bottom w:w="0" w:type="dxa"/>
              <w:right w:w="108" w:type="dxa"/>
            </w:tcMar>
            <w:vAlign w:val="bottom"/>
          </w:tcPr>
          <w:p w14:paraId="01D47AAF"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MBU</w:t>
            </w:r>
          </w:p>
        </w:tc>
        <w:tc>
          <w:tcPr>
            <w:tcW w:w="578" w:type="dxa"/>
            <w:shd w:val="clear" w:color="auto" w:fill="FFFFFF" w:themeFill="background1"/>
            <w:tcMar>
              <w:top w:w="0" w:type="dxa"/>
              <w:left w:w="108" w:type="dxa"/>
              <w:bottom w:w="0" w:type="dxa"/>
              <w:right w:w="108" w:type="dxa"/>
            </w:tcMar>
            <w:vAlign w:val="center"/>
          </w:tcPr>
          <w:p w14:paraId="4F7348F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12" w:type="dxa"/>
            <w:shd w:val="clear" w:color="auto" w:fill="FFFFFF" w:themeFill="background1"/>
            <w:tcMar>
              <w:top w:w="0" w:type="dxa"/>
              <w:left w:w="108" w:type="dxa"/>
              <w:bottom w:w="0" w:type="dxa"/>
              <w:right w:w="108" w:type="dxa"/>
            </w:tcMar>
            <w:vAlign w:val="center"/>
          </w:tcPr>
          <w:p w14:paraId="14C2165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725" w:type="dxa"/>
            <w:shd w:val="clear" w:color="auto" w:fill="FFFFFF" w:themeFill="background1"/>
            <w:tcMar>
              <w:top w:w="0" w:type="dxa"/>
              <w:left w:w="108" w:type="dxa"/>
              <w:bottom w:w="0" w:type="dxa"/>
              <w:right w:w="108" w:type="dxa"/>
            </w:tcMar>
            <w:vAlign w:val="center"/>
          </w:tcPr>
          <w:p w14:paraId="74DF57A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68" w:type="dxa"/>
            <w:shd w:val="clear" w:color="auto" w:fill="FFFFFF" w:themeFill="background1"/>
            <w:tcMar>
              <w:top w:w="0" w:type="dxa"/>
              <w:left w:w="108" w:type="dxa"/>
              <w:bottom w:w="0" w:type="dxa"/>
              <w:right w:w="108" w:type="dxa"/>
            </w:tcMar>
            <w:vAlign w:val="center"/>
          </w:tcPr>
          <w:p w14:paraId="373271E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219" w:type="dxa"/>
            <w:shd w:val="clear" w:color="auto" w:fill="FFFFFF" w:themeFill="background1"/>
            <w:tcMar>
              <w:top w:w="0" w:type="dxa"/>
              <w:left w:w="108" w:type="dxa"/>
              <w:bottom w:w="0" w:type="dxa"/>
              <w:right w:w="108" w:type="dxa"/>
            </w:tcMar>
            <w:vAlign w:val="center"/>
          </w:tcPr>
          <w:p w14:paraId="25490C8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357" w:type="dxa"/>
            <w:shd w:val="clear" w:color="auto" w:fill="FFFFFF" w:themeFill="background1"/>
            <w:tcMar>
              <w:top w:w="0" w:type="dxa"/>
              <w:left w:w="108" w:type="dxa"/>
              <w:bottom w:w="0" w:type="dxa"/>
              <w:right w:w="108" w:type="dxa"/>
            </w:tcMar>
            <w:vAlign w:val="center"/>
          </w:tcPr>
          <w:p w14:paraId="7E726DC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45" w:type="dxa"/>
            <w:shd w:val="clear" w:color="auto" w:fill="FFFFFF" w:themeFill="background1"/>
            <w:tcMar>
              <w:top w:w="0" w:type="dxa"/>
              <w:left w:w="108" w:type="dxa"/>
              <w:bottom w:w="0" w:type="dxa"/>
              <w:right w:w="108" w:type="dxa"/>
            </w:tcMar>
            <w:vAlign w:val="center"/>
          </w:tcPr>
          <w:p w14:paraId="06EB851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464" w:type="dxa"/>
            <w:shd w:val="clear" w:color="auto" w:fill="FFFFFF" w:themeFill="background1"/>
            <w:tcMar>
              <w:top w:w="0" w:type="dxa"/>
              <w:left w:w="108" w:type="dxa"/>
              <w:bottom w:w="0" w:type="dxa"/>
              <w:right w:w="108" w:type="dxa"/>
            </w:tcMar>
            <w:vAlign w:val="center"/>
          </w:tcPr>
          <w:p w14:paraId="145D12E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69" w:type="dxa"/>
            <w:shd w:val="clear" w:color="auto" w:fill="FFFFFF" w:themeFill="background1"/>
            <w:tcMar>
              <w:top w:w="0" w:type="dxa"/>
              <w:left w:w="108" w:type="dxa"/>
              <w:bottom w:w="0" w:type="dxa"/>
              <w:right w:w="108" w:type="dxa"/>
            </w:tcMar>
            <w:vAlign w:val="center"/>
          </w:tcPr>
          <w:p w14:paraId="51AA0792" w14:textId="77777777" w:rsidR="00284822" w:rsidRDefault="00F77BF8">
            <w:pPr>
              <w:spacing w:line="240" w:lineRule="auto"/>
              <w:rPr>
                <w:rFonts w:ascii="Rockwell" w:hAnsi="Rockwell"/>
                <w:b/>
                <w:bCs/>
                <w:sz w:val="20"/>
                <w:szCs w:val="20"/>
              </w:rPr>
            </w:pPr>
            <w:r>
              <w:rPr>
                <w:rFonts w:ascii="Rockwell" w:hAnsi="Rockwell"/>
                <w:b/>
                <w:bCs/>
                <w:sz w:val="20"/>
                <w:szCs w:val="20"/>
              </w:rPr>
              <w:t>1</w:t>
            </w:r>
          </w:p>
        </w:tc>
        <w:tc>
          <w:tcPr>
            <w:tcW w:w="1045" w:type="dxa"/>
            <w:shd w:val="clear" w:color="auto" w:fill="FFFFFF" w:themeFill="background1"/>
            <w:tcMar>
              <w:top w:w="0" w:type="dxa"/>
              <w:left w:w="108" w:type="dxa"/>
              <w:bottom w:w="0" w:type="dxa"/>
              <w:right w:w="108" w:type="dxa"/>
            </w:tcMar>
            <w:vAlign w:val="center"/>
          </w:tcPr>
          <w:p w14:paraId="02F150F9" w14:textId="77777777" w:rsidR="00284822" w:rsidRDefault="00F77BF8">
            <w:pPr>
              <w:spacing w:line="240" w:lineRule="auto"/>
              <w:rPr>
                <w:rFonts w:ascii="Rockwell" w:hAnsi="Rockwell"/>
                <w:b/>
                <w:bCs/>
                <w:sz w:val="20"/>
                <w:szCs w:val="20"/>
              </w:rPr>
            </w:pPr>
            <w:r>
              <w:rPr>
                <w:rFonts w:ascii="Rockwell" w:hAnsi="Rockwell"/>
                <w:b/>
                <w:bCs/>
                <w:sz w:val="20"/>
                <w:szCs w:val="20"/>
              </w:rPr>
              <w:t>0,13%</w:t>
            </w:r>
          </w:p>
        </w:tc>
        <w:tc>
          <w:tcPr>
            <w:tcW w:w="901" w:type="dxa"/>
            <w:shd w:val="clear" w:color="auto" w:fill="FFFFFF" w:themeFill="background1"/>
            <w:tcMar>
              <w:top w:w="0" w:type="dxa"/>
              <w:left w:w="108" w:type="dxa"/>
              <w:bottom w:w="0" w:type="dxa"/>
              <w:right w:w="108" w:type="dxa"/>
            </w:tcMar>
            <w:vAlign w:val="center"/>
          </w:tcPr>
          <w:p w14:paraId="7EBC0744" w14:textId="77777777" w:rsidR="00284822" w:rsidRDefault="00F77BF8">
            <w:pPr>
              <w:spacing w:line="240" w:lineRule="auto"/>
              <w:rPr>
                <w:rFonts w:ascii="Rockwell" w:hAnsi="Rockwell"/>
                <w:b/>
                <w:bCs/>
                <w:sz w:val="20"/>
                <w:szCs w:val="20"/>
              </w:rPr>
            </w:pPr>
            <w:r>
              <w:rPr>
                <w:rFonts w:ascii="Rockwell" w:hAnsi="Rockwell"/>
                <w:b/>
                <w:bCs/>
                <w:sz w:val="20"/>
                <w:szCs w:val="20"/>
              </w:rPr>
              <w:t>1</w:t>
            </w:r>
          </w:p>
        </w:tc>
        <w:tc>
          <w:tcPr>
            <w:tcW w:w="1193" w:type="dxa"/>
            <w:shd w:val="clear" w:color="auto" w:fill="FFFFFF" w:themeFill="background1"/>
            <w:tcMar>
              <w:top w:w="0" w:type="dxa"/>
              <w:left w:w="108" w:type="dxa"/>
              <w:bottom w:w="0" w:type="dxa"/>
              <w:right w:w="108" w:type="dxa"/>
            </w:tcMar>
            <w:vAlign w:val="center"/>
          </w:tcPr>
          <w:p w14:paraId="0E6FBF5C" w14:textId="77777777" w:rsidR="00284822" w:rsidRDefault="00F77BF8">
            <w:pPr>
              <w:spacing w:line="240" w:lineRule="auto"/>
              <w:rPr>
                <w:rFonts w:ascii="Rockwell" w:hAnsi="Rockwell"/>
                <w:b/>
                <w:bCs/>
                <w:sz w:val="20"/>
                <w:szCs w:val="20"/>
              </w:rPr>
            </w:pPr>
            <w:r>
              <w:rPr>
                <w:rFonts w:ascii="Rockwell" w:hAnsi="Rockwell"/>
                <w:b/>
                <w:bCs/>
                <w:sz w:val="20"/>
                <w:szCs w:val="20"/>
              </w:rPr>
              <w:t>0,08%</w:t>
            </w:r>
          </w:p>
        </w:tc>
      </w:tr>
      <w:tr w:rsidR="00284822" w14:paraId="5787B0CF" w14:textId="77777777">
        <w:trPr>
          <w:gridAfter w:val="1"/>
          <w:wAfter w:w="23" w:type="dxa"/>
          <w:trHeight w:val="308"/>
        </w:trPr>
        <w:tc>
          <w:tcPr>
            <w:tcW w:w="864" w:type="dxa"/>
            <w:shd w:val="clear" w:color="auto" w:fill="FFFFFF" w:themeFill="background1"/>
            <w:noWrap/>
            <w:tcMar>
              <w:top w:w="0" w:type="dxa"/>
              <w:left w:w="108" w:type="dxa"/>
              <w:bottom w:w="0" w:type="dxa"/>
              <w:right w:w="108" w:type="dxa"/>
            </w:tcMar>
            <w:vAlign w:val="bottom"/>
          </w:tcPr>
          <w:p w14:paraId="377ADD4C"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18</w:t>
            </w:r>
          </w:p>
        </w:tc>
        <w:tc>
          <w:tcPr>
            <w:tcW w:w="1737" w:type="dxa"/>
            <w:shd w:val="clear" w:color="auto" w:fill="FFFFFF" w:themeFill="background1"/>
            <w:tcMar>
              <w:top w:w="0" w:type="dxa"/>
              <w:left w:w="108" w:type="dxa"/>
              <w:bottom w:w="0" w:type="dxa"/>
              <w:right w:w="108" w:type="dxa"/>
            </w:tcMar>
            <w:vAlign w:val="bottom"/>
          </w:tcPr>
          <w:p w14:paraId="7F888D0A"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MCR</w:t>
            </w:r>
          </w:p>
        </w:tc>
        <w:tc>
          <w:tcPr>
            <w:tcW w:w="578" w:type="dxa"/>
            <w:shd w:val="clear" w:color="auto" w:fill="FFFFFF" w:themeFill="background1"/>
            <w:tcMar>
              <w:top w:w="0" w:type="dxa"/>
              <w:left w:w="108" w:type="dxa"/>
              <w:bottom w:w="0" w:type="dxa"/>
              <w:right w:w="108" w:type="dxa"/>
            </w:tcMar>
            <w:vAlign w:val="center"/>
          </w:tcPr>
          <w:p w14:paraId="3497B01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12" w:type="dxa"/>
            <w:shd w:val="clear" w:color="auto" w:fill="FFFFFF" w:themeFill="background1"/>
            <w:tcMar>
              <w:top w:w="0" w:type="dxa"/>
              <w:left w:w="108" w:type="dxa"/>
              <w:bottom w:w="0" w:type="dxa"/>
              <w:right w:w="108" w:type="dxa"/>
            </w:tcMar>
            <w:vAlign w:val="center"/>
          </w:tcPr>
          <w:p w14:paraId="3A4A6AB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725" w:type="dxa"/>
            <w:shd w:val="clear" w:color="auto" w:fill="FFFFFF" w:themeFill="background1"/>
            <w:tcMar>
              <w:top w:w="0" w:type="dxa"/>
              <w:left w:w="108" w:type="dxa"/>
              <w:bottom w:w="0" w:type="dxa"/>
              <w:right w:w="108" w:type="dxa"/>
            </w:tcMar>
            <w:vAlign w:val="center"/>
          </w:tcPr>
          <w:p w14:paraId="53EC056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68" w:type="dxa"/>
            <w:shd w:val="clear" w:color="auto" w:fill="FFFFFF" w:themeFill="background1"/>
            <w:tcMar>
              <w:top w:w="0" w:type="dxa"/>
              <w:left w:w="108" w:type="dxa"/>
              <w:bottom w:w="0" w:type="dxa"/>
              <w:right w:w="108" w:type="dxa"/>
            </w:tcMar>
            <w:vAlign w:val="center"/>
          </w:tcPr>
          <w:p w14:paraId="209933D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219" w:type="dxa"/>
            <w:shd w:val="clear" w:color="auto" w:fill="FFFFFF" w:themeFill="background1"/>
            <w:tcMar>
              <w:top w:w="0" w:type="dxa"/>
              <w:left w:w="108" w:type="dxa"/>
              <w:bottom w:w="0" w:type="dxa"/>
              <w:right w:w="108" w:type="dxa"/>
            </w:tcMar>
            <w:vAlign w:val="center"/>
          </w:tcPr>
          <w:p w14:paraId="306681A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357" w:type="dxa"/>
            <w:shd w:val="clear" w:color="auto" w:fill="FFFFFF" w:themeFill="background1"/>
            <w:tcMar>
              <w:top w:w="0" w:type="dxa"/>
              <w:left w:w="108" w:type="dxa"/>
              <w:bottom w:w="0" w:type="dxa"/>
              <w:right w:w="108" w:type="dxa"/>
            </w:tcMar>
            <w:vAlign w:val="center"/>
          </w:tcPr>
          <w:p w14:paraId="678855C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45" w:type="dxa"/>
            <w:shd w:val="clear" w:color="auto" w:fill="FFFFFF" w:themeFill="background1"/>
            <w:tcMar>
              <w:top w:w="0" w:type="dxa"/>
              <w:left w:w="108" w:type="dxa"/>
              <w:bottom w:w="0" w:type="dxa"/>
              <w:right w:w="108" w:type="dxa"/>
            </w:tcMar>
            <w:vAlign w:val="center"/>
          </w:tcPr>
          <w:p w14:paraId="7450A8E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464" w:type="dxa"/>
            <w:shd w:val="clear" w:color="auto" w:fill="FFFFFF" w:themeFill="background1"/>
            <w:tcMar>
              <w:top w:w="0" w:type="dxa"/>
              <w:left w:w="108" w:type="dxa"/>
              <w:bottom w:w="0" w:type="dxa"/>
              <w:right w:w="108" w:type="dxa"/>
            </w:tcMar>
            <w:vAlign w:val="center"/>
          </w:tcPr>
          <w:p w14:paraId="556BD94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69" w:type="dxa"/>
            <w:shd w:val="clear" w:color="auto" w:fill="FFFFFF" w:themeFill="background1"/>
            <w:tcMar>
              <w:top w:w="0" w:type="dxa"/>
              <w:left w:w="108" w:type="dxa"/>
              <w:bottom w:w="0" w:type="dxa"/>
              <w:right w:w="108" w:type="dxa"/>
            </w:tcMar>
            <w:vAlign w:val="center"/>
          </w:tcPr>
          <w:p w14:paraId="257AE696" w14:textId="77777777" w:rsidR="00284822" w:rsidRDefault="00F77BF8">
            <w:pPr>
              <w:spacing w:line="240" w:lineRule="auto"/>
              <w:rPr>
                <w:rFonts w:ascii="Rockwell" w:hAnsi="Rockwell"/>
                <w:b/>
                <w:bCs/>
                <w:sz w:val="20"/>
                <w:szCs w:val="20"/>
              </w:rPr>
            </w:pPr>
            <w:r>
              <w:rPr>
                <w:rFonts w:ascii="Rockwell" w:hAnsi="Rockwell"/>
                <w:b/>
                <w:bCs/>
                <w:sz w:val="20"/>
                <w:szCs w:val="20"/>
              </w:rPr>
              <w:t>8</w:t>
            </w:r>
          </w:p>
        </w:tc>
        <w:tc>
          <w:tcPr>
            <w:tcW w:w="1045" w:type="dxa"/>
            <w:shd w:val="clear" w:color="auto" w:fill="FFFFFF" w:themeFill="background1"/>
            <w:tcMar>
              <w:top w:w="0" w:type="dxa"/>
              <w:left w:w="108" w:type="dxa"/>
              <w:bottom w:w="0" w:type="dxa"/>
              <w:right w:w="108" w:type="dxa"/>
            </w:tcMar>
            <w:vAlign w:val="center"/>
          </w:tcPr>
          <w:p w14:paraId="76ECDD02" w14:textId="77777777" w:rsidR="00284822" w:rsidRDefault="00F77BF8">
            <w:pPr>
              <w:spacing w:line="240" w:lineRule="auto"/>
              <w:rPr>
                <w:rFonts w:ascii="Rockwell" w:hAnsi="Rockwell"/>
                <w:b/>
                <w:bCs/>
                <w:sz w:val="20"/>
                <w:szCs w:val="20"/>
              </w:rPr>
            </w:pPr>
            <w:r>
              <w:rPr>
                <w:rFonts w:ascii="Rockwell" w:hAnsi="Rockwell"/>
                <w:b/>
                <w:bCs/>
                <w:sz w:val="20"/>
                <w:szCs w:val="20"/>
              </w:rPr>
              <w:t>1,07%</w:t>
            </w:r>
          </w:p>
        </w:tc>
        <w:tc>
          <w:tcPr>
            <w:tcW w:w="901" w:type="dxa"/>
            <w:shd w:val="clear" w:color="auto" w:fill="FFFFFF" w:themeFill="background1"/>
            <w:tcMar>
              <w:top w:w="0" w:type="dxa"/>
              <w:left w:w="108" w:type="dxa"/>
              <w:bottom w:w="0" w:type="dxa"/>
              <w:right w:w="108" w:type="dxa"/>
            </w:tcMar>
            <w:vAlign w:val="center"/>
          </w:tcPr>
          <w:p w14:paraId="77E791BB" w14:textId="77777777" w:rsidR="00284822" w:rsidRDefault="00F77BF8">
            <w:pPr>
              <w:spacing w:line="240" w:lineRule="auto"/>
              <w:rPr>
                <w:rFonts w:ascii="Rockwell" w:hAnsi="Rockwell"/>
                <w:b/>
                <w:bCs/>
                <w:sz w:val="20"/>
                <w:szCs w:val="20"/>
              </w:rPr>
            </w:pPr>
            <w:r>
              <w:rPr>
                <w:rFonts w:ascii="Rockwell" w:hAnsi="Rockwell"/>
                <w:b/>
                <w:bCs/>
                <w:sz w:val="20"/>
                <w:szCs w:val="20"/>
              </w:rPr>
              <w:t>14</w:t>
            </w:r>
          </w:p>
        </w:tc>
        <w:tc>
          <w:tcPr>
            <w:tcW w:w="1193" w:type="dxa"/>
            <w:shd w:val="clear" w:color="auto" w:fill="FFFFFF" w:themeFill="background1"/>
            <w:tcMar>
              <w:top w:w="0" w:type="dxa"/>
              <w:left w:w="108" w:type="dxa"/>
              <w:bottom w:w="0" w:type="dxa"/>
              <w:right w:w="108" w:type="dxa"/>
            </w:tcMar>
            <w:vAlign w:val="center"/>
          </w:tcPr>
          <w:p w14:paraId="09CEA474" w14:textId="77777777" w:rsidR="00284822" w:rsidRDefault="00F77BF8">
            <w:pPr>
              <w:spacing w:line="240" w:lineRule="auto"/>
              <w:rPr>
                <w:rFonts w:ascii="Rockwell" w:hAnsi="Rockwell"/>
                <w:b/>
                <w:bCs/>
                <w:sz w:val="20"/>
                <w:szCs w:val="20"/>
              </w:rPr>
            </w:pPr>
            <w:r>
              <w:rPr>
                <w:rFonts w:ascii="Rockwell" w:hAnsi="Rockwell"/>
                <w:b/>
                <w:bCs/>
                <w:sz w:val="20"/>
                <w:szCs w:val="20"/>
              </w:rPr>
              <w:t>1,17%</w:t>
            </w:r>
          </w:p>
        </w:tc>
      </w:tr>
      <w:tr w:rsidR="00284822" w14:paraId="525B1EEF" w14:textId="77777777">
        <w:trPr>
          <w:gridAfter w:val="1"/>
          <w:wAfter w:w="23" w:type="dxa"/>
          <w:trHeight w:val="308"/>
        </w:trPr>
        <w:tc>
          <w:tcPr>
            <w:tcW w:w="864" w:type="dxa"/>
            <w:shd w:val="clear" w:color="auto" w:fill="FFFFFF" w:themeFill="background1"/>
            <w:noWrap/>
            <w:tcMar>
              <w:top w:w="0" w:type="dxa"/>
              <w:left w:w="108" w:type="dxa"/>
              <w:bottom w:w="0" w:type="dxa"/>
              <w:right w:w="108" w:type="dxa"/>
            </w:tcMar>
            <w:vAlign w:val="bottom"/>
          </w:tcPr>
          <w:p w14:paraId="0B96D7A9"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19</w:t>
            </w:r>
          </w:p>
        </w:tc>
        <w:tc>
          <w:tcPr>
            <w:tcW w:w="1737" w:type="dxa"/>
            <w:shd w:val="clear" w:color="auto" w:fill="FFFFFF" w:themeFill="background1"/>
            <w:tcMar>
              <w:top w:w="0" w:type="dxa"/>
              <w:left w:w="108" w:type="dxa"/>
              <w:bottom w:w="0" w:type="dxa"/>
              <w:right w:w="108" w:type="dxa"/>
            </w:tcMar>
            <w:vAlign w:val="bottom"/>
          </w:tcPr>
          <w:p w14:paraId="34DC156F"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MDP-BF</w:t>
            </w:r>
          </w:p>
        </w:tc>
        <w:tc>
          <w:tcPr>
            <w:tcW w:w="578" w:type="dxa"/>
            <w:shd w:val="clear" w:color="auto" w:fill="FFFFFF" w:themeFill="background1"/>
            <w:tcMar>
              <w:top w:w="0" w:type="dxa"/>
              <w:left w:w="108" w:type="dxa"/>
              <w:bottom w:w="0" w:type="dxa"/>
              <w:right w:w="108" w:type="dxa"/>
            </w:tcMar>
            <w:vAlign w:val="center"/>
          </w:tcPr>
          <w:p w14:paraId="7A2F0F2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12" w:type="dxa"/>
            <w:shd w:val="clear" w:color="auto" w:fill="FFFFFF" w:themeFill="background1"/>
            <w:tcMar>
              <w:top w:w="0" w:type="dxa"/>
              <w:left w:w="108" w:type="dxa"/>
              <w:bottom w:w="0" w:type="dxa"/>
              <w:right w:w="108" w:type="dxa"/>
            </w:tcMar>
            <w:vAlign w:val="center"/>
          </w:tcPr>
          <w:p w14:paraId="7A651E1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725" w:type="dxa"/>
            <w:shd w:val="clear" w:color="auto" w:fill="FFFFFF" w:themeFill="background1"/>
            <w:tcMar>
              <w:top w:w="0" w:type="dxa"/>
              <w:left w:w="108" w:type="dxa"/>
              <w:bottom w:w="0" w:type="dxa"/>
              <w:right w:w="108" w:type="dxa"/>
            </w:tcMar>
            <w:vAlign w:val="center"/>
          </w:tcPr>
          <w:p w14:paraId="14411B6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68" w:type="dxa"/>
            <w:shd w:val="clear" w:color="auto" w:fill="FFFFFF" w:themeFill="background1"/>
            <w:tcMar>
              <w:top w:w="0" w:type="dxa"/>
              <w:left w:w="108" w:type="dxa"/>
              <w:bottom w:w="0" w:type="dxa"/>
              <w:right w:w="108" w:type="dxa"/>
            </w:tcMar>
            <w:vAlign w:val="center"/>
          </w:tcPr>
          <w:p w14:paraId="20C3E77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219" w:type="dxa"/>
            <w:shd w:val="clear" w:color="auto" w:fill="FFFFFF" w:themeFill="background1"/>
            <w:tcMar>
              <w:top w:w="0" w:type="dxa"/>
              <w:left w:w="108" w:type="dxa"/>
              <w:bottom w:w="0" w:type="dxa"/>
              <w:right w:w="108" w:type="dxa"/>
            </w:tcMar>
            <w:vAlign w:val="center"/>
          </w:tcPr>
          <w:p w14:paraId="1692FBC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357" w:type="dxa"/>
            <w:shd w:val="clear" w:color="auto" w:fill="FFFFFF" w:themeFill="background1"/>
            <w:tcMar>
              <w:top w:w="0" w:type="dxa"/>
              <w:left w:w="108" w:type="dxa"/>
              <w:bottom w:w="0" w:type="dxa"/>
              <w:right w:w="108" w:type="dxa"/>
            </w:tcMar>
            <w:vAlign w:val="center"/>
          </w:tcPr>
          <w:p w14:paraId="1FD0A77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45" w:type="dxa"/>
            <w:shd w:val="clear" w:color="auto" w:fill="FFFFFF" w:themeFill="background1"/>
            <w:tcMar>
              <w:top w:w="0" w:type="dxa"/>
              <w:left w:w="108" w:type="dxa"/>
              <w:bottom w:w="0" w:type="dxa"/>
              <w:right w:w="108" w:type="dxa"/>
            </w:tcMar>
            <w:vAlign w:val="center"/>
          </w:tcPr>
          <w:p w14:paraId="22B5CC0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464" w:type="dxa"/>
            <w:shd w:val="clear" w:color="auto" w:fill="FFFFFF" w:themeFill="background1"/>
            <w:tcMar>
              <w:top w:w="0" w:type="dxa"/>
              <w:left w:w="108" w:type="dxa"/>
              <w:bottom w:w="0" w:type="dxa"/>
              <w:right w:w="108" w:type="dxa"/>
            </w:tcMar>
            <w:vAlign w:val="center"/>
          </w:tcPr>
          <w:p w14:paraId="3361518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69" w:type="dxa"/>
            <w:shd w:val="clear" w:color="auto" w:fill="FFFFFF" w:themeFill="background1"/>
            <w:tcMar>
              <w:top w:w="0" w:type="dxa"/>
              <w:left w:w="108" w:type="dxa"/>
              <w:bottom w:w="0" w:type="dxa"/>
              <w:right w:w="108" w:type="dxa"/>
            </w:tcMar>
            <w:vAlign w:val="center"/>
          </w:tcPr>
          <w:p w14:paraId="3780B2B5" w14:textId="77777777" w:rsidR="00284822" w:rsidRDefault="00F77BF8">
            <w:pPr>
              <w:spacing w:line="240" w:lineRule="auto"/>
              <w:rPr>
                <w:rFonts w:ascii="Rockwell" w:hAnsi="Rockwell"/>
                <w:b/>
                <w:bCs/>
                <w:sz w:val="20"/>
                <w:szCs w:val="20"/>
              </w:rPr>
            </w:pPr>
            <w:r>
              <w:rPr>
                <w:rFonts w:ascii="Rockwell" w:hAnsi="Rockwell"/>
                <w:b/>
                <w:bCs/>
                <w:sz w:val="20"/>
                <w:szCs w:val="20"/>
              </w:rPr>
              <w:t>1</w:t>
            </w:r>
          </w:p>
        </w:tc>
        <w:tc>
          <w:tcPr>
            <w:tcW w:w="1045" w:type="dxa"/>
            <w:shd w:val="clear" w:color="auto" w:fill="FFFFFF" w:themeFill="background1"/>
            <w:tcMar>
              <w:top w:w="0" w:type="dxa"/>
              <w:left w:w="108" w:type="dxa"/>
              <w:bottom w:w="0" w:type="dxa"/>
              <w:right w:w="108" w:type="dxa"/>
            </w:tcMar>
            <w:vAlign w:val="center"/>
          </w:tcPr>
          <w:p w14:paraId="5F54925C" w14:textId="77777777" w:rsidR="00284822" w:rsidRDefault="00F77BF8">
            <w:pPr>
              <w:spacing w:line="240" w:lineRule="auto"/>
              <w:rPr>
                <w:rFonts w:ascii="Rockwell" w:hAnsi="Rockwell"/>
                <w:b/>
                <w:bCs/>
                <w:sz w:val="20"/>
                <w:szCs w:val="20"/>
              </w:rPr>
            </w:pPr>
            <w:r>
              <w:rPr>
                <w:rFonts w:ascii="Rockwell" w:hAnsi="Rockwell"/>
                <w:b/>
                <w:bCs/>
                <w:sz w:val="20"/>
                <w:szCs w:val="20"/>
              </w:rPr>
              <w:t>0,13%</w:t>
            </w:r>
          </w:p>
        </w:tc>
        <w:tc>
          <w:tcPr>
            <w:tcW w:w="901" w:type="dxa"/>
            <w:shd w:val="clear" w:color="auto" w:fill="FFFFFF" w:themeFill="background1"/>
            <w:tcMar>
              <w:top w:w="0" w:type="dxa"/>
              <w:left w:w="108" w:type="dxa"/>
              <w:bottom w:w="0" w:type="dxa"/>
              <w:right w:w="108" w:type="dxa"/>
            </w:tcMar>
            <w:vAlign w:val="center"/>
          </w:tcPr>
          <w:p w14:paraId="4A7FADA3" w14:textId="77777777" w:rsidR="00284822" w:rsidRDefault="00F77BF8">
            <w:pPr>
              <w:spacing w:line="240" w:lineRule="auto"/>
              <w:rPr>
                <w:rFonts w:ascii="Rockwell" w:hAnsi="Rockwell"/>
                <w:b/>
                <w:bCs/>
                <w:sz w:val="20"/>
                <w:szCs w:val="20"/>
              </w:rPr>
            </w:pPr>
            <w:r>
              <w:rPr>
                <w:rFonts w:ascii="Rockwell" w:hAnsi="Rockwell"/>
                <w:b/>
                <w:bCs/>
                <w:sz w:val="20"/>
                <w:szCs w:val="20"/>
              </w:rPr>
              <w:t>1</w:t>
            </w:r>
          </w:p>
        </w:tc>
        <w:tc>
          <w:tcPr>
            <w:tcW w:w="1193" w:type="dxa"/>
            <w:shd w:val="clear" w:color="auto" w:fill="FFFFFF" w:themeFill="background1"/>
            <w:tcMar>
              <w:top w:w="0" w:type="dxa"/>
              <w:left w:w="108" w:type="dxa"/>
              <w:bottom w:w="0" w:type="dxa"/>
              <w:right w:w="108" w:type="dxa"/>
            </w:tcMar>
            <w:vAlign w:val="center"/>
          </w:tcPr>
          <w:p w14:paraId="1F35145E" w14:textId="77777777" w:rsidR="00284822" w:rsidRDefault="00F77BF8">
            <w:pPr>
              <w:spacing w:line="240" w:lineRule="auto"/>
              <w:rPr>
                <w:rFonts w:ascii="Rockwell" w:hAnsi="Rockwell"/>
                <w:b/>
                <w:bCs/>
                <w:sz w:val="20"/>
                <w:szCs w:val="20"/>
              </w:rPr>
            </w:pPr>
            <w:r>
              <w:rPr>
                <w:rFonts w:ascii="Rockwell" w:hAnsi="Rockwell"/>
                <w:b/>
                <w:bCs/>
                <w:sz w:val="20"/>
                <w:szCs w:val="20"/>
              </w:rPr>
              <w:t>0,08%</w:t>
            </w:r>
          </w:p>
        </w:tc>
      </w:tr>
      <w:tr w:rsidR="00284822" w14:paraId="3AA74EF2" w14:textId="77777777">
        <w:trPr>
          <w:gridAfter w:val="1"/>
          <w:wAfter w:w="23" w:type="dxa"/>
          <w:trHeight w:val="308"/>
        </w:trPr>
        <w:tc>
          <w:tcPr>
            <w:tcW w:w="864" w:type="dxa"/>
            <w:shd w:val="clear" w:color="auto" w:fill="FFFFFF" w:themeFill="background1"/>
            <w:noWrap/>
            <w:tcMar>
              <w:top w:w="0" w:type="dxa"/>
              <w:left w:w="108" w:type="dxa"/>
              <w:bottom w:w="0" w:type="dxa"/>
              <w:right w:w="108" w:type="dxa"/>
            </w:tcMar>
            <w:vAlign w:val="bottom"/>
          </w:tcPr>
          <w:p w14:paraId="0CBE86ED"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20</w:t>
            </w:r>
          </w:p>
        </w:tc>
        <w:tc>
          <w:tcPr>
            <w:tcW w:w="1737" w:type="dxa"/>
            <w:shd w:val="clear" w:color="auto" w:fill="FFFFFF" w:themeFill="background1"/>
            <w:tcMar>
              <w:top w:w="0" w:type="dxa"/>
              <w:left w:w="108" w:type="dxa"/>
              <w:bottom w:w="0" w:type="dxa"/>
              <w:right w:w="108" w:type="dxa"/>
            </w:tcMar>
            <w:vAlign w:val="bottom"/>
          </w:tcPr>
          <w:p w14:paraId="044AEC3F"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MODEM</w:t>
            </w:r>
          </w:p>
        </w:tc>
        <w:tc>
          <w:tcPr>
            <w:tcW w:w="578" w:type="dxa"/>
            <w:shd w:val="clear" w:color="auto" w:fill="FFFFFF" w:themeFill="background1"/>
            <w:tcMar>
              <w:top w:w="0" w:type="dxa"/>
              <w:left w:w="108" w:type="dxa"/>
              <w:bottom w:w="0" w:type="dxa"/>
              <w:right w:w="108" w:type="dxa"/>
            </w:tcMar>
            <w:vAlign w:val="center"/>
          </w:tcPr>
          <w:p w14:paraId="4955DE9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12" w:type="dxa"/>
            <w:shd w:val="clear" w:color="auto" w:fill="FFFFFF" w:themeFill="background1"/>
            <w:tcMar>
              <w:top w:w="0" w:type="dxa"/>
              <w:left w:w="108" w:type="dxa"/>
              <w:bottom w:w="0" w:type="dxa"/>
              <w:right w:w="108" w:type="dxa"/>
            </w:tcMar>
            <w:vAlign w:val="center"/>
          </w:tcPr>
          <w:p w14:paraId="7E48248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725" w:type="dxa"/>
            <w:shd w:val="clear" w:color="auto" w:fill="FFFFFF" w:themeFill="background1"/>
            <w:tcMar>
              <w:top w:w="0" w:type="dxa"/>
              <w:left w:w="108" w:type="dxa"/>
              <w:bottom w:w="0" w:type="dxa"/>
              <w:right w:w="108" w:type="dxa"/>
            </w:tcMar>
            <w:vAlign w:val="center"/>
          </w:tcPr>
          <w:p w14:paraId="30AF718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68" w:type="dxa"/>
            <w:shd w:val="clear" w:color="auto" w:fill="FFFFFF" w:themeFill="background1"/>
            <w:tcMar>
              <w:top w:w="0" w:type="dxa"/>
              <w:left w:w="108" w:type="dxa"/>
              <w:bottom w:w="0" w:type="dxa"/>
              <w:right w:w="108" w:type="dxa"/>
            </w:tcMar>
            <w:vAlign w:val="center"/>
          </w:tcPr>
          <w:p w14:paraId="55A2C0A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219" w:type="dxa"/>
            <w:shd w:val="clear" w:color="auto" w:fill="FFFFFF" w:themeFill="background1"/>
            <w:tcMar>
              <w:top w:w="0" w:type="dxa"/>
              <w:left w:w="108" w:type="dxa"/>
              <w:bottom w:w="0" w:type="dxa"/>
              <w:right w:w="108" w:type="dxa"/>
            </w:tcMar>
            <w:vAlign w:val="center"/>
          </w:tcPr>
          <w:p w14:paraId="5FC494A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357" w:type="dxa"/>
            <w:shd w:val="clear" w:color="auto" w:fill="FFFFFF" w:themeFill="background1"/>
            <w:tcMar>
              <w:top w:w="0" w:type="dxa"/>
              <w:left w:w="108" w:type="dxa"/>
              <w:bottom w:w="0" w:type="dxa"/>
              <w:right w:w="108" w:type="dxa"/>
            </w:tcMar>
            <w:vAlign w:val="center"/>
          </w:tcPr>
          <w:p w14:paraId="13871B3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45" w:type="dxa"/>
            <w:shd w:val="clear" w:color="auto" w:fill="FFFFFF" w:themeFill="background1"/>
            <w:tcMar>
              <w:top w:w="0" w:type="dxa"/>
              <w:left w:w="108" w:type="dxa"/>
              <w:bottom w:w="0" w:type="dxa"/>
              <w:right w:w="108" w:type="dxa"/>
            </w:tcMar>
            <w:vAlign w:val="center"/>
          </w:tcPr>
          <w:p w14:paraId="412CCDD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464" w:type="dxa"/>
            <w:shd w:val="clear" w:color="auto" w:fill="FFFFFF" w:themeFill="background1"/>
            <w:tcMar>
              <w:top w:w="0" w:type="dxa"/>
              <w:left w:w="108" w:type="dxa"/>
              <w:bottom w:w="0" w:type="dxa"/>
              <w:right w:w="108" w:type="dxa"/>
            </w:tcMar>
            <w:vAlign w:val="center"/>
          </w:tcPr>
          <w:p w14:paraId="6EE0E93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1069" w:type="dxa"/>
            <w:shd w:val="clear" w:color="auto" w:fill="FFFFFF" w:themeFill="background1"/>
            <w:tcMar>
              <w:top w:w="0" w:type="dxa"/>
              <w:left w:w="108" w:type="dxa"/>
              <w:bottom w:w="0" w:type="dxa"/>
              <w:right w:w="108" w:type="dxa"/>
            </w:tcMar>
            <w:vAlign w:val="center"/>
          </w:tcPr>
          <w:p w14:paraId="45610EAC" w14:textId="77777777" w:rsidR="00284822" w:rsidRDefault="00F77BF8">
            <w:pPr>
              <w:spacing w:line="240" w:lineRule="auto"/>
              <w:rPr>
                <w:rFonts w:ascii="Rockwell" w:hAnsi="Rockwell"/>
                <w:b/>
                <w:bCs/>
                <w:sz w:val="20"/>
                <w:szCs w:val="20"/>
              </w:rPr>
            </w:pPr>
            <w:r>
              <w:rPr>
                <w:rFonts w:ascii="Rockwell" w:hAnsi="Rockwell"/>
                <w:b/>
                <w:bCs/>
                <w:sz w:val="20"/>
                <w:szCs w:val="20"/>
              </w:rPr>
              <w:t>4</w:t>
            </w:r>
          </w:p>
        </w:tc>
        <w:tc>
          <w:tcPr>
            <w:tcW w:w="1045" w:type="dxa"/>
            <w:shd w:val="clear" w:color="auto" w:fill="FFFFFF" w:themeFill="background1"/>
            <w:tcMar>
              <w:top w:w="0" w:type="dxa"/>
              <w:left w:w="108" w:type="dxa"/>
              <w:bottom w:w="0" w:type="dxa"/>
              <w:right w:w="108" w:type="dxa"/>
            </w:tcMar>
            <w:vAlign w:val="center"/>
          </w:tcPr>
          <w:p w14:paraId="377CAED5" w14:textId="77777777" w:rsidR="00284822" w:rsidRDefault="00F77BF8">
            <w:pPr>
              <w:spacing w:line="240" w:lineRule="auto"/>
              <w:rPr>
                <w:rFonts w:ascii="Rockwell" w:hAnsi="Rockwell"/>
                <w:b/>
                <w:bCs/>
                <w:sz w:val="20"/>
                <w:szCs w:val="20"/>
              </w:rPr>
            </w:pPr>
            <w:r>
              <w:rPr>
                <w:rFonts w:ascii="Rockwell" w:hAnsi="Rockwell"/>
                <w:b/>
                <w:bCs/>
                <w:sz w:val="20"/>
                <w:szCs w:val="20"/>
              </w:rPr>
              <w:t>0,54%</w:t>
            </w:r>
          </w:p>
        </w:tc>
        <w:tc>
          <w:tcPr>
            <w:tcW w:w="901" w:type="dxa"/>
            <w:shd w:val="clear" w:color="auto" w:fill="FFFFFF" w:themeFill="background1"/>
            <w:tcMar>
              <w:top w:w="0" w:type="dxa"/>
              <w:left w:w="108" w:type="dxa"/>
              <w:bottom w:w="0" w:type="dxa"/>
              <w:right w:w="108" w:type="dxa"/>
            </w:tcMar>
            <w:vAlign w:val="center"/>
          </w:tcPr>
          <w:p w14:paraId="454BECC2" w14:textId="77777777" w:rsidR="00284822" w:rsidRDefault="00F77BF8">
            <w:pPr>
              <w:spacing w:line="240" w:lineRule="auto"/>
              <w:rPr>
                <w:rFonts w:ascii="Rockwell" w:hAnsi="Rockwell"/>
                <w:b/>
                <w:bCs/>
                <w:sz w:val="20"/>
                <w:szCs w:val="20"/>
              </w:rPr>
            </w:pPr>
            <w:r>
              <w:rPr>
                <w:rFonts w:ascii="Rockwell" w:hAnsi="Rockwell"/>
                <w:b/>
                <w:bCs/>
                <w:sz w:val="20"/>
                <w:szCs w:val="20"/>
              </w:rPr>
              <w:t>5</w:t>
            </w:r>
          </w:p>
        </w:tc>
        <w:tc>
          <w:tcPr>
            <w:tcW w:w="1193" w:type="dxa"/>
            <w:shd w:val="clear" w:color="auto" w:fill="FFFFFF" w:themeFill="background1"/>
            <w:tcMar>
              <w:top w:w="0" w:type="dxa"/>
              <w:left w:w="108" w:type="dxa"/>
              <w:bottom w:w="0" w:type="dxa"/>
              <w:right w:w="108" w:type="dxa"/>
            </w:tcMar>
            <w:vAlign w:val="center"/>
          </w:tcPr>
          <w:p w14:paraId="0CC69DFB" w14:textId="77777777" w:rsidR="00284822" w:rsidRDefault="00F77BF8">
            <w:pPr>
              <w:spacing w:line="240" w:lineRule="auto"/>
              <w:rPr>
                <w:rFonts w:ascii="Rockwell" w:hAnsi="Rockwell"/>
                <w:b/>
                <w:bCs/>
                <w:sz w:val="20"/>
                <w:szCs w:val="20"/>
              </w:rPr>
            </w:pPr>
            <w:r>
              <w:rPr>
                <w:rFonts w:ascii="Rockwell" w:hAnsi="Rockwell"/>
                <w:b/>
                <w:bCs/>
                <w:sz w:val="20"/>
                <w:szCs w:val="20"/>
              </w:rPr>
              <w:t>0,42%</w:t>
            </w:r>
          </w:p>
        </w:tc>
      </w:tr>
      <w:tr w:rsidR="00284822" w14:paraId="0147EA5A" w14:textId="77777777">
        <w:trPr>
          <w:gridAfter w:val="1"/>
          <w:wAfter w:w="23" w:type="dxa"/>
          <w:trHeight w:val="308"/>
        </w:trPr>
        <w:tc>
          <w:tcPr>
            <w:tcW w:w="864" w:type="dxa"/>
            <w:shd w:val="clear" w:color="auto" w:fill="FFFFFF" w:themeFill="background1"/>
            <w:noWrap/>
            <w:tcMar>
              <w:top w:w="0" w:type="dxa"/>
              <w:left w:w="108" w:type="dxa"/>
              <w:bottom w:w="0" w:type="dxa"/>
              <w:right w:w="108" w:type="dxa"/>
            </w:tcMar>
            <w:vAlign w:val="bottom"/>
          </w:tcPr>
          <w:p w14:paraId="3F8C6C8F"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21</w:t>
            </w:r>
          </w:p>
        </w:tc>
        <w:tc>
          <w:tcPr>
            <w:tcW w:w="1737" w:type="dxa"/>
            <w:shd w:val="clear" w:color="auto" w:fill="FFFFFF" w:themeFill="background1"/>
            <w:tcMar>
              <w:top w:w="0" w:type="dxa"/>
              <w:left w:w="108" w:type="dxa"/>
              <w:bottom w:w="0" w:type="dxa"/>
              <w:right w:w="108" w:type="dxa"/>
            </w:tcMar>
            <w:vAlign w:val="bottom"/>
          </w:tcPr>
          <w:p w14:paraId="092D9134"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MPP</w:t>
            </w:r>
          </w:p>
        </w:tc>
        <w:tc>
          <w:tcPr>
            <w:tcW w:w="578" w:type="dxa"/>
            <w:shd w:val="clear" w:color="auto" w:fill="FFFFFF" w:themeFill="background1"/>
            <w:tcMar>
              <w:top w:w="0" w:type="dxa"/>
              <w:left w:w="108" w:type="dxa"/>
              <w:bottom w:w="0" w:type="dxa"/>
              <w:right w:w="108" w:type="dxa"/>
            </w:tcMar>
            <w:vAlign w:val="center"/>
          </w:tcPr>
          <w:p w14:paraId="342836E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14</w:t>
            </w:r>
          </w:p>
        </w:tc>
        <w:tc>
          <w:tcPr>
            <w:tcW w:w="1112" w:type="dxa"/>
            <w:shd w:val="clear" w:color="auto" w:fill="FFFFFF" w:themeFill="background1"/>
            <w:tcMar>
              <w:top w:w="0" w:type="dxa"/>
              <w:left w:w="108" w:type="dxa"/>
              <w:bottom w:w="0" w:type="dxa"/>
              <w:right w:w="108" w:type="dxa"/>
            </w:tcMar>
            <w:vAlign w:val="center"/>
          </w:tcPr>
          <w:p w14:paraId="05CF32E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30,43%</w:t>
            </w:r>
          </w:p>
        </w:tc>
        <w:tc>
          <w:tcPr>
            <w:tcW w:w="725" w:type="dxa"/>
            <w:shd w:val="clear" w:color="auto" w:fill="FFFFFF" w:themeFill="background1"/>
            <w:tcMar>
              <w:top w:w="0" w:type="dxa"/>
              <w:left w:w="108" w:type="dxa"/>
              <w:bottom w:w="0" w:type="dxa"/>
              <w:right w:w="108" w:type="dxa"/>
            </w:tcMar>
            <w:vAlign w:val="center"/>
          </w:tcPr>
          <w:p w14:paraId="78E0B2D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15</w:t>
            </w:r>
          </w:p>
        </w:tc>
        <w:tc>
          <w:tcPr>
            <w:tcW w:w="1068" w:type="dxa"/>
            <w:shd w:val="clear" w:color="auto" w:fill="FFFFFF" w:themeFill="background1"/>
            <w:tcMar>
              <w:top w:w="0" w:type="dxa"/>
              <w:left w:w="108" w:type="dxa"/>
              <w:bottom w:w="0" w:type="dxa"/>
              <w:right w:w="108" w:type="dxa"/>
            </w:tcMar>
            <w:vAlign w:val="center"/>
          </w:tcPr>
          <w:p w14:paraId="5F39C3A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31,25%</w:t>
            </w:r>
          </w:p>
        </w:tc>
        <w:tc>
          <w:tcPr>
            <w:tcW w:w="1219" w:type="dxa"/>
            <w:shd w:val="clear" w:color="auto" w:fill="FFFFFF" w:themeFill="background1"/>
            <w:tcMar>
              <w:top w:w="0" w:type="dxa"/>
              <w:left w:w="108" w:type="dxa"/>
              <w:bottom w:w="0" w:type="dxa"/>
              <w:right w:w="108" w:type="dxa"/>
            </w:tcMar>
            <w:vAlign w:val="center"/>
          </w:tcPr>
          <w:p w14:paraId="4614176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4</w:t>
            </w:r>
          </w:p>
        </w:tc>
        <w:tc>
          <w:tcPr>
            <w:tcW w:w="1357" w:type="dxa"/>
            <w:shd w:val="clear" w:color="auto" w:fill="FFFFFF" w:themeFill="background1"/>
            <w:tcMar>
              <w:top w:w="0" w:type="dxa"/>
              <w:left w:w="108" w:type="dxa"/>
              <w:bottom w:w="0" w:type="dxa"/>
              <w:right w:w="108" w:type="dxa"/>
            </w:tcMar>
            <w:vAlign w:val="center"/>
          </w:tcPr>
          <w:p w14:paraId="0BD3225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21,05%</w:t>
            </w:r>
          </w:p>
        </w:tc>
        <w:tc>
          <w:tcPr>
            <w:tcW w:w="1045" w:type="dxa"/>
            <w:shd w:val="clear" w:color="auto" w:fill="FFFFFF" w:themeFill="background1"/>
            <w:tcMar>
              <w:top w:w="0" w:type="dxa"/>
              <w:left w:w="108" w:type="dxa"/>
              <w:bottom w:w="0" w:type="dxa"/>
              <w:right w:w="108" w:type="dxa"/>
            </w:tcMar>
            <w:vAlign w:val="center"/>
          </w:tcPr>
          <w:p w14:paraId="3DDA0FF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7</w:t>
            </w:r>
          </w:p>
        </w:tc>
        <w:tc>
          <w:tcPr>
            <w:tcW w:w="1464" w:type="dxa"/>
            <w:shd w:val="clear" w:color="auto" w:fill="FFFFFF" w:themeFill="background1"/>
            <w:tcMar>
              <w:top w:w="0" w:type="dxa"/>
              <w:left w:w="108" w:type="dxa"/>
              <w:bottom w:w="0" w:type="dxa"/>
              <w:right w:w="108" w:type="dxa"/>
            </w:tcMar>
            <w:vAlign w:val="center"/>
          </w:tcPr>
          <w:p w14:paraId="71A464A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29,17%</w:t>
            </w:r>
          </w:p>
        </w:tc>
        <w:tc>
          <w:tcPr>
            <w:tcW w:w="1069" w:type="dxa"/>
            <w:shd w:val="clear" w:color="auto" w:fill="FFFFFF" w:themeFill="background1"/>
            <w:tcMar>
              <w:top w:w="0" w:type="dxa"/>
              <w:left w:w="108" w:type="dxa"/>
              <w:bottom w:w="0" w:type="dxa"/>
              <w:right w:w="108" w:type="dxa"/>
            </w:tcMar>
            <w:vAlign w:val="center"/>
          </w:tcPr>
          <w:p w14:paraId="4AB74625" w14:textId="77777777" w:rsidR="00284822" w:rsidRDefault="00F77BF8">
            <w:pPr>
              <w:spacing w:line="240" w:lineRule="auto"/>
              <w:rPr>
                <w:rFonts w:ascii="Rockwell" w:hAnsi="Rockwell"/>
                <w:b/>
                <w:bCs/>
                <w:sz w:val="20"/>
                <w:szCs w:val="20"/>
              </w:rPr>
            </w:pPr>
            <w:r>
              <w:rPr>
                <w:rFonts w:ascii="Rockwell" w:hAnsi="Rockwell"/>
                <w:b/>
                <w:bCs/>
                <w:sz w:val="20"/>
                <w:szCs w:val="20"/>
              </w:rPr>
              <w:t>178</w:t>
            </w:r>
          </w:p>
        </w:tc>
        <w:tc>
          <w:tcPr>
            <w:tcW w:w="1045" w:type="dxa"/>
            <w:shd w:val="clear" w:color="auto" w:fill="FFFFFF" w:themeFill="background1"/>
            <w:tcMar>
              <w:top w:w="0" w:type="dxa"/>
              <w:left w:w="108" w:type="dxa"/>
              <w:bottom w:w="0" w:type="dxa"/>
              <w:right w:w="108" w:type="dxa"/>
            </w:tcMar>
            <w:vAlign w:val="center"/>
          </w:tcPr>
          <w:p w14:paraId="740AD8AC" w14:textId="77777777" w:rsidR="00284822" w:rsidRDefault="00F77BF8">
            <w:pPr>
              <w:spacing w:line="240" w:lineRule="auto"/>
              <w:rPr>
                <w:rFonts w:ascii="Rockwell" w:hAnsi="Rockwell"/>
                <w:b/>
                <w:bCs/>
                <w:sz w:val="20"/>
                <w:szCs w:val="20"/>
              </w:rPr>
            </w:pPr>
            <w:r>
              <w:rPr>
                <w:rFonts w:ascii="Rockwell" w:hAnsi="Rockwell"/>
                <w:b/>
                <w:bCs/>
                <w:sz w:val="20"/>
                <w:szCs w:val="20"/>
              </w:rPr>
              <w:t>23,89%</w:t>
            </w:r>
          </w:p>
        </w:tc>
        <w:tc>
          <w:tcPr>
            <w:tcW w:w="901" w:type="dxa"/>
            <w:shd w:val="clear" w:color="auto" w:fill="FFFFFF" w:themeFill="background1"/>
            <w:tcMar>
              <w:top w:w="0" w:type="dxa"/>
              <w:left w:w="108" w:type="dxa"/>
              <w:bottom w:w="0" w:type="dxa"/>
              <w:right w:w="108" w:type="dxa"/>
            </w:tcMar>
            <w:vAlign w:val="center"/>
          </w:tcPr>
          <w:p w14:paraId="5F273984" w14:textId="77777777" w:rsidR="00284822" w:rsidRDefault="00F77BF8">
            <w:pPr>
              <w:spacing w:line="240" w:lineRule="auto"/>
              <w:rPr>
                <w:rFonts w:ascii="Rockwell" w:hAnsi="Rockwell"/>
                <w:b/>
                <w:bCs/>
                <w:sz w:val="20"/>
                <w:szCs w:val="20"/>
              </w:rPr>
            </w:pPr>
            <w:r>
              <w:rPr>
                <w:rFonts w:ascii="Rockwell" w:hAnsi="Rockwell"/>
                <w:b/>
                <w:bCs/>
                <w:sz w:val="20"/>
                <w:szCs w:val="20"/>
              </w:rPr>
              <w:t>327</w:t>
            </w:r>
          </w:p>
        </w:tc>
        <w:tc>
          <w:tcPr>
            <w:tcW w:w="1193" w:type="dxa"/>
            <w:shd w:val="clear" w:color="auto" w:fill="FFFFFF" w:themeFill="background1"/>
            <w:tcMar>
              <w:top w:w="0" w:type="dxa"/>
              <w:left w:w="108" w:type="dxa"/>
              <w:bottom w:w="0" w:type="dxa"/>
              <w:right w:w="108" w:type="dxa"/>
            </w:tcMar>
            <w:vAlign w:val="center"/>
          </w:tcPr>
          <w:p w14:paraId="7ED660AE" w14:textId="77777777" w:rsidR="00284822" w:rsidRDefault="00F77BF8">
            <w:pPr>
              <w:spacing w:line="240" w:lineRule="auto"/>
              <w:rPr>
                <w:rFonts w:ascii="Rockwell" w:hAnsi="Rockwell"/>
                <w:b/>
                <w:bCs/>
                <w:sz w:val="20"/>
                <w:szCs w:val="20"/>
              </w:rPr>
            </w:pPr>
            <w:r>
              <w:rPr>
                <w:rFonts w:ascii="Rockwell" w:hAnsi="Rockwell"/>
                <w:b/>
                <w:bCs/>
                <w:sz w:val="20"/>
                <w:szCs w:val="20"/>
              </w:rPr>
              <w:t>27,30%</w:t>
            </w:r>
          </w:p>
        </w:tc>
      </w:tr>
      <w:tr w:rsidR="00284822" w14:paraId="3527B480" w14:textId="77777777">
        <w:trPr>
          <w:gridAfter w:val="1"/>
          <w:wAfter w:w="23" w:type="dxa"/>
          <w:trHeight w:val="308"/>
        </w:trPr>
        <w:tc>
          <w:tcPr>
            <w:tcW w:w="864" w:type="dxa"/>
            <w:shd w:val="clear" w:color="auto" w:fill="FFFFFF" w:themeFill="background1"/>
            <w:noWrap/>
            <w:tcMar>
              <w:top w:w="0" w:type="dxa"/>
              <w:left w:w="108" w:type="dxa"/>
              <w:bottom w:w="0" w:type="dxa"/>
              <w:right w:w="108" w:type="dxa"/>
            </w:tcMar>
            <w:vAlign w:val="bottom"/>
          </w:tcPr>
          <w:p w14:paraId="3EF62AFA"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22</w:t>
            </w:r>
          </w:p>
        </w:tc>
        <w:tc>
          <w:tcPr>
            <w:tcW w:w="1737" w:type="dxa"/>
            <w:shd w:val="clear" w:color="auto" w:fill="FFFFFF" w:themeFill="background1"/>
            <w:tcMar>
              <w:top w:w="0" w:type="dxa"/>
              <w:left w:w="108" w:type="dxa"/>
              <w:bottom w:w="0" w:type="dxa"/>
              <w:right w:w="108" w:type="dxa"/>
            </w:tcMar>
            <w:vAlign w:val="bottom"/>
          </w:tcPr>
          <w:p w14:paraId="04DBA014"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MRB</w:t>
            </w:r>
          </w:p>
        </w:tc>
        <w:tc>
          <w:tcPr>
            <w:tcW w:w="578" w:type="dxa"/>
            <w:shd w:val="clear" w:color="auto" w:fill="FFFFFF" w:themeFill="background1"/>
            <w:tcMar>
              <w:top w:w="0" w:type="dxa"/>
              <w:left w:w="108" w:type="dxa"/>
              <w:bottom w:w="0" w:type="dxa"/>
              <w:right w:w="108" w:type="dxa"/>
            </w:tcMar>
            <w:vAlign w:val="center"/>
          </w:tcPr>
          <w:p w14:paraId="7898C36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112" w:type="dxa"/>
            <w:shd w:val="clear" w:color="auto" w:fill="FFFFFF" w:themeFill="background1"/>
            <w:tcMar>
              <w:top w:w="0" w:type="dxa"/>
              <w:left w:w="108" w:type="dxa"/>
              <w:bottom w:w="0" w:type="dxa"/>
              <w:right w:w="108" w:type="dxa"/>
            </w:tcMar>
            <w:vAlign w:val="center"/>
          </w:tcPr>
          <w:p w14:paraId="178C4F3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4,35%</w:t>
            </w:r>
          </w:p>
        </w:tc>
        <w:tc>
          <w:tcPr>
            <w:tcW w:w="725" w:type="dxa"/>
            <w:shd w:val="clear" w:color="auto" w:fill="FFFFFF" w:themeFill="background1"/>
            <w:tcMar>
              <w:top w:w="0" w:type="dxa"/>
              <w:left w:w="108" w:type="dxa"/>
              <w:bottom w:w="0" w:type="dxa"/>
              <w:right w:w="108" w:type="dxa"/>
            </w:tcMar>
            <w:vAlign w:val="center"/>
          </w:tcPr>
          <w:p w14:paraId="7CC77E8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068" w:type="dxa"/>
            <w:shd w:val="clear" w:color="auto" w:fill="FFFFFF" w:themeFill="background1"/>
            <w:tcMar>
              <w:top w:w="0" w:type="dxa"/>
              <w:left w:w="108" w:type="dxa"/>
              <w:bottom w:w="0" w:type="dxa"/>
              <w:right w:w="108" w:type="dxa"/>
            </w:tcMar>
            <w:vAlign w:val="center"/>
          </w:tcPr>
          <w:p w14:paraId="0C4E6F9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4,17%</w:t>
            </w:r>
          </w:p>
        </w:tc>
        <w:tc>
          <w:tcPr>
            <w:tcW w:w="1219" w:type="dxa"/>
            <w:shd w:val="clear" w:color="auto" w:fill="FFFFFF" w:themeFill="background1"/>
            <w:tcMar>
              <w:top w:w="0" w:type="dxa"/>
              <w:left w:w="108" w:type="dxa"/>
              <w:bottom w:w="0" w:type="dxa"/>
              <w:right w:w="108" w:type="dxa"/>
            </w:tcMar>
            <w:vAlign w:val="center"/>
          </w:tcPr>
          <w:p w14:paraId="381CC11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357" w:type="dxa"/>
            <w:shd w:val="clear" w:color="auto" w:fill="FFFFFF" w:themeFill="background1"/>
            <w:tcMar>
              <w:top w:w="0" w:type="dxa"/>
              <w:left w:w="108" w:type="dxa"/>
              <w:bottom w:w="0" w:type="dxa"/>
              <w:right w:w="108" w:type="dxa"/>
            </w:tcMar>
            <w:vAlign w:val="center"/>
          </w:tcPr>
          <w:p w14:paraId="4227534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10,53%</w:t>
            </w:r>
          </w:p>
        </w:tc>
        <w:tc>
          <w:tcPr>
            <w:tcW w:w="1045" w:type="dxa"/>
            <w:shd w:val="clear" w:color="auto" w:fill="FFFFFF" w:themeFill="background1"/>
            <w:tcMar>
              <w:top w:w="0" w:type="dxa"/>
              <w:left w:w="108" w:type="dxa"/>
              <w:bottom w:w="0" w:type="dxa"/>
              <w:right w:w="108" w:type="dxa"/>
            </w:tcMar>
            <w:vAlign w:val="center"/>
          </w:tcPr>
          <w:p w14:paraId="79B2F48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464" w:type="dxa"/>
            <w:shd w:val="clear" w:color="auto" w:fill="FFFFFF" w:themeFill="background1"/>
            <w:tcMar>
              <w:top w:w="0" w:type="dxa"/>
              <w:left w:w="108" w:type="dxa"/>
              <w:bottom w:w="0" w:type="dxa"/>
              <w:right w:w="108" w:type="dxa"/>
            </w:tcMar>
            <w:vAlign w:val="center"/>
          </w:tcPr>
          <w:p w14:paraId="615AE2A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8,33%</w:t>
            </w:r>
          </w:p>
        </w:tc>
        <w:tc>
          <w:tcPr>
            <w:tcW w:w="1069" w:type="dxa"/>
            <w:shd w:val="clear" w:color="auto" w:fill="FFFFFF" w:themeFill="background1"/>
            <w:tcMar>
              <w:top w:w="0" w:type="dxa"/>
              <w:left w:w="108" w:type="dxa"/>
              <w:bottom w:w="0" w:type="dxa"/>
              <w:right w:w="108" w:type="dxa"/>
            </w:tcMar>
            <w:vAlign w:val="center"/>
          </w:tcPr>
          <w:p w14:paraId="76B65983" w14:textId="77777777" w:rsidR="00284822" w:rsidRDefault="00F77BF8">
            <w:pPr>
              <w:spacing w:line="240" w:lineRule="auto"/>
              <w:rPr>
                <w:rFonts w:ascii="Rockwell" w:hAnsi="Rockwell"/>
                <w:b/>
                <w:bCs/>
                <w:sz w:val="20"/>
                <w:szCs w:val="20"/>
              </w:rPr>
            </w:pPr>
            <w:r>
              <w:rPr>
                <w:rFonts w:ascii="Rockwell" w:hAnsi="Rockwell"/>
                <w:b/>
                <w:bCs/>
                <w:sz w:val="20"/>
                <w:szCs w:val="20"/>
              </w:rPr>
              <w:t>34</w:t>
            </w:r>
          </w:p>
        </w:tc>
        <w:tc>
          <w:tcPr>
            <w:tcW w:w="1045" w:type="dxa"/>
            <w:shd w:val="clear" w:color="auto" w:fill="FFFFFF" w:themeFill="background1"/>
            <w:tcMar>
              <w:top w:w="0" w:type="dxa"/>
              <w:left w:w="108" w:type="dxa"/>
              <w:bottom w:w="0" w:type="dxa"/>
              <w:right w:w="108" w:type="dxa"/>
            </w:tcMar>
            <w:vAlign w:val="center"/>
          </w:tcPr>
          <w:p w14:paraId="4C94FAEA" w14:textId="77777777" w:rsidR="00284822" w:rsidRDefault="00F77BF8">
            <w:pPr>
              <w:spacing w:line="240" w:lineRule="auto"/>
              <w:rPr>
                <w:rFonts w:ascii="Rockwell" w:hAnsi="Rockwell"/>
                <w:b/>
                <w:bCs/>
                <w:sz w:val="20"/>
                <w:szCs w:val="20"/>
              </w:rPr>
            </w:pPr>
            <w:r>
              <w:rPr>
                <w:rFonts w:ascii="Rockwell" w:hAnsi="Rockwell"/>
                <w:b/>
                <w:bCs/>
                <w:sz w:val="20"/>
                <w:szCs w:val="20"/>
              </w:rPr>
              <w:t>4,56%</w:t>
            </w:r>
          </w:p>
        </w:tc>
        <w:tc>
          <w:tcPr>
            <w:tcW w:w="901" w:type="dxa"/>
            <w:shd w:val="clear" w:color="auto" w:fill="FFFFFF" w:themeFill="background1"/>
            <w:tcMar>
              <w:top w:w="0" w:type="dxa"/>
              <w:left w:w="108" w:type="dxa"/>
              <w:bottom w:w="0" w:type="dxa"/>
              <w:right w:w="108" w:type="dxa"/>
            </w:tcMar>
            <w:vAlign w:val="center"/>
          </w:tcPr>
          <w:p w14:paraId="0A6AB475" w14:textId="77777777" w:rsidR="00284822" w:rsidRDefault="00F77BF8">
            <w:pPr>
              <w:spacing w:line="240" w:lineRule="auto"/>
              <w:rPr>
                <w:rFonts w:ascii="Rockwell" w:hAnsi="Rockwell"/>
                <w:b/>
                <w:bCs/>
                <w:sz w:val="20"/>
                <w:szCs w:val="20"/>
              </w:rPr>
            </w:pPr>
            <w:r>
              <w:rPr>
                <w:rFonts w:ascii="Rockwell" w:hAnsi="Rockwell"/>
                <w:b/>
                <w:bCs/>
                <w:sz w:val="20"/>
                <w:szCs w:val="20"/>
              </w:rPr>
              <w:t>46</w:t>
            </w:r>
          </w:p>
        </w:tc>
        <w:tc>
          <w:tcPr>
            <w:tcW w:w="1193" w:type="dxa"/>
            <w:shd w:val="clear" w:color="auto" w:fill="FFFFFF" w:themeFill="background1"/>
            <w:tcMar>
              <w:top w:w="0" w:type="dxa"/>
              <w:left w:w="108" w:type="dxa"/>
              <w:bottom w:w="0" w:type="dxa"/>
              <w:right w:w="108" w:type="dxa"/>
            </w:tcMar>
            <w:vAlign w:val="center"/>
          </w:tcPr>
          <w:p w14:paraId="3A99B0FD" w14:textId="77777777" w:rsidR="00284822" w:rsidRDefault="00F77BF8">
            <w:pPr>
              <w:spacing w:line="240" w:lineRule="auto"/>
              <w:rPr>
                <w:rFonts w:ascii="Rockwell" w:hAnsi="Rockwell"/>
                <w:b/>
                <w:bCs/>
                <w:sz w:val="20"/>
                <w:szCs w:val="20"/>
              </w:rPr>
            </w:pPr>
            <w:r>
              <w:rPr>
                <w:rFonts w:ascii="Rockwell" w:hAnsi="Rockwell"/>
                <w:b/>
                <w:bCs/>
                <w:sz w:val="20"/>
                <w:szCs w:val="20"/>
              </w:rPr>
              <w:t>3,84%</w:t>
            </w:r>
          </w:p>
        </w:tc>
      </w:tr>
    </w:tbl>
    <w:p w14:paraId="65587520" w14:textId="77777777" w:rsidR="00284822" w:rsidRDefault="00284822">
      <w:pPr>
        <w:shd w:val="clear" w:color="auto" w:fill="FFFFFF" w:themeFill="background1"/>
        <w:spacing w:before="120" w:after="120"/>
        <w:ind w:left="360"/>
        <w:rPr>
          <w:rFonts w:ascii="Rockwell" w:hAnsi="Rockwell"/>
          <w:szCs w:val="26"/>
        </w:rPr>
        <w:sectPr w:rsidR="00284822">
          <w:headerReference w:type="default" r:id="rId307"/>
          <w:footerReference w:type="default" r:id="rId308"/>
          <w:pgSz w:w="16838" w:h="11906" w:orient="landscape"/>
          <w:pgMar w:top="1418" w:right="1418" w:bottom="1418" w:left="1418" w:header="720" w:footer="720" w:gutter="0"/>
          <w:cols w:space="720"/>
        </w:sectPr>
      </w:pPr>
    </w:p>
    <w:tbl>
      <w:tblPr>
        <w:tblW w:w="54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10" w:type="dxa"/>
          <w:right w:w="10" w:type="dxa"/>
        </w:tblCellMar>
        <w:tblLook w:val="04A0" w:firstRow="1" w:lastRow="0" w:firstColumn="1" w:lastColumn="0" w:noHBand="0" w:noVBand="1"/>
      </w:tblPr>
      <w:tblGrid>
        <w:gridCol w:w="899"/>
        <w:gridCol w:w="1506"/>
        <w:gridCol w:w="847"/>
        <w:gridCol w:w="1133"/>
        <w:gridCol w:w="847"/>
        <w:gridCol w:w="1133"/>
        <w:gridCol w:w="848"/>
        <w:gridCol w:w="1024"/>
        <w:gridCol w:w="971"/>
        <w:gridCol w:w="1134"/>
        <w:gridCol w:w="851"/>
        <w:gridCol w:w="1134"/>
        <w:gridCol w:w="992"/>
        <w:gridCol w:w="1843"/>
      </w:tblGrid>
      <w:tr w:rsidR="00284822" w14:paraId="0546ED77" w14:textId="77777777">
        <w:trPr>
          <w:trHeight w:val="410"/>
          <w:jc w:val="center"/>
        </w:trPr>
        <w:tc>
          <w:tcPr>
            <w:tcW w:w="899" w:type="dxa"/>
            <w:vMerge w:val="restart"/>
            <w:shd w:val="clear" w:color="auto" w:fill="9CC2E5" w:themeFill="accent1" w:themeFillTint="99"/>
            <w:noWrap/>
            <w:tcMar>
              <w:top w:w="0" w:type="dxa"/>
              <w:left w:w="108" w:type="dxa"/>
              <w:bottom w:w="0" w:type="dxa"/>
              <w:right w:w="108" w:type="dxa"/>
            </w:tcMar>
          </w:tcPr>
          <w:p w14:paraId="0CB59189" w14:textId="77777777" w:rsidR="00284822" w:rsidRDefault="00F77BF8">
            <w:pPr>
              <w:spacing w:line="240" w:lineRule="auto"/>
              <w:rPr>
                <w:rFonts w:ascii="Rockwell" w:hAnsi="Rockwell"/>
                <w:sz w:val="20"/>
                <w:szCs w:val="20"/>
              </w:rPr>
            </w:pPr>
            <w:r>
              <w:rPr>
                <w:rFonts w:ascii="Rockwell" w:hAnsi="Rockwell"/>
                <w:b/>
                <w:bCs/>
                <w:sz w:val="20"/>
                <w:szCs w:val="20"/>
              </w:rPr>
              <w:lastRenderedPageBreak/>
              <w:t>NRO</w:t>
            </w:r>
          </w:p>
        </w:tc>
        <w:tc>
          <w:tcPr>
            <w:tcW w:w="1506" w:type="dxa"/>
            <w:vMerge w:val="restart"/>
            <w:shd w:val="clear" w:color="auto" w:fill="9CC2E5" w:themeFill="accent1" w:themeFillTint="99"/>
            <w:tcMar>
              <w:top w:w="0" w:type="dxa"/>
              <w:left w:w="108" w:type="dxa"/>
              <w:bottom w:w="0" w:type="dxa"/>
              <w:right w:w="108" w:type="dxa"/>
            </w:tcMar>
          </w:tcPr>
          <w:p w14:paraId="2C9CE061" w14:textId="77777777" w:rsidR="00284822" w:rsidRDefault="00F77BF8">
            <w:pPr>
              <w:spacing w:line="240" w:lineRule="auto"/>
              <w:rPr>
                <w:rFonts w:ascii="Rockwell" w:hAnsi="Rockwell"/>
                <w:b/>
                <w:bCs/>
                <w:color w:val="000000"/>
                <w:sz w:val="20"/>
                <w:szCs w:val="20"/>
              </w:rPr>
            </w:pPr>
            <w:r>
              <w:rPr>
                <w:rFonts w:ascii="Rockwell" w:hAnsi="Rockwell"/>
                <w:b/>
                <w:bCs/>
                <w:color w:val="000000"/>
                <w:sz w:val="20"/>
                <w:szCs w:val="20"/>
              </w:rPr>
              <w:t>ACTEURS POLITIQUES</w:t>
            </w:r>
          </w:p>
        </w:tc>
        <w:tc>
          <w:tcPr>
            <w:tcW w:w="3961" w:type="dxa"/>
            <w:gridSpan w:val="4"/>
            <w:shd w:val="clear" w:color="auto" w:fill="9CC2E5" w:themeFill="accent1" w:themeFillTint="99"/>
            <w:tcMar>
              <w:top w:w="0" w:type="dxa"/>
              <w:left w:w="108" w:type="dxa"/>
              <w:bottom w:w="0" w:type="dxa"/>
              <w:right w:w="108" w:type="dxa"/>
            </w:tcMar>
          </w:tcPr>
          <w:p w14:paraId="1958B824" w14:textId="77777777" w:rsidR="00284822" w:rsidRDefault="00F77BF8">
            <w:pPr>
              <w:spacing w:line="240" w:lineRule="auto"/>
              <w:jc w:val="center"/>
              <w:rPr>
                <w:rFonts w:ascii="Rockwell" w:hAnsi="Rockwell"/>
                <w:b/>
                <w:bCs/>
                <w:color w:val="000000"/>
                <w:sz w:val="20"/>
                <w:szCs w:val="20"/>
              </w:rPr>
            </w:pPr>
            <w:r>
              <w:rPr>
                <w:rFonts w:ascii="Rockwell" w:hAnsi="Rockwell"/>
                <w:b/>
                <w:bCs/>
                <w:color w:val="000000"/>
                <w:sz w:val="20"/>
                <w:szCs w:val="20"/>
              </w:rPr>
              <w:t>libreinfo.net</w:t>
            </w:r>
          </w:p>
        </w:tc>
        <w:tc>
          <w:tcPr>
            <w:tcW w:w="3977" w:type="dxa"/>
            <w:gridSpan w:val="4"/>
            <w:shd w:val="clear" w:color="auto" w:fill="9CC2E5" w:themeFill="accent1" w:themeFillTint="99"/>
            <w:tcMar>
              <w:top w:w="0" w:type="dxa"/>
              <w:left w:w="108" w:type="dxa"/>
              <w:bottom w:w="0" w:type="dxa"/>
              <w:right w:w="108" w:type="dxa"/>
            </w:tcMar>
          </w:tcPr>
          <w:p w14:paraId="7B9CFAD1" w14:textId="77777777" w:rsidR="00284822" w:rsidRDefault="00F77BF8">
            <w:pPr>
              <w:spacing w:line="240" w:lineRule="auto"/>
              <w:jc w:val="center"/>
              <w:rPr>
                <w:rFonts w:ascii="Rockwell" w:hAnsi="Rockwell"/>
                <w:b/>
                <w:bCs/>
                <w:color w:val="000000"/>
                <w:sz w:val="20"/>
                <w:szCs w:val="20"/>
              </w:rPr>
            </w:pPr>
            <w:r>
              <w:rPr>
                <w:rFonts w:ascii="Rockwell" w:hAnsi="Rockwell"/>
                <w:b/>
                <w:bCs/>
                <w:color w:val="000000"/>
                <w:sz w:val="20"/>
                <w:szCs w:val="20"/>
              </w:rPr>
              <w:t>directinfoburkina.net</w:t>
            </w:r>
          </w:p>
        </w:tc>
        <w:tc>
          <w:tcPr>
            <w:tcW w:w="4820" w:type="dxa"/>
            <w:gridSpan w:val="4"/>
            <w:shd w:val="clear" w:color="auto" w:fill="9CC2E5" w:themeFill="accent1" w:themeFillTint="99"/>
            <w:tcMar>
              <w:top w:w="0" w:type="dxa"/>
              <w:left w:w="108" w:type="dxa"/>
              <w:bottom w:w="0" w:type="dxa"/>
              <w:right w:w="108" w:type="dxa"/>
            </w:tcMar>
          </w:tcPr>
          <w:p w14:paraId="504F178A" w14:textId="77777777" w:rsidR="00284822" w:rsidRDefault="00F77BF8">
            <w:pPr>
              <w:spacing w:line="240" w:lineRule="auto"/>
              <w:jc w:val="center"/>
              <w:rPr>
                <w:rFonts w:ascii="Rockwell" w:hAnsi="Rockwell"/>
                <w:b/>
                <w:bCs/>
                <w:color w:val="000000"/>
                <w:sz w:val="20"/>
                <w:szCs w:val="20"/>
              </w:rPr>
            </w:pPr>
            <w:r>
              <w:rPr>
                <w:rFonts w:ascii="Rockwell" w:hAnsi="Rockwell"/>
                <w:b/>
                <w:bCs/>
                <w:color w:val="000000"/>
                <w:sz w:val="20"/>
                <w:szCs w:val="20"/>
              </w:rPr>
              <w:t>TOTAL</w:t>
            </w:r>
          </w:p>
        </w:tc>
      </w:tr>
      <w:tr w:rsidR="00284822" w14:paraId="4ED9455D" w14:textId="77777777">
        <w:trPr>
          <w:trHeight w:val="166"/>
          <w:jc w:val="center"/>
        </w:trPr>
        <w:tc>
          <w:tcPr>
            <w:tcW w:w="899" w:type="dxa"/>
            <w:vMerge/>
            <w:shd w:val="clear" w:color="auto" w:fill="9CC2E5" w:themeFill="accent1" w:themeFillTint="99"/>
            <w:noWrap/>
            <w:tcMar>
              <w:top w:w="0" w:type="dxa"/>
              <w:left w:w="108" w:type="dxa"/>
              <w:bottom w:w="0" w:type="dxa"/>
              <w:right w:w="108" w:type="dxa"/>
            </w:tcMar>
          </w:tcPr>
          <w:p w14:paraId="0D10AA07" w14:textId="77777777" w:rsidR="00284822" w:rsidRDefault="00284822">
            <w:pPr>
              <w:spacing w:line="240" w:lineRule="auto"/>
              <w:rPr>
                <w:rFonts w:ascii="Rockwell" w:hAnsi="Rockwell"/>
                <w:b/>
                <w:bCs/>
                <w:sz w:val="20"/>
                <w:szCs w:val="20"/>
              </w:rPr>
            </w:pPr>
          </w:p>
        </w:tc>
        <w:tc>
          <w:tcPr>
            <w:tcW w:w="1506" w:type="dxa"/>
            <w:vMerge/>
            <w:shd w:val="clear" w:color="auto" w:fill="9CC2E5" w:themeFill="accent1" w:themeFillTint="99"/>
            <w:tcMar>
              <w:top w:w="0" w:type="dxa"/>
              <w:left w:w="108" w:type="dxa"/>
              <w:bottom w:w="0" w:type="dxa"/>
              <w:right w:w="108" w:type="dxa"/>
            </w:tcMar>
          </w:tcPr>
          <w:p w14:paraId="53578012" w14:textId="77777777" w:rsidR="00284822" w:rsidRDefault="00284822">
            <w:pPr>
              <w:spacing w:line="240" w:lineRule="auto"/>
              <w:rPr>
                <w:rFonts w:ascii="Rockwell" w:hAnsi="Rockwell"/>
                <w:sz w:val="20"/>
                <w:szCs w:val="20"/>
              </w:rPr>
            </w:pPr>
          </w:p>
        </w:tc>
        <w:tc>
          <w:tcPr>
            <w:tcW w:w="848" w:type="dxa"/>
            <w:shd w:val="clear" w:color="auto" w:fill="9CC2E5" w:themeFill="accent1" w:themeFillTint="99"/>
            <w:tcMar>
              <w:top w:w="0" w:type="dxa"/>
              <w:left w:w="108" w:type="dxa"/>
              <w:bottom w:w="0" w:type="dxa"/>
              <w:right w:w="108" w:type="dxa"/>
            </w:tcMar>
          </w:tcPr>
          <w:p w14:paraId="5ED90ED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NA</w:t>
            </w:r>
          </w:p>
        </w:tc>
        <w:tc>
          <w:tcPr>
            <w:tcW w:w="1133" w:type="dxa"/>
            <w:shd w:val="clear" w:color="auto" w:fill="9CC2E5" w:themeFill="accent1" w:themeFillTint="99"/>
            <w:tcMar>
              <w:top w:w="0" w:type="dxa"/>
              <w:left w:w="108" w:type="dxa"/>
              <w:bottom w:w="0" w:type="dxa"/>
              <w:right w:w="108" w:type="dxa"/>
            </w:tcMar>
          </w:tcPr>
          <w:p w14:paraId="481B92A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 NA</w:t>
            </w:r>
          </w:p>
        </w:tc>
        <w:tc>
          <w:tcPr>
            <w:tcW w:w="847" w:type="dxa"/>
            <w:shd w:val="clear" w:color="auto" w:fill="9CC2E5" w:themeFill="accent1" w:themeFillTint="99"/>
            <w:tcMar>
              <w:top w:w="0" w:type="dxa"/>
              <w:left w:w="108" w:type="dxa"/>
              <w:bottom w:w="0" w:type="dxa"/>
              <w:right w:w="108" w:type="dxa"/>
            </w:tcMar>
          </w:tcPr>
          <w:p w14:paraId="64D5886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NI</w:t>
            </w:r>
          </w:p>
        </w:tc>
        <w:tc>
          <w:tcPr>
            <w:tcW w:w="1133" w:type="dxa"/>
            <w:shd w:val="clear" w:color="auto" w:fill="9CC2E5" w:themeFill="accent1" w:themeFillTint="99"/>
            <w:tcMar>
              <w:top w:w="0" w:type="dxa"/>
              <w:left w:w="108" w:type="dxa"/>
              <w:bottom w:w="0" w:type="dxa"/>
              <w:right w:w="108" w:type="dxa"/>
            </w:tcMar>
          </w:tcPr>
          <w:p w14:paraId="6EDF982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 NI</w:t>
            </w:r>
          </w:p>
        </w:tc>
        <w:tc>
          <w:tcPr>
            <w:tcW w:w="848" w:type="dxa"/>
            <w:shd w:val="clear" w:color="auto" w:fill="9CC2E5" w:themeFill="accent1" w:themeFillTint="99"/>
            <w:tcMar>
              <w:top w:w="0" w:type="dxa"/>
              <w:left w:w="108" w:type="dxa"/>
              <w:bottom w:w="0" w:type="dxa"/>
              <w:right w:w="108" w:type="dxa"/>
            </w:tcMar>
          </w:tcPr>
          <w:p w14:paraId="12DE341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NA</w:t>
            </w:r>
          </w:p>
        </w:tc>
        <w:tc>
          <w:tcPr>
            <w:tcW w:w="1024" w:type="dxa"/>
            <w:shd w:val="clear" w:color="auto" w:fill="9CC2E5" w:themeFill="accent1" w:themeFillTint="99"/>
            <w:tcMar>
              <w:top w:w="0" w:type="dxa"/>
              <w:left w:w="108" w:type="dxa"/>
              <w:bottom w:w="0" w:type="dxa"/>
              <w:right w:w="108" w:type="dxa"/>
            </w:tcMar>
          </w:tcPr>
          <w:p w14:paraId="718046B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 NA</w:t>
            </w:r>
          </w:p>
        </w:tc>
        <w:tc>
          <w:tcPr>
            <w:tcW w:w="971" w:type="dxa"/>
            <w:shd w:val="clear" w:color="auto" w:fill="9CC2E5" w:themeFill="accent1" w:themeFillTint="99"/>
            <w:tcMar>
              <w:top w:w="0" w:type="dxa"/>
              <w:left w:w="108" w:type="dxa"/>
              <w:bottom w:w="0" w:type="dxa"/>
              <w:right w:w="108" w:type="dxa"/>
            </w:tcMar>
          </w:tcPr>
          <w:p w14:paraId="6125D2D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NI</w:t>
            </w:r>
          </w:p>
        </w:tc>
        <w:tc>
          <w:tcPr>
            <w:tcW w:w="1134" w:type="dxa"/>
            <w:shd w:val="clear" w:color="auto" w:fill="9CC2E5" w:themeFill="accent1" w:themeFillTint="99"/>
            <w:tcMar>
              <w:top w:w="0" w:type="dxa"/>
              <w:left w:w="108" w:type="dxa"/>
              <w:bottom w:w="0" w:type="dxa"/>
              <w:right w:w="108" w:type="dxa"/>
            </w:tcMar>
          </w:tcPr>
          <w:p w14:paraId="03156AF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 NI</w:t>
            </w:r>
          </w:p>
        </w:tc>
        <w:tc>
          <w:tcPr>
            <w:tcW w:w="851" w:type="dxa"/>
            <w:shd w:val="clear" w:color="auto" w:fill="9CC2E5" w:themeFill="accent1" w:themeFillTint="99"/>
            <w:tcMar>
              <w:top w:w="0" w:type="dxa"/>
              <w:left w:w="108" w:type="dxa"/>
              <w:bottom w:w="0" w:type="dxa"/>
              <w:right w:w="108" w:type="dxa"/>
            </w:tcMar>
          </w:tcPr>
          <w:p w14:paraId="67B5C47F" w14:textId="77777777" w:rsidR="00284822" w:rsidRDefault="00F77BF8">
            <w:pPr>
              <w:spacing w:line="240" w:lineRule="auto"/>
              <w:rPr>
                <w:rFonts w:ascii="Rockwell" w:hAnsi="Rockwell"/>
                <w:b/>
                <w:bCs/>
                <w:color w:val="000000"/>
                <w:sz w:val="20"/>
                <w:szCs w:val="20"/>
              </w:rPr>
            </w:pPr>
            <w:r>
              <w:rPr>
                <w:rFonts w:ascii="Rockwell" w:hAnsi="Rockwell"/>
                <w:b/>
                <w:bCs/>
                <w:color w:val="000000"/>
                <w:sz w:val="20"/>
                <w:szCs w:val="20"/>
              </w:rPr>
              <w:t>NA</w:t>
            </w:r>
          </w:p>
        </w:tc>
        <w:tc>
          <w:tcPr>
            <w:tcW w:w="1134" w:type="dxa"/>
            <w:shd w:val="clear" w:color="auto" w:fill="9CC2E5" w:themeFill="accent1" w:themeFillTint="99"/>
            <w:tcMar>
              <w:top w:w="0" w:type="dxa"/>
              <w:left w:w="108" w:type="dxa"/>
              <w:bottom w:w="0" w:type="dxa"/>
              <w:right w:w="108" w:type="dxa"/>
            </w:tcMar>
          </w:tcPr>
          <w:p w14:paraId="43402783" w14:textId="77777777" w:rsidR="00284822" w:rsidRDefault="00F77BF8">
            <w:pPr>
              <w:spacing w:line="240" w:lineRule="auto"/>
              <w:rPr>
                <w:rFonts w:ascii="Rockwell" w:hAnsi="Rockwell"/>
                <w:b/>
                <w:bCs/>
                <w:color w:val="000000"/>
                <w:sz w:val="20"/>
                <w:szCs w:val="20"/>
              </w:rPr>
            </w:pPr>
            <w:r>
              <w:rPr>
                <w:rFonts w:ascii="Rockwell" w:hAnsi="Rockwell"/>
                <w:b/>
                <w:bCs/>
                <w:color w:val="000000"/>
                <w:sz w:val="20"/>
                <w:szCs w:val="20"/>
              </w:rPr>
              <w:t>% NA</w:t>
            </w:r>
          </w:p>
        </w:tc>
        <w:tc>
          <w:tcPr>
            <w:tcW w:w="992" w:type="dxa"/>
            <w:shd w:val="clear" w:color="auto" w:fill="9CC2E5" w:themeFill="accent1" w:themeFillTint="99"/>
            <w:tcMar>
              <w:top w:w="0" w:type="dxa"/>
              <w:left w:w="108" w:type="dxa"/>
              <w:bottom w:w="0" w:type="dxa"/>
              <w:right w:w="108" w:type="dxa"/>
            </w:tcMar>
          </w:tcPr>
          <w:p w14:paraId="0F38A23C" w14:textId="77777777" w:rsidR="00284822" w:rsidRDefault="00F77BF8">
            <w:pPr>
              <w:spacing w:line="240" w:lineRule="auto"/>
              <w:rPr>
                <w:rFonts w:ascii="Rockwell" w:hAnsi="Rockwell"/>
                <w:b/>
                <w:bCs/>
                <w:color w:val="000000"/>
                <w:sz w:val="20"/>
                <w:szCs w:val="20"/>
              </w:rPr>
            </w:pPr>
            <w:r>
              <w:rPr>
                <w:rFonts w:ascii="Rockwell" w:hAnsi="Rockwell"/>
                <w:b/>
                <w:bCs/>
                <w:color w:val="000000"/>
                <w:sz w:val="20"/>
                <w:szCs w:val="20"/>
              </w:rPr>
              <w:t>NI</w:t>
            </w:r>
          </w:p>
        </w:tc>
        <w:tc>
          <w:tcPr>
            <w:tcW w:w="1843" w:type="dxa"/>
            <w:shd w:val="clear" w:color="auto" w:fill="9CC2E5" w:themeFill="accent1" w:themeFillTint="99"/>
            <w:tcMar>
              <w:top w:w="0" w:type="dxa"/>
              <w:left w:w="108" w:type="dxa"/>
              <w:bottom w:w="0" w:type="dxa"/>
              <w:right w:w="108" w:type="dxa"/>
            </w:tcMar>
          </w:tcPr>
          <w:p w14:paraId="0AB4A2E1" w14:textId="77777777" w:rsidR="00284822" w:rsidRDefault="00F77BF8">
            <w:pPr>
              <w:spacing w:line="240" w:lineRule="auto"/>
              <w:rPr>
                <w:rFonts w:ascii="Rockwell" w:hAnsi="Rockwell"/>
                <w:b/>
                <w:bCs/>
                <w:color w:val="000000"/>
                <w:sz w:val="20"/>
                <w:szCs w:val="20"/>
              </w:rPr>
            </w:pPr>
            <w:r>
              <w:rPr>
                <w:rFonts w:ascii="Rockwell" w:hAnsi="Rockwell"/>
                <w:b/>
                <w:bCs/>
                <w:color w:val="000000"/>
                <w:sz w:val="20"/>
                <w:szCs w:val="20"/>
              </w:rPr>
              <w:t>% NI</w:t>
            </w:r>
          </w:p>
        </w:tc>
      </w:tr>
      <w:tr w:rsidR="00284822" w14:paraId="531B8C28" w14:textId="77777777">
        <w:trPr>
          <w:trHeight w:val="136"/>
          <w:jc w:val="center"/>
        </w:trPr>
        <w:tc>
          <w:tcPr>
            <w:tcW w:w="899" w:type="dxa"/>
            <w:shd w:val="clear" w:color="auto" w:fill="FFFFFF" w:themeFill="background1"/>
            <w:noWrap/>
            <w:tcMar>
              <w:top w:w="0" w:type="dxa"/>
              <w:left w:w="108" w:type="dxa"/>
              <w:bottom w:w="0" w:type="dxa"/>
              <w:right w:w="108" w:type="dxa"/>
            </w:tcMar>
            <w:vAlign w:val="bottom"/>
          </w:tcPr>
          <w:p w14:paraId="0046E066"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23</w:t>
            </w:r>
          </w:p>
        </w:tc>
        <w:tc>
          <w:tcPr>
            <w:tcW w:w="1506" w:type="dxa"/>
            <w:shd w:val="clear" w:color="auto" w:fill="FFFFFF" w:themeFill="background1"/>
            <w:tcMar>
              <w:top w:w="0" w:type="dxa"/>
              <w:left w:w="108" w:type="dxa"/>
              <w:bottom w:w="0" w:type="dxa"/>
              <w:right w:w="108" w:type="dxa"/>
            </w:tcMar>
            <w:vAlign w:val="bottom"/>
          </w:tcPr>
          <w:p w14:paraId="3A1B53D7"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NAFA</w:t>
            </w:r>
          </w:p>
        </w:tc>
        <w:tc>
          <w:tcPr>
            <w:tcW w:w="848" w:type="dxa"/>
            <w:shd w:val="clear" w:color="auto" w:fill="FFFFFF" w:themeFill="background1"/>
            <w:tcMar>
              <w:top w:w="0" w:type="dxa"/>
              <w:left w:w="108" w:type="dxa"/>
              <w:bottom w:w="0" w:type="dxa"/>
              <w:right w:w="108" w:type="dxa"/>
            </w:tcMar>
            <w:vAlign w:val="center"/>
          </w:tcPr>
          <w:p w14:paraId="456C2E1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3" w:type="dxa"/>
            <w:shd w:val="clear" w:color="auto" w:fill="FFFFFF" w:themeFill="background1"/>
            <w:tcMar>
              <w:top w:w="0" w:type="dxa"/>
              <w:left w:w="108" w:type="dxa"/>
              <w:bottom w:w="0" w:type="dxa"/>
              <w:right w:w="108" w:type="dxa"/>
            </w:tcMar>
            <w:vAlign w:val="center"/>
          </w:tcPr>
          <w:p w14:paraId="6230AEB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47" w:type="dxa"/>
            <w:shd w:val="clear" w:color="auto" w:fill="FFFFFF" w:themeFill="background1"/>
            <w:tcMar>
              <w:top w:w="0" w:type="dxa"/>
              <w:left w:w="108" w:type="dxa"/>
              <w:bottom w:w="0" w:type="dxa"/>
              <w:right w:w="108" w:type="dxa"/>
            </w:tcMar>
            <w:vAlign w:val="center"/>
          </w:tcPr>
          <w:p w14:paraId="00ABD9E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3" w:type="dxa"/>
            <w:shd w:val="clear" w:color="auto" w:fill="FFFFFF" w:themeFill="background1"/>
            <w:tcMar>
              <w:top w:w="0" w:type="dxa"/>
              <w:left w:w="108" w:type="dxa"/>
              <w:bottom w:w="0" w:type="dxa"/>
              <w:right w:w="108" w:type="dxa"/>
            </w:tcMar>
            <w:vAlign w:val="center"/>
          </w:tcPr>
          <w:p w14:paraId="5BD365E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48" w:type="dxa"/>
            <w:shd w:val="clear" w:color="auto" w:fill="FFFFFF" w:themeFill="background1"/>
            <w:tcMar>
              <w:top w:w="0" w:type="dxa"/>
              <w:left w:w="108" w:type="dxa"/>
              <w:bottom w:w="0" w:type="dxa"/>
              <w:right w:w="108" w:type="dxa"/>
            </w:tcMar>
            <w:vAlign w:val="center"/>
          </w:tcPr>
          <w:p w14:paraId="57FA54B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024" w:type="dxa"/>
            <w:shd w:val="clear" w:color="auto" w:fill="FFFFFF" w:themeFill="background1"/>
            <w:tcMar>
              <w:top w:w="0" w:type="dxa"/>
              <w:left w:w="108" w:type="dxa"/>
              <w:bottom w:w="0" w:type="dxa"/>
              <w:right w:w="108" w:type="dxa"/>
            </w:tcMar>
            <w:vAlign w:val="center"/>
          </w:tcPr>
          <w:p w14:paraId="399011E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5,26%</w:t>
            </w:r>
          </w:p>
        </w:tc>
        <w:tc>
          <w:tcPr>
            <w:tcW w:w="971" w:type="dxa"/>
            <w:shd w:val="clear" w:color="auto" w:fill="FFFFFF" w:themeFill="background1"/>
            <w:tcMar>
              <w:top w:w="0" w:type="dxa"/>
              <w:left w:w="108" w:type="dxa"/>
              <w:bottom w:w="0" w:type="dxa"/>
              <w:right w:w="108" w:type="dxa"/>
            </w:tcMar>
            <w:vAlign w:val="center"/>
          </w:tcPr>
          <w:p w14:paraId="670C5BB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34" w:type="dxa"/>
            <w:shd w:val="clear" w:color="auto" w:fill="FFFFFF" w:themeFill="background1"/>
            <w:tcMar>
              <w:top w:w="0" w:type="dxa"/>
              <w:left w:w="108" w:type="dxa"/>
              <w:bottom w:w="0" w:type="dxa"/>
              <w:right w:w="108" w:type="dxa"/>
            </w:tcMar>
            <w:vAlign w:val="center"/>
          </w:tcPr>
          <w:p w14:paraId="6027FC5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4,17%</w:t>
            </w:r>
          </w:p>
        </w:tc>
        <w:tc>
          <w:tcPr>
            <w:tcW w:w="851" w:type="dxa"/>
            <w:shd w:val="clear" w:color="auto" w:fill="FFFFFF" w:themeFill="background1"/>
            <w:tcMar>
              <w:top w:w="0" w:type="dxa"/>
              <w:left w:w="108" w:type="dxa"/>
              <w:bottom w:w="0" w:type="dxa"/>
              <w:right w:w="108" w:type="dxa"/>
            </w:tcMar>
            <w:vAlign w:val="center"/>
          </w:tcPr>
          <w:p w14:paraId="79083C31" w14:textId="77777777" w:rsidR="00284822" w:rsidRDefault="00F77BF8">
            <w:pPr>
              <w:spacing w:line="240" w:lineRule="auto"/>
              <w:rPr>
                <w:rFonts w:ascii="Rockwell" w:hAnsi="Rockwell"/>
                <w:b/>
                <w:bCs/>
                <w:sz w:val="20"/>
                <w:szCs w:val="20"/>
              </w:rPr>
            </w:pPr>
            <w:r>
              <w:rPr>
                <w:rFonts w:ascii="Rockwell" w:hAnsi="Rockwell"/>
                <w:b/>
                <w:bCs/>
                <w:sz w:val="20"/>
                <w:szCs w:val="20"/>
              </w:rPr>
              <w:t>5</w:t>
            </w:r>
          </w:p>
        </w:tc>
        <w:tc>
          <w:tcPr>
            <w:tcW w:w="1134" w:type="dxa"/>
            <w:shd w:val="clear" w:color="auto" w:fill="FFFFFF" w:themeFill="background1"/>
            <w:tcMar>
              <w:top w:w="0" w:type="dxa"/>
              <w:left w:w="108" w:type="dxa"/>
              <w:bottom w:w="0" w:type="dxa"/>
              <w:right w:w="108" w:type="dxa"/>
            </w:tcMar>
            <w:vAlign w:val="center"/>
          </w:tcPr>
          <w:p w14:paraId="4BFA128B" w14:textId="77777777" w:rsidR="00284822" w:rsidRDefault="00F77BF8">
            <w:pPr>
              <w:spacing w:line="240" w:lineRule="auto"/>
              <w:rPr>
                <w:rFonts w:ascii="Rockwell" w:hAnsi="Rockwell"/>
                <w:b/>
                <w:bCs/>
                <w:sz w:val="20"/>
                <w:szCs w:val="20"/>
              </w:rPr>
            </w:pPr>
            <w:r>
              <w:rPr>
                <w:rFonts w:ascii="Rockwell" w:hAnsi="Rockwell"/>
                <w:b/>
                <w:bCs/>
                <w:sz w:val="20"/>
                <w:szCs w:val="20"/>
              </w:rPr>
              <w:t>0,67%</w:t>
            </w:r>
          </w:p>
        </w:tc>
        <w:tc>
          <w:tcPr>
            <w:tcW w:w="992" w:type="dxa"/>
            <w:shd w:val="clear" w:color="auto" w:fill="FFFFFF" w:themeFill="background1"/>
            <w:tcMar>
              <w:top w:w="0" w:type="dxa"/>
              <w:left w:w="108" w:type="dxa"/>
              <w:bottom w:w="0" w:type="dxa"/>
              <w:right w:w="108" w:type="dxa"/>
            </w:tcMar>
            <w:vAlign w:val="center"/>
          </w:tcPr>
          <w:p w14:paraId="53A64A51" w14:textId="77777777" w:rsidR="00284822" w:rsidRDefault="00F77BF8">
            <w:pPr>
              <w:spacing w:line="240" w:lineRule="auto"/>
              <w:rPr>
                <w:rFonts w:ascii="Rockwell" w:hAnsi="Rockwell"/>
                <w:b/>
                <w:bCs/>
                <w:sz w:val="20"/>
                <w:szCs w:val="20"/>
              </w:rPr>
            </w:pPr>
            <w:r>
              <w:rPr>
                <w:rFonts w:ascii="Rockwell" w:hAnsi="Rockwell"/>
                <w:b/>
                <w:bCs/>
                <w:sz w:val="20"/>
                <w:szCs w:val="20"/>
              </w:rPr>
              <w:t>5</w:t>
            </w:r>
          </w:p>
        </w:tc>
        <w:tc>
          <w:tcPr>
            <w:tcW w:w="1843" w:type="dxa"/>
            <w:shd w:val="clear" w:color="auto" w:fill="FFFFFF" w:themeFill="background1"/>
            <w:tcMar>
              <w:top w:w="0" w:type="dxa"/>
              <w:left w:w="108" w:type="dxa"/>
              <w:bottom w:w="0" w:type="dxa"/>
              <w:right w:w="108" w:type="dxa"/>
            </w:tcMar>
            <w:vAlign w:val="center"/>
          </w:tcPr>
          <w:p w14:paraId="2D7DEDE1" w14:textId="77777777" w:rsidR="00284822" w:rsidRDefault="00F77BF8">
            <w:pPr>
              <w:spacing w:line="240" w:lineRule="auto"/>
              <w:rPr>
                <w:rFonts w:ascii="Rockwell" w:hAnsi="Rockwell"/>
                <w:b/>
                <w:bCs/>
                <w:sz w:val="20"/>
                <w:szCs w:val="20"/>
              </w:rPr>
            </w:pPr>
            <w:r>
              <w:rPr>
                <w:rFonts w:ascii="Rockwell" w:hAnsi="Rockwell"/>
                <w:b/>
                <w:bCs/>
                <w:sz w:val="20"/>
                <w:szCs w:val="20"/>
              </w:rPr>
              <w:t>0,42%</w:t>
            </w:r>
          </w:p>
        </w:tc>
      </w:tr>
      <w:tr w:rsidR="00284822" w14:paraId="6F97D99D" w14:textId="77777777">
        <w:trPr>
          <w:trHeight w:val="136"/>
          <w:jc w:val="center"/>
        </w:trPr>
        <w:tc>
          <w:tcPr>
            <w:tcW w:w="899" w:type="dxa"/>
            <w:shd w:val="clear" w:color="auto" w:fill="FFFFFF" w:themeFill="background1"/>
            <w:noWrap/>
            <w:tcMar>
              <w:top w:w="0" w:type="dxa"/>
              <w:left w:w="108" w:type="dxa"/>
              <w:bottom w:w="0" w:type="dxa"/>
              <w:right w:w="108" w:type="dxa"/>
            </w:tcMar>
            <w:vAlign w:val="bottom"/>
          </w:tcPr>
          <w:p w14:paraId="62DCB5F1"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24</w:t>
            </w:r>
          </w:p>
        </w:tc>
        <w:tc>
          <w:tcPr>
            <w:tcW w:w="1506" w:type="dxa"/>
            <w:shd w:val="clear" w:color="auto" w:fill="FFFFFF" w:themeFill="background1"/>
            <w:tcMar>
              <w:top w:w="0" w:type="dxa"/>
              <w:left w:w="108" w:type="dxa"/>
              <w:bottom w:w="0" w:type="dxa"/>
              <w:right w:w="108" w:type="dxa"/>
            </w:tcMar>
            <w:vAlign w:val="bottom"/>
          </w:tcPr>
          <w:p w14:paraId="483CCF78"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NOVI</w:t>
            </w:r>
          </w:p>
        </w:tc>
        <w:tc>
          <w:tcPr>
            <w:tcW w:w="848" w:type="dxa"/>
            <w:shd w:val="clear" w:color="auto" w:fill="FFFFFF" w:themeFill="background1"/>
            <w:tcMar>
              <w:top w:w="0" w:type="dxa"/>
              <w:left w:w="108" w:type="dxa"/>
              <w:bottom w:w="0" w:type="dxa"/>
              <w:right w:w="108" w:type="dxa"/>
            </w:tcMar>
            <w:vAlign w:val="center"/>
          </w:tcPr>
          <w:p w14:paraId="5FEFFE2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3" w:type="dxa"/>
            <w:shd w:val="clear" w:color="auto" w:fill="FFFFFF" w:themeFill="background1"/>
            <w:tcMar>
              <w:top w:w="0" w:type="dxa"/>
              <w:left w:w="108" w:type="dxa"/>
              <w:bottom w:w="0" w:type="dxa"/>
              <w:right w:w="108" w:type="dxa"/>
            </w:tcMar>
            <w:vAlign w:val="center"/>
          </w:tcPr>
          <w:p w14:paraId="14F68DB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47" w:type="dxa"/>
            <w:shd w:val="clear" w:color="auto" w:fill="FFFFFF" w:themeFill="background1"/>
            <w:tcMar>
              <w:top w:w="0" w:type="dxa"/>
              <w:left w:w="108" w:type="dxa"/>
              <w:bottom w:w="0" w:type="dxa"/>
              <w:right w:w="108" w:type="dxa"/>
            </w:tcMar>
            <w:vAlign w:val="center"/>
          </w:tcPr>
          <w:p w14:paraId="51A7740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3" w:type="dxa"/>
            <w:shd w:val="clear" w:color="auto" w:fill="FFFFFF" w:themeFill="background1"/>
            <w:tcMar>
              <w:top w:w="0" w:type="dxa"/>
              <w:left w:w="108" w:type="dxa"/>
              <w:bottom w:w="0" w:type="dxa"/>
              <w:right w:w="108" w:type="dxa"/>
            </w:tcMar>
            <w:vAlign w:val="center"/>
          </w:tcPr>
          <w:p w14:paraId="201A31F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48" w:type="dxa"/>
            <w:shd w:val="clear" w:color="auto" w:fill="FFFFFF" w:themeFill="background1"/>
            <w:tcMar>
              <w:top w:w="0" w:type="dxa"/>
              <w:left w:w="108" w:type="dxa"/>
              <w:bottom w:w="0" w:type="dxa"/>
              <w:right w:w="108" w:type="dxa"/>
            </w:tcMar>
            <w:vAlign w:val="center"/>
          </w:tcPr>
          <w:p w14:paraId="27FC98C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24" w:type="dxa"/>
            <w:shd w:val="clear" w:color="auto" w:fill="FFFFFF" w:themeFill="background1"/>
            <w:tcMar>
              <w:top w:w="0" w:type="dxa"/>
              <w:left w:w="108" w:type="dxa"/>
              <w:bottom w:w="0" w:type="dxa"/>
              <w:right w:w="108" w:type="dxa"/>
            </w:tcMar>
            <w:vAlign w:val="center"/>
          </w:tcPr>
          <w:p w14:paraId="207D799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971" w:type="dxa"/>
            <w:shd w:val="clear" w:color="auto" w:fill="FFFFFF" w:themeFill="background1"/>
            <w:tcMar>
              <w:top w:w="0" w:type="dxa"/>
              <w:left w:w="108" w:type="dxa"/>
              <w:bottom w:w="0" w:type="dxa"/>
              <w:right w:w="108" w:type="dxa"/>
            </w:tcMar>
            <w:vAlign w:val="center"/>
          </w:tcPr>
          <w:p w14:paraId="08AE35E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4" w:type="dxa"/>
            <w:shd w:val="clear" w:color="auto" w:fill="FFFFFF" w:themeFill="background1"/>
            <w:tcMar>
              <w:top w:w="0" w:type="dxa"/>
              <w:left w:w="108" w:type="dxa"/>
              <w:bottom w:w="0" w:type="dxa"/>
              <w:right w:w="108" w:type="dxa"/>
            </w:tcMar>
            <w:vAlign w:val="center"/>
          </w:tcPr>
          <w:p w14:paraId="1E57950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51" w:type="dxa"/>
            <w:shd w:val="clear" w:color="auto" w:fill="FFFFFF" w:themeFill="background1"/>
            <w:tcMar>
              <w:top w:w="0" w:type="dxa"/>
              <w:left w:w="108" w:type="dxa"/>
              <w:bottom w:w="0" w:type="dxa"/>
              <w:right w:w="108" w:type="dxa"/>
            </w:tcMar>
            <w:vAlign w:val="center"/>
          </w:tcPr>
          <w:p w14:paraId="20FDBFEF" w14:textId="77777777" w:rsidR="00284822" w:rsidRDefault="00F77BF8">
            <w:pPr>
              <w:spacing w:line="240" w:lineRule="auto"/>
              <w:rPr>
                <w:rFonts w:ascii="Rockwell" w:hAnsi="Rockwell"/>
                <w:b/>
                <w:bCs/>
                <w:sz w:val="20"/>
                <w:szCs w:val="20"/>
              </w:rPr>
            </w:pPr>
            <w:r>
              <w:rPr>
                <w:rFonts w:ascii="Rockwell" w:hAnsi="Rockwell"/>
                <w:b/>
                <w:bCs/>
                <w:sz w:val="20"/>
                <w:szCs w:val="20"/>
              </w:rPr>
              <w:t>6</w:t>
            </w:r>
          </w:p>
        </w:tc>
        <w:tc>
          <w:tcPr>
            <w:tcW w:w="1134" w:type="dxa"/>
            <w:shd w:val="clear" w:color="auto" w:fill="FFFFFF" w:themeFill="background1"/>
            <w:tcMar>
              <w:top w:w="0" w:type="dxa"/>
              <w:left w:w="108" w:type="dxa"/>
              <w:bottom w:w="0" w:type="dxa"/>
              <w:right w:w="108" w:type="dxa"/>
            </w:tcMar>
            <w:vAlign w:val="center"/>
          </w:tcPr>
          <w:p w14:paraId="41B8EDBE" w14:textId="77777777" w:rsidR="00284822" w:rsidRDefault="00F77BF8">
            <w:pPr>
              <w:spacing w:line="240" w:lineRule="auto"/>
              <w:rPr>
                <w:rFonts w:ascii="Rockwell" w:hAnsi="Rockwell"/>
                <w:b/>
                <w:bCs/>
                <w:sz w:val="20"/>
                <w:szCs w:val="20"/>
              </w:rPr>
            </w:pPr>
            <w:r>
              <w:rPr>
                <w:rFonts w:ascii="Rockwell" w:hAnsi="Rockwell"/>
                <w:b/>
                <w:bCs/>
                <w:sz w:val="20"/>
                <w:szCs w:val="20"/>
              </w:rPr>
              <w:t>0,81%</w:t>
            </w:r>
          </w:p>
        </w:tc>
        <w:tc>
          <w:tcPr>
            <w:tcW w:w="992" w:type="dxa"/>
            <w:shd w:val="clear" w:color="auto" w:fill="FFFFFF" w:themeFill="background1"/>
            <w:tcMar>
              <w:top w:w="0" w:type="dxa"/>
              <w:left w:w="108" w:type="dxa"/>
              <w:bottom w:w="0" w:type="dxa"/>
              <w:right w:w="108" w:type="dxa"/>
            </w:tcMar>
            <w:vAlign w:val="center"/>
          </w:tcPr>
          <w:p w14:paraId="6E857B85" w14:textId="77777777" w:rsidR="00284822" w:rsidRDefault="00F77BF8">
            <w:pPr>
              <w:spacing w:line="240" w:lineRule="auto"/>
              <w:rPr>
                <w:rFonts w:ascii="Rockwell" w:hAnsi="Rockwell"/>
                <w:b/>
                <w:bCs/>
                <w:sz w:val="20"/>
                <w:szCs w:val="20"/>
              </w:rPr>
            </w:pPr>
            <w:r>
              <w:rPr>
                <w:rFonts w:ascii="Rockwell" w:hAnsi="Rockwell"/>
                <w:b/>
                <w:bCs/>
                <w:sz w:val="20"/>
                <w:szCs w:val="20"/>
              </w:rPr>
              <w:t>11</w:t>
            </w:r>
          </w:p>
        </w:tc>
        <w:tc>
          <w:tcPr>
            <w:tcW w:w="1843" w:type="dxa"/>
            <w:shd w:val="clear" w:color="auto" w:fill="FFFFFF" w:themeFill="background1"/>
            <w:tcMar>
              <w:top w:w="0" w:type="dxa"/>
              <w:left w:w="108" w:type="dxa"/>
              <w:bottom w:w="0" w:type="dxa"/>
              <w:right w:w="108" w:type="dxa"/>
            </w:tcMar>
            <w:vAlign w:val="center"/>
          </w:tcPr>
          <w:p w14:paraId="11E093EE" w14:textId="77777777" w:rsidR="00284822" w:rsidRDefault="00F77BF8">
            <w:pPr>
              <w:spacing w:line="240" w:lineRule="auto"/>
              <w:rPr>
                <w:rFonts w:ascii="Rockwell" w:hAnsi="Rockwell"/>
                <w:b/>
                <w:bCs/>
                <w:sz w:val="20"/>
                <w:szCs w:val="20"/>
              </w:rPr>
            </w:pPr>
            <w:r>
              <w:rPr>
                <w:rFonts w:ascii="Rockwell" w:hAnsi="Rockwell"/>
                <w:b/>
                <w:bCs/>
                <w:sz w:val="20"/>
                <w:szCs w:val="20"/>
              </w:rPr>
              <w:t>0,92%</w:t>
            </w:r>
          </w:p>
        </w:tc>
      </w:tr>
      <w:tr w:rsidR="00284822" w14:paraId="074402A5" w14:textId="77777777">
        <w:trPr>
          <w:trHeight w:val="136"/>
          <w:jc w:val="center"/>
        </w:trPr>
        <w:tc>
          <w:tcPr>
            <w:tcW w:w="899" w:type="dxa"/>
            <w:shd w:val="clear" w:color="auto" w:fill="FFFFFF" w:themeFill="background1"/>
            <w:noWrap/>
            <w:tcMar>
              <w:top w:w="0" w:type="dxa"/>
              <w:left w:w="108" w:type="dxa"/>
              <w:bottom w:w="0" w:type="dxa"/>
              <w:right w:w="108" w:type="dxa"/>
            </w:tcMar>
            <w:vAlign w:val="bottom"/>
          </w:tcPr>
          <w:p w14:paraId="2F84592B"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25</w:t>
            </w:r>
          </w:p>
        </w:tc>
        <w:tc>
          <w:tcPr>
            <w:tcW w:w="1506" w:type="dxa"/>
            <w:shd w:val="clear" w:color="auto" w:fill="FFFFFF" w:themeFill="background1"/>
            <w:tcMar>
              <w:top w:w="0" w:type="dxa"/>
              <w:left w:w="108" w:type="dxa"/>
              <w:bottom w:w="0" w:type="dxa"/>
              <w:right w:w="108" w:type="dxa"/>
            </w:tcMar>
            <w:vAlign w:val="bottom"/>
          </w:tcPr>
          <w:p w14:paraId="035D874A"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NTD</w:t>
            </w:r>
          </w:p>
        </w:tc>
        <w:tc>
          <w:tcPr>
            <w:tcW w:w="848" w:type="dxa"/>
            <w:shd w:val="clear" w:color="auto" w:fill="FFFFFF" w:themeFill="background1"/>
            <w:tcMar>
              <w:top w:w="0" w:type="dxa"/>
              <w:left w:w="108" w:type="dxa"/>
              <w:bottom w:w="0" w:type="dxa"/>
              <w:right w:w="108" w:type="dxa"/>
            </w:tcMar>
            <w:vAlign w:val="center"/>
          </w:tcPr>
          <w:p w14:paraId="361BCBF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33" w:type="dxa"/>
            <w:shd w:val="clear" w:color="auto" w:fill="FFFFFF" w:themeFill="background1"/>
            <w:tcMar>
              <w:top w:w="0" w:type="dxa"/>
              <w:left w:w="108" w:type="dxa"/>
              <w:bottom w:w="0" w:type="dxa"/>
              <w:right w:w="108" w:type="dxa"/>
            </w:tcMar>
            <w:vAlign w:val="center"/>
          </w:tcPr>
          <w:p w14:paraId="636DAC4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2,17%</w:t>
            </w:r>
          </w:p>
        </w:tc>
        <w:tc>
          <w:tcPr>
            <w:tcW w:w="847" w:type="dxa"/>
            <w:shd w:val="clear" w:color="auto" w:fill="FFFFFF" w:themeFill="background1"/>
            <w:tcMar>
              <w:top w:w="0" w:type="dxa"/>
              <w:left w:w="108" w:type="dxa"/>
              <w:bottom w:w="0" w:type="dxa"/>
              <w:right w:w="108" w:type="dxa"/>
            </w:tcMar>
            <w:vAlign w:val="center"/>
          </w:tcPr>
          <w:p w14:paraId="017649C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33" w:type="dxa"/>
            <w:shd w:val="clear" w:color="auto" w:fill="FFFFFF" w:themeFill="background1"/>
            <w:tcMar>
              <w:top w:w="0" w:type="dxa"/>
              <w:left w:w="108" w:type="dxa"/>
              <w:bottom w:w="0" w:type="dxa"/>
              <w:right w:w="108" w:type="dxa"/>
            </w:tcMar>
            <w:vAlign w:val="center"/>
          </w:tcPr>
          <w:p w14:paraId="31F91D0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2,08%</w:t>
            </w:r>
          </w:p>
        </w:tc>
        <w:tc>
          <w:tcPr>
            <w:tcW w:w="848" w:type="dxa"/>
            <w:shd w:val="clear" w:color="auto" w:fill="FFFFFF" w:themeFill="background1"/>
            <w:tcMar>
              <w:top w:w="0" w:type="dxa"/>
              <w:left w:w="108" w:type="dxa"/>
              <w:bottom w:w="0" w:type="dxa"/>
              <w:right w:w="108" w:type="dxa"/>
            </w:tcMar>
            <w:vAlign w:val="center"/>
          </w:tcPr>
          <w:p w14:paraId="3CDC59A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024" w:type="dxa"/>
            <w:shd w:val="clear" w:color="auto" w:fill="FFFFFF" w:themeFill="background1"/>
            <w:tcMar>
              <w:top w:w="0" w:type="dxa"/>
              <w:left w:w="108" w:type="dxa"/>
              <w:bottom w:w="0" w:type="dxa"/>
              <w:right w:w="108" w:type="dxa"/>
            </w:tcMar>
            <w:vAlign w:val="center"/>
          </w:tcPr>
          <w:p w14:paraId="6C696B5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5,26%</w:t>
            </w:r>
          </w:p>
        </w:tc>
        <w:tc>
          <w:tcPr>
            <w:tcW w:w="971" w:type="dxa"/>
            <w:shd w:val="clear" w:color="auto" w:fill="FFFFFF" w:themeFill="background1"/>
            <w:tcMar>
              <w:top w:w="0" w:type="dxa"/>
              <w:left w:w="108" w:type="dxa"/>
              <w:bottom w:w="0" w:type="dxa"/>
              <w:right w:w="108" w:type="dxa"/>
            </w:tcMar>
            <w:vAlign w:val="center"/>
          </w:tcPr>
          <w:p w14:paraId="2349071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34" w:type="dxa"/>
            <w:shd w:val="clear" w:color="auto" w:fill="FFFFFF" w:themeFill="background1"/>
            <w:tcMar>
              <w:top w:w="0" w:type="dxa"/>
              <w:left w:w="108" w:type="dxa"/>
              <w:bottom w:w="0" w:type="dxa"/>
              <w:right w:w="108" w:type="dxa"/>
            </w:tcMar>
            <w:vAlign w:val="center"/>
          </w:tcPr>
          <w:p w14:paraId="43A290B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4,17%</w:t>
            </w:r>
          </w:p>
        </w:tc>
        <w:tc>
          <w:tcPr>
            <w:tcW w:w="851" w:type="dxa"/>
            <w:shd w:val="clear" w:color="auto" w:fill="FFFFFF" w:themeFill="background1"/>
            <w:tcMar>
              <w:top w:w="0" w:type="dxa"/>
              <w:left w:w="108" w:type="dxa"/>
              <w:bottom w:w="0" w:type="dxa"/>
              <w:right w:w="108" w:type="dxa"/>
            </w:tcMar>
            <w:vAlign w:val="center"/>
          </w:tcPr>
          <w:p w14:paraId="4E96AAA0" w14:textId="77777777" w:rsidR="00284822" w:rsidRDefault="00F77BF8">
            <w:pPr>
              <w:spacing w:line="240" w:lineRule="auto"/>
              <w:rPr>
                <w:rFonts w:ascii="Rockwell" w:hAnsi="Rockwell"/>
                <w:b/>
                <w:bCs/>
                <w:sz w:val="20"/>
                <w:szCs w:val="20"/>
              </w:rPr>
            </w:pPr>
            <w:r>
              <w:rPr>
                <w:rFonts w:ascii="Rockwell" w:hAnsi="Rockwell"/>
                <w:b/>
                <w:bCs/>
                <w:sz w:val="20"/>
                <w:szCs w:val="20"/>
              </w:rPr>
              <w:t>14</w:t>
            </w:r>
          </w:p>
        </w:tc>
        <w:tc>
          <w:tcPr>
            <w:tcW w:w="1134" w:type="dxa"/>
            <w:shd w:val="clear" w:color="auto" w:fill="FFFFFF" w:themeFill="background1"/>
            <w:tcMar>
              <w:top w:w="0" w:type="dxa"/>
              <w:left w:w="108" w:type="dxa"/>
              <w:bottom w:w="0" w:type="dxa"/>
              <w:right w:w="108" w:type="dxa"/>
            </w:tcMar>
            <w:vAlign w:val="center"/>
          </w:tcPr>
          <w:p w14:paraId="051C966B" w14:textId="77777777" w:rsidR="00284822" w:rsidRDefault="00F77BF8">
            <w:pPr>
              <w:spacing w:line="240" w:lineRule="auto"/>
              <w:rPr>
                <w:rFonts w:ascii="Rockwell" w:hAnsi="Rockwell"/>
                <w:b/>
                <w:bCs/>
                <w:sz w:val="20"/>
                <w:szCs w:val="20"/>
              </w:rPr>
            </w:pPr>
            <w:r>
              <w:rPr>
                <w:rFonts w:ascii="Rockwell" w:hAnsi="Rockwell"/>
                <w:b/>
                <w:bCs/>
                <w:sz w:val="20"/>
                <w:szCs w:val="20"/>
              </w:rPr>
              <w:t>1,88%</w:t>
            </w:r>
          </w:p>
        </w:tc>
        <w:tc>
          <w:tcPr>
            <w:tcW w:w="992" w:type="dxa"/>
            <w:shd w:val="clear" w:color="auto" w:fill="FFFFFF" w:themeFill="background1"/>
            <w:tcMar>
              <w:top w:w="0" w:type="dxa"/>
              <w:left w:w="108" w:type="dxa"/>
              <w:bottom w:w="0" w:type="dxa"/>
              <w:right w:w="108" w:type="dxa"/>
            </w:tcMar>
            <w:vAlign w:val="center"/>
          </w:tcPr>
          <w:p w14:paraId="34C335A1" w14:textId="77777777" w:rsidR="00284822" w:rsidRDefault="00F77BF8">
            <w:pPr>
              <w:spacing w:line="240" w:lineRule="auto"/>
              <w:rPr>
                <w:rFonts w:ascii="Rockwell" w:hAnsi="Rockwell"/>
                <w:b/>
                <w:bCs/>
                <w:sz w:val="20"/>
                <w:szCs w:val="20"/>
              </w:rPr>
            </w:pPr>
            <w:r>
              <w:rPr>
                <w:rFonts w:ascii="Rockwell" w:hAnsi="Rockwell"/>
                <w:b/>
                <w:bCs/>
                <w:sz w:val="20"/>
                <w:szCs w:val="20"/>
              </w:rPr>
              <w:t>19</w:t>
            </w:r>
          </w:p>
        </w:tc>
        <w:tc>
          <w:tcPr>
            <w:tcW w:w="1843" w:type="dxa"/>
            <w:shd w:val="clear" w:color="auto" w:fill="FFFFFF" w:themeFill="background1"/>
            <w:tcMar>
              <w:top w:w="0" w:type="dxa"/>
              <w:left w:w="108" w:type="dxa"/>
              <w:bottom w:w="0" w:type="dxa"/>
              <w:right w:w="108" w:type="dxa"/>
            </w:tcMar>
            <w:vAlign w:val="center"/>
          </w:tcPr>
          <w:p w14:paraId="3FED2227" w14:textId="77777777" w:rsidR="00284822" w:rsidRDefault="00F77BF8">
            <w:pPr>
              <w:spacing w:line="240" w:lineRule="auto"/>
              <w:rPr>
                <w:rFonts w:ascii="Rockwell" w:hAnsi="Rockwell"/>
                <w:b/>
                <w:bCs/>
                <w:sz w:val="20"/>
                <w:szCs w:val="20"/>
              </w:rPr>
            </w:pPr>
            <w:r>
              <w:rPr>
                <w:rFonts w:ascii="Rockwell" w:hAnsi="Rockwell"/>
                <w:b/>
                <w:bCs/>
                <w:sz w:val="20"/>
                <w:szCs w:val="20"/>
              </w:rPr>
              <w:t>1,59%</w:t>
            </w:r>
          </w:p>
        </w:tc>
      </w:tr>
      <w:tr w:rsidR="00284822" w14:paraId="59652300" w14:textId="77777777">
        <w:trPr>
          <w:trHeight w:val="136"/>
          <w:jc w:val="center"/>
        </w:trPr>
        <w:tc>
          <w:tcPr>
            <w:tcW w:w="899" w:type="dxa"/>
            <w:shd w:val="clear" w:color="auto" w:fill="FFFFFF" w:themeFill="background1"/>
            <w:noWrap/>
            <w:tcMar>
              <w:top w:w="0" w:type="dxa"/>
              <w:left w:w="108" w:type="dxa"/>
              <w:bottom w:w="0" w:type="dxa"/>
              <w:right w:w="108" w:type="dxa"/>
            </w:tcMar>
            <w:vAlign w:val="bottom"/>
          </w:tcPr>
          <w:p w14:paraId="57262A90"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26</w:t>
            </w:r>
          </w:p>
        </w:tc>
        <w:tc>
          <w:tcPr>
            <w:tcW w:w="1506" w:type="dxa"/>
            <w:shd w:val="clear" w:color="auto" w:fill="FFFFFF" w:themeFill="background1"/>
            <w:tcMar>
              <w:top w:w="0" w:type="dxa"/>
              <w:left w:w="108" w:type="dxa"/>
              <w:bottom w:w="0" w:type="dxa"/>
              <w:right w:w="108" w:type="dxa"/>
            </w:tcMar>
            <w:vAlign w:val="bottom"/>
          </w:tcPr>
          <w:p w14:paraId="6E3BC01C"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PAREN</w:t>
            </w:r>
          </w:p>
        </w:tc>
        <w:tc>
          <w:tcPr>
            <w:tcW w:w="848" w:type="dxa"/>
            <w:shd w:val="clear" w:color="auto" w:fill="FFFFFF" w:themeFill="background1"/>
            <w:tcMar>
              <w:top w:w="0" w:type="dxa"/>
              <w:left w:w="108" w:type="dxa"/>
              <w:bottom w:w="0" w:type="dxa"/>
              <w:right w:w="108" w:type="dxa"/>
            </w:tcMar>
            <w:vAlign w:val="center"/>
          </w:tcPr>
          <w:p w14:paraId="0545DE4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3" w:type="dxa"/>
            <w:shd w:val="clear" w:color="auto" w:fill="FFFFFF" w:themeFill="background1"/>
            <w:tcMar>
              <w:top w:w="0" w:type="dxa"/>
              <w:left w:w="108" w:type="dxa"/>
              <w:bottom w:w="0" w:type="dxa"/>
              <w:right w:w="108" w:type="dxa"/>
            </w:tcMar>
            <w:vAlign w:val="center"/>
          </w:tcPr>
          <w:p w14:paraId="646DC14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47" w:type="dxa"/>
            <w:shd w:val="clear" w:color="auto" w:fill="FFFFFF" w:themeFill="background1"/>
            <w:tcMar>
              <w:top w:w="0" w:type="dxa"/>
              <w:left w:w="108" w:type="dxa"/>
              <w:bottom w:w="0" w:type="dxa"/>
              <w:right w:w="108" w:type="dxa"/>
            </w:tcMar>
            <w:vAlign w:val="center"/>
          </w:tcPr>
          <w:p w14:paraId="619CBF6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3" w:type="dxa"/>
            <w:shd w:val="clear" w:color="auto" w:fill="FFFFFF" w:themeFill="background1"/>
            <w:tcMar>
              <w:top w:w="0" w:type="dxa"/>
              <w:left w:w="108" w:type="dxa"/>
              <w:bottom w:w="0" w:type="dxa"/>
              <w:right w:w="108" w:type="dxa"/>
            </w:tcMar>
            <w:vAlign w:val="center"/>
          </w:tcPr>
          <w:p w14:paraId="55686B0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48" w:type="dxa"/>
            <w:shd w:val="clear" w:color="auto" w:fill="FFFFFF" w:themeFill="background1"/>
            <w:tcMar>
              <w:top w:w="0" w:type="dxa"/>
              <w:left w:w="108" w:type="dxa"/>
              <w:bottom w:w="0" w:type="dxa"/>
              <w:right w:w="108" w:type="dxa"/>
            </w:tcMar>
            <w:vAlign w:val="center"/>
          </w:tcPr>
          <w:p w14:paraId="21DEA86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24" w:type="dxa"/>
            <w:shd w:val="clear" w:color="auto" w:fill="FFFFFF" w:themeFill="background1"/>
            <w:tcMar>
              <w:top w:w="0" w:type="dxa"/>
              <w:left w:w="108" w:type="dxa"/>
              <w:bottom w:w="0" w:type="dxa"/>
              <w:right w:w="108" w:type="dxa"/>
            </w:tcMar>
            <w:vAlign w:val="center"/>
          </w:tcPr>
          <w:p w14:paraId="75EEA45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971" w:type="dxa"/>
            <w:shd w:val="clear" w:color="auto" w:fill="FFFFFF" w:themeFill="background1"/>
            <w:tcMar>
              <w:top w:w="0" w:type="dxa"/>
              <w:left w:w="108" w:type="dxa"/>
              <w:bottom w:w="0" w:type="dxa"/>
              <w:right w:w="108" w:type="dxa"/>
            </w:tcMar>
            <w:vAlign w:val="center"/>
          </w:tcPr>
          <w:p w14:paraId="5F22CD2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4" w:type="dxa"/>
            <w:shd w:val="clear" w:color="auto" w:fill="FFFFFF" w:themeFill="background1"/>
            <w:tcMar>
              <w:top w:w="0" w:type="dxa"/>
              <w:left w:w="108" w:type="dxa"/>
              <w:bottom w:w="0" w:type="dxa"/>
              <w:right w:w="108" w:type="dxa"/>
            </w:tcMar>
            <w:vAlign w:val="center"/>
          </w:tcPr>
          <w:p w14:paraId="5524683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51" w:type="dxa"/>
            <w:shd w:val="clear" w:color="auto" w:fill="FFFFFF" w:themeFill="background1"/>
            <w:tcMar>
              <w:top w:w="0" w:type="dxa"/>
              <w:left w:w="108" w:type="dxa"/>
              <w:bottom w:w="0" w:type="dxa"/>
              <w:right w:w="108" w:type="dxa"/>
            </w:tcMar>
            <w:vAlign w:val="center"/>
          </w:tcPr>
          <w:p w14:paraId="70BE0DA5" w14:textId="77777777" w:rsidR="00284822" w:rsidRDefault="00F77BF8">
            <w:pPr>
              <w:spacing w:line="240" w:lineRule="auto"/>
              <w:rPr>
                <w:rFonts w:ascii="Rockwell" w:hAnsi="Rockwell"/>
                <w:b/>
                <w:bCs/>
                <w:sz w:val="20"/>
                <w:szCs w:val="20"/>
              </w:rPr>
            </w:pPr>
            <w:r>
              <w:rPr>
                <w:rFonts w:ascii="Rockwell" w:hAnsi="Rockwell"/>
                <w:b/>
                <w:bCs/>
                <w:sz w:val="20"/>
                <w:szCs w:val="20"/>
              </w:rPr>
              <w:t>4</w:t>
            </w:r>
          </w:p>
        </w:tc>
        <w:tc>
          <w:tcPr>
            <w:tcW w:w="1134" w:type="dxa"/>
            <w:shd w:val="clear" w:color="auto" w:fill="FFFFFF" w:themeFill="background1"/>
            <w:tcMar>
              <w:top w:w="0" w:type="dxa"/>
              <w:left w:w="108" w:type="dxa"/>
              <w:bottom w:w="0" w:type="dxa"/>
              <w:right w:w="108" w:type="dxa"/>
            </w:tcMar>
            <w:vAlign w:val="center"/>
          </w:tcPr>
          <w:p w14:paraId="461E57B8" w14:textId="77777777" w:rsidR="00284822" w:rsidRDefault="00F77BF8">
            <w:pPr>
              <w:spacing w:line="240" w:lineRule="auto"/>
              <w:rPr>
                <w:rFonts w:ascii="Rockwell" w:hAnsi="Rockwell"/>
                <w:b/>
                <w:bCs/>
                <w:sz w:val="20"/>
                <w:szCs w:val="20"/>
              </w:rPr>
            </w:pPr>
            <w:r>
              <w:rPr>
                <w:rFonts w:ascii="Rockwell" w:hAnsi="Rockwell"/>
                <w:b/>
                <w:bCs/>
                <w:sz w:val="20"/>
                <w:szCs w:val="20"/>
              </w:rPr>
              <w:t>0,54%</w:t>
            </w:r>
          </w:p>
        </w:tc>
        <w:tc>
          <w:tcPr>
            <w:tcW w:w="992" w:type="dxa"/>
            <w:shd w:val="clear" w:color="auto" w:fill="FFFFFF" w:themeFill="background1"/>
            <w:tcMar>
              <w:top w:w="0" w:type="dxa"/>
              <w:left w:w="108" w:type="dxa"/>
              <w:bottom w:w="0" w:type="dxa"/>
              <w:right w:w="108" w:type="dxa"/>
            </w:tcMar>
            <w:vAlign w:val="center"/>
          </w:tcPr>
          <w:p w14:paraId="15181386" w14:textId="77777777" w:rsidR="00284822" w:rsidRDefault="00F77BF8">
            <w:pPr>
              <w:spacing w:line="240" w:lineRule="auto"/>
              <w:rPr>
                <w:rFonts w:ascii="Rockwell" w:hAnsi="Rockwell"/>
                <w:b/>
                <w:bCs/>
                <w:sz w:val="20"/>
                <w:szCs w:val="20"/>
              </w:rPr>
            </w:pPr>
            <w:r>
              <w:rPr>
                <w:rFonts w:ascii="Rockwell" w:hAnsi="Rockwell"/>
                <w:b/>
                <w:bCs/>
                <w:sz w:val="20"/>
                <w:szCs w:val="20"/>
              </w:rPr>
              <w:t>7</w:t>
            </w:r>
          </w:p>
        </w:tc>
        <w:tc>
          <w:tcPr>
            <w:tcW w:w="1843" w:type="dxa"/>
            <w:shd w:val="clear" w:color="auto" w:fill="FFFFFF" w:themeFill="background1"/>
            <w:tcMar>
              <w:top w:w="0" w:type="dxa"/>
              <w:left w:w="108" w:type="dxa"/>
              <w:bottom w:w="0" w:type="dxa"/>
              <w:right w:w="108" w:type="dxa"/>
            </w:tcMar>
            <w:vAlign w:val="center"/>
          </w:tcPr>
          <w:p w14:paraId="57B1C1D0" w14:textId="77777777" w:rsidR="00284822" w:rsidRDefault="00F77BF8">
            <w:pPr>
              <w:spacing w:line="240" w:lineRule="auto"/>
              <w:rPr>
                <w:rFonts w:ascii="Rockwell" w:hAnsi="Rockwell"/>
                <w:b/>
                <w:bCs/>
                <w:sz w:val="20"/>
                <w:szCs w:val="20"/>
              </w:rPr>
            </w:pPr>
            <w:r>
              <w:rPr>
                <w:rFonts w:ascii="Rockwell" w:hAnsi="Rockwell"/>
                <w:b/>
                <w:bCs/>
                <w:sz w:val="20"/>
                <w:szCs w:val="20"/>
              </w:rPr>
              <w:t>0,58%</w:t>
            </w:r>
          </w:p>
        </w:tc>
      </w:tr>
      <w:tr w:rsidR="00284822" w14:paraId="6AC9536F" w14:textId="77777777">
        <w:trPr>
          <w:trHeight w:val="136"/>
          <w:jc w:val="center"/>
        </w:trPr>
        <w:tc>
          <w:tcPr>
            <w:tcW w:w="899" w:type="dxa"/>
            <w:shd w:val="clear" w:color="auto" w:fill="FFFFFF" w:themeFill="background1"/>
            <w:noWrap/>
            <w:tcMar>
              <w:top w:w="0" w:type="dxa"/>
              <w:left w:w="108" w:type="dxa"/>
              <w:bottom w:w="0" w:type="dxa"/>
              <w:right w:w="108" w:type="dxa"/>
            </w:tcMar>
            <w:vAlign w:val="bottom"/>
          </w:tcPr>
          <w:p w14:paraId="17FC9A0F"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27</w:t>
            </w:r>
          </w:p>
        </w:tc>
        <w:tc>
          <w:tcPr>
            <w:tcW w:w="1506" w:type="dxa"/>
            <w:shd w:val="clear" w:color="auto" w:fill="FFFFFF" w:themeFill="background1"/>
            <w:tcMar>
              <w:top w:w="0" w:type="dxa"/>
              <w:left w:w="108" w:type="dxa"/>
              <w:bottom w:w="0" w:type="dxa"/>
              <w:right w:w="108" w:type="dxa"/>
            </w:tcMar>
            <w:vAlign w:val="bottom"/>
          </w:tcPr>
          <w:p w14:paraId="50AEE9DF"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PDIS LAFIA</w:t>
            </w:r>
          </w:p>
        </w:tc>
        <w:tc>
          <w:tcPr>
            <w:tcW w:w="848" w:type="dxa"/>
            <w:shd w:val="clear" w:color="auto" w:fill="FFFFFF" w:themeFill="background1"/>
            <w:tcMar>
              <w:top w:w="0" w:type="dxa"/>
              <w:left w:w="108" w:type="dxa"/>
              <w:bottom w:w="0" w:type="dxa"/>
              <w:right w:w="108" w:type="dxa"/>
            </w:tcMar>
            <w:vAlign w:val="center"/>
          </w:tcPr>
          <w:p w14:paraId="614EE13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3" w:type="dxa"/>
            <w:shd w:val="clear" w:color="auto" w:fill="FFFFFF" w:themeFill="background1"/>
            <w:tcMar>
              <w:top w:w="0" w:type="dxa"/>
              <w:left w:w="108" w:type="dxa"/>
              <w:bottom w:w="0" w:type="dxa"/>
              <w:right w:w="108" w:type="dxa"/>
            </w:tcMar>
            <w:vAlign w:val="center"/>
          </w:tcPr>
          <w:p w14:paraId="2A2390B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47" w:type="dxa"/>
            <w:shd w:val="clear" w:color="auto" w:fill="FFFFFF" w:themeFill="background1"/>
            <w:tcMar>
              <w:top w:w="0" w:type="dxa"/>
              <w:left w:w="108" w:type="dxa"/>
              <w:bottom w:w="0" w:type="dxa"/>
              <w:right w:w="108" w:type="dxa"/>
            </w:tcMar>
            <w:vAlign w:val="center"/>
          </w:tcPr>
          <w:p w14:paraId="3174899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3" w:type="dxa"/>
            <w:shd w:val="clear" w:color="auto" w:fill="FFFFFF" w:themeFill="background1"/>
            <w:tcMar>
              <w:top w:w="0" w:type="dxa"/>
              <w:left w:w="108" w:type="dxa"/>
              <w:bottom w:w="0" w:type="dxa"/>
              <w:right w:w="108" w:type="dxa"/>
            </w:tcMar>
            <w:vAlign w:val="center"/>
          </w:tcPr>
          <w:p w14:paraId="5ED0158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48" w:type="dxa"/>
            <w:shd w:val="clear" w:color="auto" w:fill="FFFFFF" w:themeFill="background1"/>
            <w:tcMar>
              <w:top w:w="0" w:type="dxa"/>
              <w:left w:w="108" w:type="dxa"/>
              <w:bottom w:w="0" w:type="dxa"/>
              <w:right w:w="108" w:type="dxa"/>
            </w:tcMar>
            <w:vAlign w:val="center"/>
          </w:tcPr>
          <w:p w14:paraId="6FD7303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24" w:type="dxa"/>
            <w:shd w:val="clear" w:color="auto" w:fill="FFFFFF" w:themeFill="background1"/>
            <w:tcMar>
              <w:top w:w="0" w:type="dxa"/>
              <w:left w:w="108" w:type="dxa"/>
              <w:bottom w:w="0" w:type="dxa"/>
              <w:right w:w="108" w:type="dxa"/>
            </w:tcMar>
            <w:vAlign w:val="center"/>
          </w:tcPr>
          <w:p w14:paraId="2D627D9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971" w:type="dxa"/>
            <w:shd w:val="clear" w:color="auto" w:fill="FFFFFF" w:themeFill="background1"/>
            <w:tcMar>
              <w:top w:w="0" w:type="dxa"/>
              <w:left w:w="108" w:type="dxa"/>
              <w:bottom w:w="0" w:type="dxa"/>
              <w:right w:w="108" w:type="dxa"/>
            </w:tcMar>
            <w:vAlign w:val="center"/>
          </w:tcPr>
          <w:p w14:paraId="3678ACD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4" w:type="dxa"/>
            <w:shd w:val="clear" w:color="auto" w:fill="FFFFFF" w:themeFill="background1"/>
            <w:tcMar>
              <w:top w:w="0" w:type="dxa"/>
              <w:left w:w="108" w:type="dxa"/>
              <w:bottom w:w="0" w:type="dxa"/>
              <w:right w:w="108" w:type="dxa"/>
            </w:tcMar>
            <w:vAlign w:val="center"/>
          </w:tcPr>
          <w:p w14:paraId="4E8BD40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51" w:type="dxa"/>
            <w:shd w:val="clear" w:color="auto" w:fill="FFFFFF" w:themeFill="background1"/>
            <w:tcMar>
              <w:top w:w="0" w:type="dxa"/>
              <w:left w:w="108" w:type="dxa"/>
              <w:bottom w:w="0" w:type="dxa"/>
              <w:right w:w="108" w:type="dxa"/>
            </w:tcMar>
            <w:vAlign w:val="center"/>
          </w:tcPr>
          <w:p w14:paraId="6550F5AA" w14:textId="77777777" w:rsidR="00284822" w:rsidRDefault="00F77BF8">
            <w:pPr>
              <w:spacing w:line="240" w:lineRule="auto"/>
              <w:rPr>
                <w:rFonts w:ascii="Rockwell" w:hAnsi="Rockwell"/>
                <w:b/>
                <w:bCs/>
                <w:sz w:val="20"/>
                <w:szCs w:val="20"/>
              </w:rPr>
            </w:pPr>
            <w:r>
              <w:rPr>
                <w:rFonts w:ascii="Rockwell" w:hAnsi="Rockwell"/>
                <w:b/>
                <w:bCs/>
                <w:sz w:val="20"/>
                <w:szCs w:val="20"/>
              </w:rPr>
              <w:t>3</w:t>
            </w:r>
          </w:p>
        </w:tc>
        <w:tc>
          <w:tcPr>
            <w:tcW w:w="1134" w:type="dxa"/>
            <w:shd w:val="clear" w:color="auto" w:fill="FFFFFF" w:themeFill="background1"/>
            <w:tcMar>
              <w:top w:w="0" w:type="dxa"/>
              <w:left w:w="108" w:type="dxa"/>
              <w:bottom w:w="0" w:type="dxa"/>
              <w:right w:w="108" w:type="dxa"/>
            </w:tcMar>
            <w:vAlign w:val="center"/>
          </w:tcPr>
          <w:p w14:paraId="6DED69A6" w14:textId="77777777" w:rsidR="00284822" w:rsidRDefault="00F77BF8">
            <w:pPr>
              <w:spacing w:line="240" w:lineRule="auto"/>
              <w:rPr>
                <w:rFonts w:ascii="Rockwell" w:hAnsi="Rockwell"/>
                <w:b/>
                <w:bCs/>
                <w:sz w:val="20"/>
                <w:szCs w:val="20"/>
              </w:rPr>
            </w:pPr>
            <w:r>
              <w:rPr>
                <w:rFonts w:ascii="Rockwell" w:hAnsi="Rockwell"/>
                <w:b/>
                <w:bCs/>
                <w:sz w:val="20"/>
                <w:szCs w:val="20"/>
              </w:rPr>
              <w:t>0,40%</w:t>
            </w:r>
          </w:p>
        </w:tc>
        <w:tc>
          <w:tcPr>
            <w:tcW w:w="992" w:type="dxa"/>
            <w:shd w:val="clear" w:color="auto" w:fill="FFFFFF" w:themeFill="background1"/>
            <w:tcMar>
              <w:top w:w="0" w:type="dxa"/>
              <w:left w:w="108" w:type="dxa"/>
              <w:bottom w:w="0" w:type="dxa"/>
              <w:right w:w="108" w:type="dxa"/>
            </w:tcMar>
            <w:vAlign w:val="center"/>
          </w:tcPr>
          <w:p w14:paraId="47FAFEEA" w14:textId="77777777" w:rsidR="00284822" w:rsidRDefault="00F77BF8">
            <w:pPr>
              <w:spacing w:line="240" w:lineRule="auto"/>
              <w:rPr>
                <w:rFonts w:ascii="Rockwell" w:hAnsi="Rockwell"/>
                <w:b/>
                <w:bCs/>
                <w:sz w:val="20"/>
                <w:szCs w:val="20"/>
              </w:rPr>
            </w:pPr>
            <w:r>
              <w:rPr>
                <w:rFonts w:ascii="Rockwell" w:hAnsi="Rockwell"/>
                <w:b/>
                <w:bCs/>
                <w:sz w:val="20"/>
                <w:szCs w:val="20"/>
              </w:rPr>
              <w:t>3</w:t>
            </w:r>
          </w:p>
        </w:tc>
        <w:tc>
          <w:tcPr>
            <w:tcW w:w="1843" w:type="dxa"/>
            <w:shd w:val="clear" w:color="auto" w:fill="FFFFFF" w:themeFill="background1"/>
            <w:tcMar>
              <w:top w:w="0" w:type="dxa"/>
              <w:left w:w="108" w:type="dxa"/>
              <w:bottom w:w="0" w:type="dxa"/>
              <w:right w:w="108" w:type="dxa"/>
            </w:tcMar>
            <w:vAlign w:val="center"/>
          </w:tcPr>
          <w:p w14:paraId="0312295C" w14:textId="77777777" w:rsidR="00284822" w:rsidRDefault="00F77BF8">
            <w:pPr>
              <w:spacing w:line="240" w:lineRule="auto"/>
              <w:rPr>
                <w:rFonts w:ascii="Rockwell" w:hAnsi="Rockwell"/>
                <w:b/>
                <w:bCs/>
                <w:sz w:val="20"/>
                <w:szCs w:val="20"/>
              </w:rPr>
            </w:pPr>
            <w:r>
              <w:rPr>
                <w:rFonts w:ascii="Rockwell" w:hAnsi="Rockwell"/>
                <w:b/>
                <w:bCs/>
                <w:sz w:val="20"/>
                <w:szCs w:val="20"/>
              </w:rPr>
              <w:t>0,25%</w:t>
            </w:r>
          </w:p>
        </w:tc>
      </w:tr>
      <w:tr w:rsidR="00284822" w14:paraId="7B294931" w14:textId="77777777">
        <w:trPr>
          <w:trHeight w:val="136"/>
          <w:jc w:val="center"/>
        </w:trPr>
        <w:tc>
          <w:tcPr>
            <w:tcW w:w="899" w:type="dxa"/>
            <w:shd w:val="clear" w:color="auto" w:fill="FFFFFF" w:themeFill="background1"/>
            <w:noWrap/>
            <w:tcMar>
              <w:top w:w="0" w:type="dxa"/>
              <w:left w:w="108" w:type="dxa"/>
              <w:bottom w:w="0" w:type="dxa"/>
              <w:right w:w="108" w:type="dxa"/>
            </w:tcMar>
            <w:vAlign w:val="bottom"/>
          </w:tcPr>
          <w:p w14:paraId="4892BF30"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28</w:t>
            </w:r>
          </w:p>
        </w:tc>
        <w:tc>
          <w:tcPr>
            <w:tcW w:w="1506" w:type="dxa"/>
            <w:shd w:val="clear" w:color="auto" w:fill="FFFFFF" w:themeFill="background1"/>
            <w:tcMar>
              <w:top w:w="0" w:type="dxa"/>
              <w:left w:w="108" w:type="dxa"/>
              <w:bottom w:w="0" w:type="dxa"/>
              <w:right w:w="108" w:type="dxa"/>
            </w:tcMar>
            <w:vAlign w:val="bottom"/>
          </w:tcPr>
          <w:p w14:paraId="40BD7A91"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PDP/PS</w:t>
            </w:r>
          </w:p>
        </w:tc>
        <w:tc>
          <w:tcPr>
            <w:tcW w:w="848" w:type="dxa"/>
            <w:shd w:val="clear" w:color="auto" w:fill="FFFFFF" w:themeFill="background1"/>
            <w:tcMar>
              <w:top w:w="0" w:type="dxa"/>
              <w:left w:w="108" w:type="dxa"/>
              <w:bottom w:w="0" w:type="dxa"/>
              <w:right w:w="108" w:type="dxa"/>
            </w:tcMar>
            <w:vAlign w:val="center"/>
          </w:tcPr>
          <w:p w14:paraId="4013D64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3" w:type="dxa"/>
            <w:shd w:val="clear" w:color="auto" w:fill="FFFFFF" w:themeFill="background1"/>
            <w:tcMar>
              <w:top w:w="0" w:type="dxa"/>
              <w:left w:w="108" w:type="dxa"/>
              <w:bottom w:w="0" w:type="dxa"/>
              <w:right w:w="108" w:type="dxa"/>
            </w:tcMar>
            <w:vAlign w:val="center"/>
          </w:tcPr>
          <w:p w14:paraId="540F63B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47" w:type="dxa"/>
            <w:shd w:val="clear" w:color="auto" w:fill="FFFFFF" w:themeFill="background1"/>
            <w:tcMar>
              <w:top w:w="0" w:type="dxa"/>
              <w:left w:w="108" w:type="dxa"/>
              <w:bottom w:w="0" w:type="dxa"/>
              <w:right w:w="108" w:type="dxa"/>
            </w:tcMar>
            <w:vAlign w:val="center"/>
          </w:tcPr>
          <w:p w14:paraId="6D703C3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3" w:type="dxa"/>
            <w:shd w:val="clear" w:color="auto" w:fill="FFFFFF" w:themeFill="background1"/>
            <w:tcMar>
              <w:top w:w="0" w:type="dxa"/>
              <w:left w:w="108" w:type="dxa"/>
              <w:bottom w:w="0" w:type="dxa"/>
              <w:right w:w="108" w:type="dxa"/>
            </w:tcMar>
            <w:vAlign w:val="center"/>
          </w:tcPr>
          <w:p w14:paraId="05C3E02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48" w:type="dxa"/>
            <w:shd w:val="clear" w:color="auto" w:fill="FFFFFF" w:themeFill="background1"/>
            <w:tcMar>
              <w:top w:w="0" w:type="dxa"/>
              <w:left w:w="108" w:type="dxa"/>
              <w:bottom w:w="0" w:type="dxa"/>
              <w:right w:w="108" w:type="dxa"/>
            </w:tcMar>
            <w:vAlign w:val="center"/>
          </w:tcPr>
          <w:p w14:paraId="467C0D7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24" w:type="dxa"/>
            <w:shd w:val="clear" w:color="auto" w:fill="FFFFFF" w:themeFill="background1"/>
            <w:tcMar>
              <w:top w:w="0" w:type="dxa"/>
              <w:left w:w="108" w:type="dxa"/>
              <w:bottom w:w="0" w:type="dxa"/>
              <w:right w:w="108" w:type="dxa"/>
            </w:tcMar>
            <w:vAlign w:val="center"/>
          </w:tcPr>
          <w:p w14:paraId="201D766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971" w:type="dxa"/>
            <w:shd w:val="clear" w:color="auto" w:fill="FFFFFF" w:themeFill="background1"/>
            <w:tcMar>
              <w:top w:w="0" w:type="dxa"/>
              <w:left w:w="108" w:type="dxa"/>
              <w:bottom w:w="0" w:type="dxa"/>
              <w:right w:w="108" w:type="dxa"/>
            </w:tcMar>
            <w:vAlign w:val="center"/>
          </w:tcPr>
          <w:p w14:paraId="2553538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4" w:type="dxa"/>
            <w:shd w:val="clear" w:color="auto" w:fill="FFFFFF" w:themeFill="background1"/>
            <w:tcMar>
              <w:top w:w="0" w:type="dxa"/>
              <w:left w:w="108" w:type="dxa"/>
              <w:bottom w:w="0" w:type="dxa"/>
              <w:right w:w="108" w:type="dxa"/>
            </w:tcMar>
            <w:vAlign w:val="center"/>
          </w:tcPr>
          <w:p w14:paraId="08B78E2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51" w:type="dxa"/>
            <w:shd w:val="clear" w:color="auto" w:fill="FFFFFF" w:themeFill="background1"/>
            <w:tcMar>
              <w:top w:w="0" w:type="dxa"/>
              <w:left w:w="108" w:type="dxa"/>
              <w:bottom w:w="0" w:type="dxa"/>
              <w:right w:w="108" w:type="dxa"/>
            </w:tcMar>
            <w:vAlign w:val="center"/>
          </w:tcPr>
          <w:p w14:paraId="04D42AAF" w14:textId="77777777" w:rsidR="00284822" w:rsidRDefault="00F77BF8">
            <w:pPr>
              <w:spacing w:line="240" w:lineRule="auto"/>
              <w:rPr>
                <w:rFonts w:ascii="Rockwell" w:hAnsi="Rockwell"/>
                <w:b/>
                <w:bCs/>
                <w:sz w:val="20"/>
                <w:szCs w:val="20"/>
              </w:rPr>
            </w:pPr>
            <w:r>
              <w:rPr>
                <w:rFonts w:ascii="Rockwell" w:hAnsi="Rockwell"/>
                <w:b/>
                <w:bCs/>
                <w:sz w:val="20"/>
                <w:szCs w:val="20"/>
              </w:rPr>
              <w:t>8</w:t>
            </w:r>
          </w:p>
        </w:tc>
        <w:tc>
          <w:tcPr>
            <w:tcW w:w="1134" w:type="dxa"/>
            <w:shd w:val="clear" w:color="auto" w:fill="FFFFFF" w:themeFill="background1"/>
            <w:tcMar>
              <w:top w:w="0" w:type="dxa"/>
              <w:left w:w="108" w:type="dxa"/>
              <w:bottom w:w="0" w:type="dxa"/>
              <w:right w:w="108" w:type="dxa"/>
            </w:tcMar>
            <w:vAlign w:val="center"/>
          </w:tcPr>
          <w:p w14:paraId="5A7632DF" w14:textId="77777777" w:rsidR="00284822" w:rsidRDefault="00F77BF8">
            <w:pPr>
              <w:spacing w:line="240" w:lineRule="auto"/>
              <w:rPr>
                <w:rFonts w:ascii="Rockwell" w:hAnsi="Rockwell"/>
                <w:b/>
                <w:bCs/>
                <w:sz w:val="20"/>
                <w:szCs w:val="20"/>
              </w:rPr>
            </w:pPr>
            <w:r>
              <w:rPr>
                <w:rFonts w:ascii="Rockwell" w:hAnsi="Rockwell"/>
                <w:b/>
                <w:bCs/>
                <w:sz w:val="20"/>
                <w:szCs w:val="20"/>
              </w:rPr>
              <w:t>1,07%</w:t>
            </w:r>
          </w:p>
        </w:tc>
        <w:tc>
          <w:tcPr>
            <w:tcW w:w="992" w:type="dxa"/>
            <w:shd w:val="clear" w:color="auto" w:fill="FFFFFF" w:themeFill="background1"/>
            <w:tcMar>
              <w:top w:w="0" w:type="dxa"/>
              <w:left w:w="108" w:type="dxa"/>
              <w:bottom w:w="0" w:type="dxa"/>
              <w:right w:w="108" w:type="dxa"/>
            </w:tcMar>
            <w:vAlign w:val="center"/>
          </w:tcPr>
          <w:p w14:paraId="038A70CE" w14:textId="77777777" w:rsidR="00284822" w:rsidRDefault="00F77BF8">
            <w:pPr>
              <w:spacing w:line="240" w:lineRule="auto"/>
              <w:rPr>
                <w:rFonts w:ascii="Rockwell" w:hAnsi="Rockwell"/>
                <w:b/>
                <w:bCs/>
                <w:sz w:val="20"/>
                <w:szCs w:val="20"/>
              </w:rPr>
            </w:pPr>
            <w:r>
              <w:rPr>
                <w:rFonts w:ascii="Rockwell" w:hAnsi="Rockwell"/>
                <w:b/>
                <w:bCs/>
                <w:sz w:val="20"/>
                <w:szCs w:val="20"/>
              </w:rPr>
              <w:t>11</w:t>
            </w:r>
          </w:p>
        </w:tc>
        <w:tc>
          <w:tcPr>
            <w:tcW w:w="1843" w:type="dxa"/>
            <w:shd w:val="clear" w:color="auto" w:fill="FFFFFF" w:themeFill="background1"/>
            <w:tcMar>
              <w:top w:w="0" w:type="dxa"/>
              <w:left w:w="108" w:type="dxa"/>
              <w:bottom w:w="0" w:type="dxa"/>
              <w:right w:w="108" w:type="dxa"/>
            </w:tcMar>
            <w:vAlign w:val="center"/>
          </w:tcPr>
          <w:p w14:paraId="71162F81" w14:textId="77777777" w:rsidR="00284822" w:rsidRDefault="00F77BF8">
            <w:pPr>
              <w:spacing w:line="240" w:lineRule="auto"/>
              <w:rPr>
                <w:rFonts w:ascii="Rockwell" w:hAnsi="Rockwell"/>
                <w:b/>
                <w:bCs/>
                <w:sz w:val="20"/>
                <w:szCs w:val="20"/>
              </w:rPr>
            </w:pPr>
            <w:r>
              <w:rPr>
                <w:rFonts w:ascii="Rockwell" w:hAnsi="Rockwell"/>
                <w:b/>
                <w:bCs/>
                <w:sz w:val="20"/>
                <w:szCs w:val="20"/>
              </w:rPr>
              <w:t>0,92%</w:t>
            </w:r>
          </w:p>
        </w:tc>
      </w:tr>
      <w:tr w:rsidR="00284822" w14:paraId="3404DE96" w14:textId="77777777">
        <w:trPr>
          <w:trHeight w:val="136"/>
          <w:jc w:val="center"/>
        </w:trPr>
        <w:tc>
          <w:tcPr>
            <w:tcW w:w="899" w:type="dxa"/>
            <w:shd w:val="clear" w:color="auto" w:fill="FFFFFF" w:themeFill="background1"/>
            <w:noWrap/>
            <w:tcMar>
              <w:top w:w="0" w:type="dxa"/>
              <w:left w:w="108" w:type="dxa"/>
              <w:bottom w:w="0" w:type="dxa"/>
              <w:right w:w="108" w:type="dxa"/>
            </w:tcMar>
            <w:vAlign w:val="bottom"/>
          </w:tcPr>
          <w:p w14:paraId="79E9DB34"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29</w:t>
            </w:r>
          </w:p>
        </w:tc>
        <w:tc>
          <w:tcPr>
            <w:tcW w:w="1506" w:type="dxa"/>
            <w:shd w:val="clear" w:color="auto" w:fill="FFFFFF" w:themeFill="background1"/>
            <w:tcMar>
              <w:top w:w="0" w:type="dxa"/>
              <w:left w:w="108" w:type="dxa"/>
              <w:bottom w:w="0" w:type="dxa"/>
              <w:right w:w="108" w:type="dxa"/>
            </w:tcMar>
            <w:vAlign w:val="bottom"/>
          </w:tcPr>
          <w:p w14:paraId="1B8B4437"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PPS</w:t>
            </w:r>
          </w:p>
        </w:tc>
        <w:tc>
          <w:tcPr>
            <w:tcW w:w="848" w:type="dxa"/>
            <w:shd w:val="clear" w:color="auto" w:fill="FFFFFF" w:themeFill="background1"/>
            <w:tcMar>
              <w:top w:w="0" w:type="dxa"/>
              <w:left w:w="108" w:type="dxa"/>
              <w:bottom w:w="0" w:type="dxa"/>
              <w:right w:w="108" w:type="dxa"/>
            </w:tcMar>
            <w:vAlign w:val="center"/>
          </w:tcPr>
          <w:p w14:paraId="48C4C23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33" w:type="dxa"/>
            <w:shd w:val="clear" w:color="auto" w:fill="FFFFFF" w:themeFill="background1"/>
            <w:tcMar>
              <w:top w:w="0" w:type="dxa"/>
              <w:left w:w="108" w:type="dxa"/>
              <w:bottom w:w="0" w:type="dxa"/>
              <w:right w:w="108" w:type="dxa"/>
            </w:tcMar>
            <w:vAlign w:val="center"/>
          </w:tcPr>
          <w:p w14:paraId="3F5C198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2,17%</w:t>
            </w:r>
          </w:p>
        </w:tc>
        <w:tc>
          <w:tcPr>
            <w:tcW w:w="847" w:type="dxa"/>
            <w:shd w:val="clear" w:color="auto" w:fill="FFFFFF" w:themeFill="background1"/>
            <w:tcMar>
              <w:top w:w="0" w:type="dxa"/>
              <w:left w:w="108" w:type="dxa"/>
              <w:bottom w:w="0" w:type="dxa"/>
              <w:right w:w="108" w:type="dxa"/>
            </w:tcMar>
            <w:vAlign w:val="center"/>
          </w:tcPr>
          <w:p w14:paraId="4B4BACC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33" w:type="dxa"/>
            <w:shd w:val="clear" w:color="auto" w:fill="FFFFFF" w:themeFill="background1"/>
            <w:tcMar>
              <w:top w:w="0" w:type="dxa"/>
              <w:left w:w="108" w:type="dxa"/>
              <w:bottom w:w="0" w:type="dxa"/>
              <w:right w:w="108" w:type="dxa"/>
            </w:tcMar>
            <w:vAlign w:val="center"/>
          </w:tcPr>
          <w:p w14:paraId="312F2CC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2,08%</w:t>
            </w:r>
          </w:p>
        </w:tc>
        <w:tc>
          <w:tcPr>
            <w:tcW w:w="848" w:type="dxa"/>
            <w:shd w:val="clear" w:color="auto" w:fill="FFFFFF" w:themeFill="background1"/>
            <w:tcMar>
              <w:top w:w="0" w:type="dxa"/>
              <w:left w:w="108" w:type="dxa"/>
              <w:bottom w:w="0" w:type="dxa"/>
              <w:right w:w="108" w:type="dxa"/>
            </w:tcMar>
            <w:vAlign w:val="center"/>
          </w:tcPr>
          <w:p w14:paraId="79D483E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24" w:type="dxa"/>
            <w:shd w:val="clear" w:color="auto" w:fill="FFFFFF" w:themeFill="background1"/>
            <w:tcMar>
              <w:top w:w="0" w:type="dxa"/>
              <w:left w:w="108" w:type="dxa"/>
              <w:bottom w:w="0" w:type="dxa"/>
              <w:right w:w="108" w:type="dxa"/>
            </w:tcMar>
            <w:vAlign w:val="center"/>
          </w:tcPr>
          <w:p w14:paraId="68D56A6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971" w:type="dxa"/>
            <w:shd w:val="clear" w:color="auto" w:fill="FFFFFF" w:themeFill="background1"/>
            <w:tcMar>
              <w:top w:w="0" w:type="dxa"/>
              <w:left w:w="108" w:type="dxa"/>
              <w:bottom w:w="0" w:type="dxa"/>
              <w:right w:w="108" w:type="dxa"/>
            </w:tcMar>
            <w:vAlign w:val="center"/>
          </w:tcPr>
          <w:p w14:paraId="5E5F7C2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4" w:type="dxa"/>
            <w:shd w:val="clear" w:color="auto" w:fill="FFFFFF" w:themeFill="background1"/>
            <w:tcMar>
              <w:top w:w="0" w:type="dxa"/>
              <w:left w:w="108" w:type="dxa"/>
              <w:bottom w:w="0" w:type="dxa"/>
              <w:right w:w="108" w:type="dxa"/>
            </w:tcMar>
            <w:vAlign w:val="center"/>
          </w:tcPr>
          <w:p w14:paraId="1029FD3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51" w:type="dxa"/>
            <w:shd w:val="clear" w:color="auto" w:fill="FFFFFF" w:themeFill="background1"/>
            <w:tcMar>
              <w:top w:w="0" w:type="dxa"/>
              <w:left w:w="108" w:type="dxa"/>
              <w:bottom w:w="0" w:type="dxa"/>
              <w:right w:w="108" w:type="dxa"/>
            </w:tcMar>
            <w:vAlign w:val="center"/>
          </w:tcPr>
          <w:p w14:paraId="35E41128" w14:textId="77777777" w:rsidR="00284822" w:rsidRDefault="00F77BF8">
            <w:pPr>
              <w:spacing w:line="240" w:lineRule="auto"/>
              <w:rPr>
                <w:rFonts w:ascii="Rockwell" w:hAnsi="Rockwell"/>
                <w:b/>
                <w:bCs/>
                <w:sz w:val="20"/>
                <w:szCs w:val="20"/>
              </w:rPr>
            </w:pPr>
            <w:r>
              <w:rPr>
                <w:rFonts w:ascii="Rockwell" w:hAnsi="Rockwell"/>
                <w:b/>
                <w:bCs/>
                <w:sz w:val="20"/>
                <w:szCs w:val="20"/>
              </w:rPr>
              <w:t>56</w:t>
            </w:r>
          </w:p>
        </w:tc>
        <w:tc>
          <w:tcPr>
            <w:tcW w:w="1134" w:type="dxa"/>
            <w:shd w:val="clear" w:color="auto" w:fill="FFFFFF" w:themeFill="background1"/>
            <w:tcMar>
              <w:top w:w="0" w:type="dxa"/>
              <w:left w:w="108" w:type="dxa"/>
              <w:bottom w:w="0" w:type="dxa"/>
              <w:right w:w="108" w:type="dxa"/>
            </w:tcMar>
            <w:vAlign w:val="center"/>
          </w:tcPr>
          <w:p w14:paraId="0972EDC6" w14:textId="77777777" w:rsidR="00284822" w:rsidRDefault="00F77BF8">
            <w:pPr>
              <w:spacing w:line="240" w:lineRule="auto"/>
              <w:rPr>
                <w:rFonts w:ascii="Rockwell" w:hAnsi="Rockwell"/>
                <w:b/>
                <w:bCs/>
                <w:sz w:val="20"/>
                <w:szCs w:val="20"/>
              </w:rPr>
            </w:pPr>
            <w:r>
              <w:rPr>
                <w:rFonts w:ascii="Rockwell" w:hAnsi="Rockwell"/>
                <w:b/>
                <w:bCs/>
                <w:sz w:val="20"/>
                <w:szCs w:val="20"/>
              </w:rPr>
              <w:t>7,52%</w:t>
            </w:r>
          </w:p>
        </w:tc>
        <w:tc>
          <w:tcPr>
            <w:tcW w:w="992" w:type="dxa"/>
            <w:shd w:val="clear" w:color="auto" w:fill="FFFFFF" w:themeFill="background1"/>
            <w:tcMar>
              <w:top w:w="0" w:type="dxa"/>
              <w:left w:w="108" w:type="dxa"/>
              <w:bottom w:w="0" w:type="dxa"/>
              <w:right w:w="108" w:type="dxa"/>
            </w:tcMar>
            <w:vAlign w:val="center"/>
          </w:tcPr>
          <w:p w14:paraId="191867ED" w14:textId="77777777" w:rsidR="00284822" w:rsidRDefault="00F77BF8">
            <w:pPr>
              <w:spacing w:line="240" w:lineRule="auto"/>
              <w:rPr>
                <w:rFonts w:ascii="Rockwell" w:hAnsi="Rockwell"/>
                <w:b/>
                <w:bCs/>
                <w:sz w:val="20"/>
                <w:szCs w:val="20"/>
              </w:rPr>
            </w:pPr>
            <w:r>
              <w:rPr>
                <w:rFonts w:ascii="Rockwell" w:hAnsi="Rockwell"/>
                <w:b/>
                <w:bCs/>
                <w:sz w:val="20"/>
                <w:szCs w:val="20"/>
              </w:rPr>
              <w:t>109</w:t>
            </w:r>
          </w:p>
        </w:tc>
        <w:tc>
          <w:tcPr>
            <w:tcW w:w="1843" w:type="dxa"/>
            <w:shd w:val="clear" w:color="auto" w:fill="FFFFFF" w:themeFill="background1"/>
            <w:tcMar>
              <w:top w:w="0" w:type="dxa"/>
              <w:left w:w="108" w:type="dxa"/>
              <w:bottom w:w="0" w:type="dxa"/>
              <w:right w:w="108" w:type="dxa"/>
            </w:tcMar>
            <w:vAlign w:val="center"/>
          </w:tcPr>
          <w:p w14:paraId="58579BE7" w14:textId="77777777" w:rsidR="00284822" w:rsidRDefault="00F77BF8">
            <w:pPr>
              <w:spacing w:line="240" w:lineRule="auto"/>
              <w:rPr>
                <w:rFonts w:ascii="Rockwell" w:hAnsi="Rockwell"/>
                <w:b/>
                <w:bCs/>
                <w:sz w:val="20"/>
                <w:szCs w:val="20"/>
              </w:rPr>
            </w:pPr>
            <w:r>
              <w:rPr>
                <w:rFonts w:ascii="Rockwell" w:hAnsi="Rockwell"/>
                <w:b/>
                <w:bCs/>
                <w:sz w:val="20"/>
                <w:szCs w:val="20"/>
              </w:rPr>
              <w:t>9,10%</w:t>
            </w:r>
          </w:p>
        </w:tc>
      </w:tr>
      <w:tr w:rsidR="00284822" w14:paraId="3C856303" w14:textId="77777777">
        <w:trPr>
          <w:trHeight w:val="136"/>
          <w:jc w:val="center"/>
        </w:trPr>
        <w:tc>
          <w:tcPr>
            <w:tcW w:w="899" w:type="dxa"/>
            <w:shd w:val="clear" w:color="auto" w:fill="FFFFFF" w:themeFill="background1"/>
            <w:noWrap/>
            <w:tcMar>
              <w:top w:w="0" w:type="dxa"/>
              <w:left w:w="108" w:type="dxa"/>
              <w:bottom w:w="0" w:type="dxa"/>
              <w:right w:w="108" w:type="dxa"/>
            </w:tcMar>
            <w:vAlign w:val="bottom"/>
          </w:tcPr>
          <w:p w14:paraId="39DBE906"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30</w:t>
            </w:r>
          </w:p>
        </w:tc>
        <w:tc>
          <w:tcPr>
            <w:tcW w:w="1506" w:type="dxa"/>
            <w:shd w:val="clear" w:color="auto" w:fill="FFFFFF" w:themeFill="background1"/>
            <w:tcMar>
              <w:top w:w="0" w:type="dxa"/>
              <w:left w:w="108" w:type="dxa"/>
              <w:bottom w:w="0" w:type="dxa"/>
              <w:right w:w="108" w:type="dxa"/>
            </w:tcMar>
            <w:vAlign w:val="bottom"/>
          </w:tcPr>
          <w:p w14:paraId="44875E6D"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PRC</w:t>
            </w:r>
          </w:p>
        </w:tc>
        <w:tc>
          <w:tcPr>
            <w:tcW w:w="848" w:type="dxa"/>
            <w:shd w:val="clear" w:color="auto" w:fill="FFFFFF" w:themeFill="background1"/>
            <w:tcMar>
              <w:top w:w="0" w:type="dxa"/>
              <w:left w:w="108" w:type="dxa"/>
              <w:bottom w:w="0" w:type="dxa"/>
              <w:right w:w="108" w:type="dxa"/>
            </w:tcMar>
            <w:vAlign w:val="center"/>
          </w:tcPr>
          <w:p w14:paraId="183E4DD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3" w:type="dxa"/>
            <w:shd w:val="clear" w:color="auto" w:fill="FFFFFF" w:themeFill="background1"/>
            <w:tcMar>
              <w:top w:w="0" w:type="dxa"/>
              <w:left w:w="108" w:type="dxa"/>
              <w:bottom w:w="0" w:type="dxa"/>
              <w:right w:w="108" w:type="dxa"/>
            </w:tcMar>
            <w:vAlign w:val="center"/>
          </w:tcPr>
          <w:p w14:paraId="293E286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47" w:type="dxa"/>
            <w:shd w:val="clear" w:color="auto" w:fill="FFFFFF" w:themeFill="background1"/>
            <w:tcMar>
              <w:top w:w="0" w:type="dxa"/>
              <w:left w:w="108" w:type="dxa"/>
              <w:bottom w:w="0" w:type="dxa"/>
              <w:right w:w="108" w:type="dxa"/>
            </w:tcMar>
            <w:vAlign w:val="center"/>
          </w:tcPr>
          <w:p w14:paraId="50A18AD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3" w:type="dxa"/>
            <w:shd w:val="clear" w:color="auto" w:fill="FFFFFF" w:themeFill="background1"/>
            <w:tcMar>
              <w:top w:w="0" w:type="dxa"/>
              <w:left w:w="108" w:type="dxa"/>
              <w:bottom w:w="0" w:type="dxa"/>
              <w:right w:w="108" w:type="dxa"/>
            </w:tcMar>
            <w:vAlign w:val="center"/>
          </w:tcPr>
          <w:p w14:paraId="6058C24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48" w:type="dxa"/>
            <w:shd w:val="clear" w:color="auto" w:fill="FFFFFF" w:themeFill="background1"/>
            <w:tcMar>
              <w:top w:w="0" w:type="dxa"/>
              <w:left w:w="108" w:type="dxa"/>
              <w:bottom w:w="0" w:type="dxa"/>
              <w:right w:w="108" w:type="dxa"/>
            </w:tcMar>
            <w:vAlign w:val="center"/>
          </w:tcPr>
          <w:p w14:paraId="482326D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24" w:type="dxa"/>
            <w:shd w:val="clear" w:color="auto" w:fill="FFFFFF" w:themeFill="background1"/>
            <w:tcMar>
              <w:top w:w="0" w:type="dxa"/>
              <w:left w:w="108" w:type="dxa"/>
              <w:bottom w:w="0" w:type="dxa"/>
              <w:right w:w="108" w:type="dxa"/>
            </w:tcMar>
            <w:vAlign w:val="center"/>
          </w:tcPr>
          <w:p w14:paraId="0796E82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971" w:type="dxa"/>
            <w:shd w:val="clear" w:color="auto" w:fill="FFFFFF" w:themeFill="background1"/>
            <w:tcMar>
              <w:top w:w="0" w:type="dxa"/>
              <w:left w:w="108" w:type="dxa"/>
              <w:bottom w:w="0" w:type="dxa"/>
              <w:right w:w="108" w:type="dxa"/>
            </w:tcMar>
            <w:vAlign w:val="center"/>
          </w:tcPr>
          <w:p w14:paraId="4354909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4" w:type="dxa"/>
            <w:shd w:val="clear" w:color="auto" w:fill="FFFFFF" w:themeFill="background1"/>
            <w:tcMar>
              <w:top w:w="0" w:type="dxa"/>
              <w:left w:w="108" w:type="dxa"/>
              <w:bottom w:w="0" w:type="dxa"/>
              <w:right w:w="108" w:type="dxa"/>
            </w:tcMar>
            <w:vAlign w:val="center"/>
          </w:tcPr>
          <w:p w14:paraId="1E3B865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51" w:type="dxa"/>
            <w:shd w:val="clear" w:color="auto" w:fill="FFFFFF" w:themeFill="background1"/>
            <w:tcMar>
              <w:top w:w="0" w:type="dxa"/>
              <w:left w:w="108" w:type="dxa"/>
              <w:bottom w:w="0" w:type="dxa"/>
              <w:right w:w="108" w:type="dxa"/>
            </w:tcMar>
            <w:vAlign w:val="center"/>
          </w:tcPr>
          <w:p w14:paraId="6C9E5647" w14:textId="77777777" w:rsidR="00284822" w:rsidRDefault="00F77BF8">
            <w:pPr>
              <w:spacing w:line="240" w:lineRule="auto"/>
              <w:rPr>
                <w:rFonts w:ascii="Rockwell" w:hAnsi="Rockwell"/>
                <w:b/>
                <w:bCs/>
                <w:sz w:val="20"/>
                <w:szCs w:val="20"/>
              </w:rPr>
            </w:pPr>
            <w:r>
              <w:rPr>
                <w:rFonts w:ascii="Rockwell" w:hAnsi="Rockwell"/>
                <w:b/>
                <w:bCs/>
                <w:sz w:val="20"/>
                <w:szCs w:val="20"/>
              </w:rPr>
              <w:t>1</w:t>
            </w:r>
          </w:p>
        </w:tc>
        <w:tc>
          <w:tcPr>
            <w:tcW w:w="1134" w:type="dxa"/>
            <w:shd w:val="clear" w:color="auto" w:fill="FFFFFF" w:themeFill="background1"/>
            <w:tcMar>
              <w:top w:w="0" w:type="dxa"/>
              <w:left w:w="108" w:type="dxa"/>
              <w:bottom w:w="0" w:type="dxa"/>
              <w:right w:w="108" w:type="dxa"/>
            </w:tcMar>
            <w:vAlign w:val="center"/>
          </w:tcPr>
          <w:p w14:paraId="1160E05A" w14:textId="77777777" w:rsidR="00284822" w:rsidRDefault="00F77BF8">
            <w:pPr>
              <w:spacing w:line="240" w:lineRule="auto"/>
              <w:rPr>
                <w:rFonts w:ascii="Rockwell" w:hAnsi="Rockwell"/>
                <w:b/>
                <w:bCs/>
                <w:sz w:val="20"/>
                <w:szCs w:val="20"/>
              </w:rPr>
            </w:pPr>
            <w:r>
              <w:rPr>
                <w:rFonts w:ascii="Rockwell" w:hAnsi="Rockwell"/>
                <w:b/>
                <w:bCs/>
                <w:sz w:val="20"/>
                <w:szCs w:val="20"/>
              </w:rPr>
              <w:t>0,13%</w:t>
            </w:r>
          </w:p>
        </w:tc>
        <w:tc>
          <w:tcPr>
            <w:tcW w:w="992" w:type="dxa"/>
            <w:shd w:val="clear" w:color="auto" w:fill="FFFFFF" w:themeFill="background1"/>
            <w:tcMar>
              <w:top w:w="0" w:type="dxa"/>
              <w:left w:w="108" w:type="dxa"/>
              <w:bottom w:w="0" w:type="dxa"/>
              <w:right w:w="108" w:type="dxa"/>
            </w:tcMar>
            <w:vAlign w:val="center"/>
          </w:tcPr>
          <w:p w14:paraId="4C8B883A" w14:textId="77777777" w:rsidR="00284822" w:rsidRDefault="00F77BF8">
            <w:pPr>
              <w:spacing w:line="240" w:lineRule="auto"/>
              <w:rPr>
                <w:rFonts w:ascii="Rockwell" w:hAnsi="Rockwell"/>
                <w:b/>
                <w:bCs/>
                <w:sz w:val="20"/>
                <w:szCs w:val="20"/>
              </w:rPr>
            </w:pPr>
            <w:r>
              <w:rPr>
                <w:rFonts w:ascii="Rockwell" w:hAnsi="Rockwell"/>
                <w:b/>
                <w:bCs/>
                <w:sz w:val="20"/>
                <w:szCs w:val="20"/>
              </w:rPr>
              <w:t>3</w:t>
            </w:r>
          </w:p>
        </w:tc>
        <w:tc>
          <w:tcPr>
            <w:tcW w:w="1843" w:type="dxa"/>
            <w:shd w:val="clear" w:color="auto" w:fill="FFFFFF" w:themeFill="background1"/>
            <w:tcMar>
              <w:top w:w="0" w:type="dxa"/>
              <w:left w:w="108" w:type="dxa"/>
              <w:bottom w:w="0" w:type="dxa"/>
              <w:right w:w="108" w:type="dxa"/>
            </w:tcMar>
            <w:vAlign w:val="center"/>
          </w:tcPr>
          <w:p w14:paraId="1FF6075E" w14:textId="77777777" w:rsidR="00284822" w:rsidRDefault="00F77BF8">
            <w:pPr>
              <w:spacing w:line="240" w:lineRule="auto"/>
              <w:rPr>
                <w:rFonts w:ascii="Rockwell" w:hAnsi="Rockwell"/>
                <w:b/>
                <w:bCs/>
                <w:sz w:val="20"/>
                <w:szCs w:val="20"/>
              </w:rPr>
            </w:pPr>
            <w:r>
              <w:rPr>
                <w:rFonts w:ascii="Rockwell" w:hAnsi="Rockwell"/>
                <w:b/>
                <w:bCs/>
                <w:sz w:val="20"/>
                <w:szCs w:val="20"/>
              </w:rPr>
              <w:t>0,25%</w:t>
            </w:r>
          </w:p>
        </w:tc>
      </w:tr>
      <w:tr w:rsidR="00284822" w14:paraId="34B9ACDA" w14:textId="77777777">
        <w:trPr>
          <w:trHeight w:val="136"/>
          <w:jc w:val="center"/>
        </w:trPr>
        <w:tc>
          <w:tcPr>
            <w:tcW w:w="899" w:type="dxa"/>
            <w:shd w:val="clear" w:color="auto" w:fill="FFFFFF" w:themeFill="background1"/>
            <w:noWrap/>
            <w:tcMar>
              <w:top w:w="0" w:type="dxa"/>
              <w:left w:w="108" w:type="dxa"/>
              <w:bottom w:w="0" w:type="dxa"/>
              <w:right w:w="108" w:type="dxa"/>
            </w:tcMar>
            <w:vAlign w:val="bottom"/>
          </w:tcPr>
          <w:p w14:paraId="643436F7"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31</w:t>
            </w:r>
          </w:p>
        </w:tc>
        <w:tc>
          <w:tcPr>
            <w:tcW w:w="1506" w:type="dxa"/>
            <w:shd w:val="clear" w:color="auto" w:fill="FFFFFF" w:themeFill="background1"/>
            <w:tcMar>
              <w:top w:w="0" w:type="dxa"/>
              <w:left w:w="108" w:type="dxa"/>
              <w:bottom w:w="0" w:type="dxa"/>
              <w:right w:w="108" w:type="dxa"/>
            </w:tcMar>
            <w:vAlign w:val="bottom"/>
          </w:tcPr>
          <w:p w14:paraId="422D8982"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PUR</w:t>
            </w:r>
          </w:p>
        </w:tc>
        <w:tc>
          <w:tcPr>
            <w:tcW w:w="848" w:type="dxa"/>
            <w:shd w:val="clear" w:color="auto" w:fill="FFFFFF" w:themeFill="background1"/>
            <w:tcMar>
              <w:top w:w="0" w:type="dxa"/>
              <w:left w:w="108" w:type="dxa"/>
              <w:bottom w:w="0" w:type="dxa"/>
              <w:right w:w="108" w:type="dxa"/>
            </w:tcMar>
            <w:vAlign w:val="center"/>
          </w:tcPr>
          <w:p w14:paraId="680109A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3" w:type="dxa"/>
            <w:shd w:val="clear" w:color="auto" w:fill="FFFFFF" w:themeFill="background1"/>
            <w:tcMar>
              <w:top w:w="0" w:type="dxa"/>
              <w:left w:w="108" w:type="dxa"/>
              <w:bottom w:w="0" w:type="dxa"/>
              <w:right w:w="108" w:type="dxa"/>
            </w:tcMar>
            <w:vAlign w:val="center"/>
          </w:tcPr>
          <w:p w14:paraId="0ADC4C2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47" w:type="dxa"/>
            <w:shd w:val="clear" w:color="auto" w:fill="FFFFFF" w:themeFill="background1"/>
            <w:tcMar>
              <w:top w:w="0" w:type="dxa"/>
              <w:left w:w="108" w:type="dxa"/>
              <w:bottom w:w="0" w:type="dxa"/>
              <w:right w:w="108" w:type="dxa"/>
            </w:tcMar>
            <w:vAlign w:val="center"/>
          </w:tcPr>
          <w:p w14:paraId="4062FB2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3" w:type="dxa"/>
            <w:shd w:val="clear" w:color="auto" w:fill="FFFFFF" w:themeFill="background1"/>
            <w:tcMar>
              <w:top w:w="0" w:type="dxa"/>
              <w:left w:w="108" w:type="dxa"/>
              <w:bottom w:w="0" w:type="dxa"/>
              <w:right w:w="108" w:type="dxa"/>
            </w:tcMar>
            <w:vAlign w:val="center"/>
          </w:tcPr>
          <w:p w14:paraId="304A698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48" w:type="dxa"/>
            <w:shd w:val="clear" w:color="auto" w:fill="FFFFFF" w:themeFill="background1"/>
            <w:tcMar>
              <w:top w:w="0" w:type="dxa"/>
              <w:left w:w="108" w:type="dxa"/>
              <w:bottom w:w="0" w:type="dxa"/>
              <w:right w:w="108" w:type="dxa"/>
            </w:tcMar>
            <w:vAlign w:val="center"/>
          </w:tcPr>
          <w:p w14:paraId="31BF2FC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24" w:type="dxa"/>
            <w:shd w:val="clear" w:color="auto" w:fill="FFFFFF" w:themeFill="background1"/>
            <w:tcMar>
              <w:top w:w="0" w:type="dxa"/>
              <w:left w:w="108" w:type="dxa"/>
              <w:bottom w:w="0" w:type="dxa"/>
              <w:right w:w="108" w:type="dxa"/>
            </w:tcMar>
            <w:vAlign w:val="center"/>
          </w:tcPr>
          <w:p w14:paraId="0E98563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971" w:type="dxa"/>
            <w:shd w:val="clear" w:color="auto" w:fill="FFFFFF" w:themeFill="background1"/>
            <w:tcMar>
              <w:top w:w="0" w:type="dxa"/>
              <w:left w:w="108" w:type="dxa"/>
              <w:bottom w:w="0" w:type="dxa"/>
              <w:right w:w="108" w:type="dxa"/>
            </w:tcMar>
            <w:vAlign w:val="center"/>
          </w:tcPr>
          <w:p w14:paraId="0531021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4" w:type="dxa"/>
            <w:shd w:val="clear" w:color="auto" w:fill="FFFFFF" w:themeFill="background1"/>
            <w:tcMar>
              <w:top w:w="0" w:type="dxa"/>
              <w:left w:w="108" w:type="dxa"/>
              <w:bottom w:w="0" w:type="dxa"/>
              <w:right w:w="108" w:type="dxa"/>
            </w:tcMar>
            <w:vAlign w:val="center"/>
          </w:tcPr>
          <w:p w14:paraId="4429A1A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51" w:type="dxa"/>
            <w:shd w:val="clear" w:color="auto" w:fill="FFFFFF" w:themeFill="background1"/>
            <w:tcMar>
              <w:top w:w="0" w:type="dxa"/>
              <w:left w:w="108" w:type="dxa"/>
              <w:bottom w:w="0" w:type="dxa"/>
              <w:right w:w="108" w:type="dxa"/>
            </w:tcMar>
            <w:vAlign w:val="center"/>
          </w:tcPr>
          <w:p w14:paraId="0C2AEB65" w14:textId="77777777" w:rsidR="00284822" w:rsidRDefault="00F77BF8">
            <w:pPr>
              <w:spacing w:line="240" w:lineRule="auto"/>
              <w:rPr>
                <w:rFonts w:ascii="Rockwell" w:hAnsi="Rockwell"/>
                <w:b/>
                <w:bCs/>
                <w:sz w:val="20"/>
                <w:szCs w:val="20"/>
              </w:rPr>
            </w:pPr>
            <w:r>
              <w:rPr>
                <w:rFonts w:ascii="Rockwell" w:hAnsi="Rockwell"/>
                <w:b/>
                <w:bCs/>
                <w:sz w:val="20"/>
                <w:szCs w:val="20"/>
              </w:rPr>
              <w:t>1</w:t>
            </w:r>
          </w:p>
        </w:tc>
        <w:tc>
          <w:tcPr>
            <w:tcW w:w="1134" w:type="dxa"/>
            <w:shd w:val="clear" w:color="auto" w:fill="FFFFFF" w:themeFill="background1"/>
            <w:tcMar>
              <w:top w:w="0" w:type="dxa"/>
              <w:left w:w="108" w:type="dxa"/>
              <w:bottom w:w="0" w:type="dxa"/>
              <w:right w:w="108" w:type="dxa"/>
            </w:tcMar>
            <w:vAlign w:val="center"/>
          </w:tcPr>
          <w:p w14:paraId="65953ADC" w14:textId="77777777" w:rsidR="00284822" w:rsidRDefault="00F77BF8">
            <w:pPr>
              <w:spacing w:line="240" w:lineRule="auto"/>
              <w:rPr>
                <w:rFonts w:ascii="Rockwell" w:hAnsi="Rockwell"/>
                <w:b/>
                <w:bCs/>
                <w:sz w:val="20"/>
                <w:szCs w:val="20"/>
              </w:rPr>
            </w:pPr>
            <w:r>
              <w:rPr>
                <w:rFonts w:ascii="Rockwell" w:hAnsi="Rockwell"/>
                <w:b/>
                <w:bCs/>
                <w:sz w:val="20"/>
                <w:szCs w:val="20"/>
              </w:rPr>
              <w:t>0,13%</w:t>
            </w:r>
          </w:p>
        </w:tc>
        <w:tc>
          <w:tcPr>
            <w:tcW w:w="992" w:type="dxa"/>
            <w:shd w:val="clear" w:color="auto" w:fill="FFFFFF" w:themeFill="background1"/>
            <w:tcMar>
              <w:top w:w="0" w:type="dxa"/>
              <w:left w:w="108" w:type="dxa"/>
              <w:bottom w:w="0" w:type="dxa"/>
              <w:right w:w="108" w:type="dxa"/>
            </w:tcMar>
            <w:vAlign w:val="center"/>
          </w:tcPr>
          <w:p w14:paraId="28FFFA77" w14:textId="77777777" w:rsidR="00284822" w:rsidRDefault="00F77BF8">
            <w:pPr>
              <w:spacing w:line="240" w:lineRule="auto"/>
              <w:rPr>
                <w:rFonts w:ascii="Rockwell" w:hAnsi="Rockwell"/>
                <w:b/>
                <w:bCs/>
                <w:sz w:val="20"/>
                <w:szCs w:val="20"/>
              </w:rPr>
            </w:pPr>
            <w:r>
              <w:rPr>
                <w:rFonts w:ascii="Rockwell" w:hAnsi="Rockwell"/>
                <w:b/>
                <w:bCs/>
                <w:sz w:val="20"/>
                <w:szCs w:val="20"/>
              </w:rPr>
              <w:t>1</w:t>
            </w:r>
          </w:p>
        </w:tc>
        <w:tc>
          <w:tcPr>
            <w:tcW w:w="1843" w:type="dxa"/>
            <w:shd w:val="clear" w:color="auto" w:fill="FFFFFF" w:themeFill="background1"/>
            <w:tcMar>
              <w:top w:w="0" w:type="dxa"/>
              <w:left w:w="108" w:type="dxa"/>
              <w:bottom w:w="0" w:type="dxa"/>
              <w:right w:w="108" w:type="dxa"/>
            </w:tcMar>
            <w:vAlign w:val="center"/>
          </w:tcPr>
          <w:p w14:paraId="7F387A53" w14:textId="77777777" w:rsidR="00284822" w:rsidRDefault="00F77BF8">
            <w:pPr>
              <w:spacing w:line="240" w:lineRule="auto"/>
              <w:rPr>
                <w:rFonts w:ascii="Rockwell" w:hAnsi="Rockwell"/>
                <w:b/>
                <w:bCs/>
                <w:sz w:val="20"/>
                <w:szCs w:val="20"/>
              </w:rPr>
            </w:pPr>
            <w:r>
              <w:rPr>
                <w:rFonts w:ascii="Rockwell" w:hAnsi="Rockwell"/>
                <w:b/>
                <w:bCs/>
                <w:sz w:val="20"/>
                <w:szCs w:val="20"/>
              </w:rPr>
              <w:t>0,08%</w:t>
            </w:r>
          </w:p>
        </w:tc>
      </w:tr>
      <w:tr w:rsidR="00284822" w14:paraId="584D9A28" w14:textId="77777777">
        <w:trPr>
          <w:trHeight w:val="136"/>
          <w:jc w:val="center"/>
        </w:trPr>
        <w:tc>
          <w:tcPr>
            <w:tcW w:w="899" w:type="dxa"/>
            <w:shd w:val="clear" w:color="auto" w:fill="FFFFFF" w:themeFill="background1"/>
            <w:noWrap/>
            <w:tcMar>
              <w:top w:w="0" w:type="dxa"/>
              <w:left w:w="108" w:type="dxa"/>
              <w:bottom w:w="0" w:type="dxa"/>
              <w:right w:w="108" w:type="dxa"/>
            </w:tcMar>
            <w:vAlign w:val="bottom"/>
          </w:tcPr>
          <w:p w14:paraId="5228F3D9"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32</w:t>
            </w:r>
          </w:p>
        </w:tc>
        <w:tc>
          <w:tcPr>
            <w:tcW w:w="1506" w:type="dxa"/>
            <w:shd w:val="clear" w:color="auto" w:fill="FFFFFF" w:themeFill="background1"/>
            <w:tcMar>
              <w:top w:w="0" w:type="dxa"/>
              <w:left w:w="108" w:type="dxa"/>
              <w:bottom w:w="0" w:type="dxa"/>
              <w:right w:w="108" w:type="dxa"/>
            </w:tcMar>
            <w:vAlign w:val="bottom"/>
          </w:tcPr>
          <w:p w14:paraId="081F9EB5"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RDP</w:t>
            </w:r>
          </w:p>
        </w:tc>
        <w:tc>
          <w:tcPr>
            <w:tcW w:w="848" w:type="dxa"/>
            <w:shd w:val="clear" w:color="auto" w:fill="FFFFFF" w:themeFill="background1"/>
            <w:tcMar>
              <w:top w:w="0" w:type="dxa"/>
              <w:left w:w="108" w:type="dxa"/>
              <w:bottom w:w="0" w:type="dxa"/>
              <w:right w:w="108" w:type="dxa"/>
            </w:tcMar>
            <w:vAlign w:val="center"/>
          </w:tcPr>
          <w:p w14:paraId="4018352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3" w:type="dxa"/>
            <w:shd w:val="clear" w:color="auto" w:fill="FFFFFF" w:themeFill="background1"/>
            <w:tcMar>
              <w:top w:w="0" w:type="dxa"/>
              <w:left w:w="108" w:type="dxa"/>
              <w:bottom w:w="0" w:type="dxa"/>
              <w:right w:w="108" w:type="dxa"/>
            </w:tcMar>
            <w:vAlign w:val="center"/>
          </w:tcPr>
          <w:p w14:paraId="7BBD251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47" w:type="dxa"/>
            <w:shd w:val="clear" w:color="auto" w:fill="FFFFFF" w:themeFill="background1"/>
            <w:tcMar>
              <w:top w:w="0" w:type="dxa"/>
              <w:left w:w="108" w:type="dxa"/>
              <w:bottom w:w="0" w:type="dxa"/>
              <w:right w:w="108" w:type="dxa"/>
            </w:tcMar>
            <w:vAlign w:val="center"/>
          </w:tcPr>
          <w:p w14:paraId="2244B51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3" w:type="dxa"/>
            <w:shd w:val="clear" w:color="auto" w:fill="FFFFFF" w:themeFill="background1"/>
            <w:tcMar>
              <w:top w:w="0" w:type="dxa"/>
              <w:left w:w="108" w:type="dxa"/>
              <w:bottom w:w="0" w:type="dxa"/>
              <w:right w:w="108" w:type="dxa"/>
            </w:tcMar>
            <w:vAlign w:val="center"/>
          </w:tcPr>
          <w:p w14:paraId="40E486E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48" w:type="dxa"/>
            <w:shd w:val="clear" w:color="auto" w:fill="FFFFFF" w:themeFill="background1"/>
            <w:tcMar>
              <w:top w:w="0" w:type="dxa"/>
              <w:left w:w="108" w:type="dxa"/>
              <w:bottom w:w="0" w:type="dxa"/>
              <w:right w:w="108" w:type="dxa"/>
            </w:tcMar>
            <w:vAlign w:val="center"/>
          </w:tcPr>
          <w:p w14:paraId="1A1736D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24" w:type="dxa"/>
            <w:shd w:val="clear" w:color="auto" w:fill="FFFFFF" w:themeFill="background1"/>
            <w:tcMar>
              <w:top w:w="0" w:type="dxa"/>
              <w:left w:w="108" w:type="dxa"/>
              <w:bottom w:w="0" w:type="dxa"/>
              <w:right w:w="108" w:type="dxa"/>
            </w:tcMar>
            <w:vAlign w:val="center"/>
          </w:tcPr>
          <w:p w14:paraId="079E919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971" w:type="dxa"/>
            <w:shd w:val="clear" w:color="auto" w:fill="FFFFFF" w:themeFill="background1"/>
            <w:tcMar>
              <w:top w:w="0" w:type="dxa"/>
              <w:left w:w="108" w:type="dxa"/>
              <w:bottom w:w="0" w:type="dxa"/>
              <w:right w:w="108" w:type="dxa"/>
            </w:tcMar>
            <w:vAlign w:val="center"/>
          </w:tcPr>
          <w:p w14:paraId="694356D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4" w:type="dxa"/>
            <w:shd w:val="clear" w:color="auto" w:fill="FFFFFF" w:themeFill="background1"/>
            <w:tcMar>
              <w:top w:w="0" w:type="dxa"/>
              <w:left w:w="108" w:type="dxa"/>
              <w:bottom w:w="0" w:type="dxa"/>
              <w:right w:w="108" w:type="dxa"/>
            </w:tcMar>
            <w:vAlign w:val="center"/>
          </w:tcPr>
          <w:p w14:paraId="576871C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51" w:type="dxa"/>
            <w:shd w:val="clear" w:color="auto" w:fill="FFFFFF" w:themeFill="background1"/>
            <w:tcMar>
              <w:top w:w="0" w:type="dxa"/>
              <w:left w:w="108" w:type="dxa"/>
              <w:bottom w:w="0" w:type="dxa"/>
              <w:right w:w="108" w:type="dxa"/>
            </w:tcMar>
            <w:vAlign w:val="center"/>
          </w:tcPr>
          <w:p w14:paraId="5CE1545A" w14:textId="77777777" w:rsidR="00284822" w:rsidRDefault="00F77BF8">
            <w:pPr>
              <w:spacing w:line="240" w:lineRule="auto"/>
              <w:rPr>
                <w:rFonts w:ascii="Rockwell" w:hAnsi="Rockwell"/>
                <w:b/>
                <w:bCs/>
                <w:sz w:val="20"/>
                <w:szCs w:val="20"/>
              </w:rPr>
            </w:pPr>
            <w:r>
              <w:rPr>
                <w:rFonts w:ascii="Rockwell" w:hAnsi="Rockwell"/>
                <w:b/>
                <w:bCs/>
                <w:sz w:val="20"/>
                <w:szCs w:val="20"/>
              </w:rPr>
              <w:t>2</w:t>
            </w:r>
          </w:p>
        </w:tc>
        <w:tc>
          <w:tcPr>
            <w:tcW w:w="1134" w:type="dxa"/>
            <w:shd w:val="clear" w:color="auto" w:fill="FFFFFF" w:themeFill="background1"/>
            <w:tcMar>
              <w:top w:w="0" w:type="dxa"/>
              <w:left w:w="108" w:type="dxa"/>
              <w:bottom w:w="0" w:type="dxa"/>
              <w:right w:w="108" w:type="dxa"/>
            </w:tcMar>
            <w:vAlign w:val="center"/>
          </w:tcPr>
          <w:p w14:paraId="4B6DECF7" w14:textId="77777777" w:rsidR="00284822" w:rsidRDefault="00F77BF8">
            <w:pPr>
              <w:spacing w:line="240" w:lineRule="auto"/>
              <w:rPr>
                <w:rFonts w:ascii="Rockwell" w:hAnsi="Rockwell"/>
                <w:b/>
                <w:bCs/>
                <w:sz w:val="20"/>
                <w:szCs w:val="20"/>
              </w:rPr>
            </w:pPr>
            <w:r>
              <w:rPr>
                <w:rFonts w:ascii="Rockwell" w:hAnsi="Rockwell"/>
                <w:b/>
                <w:bCs/>
                <w:sz w:val="20"/>
                <w:szCs w:val="20"/>
              </w:rPr>
              <w:t>0,27%</w:t>
            </w:r>
          </w:p>
        </w:tc>
        <w:tc>
          <w:tcPr>
            <w:tcW w:w="992" w:type="dxa"/>
            <w:shd w:val="clear" w:color="auto" w:fill="FFFFFF" w:themeFill="background1"/>
            <w:tcMar>
              <w:top w:w="0" w:type="dxa"/>
              <w:left w:w="108" w:type="dxa"/>
              <w:bottom w:w="0" w:type="dxa"/>
              <w:right w:w="108" w:type="dxa"/>
            </w:tcMar>
            <w:vAlign w:val="center"/>
          </w:tcPr>
          <w:p w14:paraId="5328ABA0" w14:textId="77777777" w:rsidR="00284822" w:rsidRDefault="00F77BF8">
            <w:pPr>
              <w:spacing w:line="240" w:lineRule="auto"/>
              <w:rPr>
                <w:rFonts w:ascii="Rockwell" w:hAnsi="Rockwell"/>
                <w:b/>
                <w:bCs/>
                <w:sz w:val="20"/>
                <w:szCs w:val="20"/>
              </w:rPr>
            </w:pPr>
            <w:r>
              <w:rPr>
                <w:rFonts w:ascii="Rockwell" w:hAnsi="Rockwell"/>
                <w:b/>
                <w:bCs/>
                <w:sz w:val="20"/>
                <w:szCs w:val="20"/>
              </w:rPr>
              <w:t>2</w:t>
            </w:r>
          </w:p>
        </w:tc>
        <w:tc>
          <w:tcPr>
            <w:tcW w:w="1843" w:type="dxa"/>
            <w:shd w:val="clear" w:color="auto" w:fill="FFFFFF" w:themeFill="background1"/>
            <w:tcMar>
              <w:top w:w="0" w:type="dxa"/>
              <w:left w:w="108" w:type="dxa"/>
              <w:bottom w:w="0" w:type="dxa"/>
              <w:right w:w="108" w:type="dxa"/>
            </w:tcMar>
            <w:vAlign w:val="center"/>
          </w:tcPr>
          <w:p w14:paraId="5A4D088B" w14:textId="77777777" w:rsidR="00284822" w:rsidRDefault="00F77BF8">
            <w:pPr>
              <w:spacing w:line="240" w:lineRule="auto"/>
              <w:rPr>
                <w:rFonts w:ascii="Rockwell" w:hAnsi="Rockwell"/>
                <w:b/>
                <w:bCs/>
                <w:sz w:val="20"/>
                <w:szCs w:val="20"/>
              </w:rPr>
            </w:pPr>
            <w:r>
              <w:rPr>
                <w:rFonts w:ascii="Rockwell" w:hAnsi="Rockwell"/>
                <w:b/>
                <w:bCs/>
                <w:sz w:val="20"/>
                <w:szCs w:val="20"/>
              </w:rPr>
              <w:t>0,17%</w:t>
            </w:r>
          </w:p>
        </w:tc>
      </w:tr>
      <w:tr w:rsidR="00284822" w14:paraId="1B55BCAA" w14:textId="77777777">
        <w:trPr>
          <w:trHeight w:val="136"/>
          <w:jc w:val="center"/>
        </w:trPr>
        <w:tc>
          <w:tcPr>
            <w:tcW w:w="899" w:type="dxa"/>
            <w:shd w:val="clear" w:color="auto" w:fill="FFFFFF" w:themeFill="background1"/>
            <w:noWrap/>
            <w:tcMar>
              <w:top w:w="0" w:type="dxa"/>
              <w:left w:w="108" w:type="dxa"/>
              <w:bottom w:w="0" w:type="dxa"/>
              <w:right w:w="108" w:type="dxa"/>
            </w:tcMar>
            <w:vAlign w:val="bottom"/>
          </w:tcPr>
          <w:p w14:paraId="341FCC52"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33</w:t>
            </w:r>
          </w:p>
        </w:tc>
        <w:tc>
          <w:tcPr>
            <w:tcW w:w="1506" w:type="dxa"/>
            <w:shd w:val="clear" w:color="auto" w:fill="FFFFFF" w:themeFill="background1"/>
            <w:tcMar>
              <w:top w:w="0" w:type="dxa"/>
              <w:left w:w="108" w:type="dxa"/>
              <w:bottom w:w="0" w:type="dxa"/>
              <w:right w:w="108" w:type="dxa"/>
            </w:tcMar>
            <w:vAlign w:val="bottom"/>
          </w:tcPr>
          <w:p w14:paraId="42EE2CD2"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RDR</w:t>
            </w:r>
          </w:p>
        </w:tc>
        <w:tc>
          <w:tcPr>
            <w:tcW w:w="848" w:type="dxa"/>
            <w:shd w:val="clear" w:color="auto" w:fill="FFFFFF" w:themeFill="background1"/>
            <w:tcMar>
              <w:top w:w="0" w:type="dxa"/>
              <w:left w:w="108" w:type="dxa"/>
              <w:bottom w:w="0" w:type="dxa"/>
              <w:right w:w="108" w:type="dxa"/>
            </w:tcMar>
            <w:vAlign w:val="center"/>
          </w:tcPr>
          <w:p w14:paraId="463A559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3" w:type="dxa"/>
            <w:shd w:val="clear" w:color="auto" w:fill="FFFFFF" w:themeFill="background1"/>
            <w:tcMar>
              <w:top w:w="0" w:type="dxa"/>
              <w:left w:w="108" w:type="dxa"/>
              <w:bottom w:w="0" w:type="dxa"/>
              <w:right w:w="108" w:type="dxa"/>
            </w:tcMar>
            <w:vAlign w:val="center"/>
          </w:tcPr>
          <w:p w14:paraId="46F38CB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47" w:type="dxa"/>
            <w:shd w:val="clear" w:color="auto" w:fill="FFFFFF" w:themeFill="background1"/>
            <w:tcMar>
              <w:top w:w="0" w:type="dxa"/>
              <w:left w:w="108" w:type="dxa"/>
              <w:bottom w:w="0" w:type="dxa"/>
              <w:right w:w="108" w:type="dxa"/>
            </w:tcMar>
            <w:vAlign w:val="center"/>
          </w:tcPr>
          <w:p w14:paraId="086A9ED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3" w:type="dxa"/>
            <w:shd w:val="clear" w:color="auto" w:fill="FFFFFF" w:themeFill="background1"/>
            <w:tcMar>
              <w:top w:w="0" w:type="dxa"/>
              <w:left w:w="108" w:type="dxa"/>
              <w:bottom w:w="0" w:type="dxa"/>
              <w:right w:w="108" w:type="dxa"/>
            </w:tcMar>
            <w:vAlign w:val="center"/>
          </w:tcPr>
          <w:p w14:paraId="7D5CDE8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48" w:type="dxa"/>
            <w:shd w:val="clear" w:color="auto" w:fill="FFFFFF" w:themeFill="background1"/>
            <w:tcMar>
              <w:top w:w="0" w:type="dxa"/>
              <w:left w:w="108" w:type="dxa"/>
              <w:bottom w:w="0" w:type="dxa"/>
              <w:right w:w="108" w:type="dxa"/>
            </w:tcMar>
            <w:vAlign w:val="center"/>
          </w:tcPr>
          <w:p w14:paraId="6ED17F8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24" w:type="dxa"/>
            <w:shd w:val="clear" w:color="auto" w:fill="FFFFFF" w:themeFill="background1"/>
            <w:tcMar>
              <w:top w:w="0" w:type="dxa"/>
              <w:left w:w="108" w:type="dxa"/>
              <w:bottom w:w="0" w:type="dxa"/>
              <w:right w:w="108" w:type="dxa"/>
            </w:tcMar>
            <w:vAlign w:val="center"/>
          </w:tcPr>
          <w:p w14:paraId="7616A84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971" w:type="dxa"/>
            <w:shd w:val="clear" w:color="auto" w:fill="FFFFFF" w:themeFill="background1"/>
            <w:tcMar>
              <w:top w:w="0" w:type="dxa"/>
              <w:left w:w="108" w:type="dxa"/>
              <w:bottom w:w="0" w:type="dxa"/>
              <w:right w:w="108" w:type="dxa"/>
            </w:tcMar>
            <w:vAlign w:val="center"/>
          </w:tcPr>
          <w:p w14:paraId="5E4268D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4" w:type="dxa"/>
            <w:shd w:val="clear" w:color="auto" w:fill="FFFFFF" w:themeFill="background1"/>
            <w:tcMar>
              <w:top w:w="0" w:type="dxa"/>
              <w:left w:w="108" w:type="dxa"/>
              <w:bottom w:w="0" w:type="dxa"/>
              <w:right w:w="108" w:type="dxa"/>
            </w:tcMar>
            <w:vAlign w:val="center"/>
          </w:tcPr>
          <w:p w14:paraId="34BD9B4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51" w:type="dxa"/>
            <w:shd w:val="clear" w:color="auto" w:fill="FFFFFF" w:themeFill="background1"/>
            <w:tcMar>
              <w:top w:w="0" w:type="dxa"/>
              <w:left w:w="108" w:type="dxa"/>
              <w:bottom w:w="0" w:type="dxa"/>
              <w:right w:w="108" w:type="dxa"/>
            </w:tcMar>
            <w:vAlign w:val="center"/>
          </w:tcPr>
          <w:p w14:paraId="68FA1CEC" w14:textId="77777777" w:rsidR="00284822" w:rsidRDefault="00F77BF8">
            <w:pPr>
              <w:spacing w:line="240" w:lineRule="auto"/>
              <w:rPr>
                <w:rFonts w:ascii="Rockwell" w:hAnsi="Rockwell"/>
                <w:b/>
                <w:bCs/>
                <w:sz w:val="20"/>
                <w:szCs w:val="20"/>
              </w:rPr>
            </w:pPr>
            <w:r>
              <w:rPr>
                <w:rFonts w:ascii="Rockwell" w:hAnsi="Rockwell"/>
                <w:b/>
                <w:bCs/>
                <w:sz w:val="20"/>
                <w:szCs w:val="20"/>
              </w:rPr>
              <w:t>1</w:t>
            </w:r>
          </w:p>
        </w:tc>
        <w:tc>
          <w:tcPr>
            <w:tcW w:w="1134" w:type="dxa"/>
            <w:shd w:val="clear" w:color="auto" w:fill="FFFFFF" w:themeFill="background1"/>
            <w:tcMar>
              <w:top w:w="0" w:type="dxa"/>
              <w:left w:w="108" w:type="dxa"/>
              <w:bottom w:w="0" w:type="dxa"/>
              <w:right w:w="108" w:type="dxa"/>
            </w:tcMar>
            <w:vAlign w:val="center"/>
          </w:tcPr>
          <w:p w14:paraId="5E3483CB" w14:textId="77777777" w:rsidR="00284822" w:rsidRDefault="00F77BF8">
            <w:pPr>
              <w:spacing w:line="240" w:lineRule="auto"/>
              <w:rPr>
                <w:rFonts w:ascii="Rockwell" w:hAnsi="Rockwell"/>
                <w:b/>
                <w:bCs/>
                <w:sz w:val="20"/>
                <w:szCs w:val="20"/>
              </w:rPr>
            </w:pPr>
            <w:r>
              <w:rPr>
                <w:rFonts w:ascii="Rockwell" w:hAnsi="Rockwell"/>
                <w:b/>
                <w:bCs/>
                <w:sz w:val="20"/>
                <w:szCs w:val="20"/>
              </w:rPr>
              <w:t>0,13%</w:t>
            </w:r>
          </w:p>
        </w:tc>
        <w:tc>
          <w:tcPr>
            <w:tcW w:w="992" w:type="dxa"/>
            <w:shd w:val="clear" w:color="auto" w:fill="FFFFFF" w:themeFill="background1"/>
            <w:tcMar>
              <w:top w:w="0" w:type="dxa"/>
              <w:left w:w="108" w:type="dxa"/>
              <w:bottom w:w="0" w:type="dxa"/>
              <w:right w:w="108" w:type="dxa"/>
            </w:tcMar>
            <w:vAlign w:val="center"/>
          </w:tcPr>
          <w:p w14:paraId="1FB0D877" w14:textId="77777777" w:rsidR="00284822" w:rsidRDefault="00F77BF8">
            <w:pPr>
              <w:spacing w:line="240" w:lineRule="auto"/>
              <w:rPr>
                <w:rFonts w:ascii="Rockwell" w:hAnsi="Rockwell"/>
                <w:b/>
                <w:bCs/>
                <w:sz w:val="20"/>
                <w:szCs w:val="20"/>
              </w:rPr>
            </w:pPr>
            <w:r>
              <w:rPr>
                <w:rFonts w:ascii="Rockwell" w:hAnsi="Rockwell"/>
                <w:b/>
                <w:bCs/>
                <w:sz w:val="20"/>
                <w:szCs w:val="20"/>
              </w:rPr>
              <w:t>4</w:t>
            </w:r>
          </w:p>
        </w:tc>
        <w:tc>
          <w:tcPr>
            <w:tcW w:w="1843" w:type="dxa"/>
            <w:shd w:val="clear" w:color="auto" w:fill="FFFFFF" w:themeFill="background1"/>
            <w:tcMar>
              <w:top w:w="0" w:type="dxa"/>
              <w:left w:w="108" w:type="dxa"/>
              <w:bottom w:w="0" w:type="dxa"/>
              <w:right w:w="108" w:type="dxa"/>
            </w:tcMar>
            <w:vAlign w:val="center"/>
          </w:tcPr>
          <w:p w14:paraId="5E6D1F47" w14:textId="77777777" w:rsidR="00284822" w:rsidRDefault="00F77BF8">
            <w:pPr>
              <w:spacing w:line="240" w:lineRule="auto"/>
              <w:rPr>
                <w:rFonts w:ascii="Rockwell" w:hAnsi="Rockwell"/>
                <w:b/>
                <w:bCs/>
                <w:sz w:val="20"/>
                <w:szCs w:val="20"/>
              </w:rPr>
            </w:pPr>
            <w:r>
              <w:rPr>
                <w:rFonts w:ascii="Rockwell" w:hAnsi="Rockwell"/>
                <w:b/>
                <w:bCs/>
                <w:sz w:val="20"/>
                <w:szCs w:val="20"/>
              </w:rPr>
              <w:t>0,33%</w:t>
            </w:r>
          </w:p>
        </w:tc>
      </w:tr>
      <w:tr w:rsidR="00284822" w14:paraId="35F4D218" w14:textId="77777777">
        <w:trPr>
          <w:trHeight w:val="136"/>
          <w:jc w:val="center"/>
        </w:trPr>
        <w:tc>
          <w:tcPr>
            <w:tcW w:w="899" w:type="dxa"/>
            <w:shd w:val="clear" w:color="auto" w:fill="FFFFFF" w:themeFill="background1"/>
            <w:noWrap/>
            <w:tcMar>
              <w:top w:w="0" w:type="dxa"/>
              <w:left w:w="108" w:type="dxa"/>
              <w:bottom w:w="0" w:type="dxa"/>
              <w:right w:w="108" w:type="dxa"/>
            </w:tcMar>
            <w:vAlign w:val="bottom"/>
          </w:tcPr>
          <w:p w14:paraId="43337F61"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34</w:t>
            </w:r>
          </w:p>
        </w:tc>
        <w:tc>
          <w:tcPr>
            <w:tcW w:w="1506" w:type="dxa"/>
            <w:shd w:val="clear" w:color="auto" w:fill="FFFFFF" w:themeFill="background1"/>
            <w:tcMar>
              <w:top w:w="0" w:type="dxa"/>
              <w:left w:w="108" w:type="dxa"/>
              <w:bottom w:w="0" w:type="dxa"/>
              <w:right w:w="108" w:type="dxa"/>
            </w:tcMar>
            <w:vAlign w:val="bottom"/>
          </w:tcPr>
          <w:p w14:paraId="29AA79DE"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RDRN</w:t>
            </w:r>
          </w:p>
        </w:tc>
        <w:tc>
          <w:tcPr>
            <w:tcW w:w="848" w:type="dxa"/>
            <w:shd w:val="clear" w:color="auto" w:fill="FFFFFF" w:themeFill="background1"/>
            <w:tcMar>
              <w:top w:w="0" w:type="dxa"/>
              <w:left w:w="108" w:type="dxa"/>
              <w:bottom w:w="0" w:type="dxa"/>
              <w:right w:w="108" w:type="dxa"/>
            </w:tcMar>
            <w:vAlign w:val="center"/>
          </w:tcPr>
          <w:p w14:paraId="0C11F40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3" w:type="dxa"/>
            <w:shd w:val="clear" w:color="auto" w:fill="FFFFFF" w:themeFill="background1"/>
            <w:tcMar>
              <w:top w:w="0" w:type="dxa"/>
              <w:left w:w="108" w:type="dxa"/>
              <w:bottom w:w="0" w:type="dxa"/>
              <w:right w:w="108" w:type="dxa"/>
            </w:tcMar>
            <w:vAlign w:val="center"/>
          </w:tcPr>
          <w:p w14:paraId="27CB2A6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47" w:type="dxa"/>
            <w:shd w:val="clear" w:color="auto" w:fill="FFFFFF" w:themeFill="background1"/>
            <w:tcMar>
              <w:top w:w="0" w:type="dxa"/>
              <w:left w:w="108" w:type="dxa"/>
              <w:bottom w:w="0" w:type="dxa"/>
              <w:right w:w="108" w:type="dxa"/>
            </w:tcMar>
            <w:vAlign w:val="center"/>
          </w:tcPr>
          <w:p w14:paraId="382668F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3" w:type="dxa"/>
            <w:shd w:val="clear" w:color="auto" w:fill="FFFFFF" w:themeFill="background1"/>
            <w:tcMar>
              <w:top w:w="0" w:type="dxa"/>
              <w:left w:w="108" w:type="dxa"/>
              <w:bottom w:w="0" w:type="dxa"/>
              <w:right w:w="108" w:type="dxa"/>
            </w:tcMar>
            <w:vAlign w:val="center"/>
          </w:tcPr>
          <w:p w14:paraId="3494AFE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48" w:type="dxa"/>
            <w:shd w:val="clear" w:color="auto" w:fill="FFFFFF" w:themeFill="background1"/>
            <w:tcMar>
              <w:top w:w="0" w:type="dxa"/>
              <w:left w:w="108" w:type="dxa"/>
              <w:bottom w:w="0" w:type="dxa"/>
              <w:right w:w="108" w:type="dxa"/>
            </w:tcMar>
            <w:vAlign w:val="center"/>
          </w:tcPr>
          <w:p w14:paraId="472C2BC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24" w:type="dxa"/>
            <w:shd w:val="clear" w:color="auto" w:fill="FFFFFF" w:themeFill="background1"/>
            <w:tcMar>
              <w:top w:w="0" w:type="dxa"/>
              <w:left w:w="108" w:type="dxa"/>
              <w:bottom w:w="0" w:type="dxa"/>
              <w:right w:w="108" w:type="dxa"/>
            </w:tcMar>
            <w:vAlign w:val="center"/>
          </w:tcPr>
          <w:p w14:paraId="0498070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971" w:type="dxa"/>
            <w:shd w:val="clear" w:color="auto" w:fill="FFFFFF" w:themeFill="background1"/>
            <w:tcMar>
              <w:top w:w="0" w:type="dxa"/>
              <w:left w:w="108" w:type="dxa"/>
              <w:bottom w:w="0" w:type="dxa"/>
              <w:right w:w="108" w:type="dxa"/>
            </w:tcMar>
            <w:vAlign w:val="center"/>
          </w:tcPr>
          <w:p w14:paraId="57523E9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4" w:type="dxa"/>
            <w:shd w:val="clear" w:color="auto" w:fill="FFFFFF" w:themeFill="background1"/>
            <w:tcMar>
              <w:top w:w="0" w:type="dxa"/>
              <w:left w:w="108" w:type="dxa"/>
              <w:bottom w:w="0" w:type="dxa"/>
              <w:right w:w="108" w:type="dxa"/>
            </w:tcMar>
            <w:vAlign w:val="center"/>
          </w:tcPr>
          <w:p w14:paraId="0937A5F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51" w:type="dxa"/>
            <w:shd w:val="clear" w:color="auto" w:fill="FFFFFF" w:themeFill="background1"/>
            <w:tcMar>
              <w:top w:w="0" w:type="dxa"/>
              <w:left w:w="108" w:type="dxa"/>
              <w:bottom w:w="0" w:type="dxa"/>
              <w:right w:w="108" w:type="dxa"/>
            </w:tcMar>
            <w:vAlign w:val="center"/>
          </w:tcPr>
          <w:p w14:paraId="36E67AF3" w14:textId="77777777" w:rsidR="00284822" w:rsidRDefault="00F77BF8">
            <w:pPr>
              <w:spacing w:line="240" w:lineRule="auto"/>
              <w:rPr>
                <w:rFonts w:ascii="Rockwell" w:hAnsi="Rockwell"/>
                <w:b/>
                <w:bCs/>
                <w:sz w:val="20"/>
                <w:szCs w:val="20"/>
              </w:rPr>
            </w:pPr>
            <w:r>
              <w:rPr>
                <w:rFonts w:ascii="Rockwell" w:hAnsi="Rockwell"/>
                <w:b/>
                <w:bCs/>
                <w:sz w:val="20"/>
                <w:szCs w:val="20"/>
              </w:rPr>
              <w:t>2</w:t>
            </w:r>
          </w:p>
        </w:tc>
        <w:tc>
          <w:tcPr>
            <w:tcW w:w="1134" w:type="dxa"/>
            <w:shd w:val="clear" w:color="auto" w:fill="FFFFFF" w:themeFill="background1"/>
            <w:tcMar>
              <w:top w:w="0" w:type="dxa"/>
              <w:left w:w="108" w:type="dxa"/>
              <w:bottom w:w="0" w:type="dxa"/>
              <w:right w:w="108" w:type="dxa"/>
            </w:tcMar>
            <w:vAlign w:val="center"/>
          </w:tcPr>
          <w:p w14:paraId="4307990A" w14:textId="77777777" w:rsidR="00284822" w:rsidRDefault="00F77BF8">
            <w:pPr>
              <w:spacing w:line="240" w:lineRule="auto"/>
              <w:rPr>
                <w:rFonts w:ascii="Rockwell" w:hAnsi="Rockwell"/>
                <w:b/>
                <w:bCs/>
                <w:sz w:val="20"/>
                <w:szCs w:val="20"/>
              </w:rPr>
            </w:pPr>
            <w:r>
              <w:rPr>
                <w:rFonts w:ascii="Rockwell" w:hAnsi="Rockwell"/>
                <w:b/>
                <w:bCs/>
                <w:sz w:val="20"/>
                <w:szCs w:val="20"/>
              </w:rPr>
              <w:t>0,27%</w:t>
            </w:r>
          </w:p>
        </w:tc>
        <w:tc>
          <w:tcPr>
            <w:tcW w:w="992" w:type="dxa"/>
            <w:shd w:val="clear" w:color="auto" w:fill="FFFFFF" w:themeFill="background1"/>
            <w:tcMar>
              <w:top w:w="0" w:type="dxa"/>
              <w:left w:w="108" w:type="dxa"/>
              <w:bottom w:w="0" w:type="dxa"/>
              <w:right w:w="108" w:type="dxa"/>
            </w:tcMar>
            <w:vAlign w:val="center"/>
          </w:tcPr>
          <w:p w14:paraId="1586E988" w14:textId="77777777" w:rsidR="00284822" w:rsidRDefault="00F77BF8">
            <w:pPr>
              <w:spacing w:line="240" w:lineRule="auto"/>
              <w:rPr>
                <w:rFonts w:ascii="Rockwell" w:hAnsi="Rockwell"/>
                <w:b/>
                <w:bCs/>
                <w:sz w:val="20"/>
                <w:szCs w:val="20"/>
              </w:rPr>
            </w:pPr>
            <w:r>
              <w:rPr>
                <w:rFonts w:ascii="Rockwell" w:hAnsi="Rockwell"/>
                <w:b/>
                <w:bCs/>
                <w:sz w:val="20"/>
                <w:szCs w:val="20"/>
              </w:rPr>
              <w:t>3</w:t>
            </w:r>
          </w:p>
        </w:tc>
        <w:tc>
          <w:tcPr>
            <w:tcW w:w="1843" w:type="dxa"/>
            <w:shd w:val="clear" w:color="auto" w:fill="FFFFFF" w:themeFill="background1"/>
            <w:tcMar>
              <w:top w:w="0" w:type="dxa"/>
              <w:left w:w="108" w:type="dxa"/>
              <w:bottom w:w="0" w:type="dxa"/>
              <w:right w:w="108" w:type="dxa"/>
            </w:tcMar>
            <w:vAlign w:val="center"/>
          </w:tcPr>
          <w:p w14:paraId="73B9B229" w14:textId="77777777" w:rsidR="00284822" w:rsidRDefault="00F77BF8">
            <w:pPr>
              <w:spacing w:line="240" w:lineRule="auto"/>
              <w:rPr>
                <w:rFonts w:ascii="Rockwell" w:hAnsi="Rockwell"/>
                <w:b/>
                <w:bCs/>
                <w:sz w:val="20"/>
                <w:szCs w:val="20"/>
              </w:rPr>
            </w:pPr>
            <w:r>
              <w:rPr>
                <w:rFonts w:ascii="Rockwell" w:hAnsi="Rockwell"/>
                <w:b/>
                <w:bCs/>
                <w:sz w:val="20"/>
                <w:szCs w:val="20"/>
              </w:rPr>
              <w:t>0,25%</w:t>
            </w:r>
          </w:p>
        </w:tc>
      </w:tr>
      <w:tr w:rsidR="00284822" w14:paraId="7A2848DA" w14:textId="77777777">
        <w:trPr>
          <w:trHeight w:val="136"/>
          <w:jc w:val="center"/>
        </w:trPr>
        <w:tc>
          <w:tcPr>
            <w:tcW w:w="899" w:type="dxa"/>
            <w:shd w:val="clear" w:color="auto" w:fill="FFFFFF" w:themeFill="background1"/>
            <w:noWrap/>
            <w:tcMar>
              <w:top w:w="0" w:type="dxa"/>
              <w:left w:w="108" w:type="dxa"/>
              <w:bottom w:w="0" w:type="dxa"/>
              <w:right w:w="108" w:type="dxa"/>
            </w:tcMar>
            <w:vAlign w:val="bottom"/>
          </w:tcPr>
          <w:p w14:paraId="0C2CBEA9"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35</w:t>
            </w:r>
          </w:p>
        </w:tc>
        <w:tc>
          <w:tcPr>
            <w:tcW w:w="1506" w:type="dxa"/>
            <w:shd w:val="clear" w:color="auto" w:fill="FFFFFF" w:themeFill="background1"/>
            <w:tcMar>
              <w:top w:w="0" w:type="dxa"/>
              <w:left w:w="108" w:type="dxa"/>
              <w:bottom w:w="0" w:type="dxa"/>
              <w:right w:w="108" w:type="dxa"/>
            </w:tcMar>
            <w:vAlign w:val="bottom"/>
          </w:tcPr>
          <w:p w14:paraId="2B9B0800"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RMB</w:t>
            </w:r>
          </w:p>
        </w:tc>
        <w:tc>
          <w:tcPr>
            <w:tcW w:w="848" w:type="dxa"/>
            <w:shd w:val="clear" w:color="auto" w:fill="FFFFFF" w:themeFill="background1"/>
            <w:tcMar>
              <w:top w:w="0" w:type="dxa"/>
              <w:left w:w="108" w:type="dxa"/>
              <w:bottom w:w="0" w:type="dxa"/>
              <w:right w:w="108" w:type="dxa"/>
            </w:tcMar>
            <w:vAlign w:val="center"/>
          </w:tcPr>
          <w:p w14:paraId="758EC11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3" w:type="dxa"/>
            <w:shd w:val="clear" w:color="auto" w:fill="FFFFFF" w:themeFill="background1"/>
            <w:tcMar>
              <w:top w:w="0" w:type="dxa"/>
              <w:left w:w="108" w:type="dxa"/>
              <w:bottom w:w="0" w:type="dxa"/>
              <w:right w:w="108" w:type="dxa"/>
            </w:tcMar>
            <w:vAlign w:val="center"/>
          </w:tcPr>
          <w:p w14:paraId="0092681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47" w:type="dxa"/>
            <w:shd w:val="clear" w:color="auto" w:fill="FFFFFF" w:themeFill="background1"/>
            <w:tcMar>
              <w:top w:w="0" w:type="dxa"/>
              <w:left w:w="108" w:type="dxa"/>
              <w:bottom w:w="0" w:type="dxa"/>
              <w:right w:w="108" w:type="dxa"/>
            </w:tcMar>
            <w:vAlign w:val="center"/>
          </w:tcPr>
          <w:p w14:paraId="0BAF56C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3" w:type="dxa"/>
            <w:shd w:val="clear" w:color="auto" w:fill="FFFFFF" w:themeFill="background1"/>
            <w:tcMar>
              <w:top w:w="0" w:type="dxa"/>
              <w:left w:w="108" w:type="dxa"/>
              <w:bottom w:w="0" w:type="dxa"/>
              <w:right w:w="108" w:type="dxa"/>
            </w:tcMar>
            <w:vAlign w:val="center"/>
          </w:tcPr>
          <w:p w14:paraId="60A0DAC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48" w:type="dxa"/>
            <w:shd w:val="clear" w:color="auto" w:fill="FFFFFF" w:themeFill="background1"/>
            <w:tcMar>
              <w:top w:w="0" w:type="dxa"/>
              <w:left w:w="108" w:type="dxa"/>
              <w:bottom w:w="0" w:type="dxa"/>
              <w:right w:w="108" w:type="dxa"/>
            </w:tcMar>
            <w:vAlign w:val="center"/>
          </w:tcPr>
          <w:p w14:paraId="15F5B20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24" w:type="dxa"/>
            <w:shd w:val="clear" w:color="auto" w:fill="FFFFFF" w:themeFill="background1"/>
            <w:tcMar>
              <w:top w:w="0" w:type="dxa"/>
              <w:left w:w="108" w:type="dxa"/>
              <w:bottom w:w="0" w:type="dxa"/>
              <w:right w:w="108" w:type="dxa"/>
            </w:tcMar>
            <w:vAlign w:val="center"/>
          </w:tcPr>
          <w:p w14:paraId="0DBBEC2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971" w:type="dxa"/>
            <w:shd w:val="clear" w:color="auto" w:fill="FFFFFF" w:themeFill="background1"/>
            <w:tcMar>
              <w:top w:w="0" w:type="dxa"/>
              <w:left w:w="108" w:type="dxa"/>
              <w:bottom w:w="0" w:type="dxa"/>
              <w:right w:w="108" w:type="dxa"/>
            </w:tcMar>
            <w:vAlign w:val="center"/>
          </w:tcPr>
          <w:p w14:paraId="7D6012D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4" w:type="dxa"/>
            <w:shd w:val="clear" w:color="auto" w:fill="FFFFFF" w:themeFill="background1"/>
            <w:tcMar>
              <w:top w:w="0" w:type="dxa"/>
              <w:left w:w="108" w:type="dxa"/>
              <w:bottom w:w="0" w:type="dxa"/>
              <w:right w:w="108" w:type="dxa"/>
            </w:tcMar>
            <w:vAlign w:val="center"/>
          </w:tcPr>
          <w:p w14:paraId="69BFF7E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51" w:type="dxa"/>
            <w:shd w:val="clear" w:color="auto" w:fill="FFFFFF" w:themeFill="background1"/>
            <w:tcMar>
              <w:top w:w="0" w:type="dxa"/>
              <w:left w:w="108" w:type="dxa"/>
              <w:bottom w:w="0" w:type="dxa"/>
              <w:right w:w="108" w:type="dxa"/>
            </w:tcMar>
            <w:vAlign w:val="center"/>
          </w:tcPr>
          <w:p w14:paraId="0495660F" w14:textId="77777777" w:rsidR="00284822" w:rsidRDefault="00F77BF8">
            <w:pPr>
              <w:spacing w:line="240" w:lineRule="auto"/>
              <w:rPr>
                <w:rFonts w:ascii="Rockwell" w:hAnsi="Rockwell"/>
                <w:b/>
                <w:bCs/>
                <w:sz w:val="20"/>
                <w:szCs w:val="20"/>
              </w:rPr>
            </w:pPr>
            <w:r>
              <w:rPr>
                <w:rFonts w:ascii="Rockwell" w:hAnsi="Rockwell"/>
                <w:b/>
                <w:bCs/>
                <w:sz w:val="20"/>
                <w:szCs w:val="20"/>
              </w:rPr>
              <w:t>3</w:t>
            </w:r>
          </w:p>
        </w:tc>
        <w:tc>
          <w:tcPr>
            <w:tcW w:w="1134" w:type="dxa"/>
            <w:shd w:val="clear" w:color="auto" w:fill="FFFFFF" w:themeFill="background1"/>
            <w:tcMar>
              <w:top w:w="0" w:type="dxa"/>
              <w:left w:w="108" w:type="dxa"/>
              <w:bottom w:w="0" w:type="dxa"/>
              <w:right w:w="108" w:type="dxa"/>
            </w:tcMar>
            <w:vAlign w:val="center"/>
          </w:tcPr>
          <w:p w14:paraId="7278EF77" w14:textId="77777777" w:rsidR="00284822" w:rsidRDefault="00F77BF8">
            <w:pPr>
              <w:spacing w:line="240" w:lineRule="auto"/>
              <w:rPr>
                <w:rFonts w:ascii="Rockwell" w:hAnsi="Rockwell"/>
                <w:b/>
                <w:bCs/>
                <w:sz w:val="20"/>
                <w:szCs w:val="20"/>
              </w:rPr>
            </w:pPr>
            <w:r>
              <w:rPr>
                <w:rFonts w:ascii="Rockwell" w:hAnsi="Rockwell"/>
                <w:b/>
                <w:bCs/>
                <w:sz w:val="20"/>
                <w:szCs w:val="20"/>
              </w:rPr>
              <w:t>0,40%</w:t>
            </w:r>
          </w:p>
        </w:tc>
        <w:tc>
          <w:tcPr>
            <w:tcW w:w="992" w:type="dxa"/>
            <w:shd w:val="clear" w:color="auto" w:fill="FFFFFF" w:themeFill="background1"/>
            <w:tcMar>
              <w:top w:w="0" w:type="dxa"/>
              <w:left w:w="108" w:type="dxa"/>
              <w:bottom w:w="0" w:type="dxa"/>
              <w:right w:w="108" w:type="dxa"/>
            </w:tcMar>
            <w:vAlign w:val="center"/>
          </w:tcPr>
          <w:p w14:paraId="248793E8" w14:textId="77777777" w:rsidR="00284822" w:rsidRDefault="00F77BF8">
            <w:pPr>
              <w:spacing w:line="240" w:lineRule="auto"/>
              <w:rPr>
                <w:rFonts w:ascii="Rockwell" w:hAnsi="Rockwell"/>
                <w:b/>
                <w:bCs/>
                <w:sz w:val="20"/>
                <w:szCs w:val="20"/>
              </w:rPr>
            </w:pPr>
            <w:r>
              <w:rPr>
                <w:rFonts w:ascii="Rockwell" w:hAnsi="Rockwell"/>
                <w:b/>
                <w:bCs/>
                <w:sz w:val="20"/>
                <w:szCs w:val="20"/>
              </w:rPr>
              <w:t>6</w:t>
            </w:r>
          </w:p>
        </w:tc>
        <w:tc>
          <w:tcPr>
            <w:tcW w:w="1843" w:type="dxa"/>
            <w:shd w:val="clear" w:color="auto" w:fill="FFFFFF" w:themeFill="background1"/>
            <w:tcMar>
              <w:top w:w="0" w:type="dxa"/>
              <w:left w:w="108" w:type="dxa"/>
              <w:bottom w:w="0" w:type="dxa"/>
              <w:right w:w="108" w:type="dxa"/>
            </w:tcMar>
            <w:vAlign w:val="center"/>
          </w:tcPr>
          <w:p w14:paraId="0041DF83" w14:textId="77777777" w:rsidR="00284822" w:rsidRDefault="00F77BF8">
            <w:pPr>
              <w:spacing w:line="240" w:lineRule="auto"/>
              <w:rPr>
                <w:rFonts w:ascii="Rockwell" w:hAnsi="Rockwell"/>
                <w:b/>
                <w:bCs/>
                <w:sz w:val="20"/>
                <w:szCs w:val="20"/>
              </w:rPr>
            </w:pPr>
            <w:r>
              <w:rPr>
                <w:rFonts w:ascii="Rockwell" w:hAnsi="Rockwell"/>
                <w:b/>
                <w:bCs/>
                <w:sz w:val="20"/>
                <w:szCs w:val="20"/>
              </w:rPr>
              <w:t>0,50%</w:t>
            </w:r>
          </w:p>
        </w:tc>
      </w:tr>
      <w:tr w:rsidR="00284822" w14:paraId="4BC9C87E" w14:textId="77777777">
        <w:trPr>
          <w:trHeight w:val="136"/>
          <w:jc w:val="center"/>
        </w:trPr>
        <w:tc>
          <w:tcPr>
            <w:tcW w:w="899" w:type="dxa"/>
            <w:shd w:val="clear" w:color="auto" w:fill="FFFFFF" w:themeFill="background1"/>
            <w:noWrap/>
            <w:tcMar>
              <w:top w:w="0" w:type="dxa"/>
              <w:left w:w="108" w:type="dxa"/>
              <w:bottom w:w="0" w:type="dxa"/>
              <w:right w:w="108" w:type="dxa"/>
            </w:tcMar>
            <w:vAlign w:val="bottom"/>
          </w:tcPr>
          <w:p w14:paraId="767FD019"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36</w:t>
            </w:r>
          </w:p>
        </w:tc>
        <w:tc>
          <w:tcPr>
            <w:tcW w:w="1506" w:type="dxa"/>
            <w:shd w:val="clear" w:color="auto" w:fill="FFFFFF" w:themeFill="background1"/>
            <w:tcMar>
              <w:top w:w="0" w:type="dxa"/>
              <w:left w:w="108" w:type="dxa"/>
              <w:bottom w:w="0" w:type="dxa"/>
              <w:right w:w="108" w:type="dxa"/>
            </w:tcMar>
            <w:vAlign w:val="bottom"/>
          </w:tcPr>
          <w:p w14:paraId="205F55E1"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RPD</w:t>
            </w:r>
          </w:p>
        </w:tc>
        <w:tc>
          <w:tcPr>
            <w:tcW w:w="848" w:type="dxa"/>
            <w:shd w:val="clear" w:color="auto" w:fill="FFFFFF" w:themeFill="background1"/>
            <w:tcMar>
              <w:top w:w="0" w:type="dxa"/>
              <w:left w:w="108" w:type="dxa"/>
              <w:bottom w:w="0" w:type="dxa"/>
              <w:right w:w="108" w:type="dxa"/>
            </w:tcMar>
            <w:vAlign w:val="center"/>
          </w:tcPr>
          <w:p w14:paraId="046E69E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33" w:type="dxa"/>
            <w:shd w:val="clear" w:color="auto" w:fill="FFFFFF" w:themeFill="background1"/>
            <w:tcMar>
              <w:top w:w="0" w:type="dxa"/>
              <w:left w:w="108" w:type="dxa"/>
              <w:bottom w:w="0" w:type="dxa"/>
              <w:right w:w="108" w:type="dxa"/>
            </w:tcMar>
            <w:vAlign w:val="center"/>
          </w:tcPr>
          <w:p w14:paraId="1AE0F87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2,17%</w:t>
            </w:r>
          </w:p>
        </w:tc>
        <w:tc>
          <w:tcPr>
            <w:tcW w:w="847" w:type="dxa"/>
            <w:shd w:val="clear" w:color="auto" w:fill="FFFFFF" w:themeFill="background1"/>
            <w:tcMar>
              <w:top w:w="0" w:type="dxa"/>
              <w:left w:w="108" w:type="dxa"/>
              <w:bottom w:w="0" w:type="dxa"/>
              <w:right w:w="108" w:type="dxa"/>
            </w:tcMar>
            <w:vAlign w:val="center"/>
          </w:tcPr>
          <w:p w14:paraId="43A7CBC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33" w:type="dxa"/>
            <w:shd w:val="clear" w:color="auto" w:fill="FFFFFF" w:themeFill="background1"/>
            <w:tcMar>
              <w:top w:w="0" w:type="dxa"/>
              <w:left w:w="108" w:type="dxa"/>
              <w:bottom w:w="0" w:type="dxa"/>
              <w:right w:w="108" w:type="dxa"/>
            </w:tcMar>
            <w:vAlign w:val="center"/>
          </w:tcPr>
          <w:p w14:paraId="1740C0F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2,08%</w:t>
            </w:r>
          </w:p>
        </w:tc>
        <w:tc>
          <w:tcPr>
            <w:tcW w:w="848" w:type="dxa"/>
            <w:shd w:val="clear" w:color="auto" w:fill="FFFFFF" w:themeFill="background1"/>
            <w:tcMar>
              <w:top w:w="0" w:type="dxa"/>
              <w:left w:w="108" w:type="dxa"/>
              <w:bottom w:w="0" w:type="dxa"/>
              <w:right w:w="108" w:type="dxa"/>
            </w:tcMar>
            <w:vAlign w:val="center"/>
          </w:tcPr>
          <w:p w14:paraId="2A37CEB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024" w:type="dxa"/>
            <w:shd w:val="clear" w:color="auto" w:fill="FFFFFF" w:themeFill="background1"/>
            <w:tcMar>
              <w:top w:w="0" w:type="dxa"/>
              <w:left w:w="108" w:type="dxa"/>
              <w:bottom w:w="0" w:type="dxa"/>
              <w:right w:w="108" w:type="dxa"/>
            </w:tcMar>
            <w:vAlign w:val="center"/>
          </w:tcPr>
          <w:p w14:paraId="3A0266E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5,26%</w:t>
            </w:r>
          </w:p>
        </w:tc>
        <w:tc>
          <w:tcPr>
            <w:tcW w:w="971" w:type="dxa"/>
            <w:shd w:val="clear" w:color="auto" w:fill="FFFFFF" w:themeFill="background1"/>
            <w:tcMar>
              <w:top w:w="0" w:type="dxa"/>
              <w:left w:w="108" w:type="dxa"/>
              <w:bottom w:w="0" w:type="dxa"/>
              <w:right w:w="108" w:type="dxa"/>
            </w:tcMar>
            <w:vAlign w:val="center"/>
          </w:tcPr>
          <w:p w14:paraId="093166C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34" w:type="dxa"/>
            <w:shd w:val="clear" w:color="auto" w:fill="FFFFFF" w:themeFill="background1"/>
            <w:tcMar>
              <w:top w:w="0" w:type="dxa"/>
              <w:left w:w="108" w:type="dxa"/>
              <w:bottom w:w="0" w:type="dxa"/>
              <w:right w:w="108" w:type="dxa"/>
            </w:tcMar>
            <w:vAlign w:val="center"/>
          </w:tcPr>
          <w:p w14:paraId="4740E47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4,17%</w:t>
            </w:r>
          </w:p>
        </w:tc>
        <w:tc>
          <w:tcPr>
            <w:tcW w:w="851" w:type="dxa"/>
            <w:shd w:val="clear" w:color="auto" w:fill="FFFFFF" w:themeFill="background1"/>
            <w:tcMar>
              <w:top w:w="0" w:type="dxa"/>
              <w:left w:w="108" w:type="dxa"/>
              <w:bottom w:w="0" w:type="dxa"/>
              <w:right w:w="108" w:type="dxa"/>
            </w:tcMar>
            <w:vAlign w:val="center"/>
          </w:tcPr>
          <w:p w14:paraId="1F8992F5" w14:textId="77777777" w:rsidR="00284822" w:rsidRDefault="00F77BF8">
            <w:pPr>
              <w:spacing w:line="240" w:lineRule="auto"/>
              <w:rPr>
                <w:rFonts w:ascii="Rockwell" w:hAnsi="Rockwell"/>
                <w:b/>
                <w:bCs/>
                <w:sz w:val="20"/>
                <w:szCs w:val="20"/>
              </w:rPr>
            </w:pPr>
            <w:r>
              <w:rPr>
                <w:rFonts w:ascii="Rockwell" w:hAnsi="Rockwell"/>
                <w:b/>
                <w:bCs/>
                <w:sz w:val="20"/>
                <w:szCs w:val="20"/>
              </w:rPr>
              <w:t>7</w:t>
            </w:r>
          </w:p>
        </w:tc>
        <w:tc>
          <w:tcPr>
            <w:tcW w:w="1134" w:type="dxa"/>
            <w:shd w:val="clear" w:color="auto" w:fill="FFFFFF" w:themeFill="background1"/>
            <w:tcMar>
              <w:top w:w="0" w:type="dxa"/>
              <w:left w:w="108" w:type="dxa"/>
              <w:bottom w:w="0" w:type="dxa"/>
              <w:right w:w="108" w:type="dxa"/>
            </w:tcMar>
            <w:vAlign w:val="center"/>
          </w:tcPr>
          <w:p w14:paraId="7BD77FCA" w14:textId="77777777" w:rsidR="00284822" w:rsidRDefault="00F77BF8">
            <w:pPr>
              <w:spacing w:line="240" w:lineRule="auto"/>
              <w:rPr>
                <w:rFonts w:ascii="Rockwell" w:hAnsi="Rockwell"/>
                <w:b/>
                <w:bCs/>
                <w:sz w:val="20"/>
                <w:szCs w:val="20"/>
              </w:rPr>
            </w:pPr>
            <w:r>
              <w:rPr>
                <w:rFonts w:ascii="Rockwell" w:hAnsi="Rockwell"/>
                <w:b/>
                <w:bCs/>
                <w:sz w:val="20"/>
                <w:szCs w:val="20"/>
              </w:rPr>
              <w:t>0,94%</w:t>
            </w:r>
          </w:p>
        </w:tc>
        <w:tc>
          <w:tcPr>
            <w:tcW w:w="992" w:type="dxa"/>
            <w:shd w:val="clear" w:color="auto" w:fill="FFFFFF" w:themeFill="background1"/>
            <w:tcMar>
              <w:top w:w="0" w:type="dxa"/>
              <w:left w:w="108" w:type="dxa"/>
              <w:bottom w:w="0" w:type="dxa"/>
              <w:right w:w="108" w:type="dxa"/>
            </w:tcMar>
            <w:vAlign w:val="center"/>
          </w:tcPr>
          <w:p w14:paraId="154E70D5" w14:textId="77777777" w:rsidR="00284822" w:rsidRDefault="00F77BF8">
            <w:pPr>
              <w:spacing w:line="240" w:lineRule="auto"/>
              <w:rPr>
                <w:rFonts w:ascii="Rockwell" w:hAnsi="Rockwell"/>
                <w:b/>
                <w:bCs/>
                <w:sz w:val="20"/>
                <w:szCs w:val="20"/>
              </w:rPr>
            </w:pPr>
            <w:r>
              <w:rPr>
                <w:rFonts w:ascii="Rockwell" w:hAnsi="Rockwell"/>
                <w:b/>
                <w:bCs/>
                <w:sz w:val="20"/>
                <w:szCs w:val="20"/>
              </w:rPr>
              <w:t>8</w:t>
            </w:r>
          </w:p>
        </w:tc>
        <w:tc>
          <w:tcPr>
            <w:tcW w:w="1843" w:type="dxa"/>
            <w:shd w:val="clear" w:color="auto" w:fill="FFFFFF" w:themeFill="background1"/>
            <w:tcMar>
              <w:top w:w="0" w:type="dxa"/>
              <w:left w:w="108" w:type="dxa"/>
              <w:bottom w:w="0" w:type="dxa"/>
              <w:right w:w="108" w:type="dxa"/>
            </w:tcMar>
            <w:vAlign w:val="center"/>
          </w:tcPr>
          <w:p w14:paraId="7D4B4602" w14:textId="77777777" w:rsidR="00284822" w:rsidRDefault="00F77BF8">
            <w:pPr>
              <w:spacing w:line="240" w:lineRule="auto"/>
              <w:rPr>
                <w:rFonts w:ascii="Rockwell" w:hAnsi="Rockwell"/>
                <w:b/>
                <w:bCs/>
                <w:sz w:val="20"/>
                <w:szCs w:val="20"/>
              </w:rPr>
            </w:pPr>
            <w:r>
              <w:rPr>
                <w:rFonts w:ascii="Rockwell" w:hAnsi="Rockwell"/>
                <w:b/>
                <w:bCs/>
                <w:sz w:val="20"/>
                <w:szCs w:val="20"/>
              </w:rPr>
              <w:t>0,67%</w:t>
            </w:r>
          </w:p>
        </w:tc>
      </w:tr>
      <w:tr w:rsidR="00284822" w14:paraId="7776A7F3" w14:textId="77777777">
        <w:trPr>
          <w:trHeight w:val="136"/>
          <w:jc w:val="center"/>
        </w:trPr>
        <w:tc>
          <w:tcPr>
            <w:tcW w:w="899" w:type="dxa"/>
            <w:shd w:val="clear" w:color="auto" w:fill="FFFFFF" w:themeFill="background1"/>
            <w:noWrap/>
            <w:tcMar>
              <w:top w:w="0" w:type="dxa"/>
              <w:left w:w="108" w:type="dxa"/>
              <w:bottom w:w="0" w:type="dxa"/>
              <w:right w:w="108" w:type="dxa"/>
            </w:tcMar>
            <w:vAlign w:val="bottom"/>
          </w:tcPr>
          <w:p w14:paraId="171D56BA"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37</w:t>
            </w:r>
          </w:p>
        </w:tc>
        <w:tc>
          <w:tcPr>
            <w:tcW w:w="1506" w:type="dxa"/>
            <w:shd w:val="clear" w:color="auto" w:fill="FFFFFF" w:themeFill="background1"/>
            <w:tcMar>
              <w:top w:w="0" w:type="dxa"/>
              <w:left w:w="108" w:type="dxa"/>
              <w:bottom w:w="0" w:type="dxa"/>
              <w:right w:w="108" w:type="dxa"/>
            </w:tcMar>
            <w:vAlign w:val="bottom"/>
          </w:tcPr>
          <w:p w14:paraId="5B94E5F3"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RPI</w:t>
            </w:r>
          </w:p>
        </w:tc>
        <w:tc>
          <w:tcPr>
            <w:tcW w:w="848" w:type="dxa"/>
            <w:shd w:val="clear" w:color="auto" w:fill="FFFFFF" w:themeFill="background1"/>
            <w:tcMar>
              <w:top w:w="0" w:type="dxa"/>
              <w:left w:w="108" w:type="dxa"/>
              <w:bottom w:w="0" w:type="dxa"/>
              <w:right w:w="108" w:type="dxa"/>
            </w:tcMar>
            <w:vAlign w:val="center"/>
          </w:tcPr>
          <w:p w14:paraId="7A4686F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3" w:type="dxa"/>
            <w:shd w:val="clear" w:color="auto" w:fill="FFFFFF" w:themeFill="background1"/>
            <w:tcMar>
              <w:top w:w="0" w:type="dxa"/>
              <w:left w:w="108" w:type="dxa"/>
              <w:bottom w:w="0" w:type="dxa"/>
              <w:right w:w="108" w:type="dxa"/>
            </w:tcMar>
            <w:vAlign w:val="center"/>
          </w:tcPr>
          <w:p w14:paraId="7EB3F2C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47" w:type="dxa"/>
            <w:shd w:val="clear" w:color="auto" w:fill="FFFFFF" w:themeFill="background1"/>
            <w:tcMar>
              <w:top w:w="0" w:type="dxa"/>
              <w:left w:w="108" w:type="dxa"/>
              <w:bottom w:w="0" w:type="dxa"/>
              <w:right w:w="108" w:type="dxa"/>
            </w:tcMar>
            <w:vAlign w:val="center"/>
          </w:tcPr>
          <w:p w14:paraId="5876196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3" w:type="dxa"/>
            <w:shd w:val="clear" w:color="auto" w:fill="FFFFFF" w:themeFill="background1"/>
            <w:tcMar>
              <w:top w:w="0" w:type="dxa"/>
              <w:left w:w="108" w:type="dxa"/>
              <w:bottom w:w="0" w:type="dxa"/>
              <w:right w:w="108" w:type="dxa"/>
            </w:tcMar>
            <w:vAlign w:val="center"/>
          </w:tcPr>
          <w:p w14:paraId="45B9858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48" w:type="dxa"/>
            <w:shd w:val="clear" w:color="auto" w:fill="FFFFFF" w:themeFill="background1"/>
            <w:tcMar>
              <w:top w:w="0" w:type="dxa"/>
              <w:left w:w="108" w:type="dxa"/>
              <w:bottom w:w="0" w:type="dxa"/>
              <w:right w:w="108" w:type="dxa"/>
            </w:tcMar>
            <w:vAlign w:val="center"/>
          </w:tcPr>
          <w:p w14:paraId="794417E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24" w:type="dxa"/>
            <w:shd w:val="clear" w:color="auto" w:fill="FFFFFF" w:themeFill="background1"/>
            <w:tcMar>
              <w:top w:w="0" w:type="dxa"/>
              <w:left w:w="108" w:type="dxa"/>
              <w:bottom w:w="0" w:type="dxa"/>
              <w:right w:w="108" w:type="dxa"/>
            </w:tcMar>
            <w:vAlign w:val="center"/>
          </w:tcPr>
          <w:p w14:paraId="4455076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971" w:type="dxa"/>
            <w:shd w:val="clear" w:color="auto" w:fill="FFFFFF" w:themeFill="background1"/>
            <w:tcMar>
              <w:top w:w="0" w:type="dxa"/>
              <w:left w:w="108" w:type="dxa"/>
              <w:bottom w:w="0" w:type="dxa"/>
              <w:right w:w="108" w:type="dxa"/>
            </w:tcMar>
            <w:vAlign w:val="center"/>
          </w:tcPr>
          <w:p w14:paraId="0D09CD3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4" w:type="dxa"/>
            <w:shd w:val="clear" w:color="auto" w:fill="FFFFFF" w:themeFill="background1"/>
            <w:tcMar>
              <w:top w:w="0" w:type="dxa"/>
              <w:left w:w="108" w:type="dxa"/>
              <w:bottom w:w="0" w:type="dxa"/>
              <w:right w:w="108" w:type="dxa"/>
            </w:tcMar>
            <w:vAlign w:val="center"/>
          </w:tcPr>
          <w:p w14:paraId="4C1285C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51" w:type="dxa"/>
            <w:shd w:val="clear" w:color="auto" w:fill="FFFFFF" w:themeFill="background1"/>
            <w:tcMar>
              <w:top w:w="0" w:type="dxa"/>
              <w:left w:w="108" w:type="dxa"/>
              <w:bottom w:w="0" w:type="dxa"/>
              <w:right w:w="108" w:type="dxa"/>
            </w:tcMar>
            <w:vAlign w:val="center"/>
          </w:tcPr>
          <w:p w14:paraId="7DA40CF8" w14:textId="77777777" w:rsidR="00284822" w:rsidRDefault="00F77BF8">
            <w:pPr>
              <w:spacing w:line="240" w:lineRule="auto"/>
              <w:rPr>
                <w:rFonts w:ascii="Rockwell" w:hAnsi="Rockwell"/>
                <w:b/>
                <w:bCs/>
                <w:sz w:val="20"/>
                <w:szCs w:val="20"/>
              </w:rPr>
            </w:pPr>
            <w:r>
              <w:rPr>
                <w:rFonts w:ascii="Rockwell" w:hAnsi="Rockwell"/>
                <w:b/>
                <w:bCs/>
                <w:sz w:val="20"/>
                <w:szCs w:val="20"/>
              </w:rPr>
              <w:t>1</w:t>
            </w:r>
          </w:p>
        </w:tc>
        <w:tc>
          <w:tcPr>
            <w:tcW w:w="1134" w:type="dxa"/>
            <w:shd w:val="clear" w:color="auto" w:fill="FFFFFF" w:themeFill="background1"/>
            <w:tcMar>
              <w:top w:w="0" w:type="dxa"/>
              <w:left w:w="108" w:type="dxa"/>
              <w:bottom w:w="0" w:type="dxa"/>
              <w:right w:w="108" w:type="dxa"/>
            </w:tcMar>
            <w:vAlign w:val="center"/>
          </w:tcPr>
          <w:p w14:paraId="19927DD5" w14:textId="77777777" w:rsidR="00284822" w:rsidRDefault="00F77BF8">
            <w:pPr>
              <w:spacing w:line="240" w:lineRule="auto"/>
              <w:rPr>
                <w:rFonts w:ascii="Rockwell" w:hAnsi="Rockwell"/>
                <w:b/>
                <w:bCs/>
                <w:sz w:val="20"/>
                <w:szCs w:val="20"/>
              </w:rPr>
            </w:pPr>
            <w:r>
              <w:rPr>
                <w:rFonts w:ascii="Rockwell" w:hAnsi="Rockwell"/>
                <w:b/>
                <w:bCs/>
                <w:sz w:val="20"/>
                <w:szCs w:val="20"/>
              </w:rPr>
              <w:t>0,13%</w:t>
            </w:r>
          </w:p>
        </w:tc>
        <w:tc>
          <w:tcPr>
            <w:tcW w:w="992" w:type="dxa"/>
            <w:shd w:val="clear" w:color="auto" w:fill="FFFFFF" w:themeFill="background1"/>
            <w:tcMar>
              <w:top w:w="0" w:type="dxa"/>
              <w:left w:w="108" w:type="dxa"/>
              <w:bottom w:w="0" w:type="dxa"/>
              <w:right w:w="108" w:type="dxa"/>
            </w:tcMar>
            <w:vAlign w:val="center"/>
          </w:tcPr>
          <w:p w14:paraId="23F2120C" w14:textId="77777777" w:rsidR="00284822" w:rsidRDefault="00F77BF8">
            <w:pPr>
              <w:spacing w:line="240" w:lineRule="auto"/>
              <w:rPr>
                <w:rFonts w:ascii="Rockwell" w:hAnsi="Rockwell"/>
                <w:b/>
                <w:bCs/>
                <w:sz w:val="20"/>
                <w:szCs w:val="20"/>
              </w:rPr>
            </w:pPr>
            <w:r>
              <w:rPr>
                <w:rFonts w:ascii="Rockwell" w:hAnsi="Rockwell"/>
                <w:b/>
                <w:bCs/>
                <w:sz w:val="20"/>
                <w:szCs w:val="20"/>
              </w:rPr>
              <w:t>3</w:t>
            </w:r>
          </w:p>
        </w:tc>
        <w:tc>
          <w:tcPr>
            <w:tcW w:w="1843" w:type="dxa"/>
            <w:shd w:val="clear" w:color="auto" w:fill="FFFFFF" w:themeFill="background1"/>
            <w:tcMar>
              <w:top w:w="0" w:type="dxa"/>
              <w:left w:w="108" w:type="dxa"/>
              <w:bottom w:w="0" w:type="dxa"/>
              <w:right w:w="108" w:type="dxa"/>
            </w:tcMar>
            <w:vAlign w:val="center"/>
          </w:tcPr>
          <w:p w14:paraId="18AB1CA5" w14:textId="77777777" w:rsidR="00284822" w:rsidRDefault="00F77BF8">
            <w:pPr>
              <w:spacing w:line="240" w:lineRule="auto"/>
              <w:rPr>
                <w:rFonts w:ascii="Rockwell" w:hAnsi="Rockwell"/>
                <w:b/>
                <w:bCs/>
                <w:sz w:val="20"/>
                <w:szCs w:val="20"/>
              </w:rPr>
            </w:pPr>
            <w:r>
              <w:rPr>
                <w:rFonts w:ascii="Rockwell" w:hAnsi="Rockwell"/>
                <w:b/>
                <w:bCs/>
                <w:sz w:val="20"/>
                <w:szCs w:val="20"/>
              </w:rPr>
              <w:t>0,25%</w:t>
            </w:r>
          </w:p>
        </w:tc>
      </w:tr>
      <w:tr w:rsidR="00284822" w14:paraId="014A42F7" w14:textId="77777777">
        <w:trPr>
          <w:trHeight w:val="136"/>
          <w:jc w:val="center"/>
        </w:trPr>
        <w:tc>
          <w:tcPr>
            <w:tcW w:w="899" w:type="dxa"/>
            <w:shd w:val="clear" w:color="auto" w:fill="FFFFFF" w:themeFill="background1"/>
            <w:noWrap/>
            <w:tcMar>
              <w:top w:w="0" w:type="dxa"/>
              <w:left w:w="108" w:type="dxa"/>
              <w:bottom w:w="0" w:type="dxa"/>
              <w:right w:w="108" w:type="dxa"/>
            </w:tcMar>
            <w:vAlign w:val="bottom"/>
          </w:tcPr>
          <w:p w14:paraId="1E161675"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38</w:t>
            </w:r>
          </w:p>
        </w:tc>
        <w:tc>
          <w:tcPr>
            <w:tcW w:w="1506" w:type="dxa"/>
            <w:shd w:val="clear" w:color="auto" w:fill="FFFFFF" w:themeFill="background1"/>
            <w:tcMar>
              <w:top w:w="0" w:type="dxa"/>
              <w:left w:w="108" w:type="dxa"/>
              <w:bottom w:w="0" w:type="dxa"/>
              <w:right w:w="108" w:type="dxa"/>
            </w:tcMar>
            <w:vAlign w:val="bottom"/>
          </w:tcPr>
          <w:p w14:paraId="50683FAC"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SA</w:t>
            </w:r>
          </w:p>
        </w:tc>
        <w:tc>
          <w:tcPr>
            <w:tcW w:w="848" w:type="dxa"/>
            <w:shd w:val="clear" w:color="auto" w:fill="FFFFFF" w:themeFill="background1"/>
            <w:tcMar>
              <w:top w:w="0" w:type="dxa"/>
              <w:left w:w="108" w:type="dxa"/>
              <w:bottom w:w="0" w:type="dxa"/>
              <w:right w:w="108" w:type="dxa"/>
            </w:tcMar>
            <w:vAlign w:val="center"/>
          </w:tcPr>
          <w:p w14:paraId="4A5F9A0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3" w:type="dxa"/>
            <w:shd w:val="clear" w:color="auto" w:fill="FFFFFF" w:themeFill="background1"/>
            <w:tcMar>
              <w:top w:w="0" w:type="dxa"/>
              <w:left w:w="108" w:type="dxa"/>
              <w:bottom w:w="0" w:type="dxa"/>
              <w:right w:w="108" w:type="dxa"/>
            </w:tcMar>
            <w:vAlign w:val="center"/>
          </w:tcPr>
          <w:p w14:paraId="50A4D1A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47" w:type="dxa"/>
            <w:shd w:val="clear" w:color="auto" w:fill="FFFFFF" w:themeFill="background1"/>
            <w:tcMar>
              <w:top w:w="0" w:type="dxa"/>
              <w:left w:w="108" w:type="dxa"/>
              <w:bottom w:w="0" w:type="dxa"/>
              <w:right w:w="108" w:type="dxa"/>
            </w:tcMar>
            <w:vAlign w:val="center"/>
          </w:tcPr>
          <w:p w14:paraId="5E0B44E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3" w:type="dxa"/>
            <w:shd w:val="clear" w:color="auto" w:fill="FFFFFF" w:themeFill="background1"/>
            <w:tcMar>
              <w:top w:w="0" w:type="dxa"/>
              <w:left w:w="108" w:type="dxa"/>
              <w:bottom w:w="0" w:type="dxa"/>
              <w:right w:w="108" w:type="dxa"/>
            </w:tcMar>
            <w:vAlign w:val="center"/>
          </w:tcPr>
          <w:p w14:paraId="715F91A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48" w:type="dxa"/>
            <w:shd w:val="clear" w:color="auto" w:fill="FFFFFF" w:themeFill="background1"/>
            <w:tcMar>
              <w:top w:w="0" w:type="dxa"/>
              <w:left w:w="108" w:type="dxa"/>
              <w:bottom w:w="0" w:type="dxa"/>
              <w:right w:w="108" w:type="dxa"/>
            </w:tcMar>
            <w:vAlign w:val="center"/>
          </w:tcPr>
          <w:p w14:paraId="7A63D34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24" w:type="dxa"/>
            <w:shd w:val="clear" w:color="auto" w:fill="FFFFFF" w:themeFill="background1"/>
            <w:tcMar>
              <w:top w:w="0" w:type="dxa"/>
              <w:left w:w="108" w:type="dxa"/>
              <w:bottom w:w="0" w:type="dxa"/>
              <w:right w:w="108" w:type="dxa"/>
            </w:tcMar>
            <w:vAlign w:val="center"/>
          </w:tcPr>
          <w:p w14:paraId="62ACADA5"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971" w:type="dxa"/>
            <w:shd w:val="clear" w:color="auto" w:fill="FFFFFF" w:themeFill="background1"/>
            <w:tcMar>
              <w:top w:w="0" w:type="dxa"/>
              <w:left w:w="108" w:type="dxa"/>
              <w:bottom w:w="0" w:type="dxa"/>
              <w:right w:w="108" w:type="dxa"/>
            </w:tcMar>
            <w:vAlign w:val="center"/>
          </w:tcPr>
          <w:p w14:paraId="158E79F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4" w:type="dxa"/>
            <w:shd w:val="clear" w:color="auto" w:fill="FFFFFF" w:themeFill="background1"/>
            <w:tcMar>
              <w:top w:w="0" w:type="dxa"/>
              <w:left w:w="108" w:type="dxa"/>
              <w:bottom w:w="0" w:type="dxa"/>
              <w:right w:w="108" w:type="dxa"/>
            </w:tcMar>
            <w:vAlign w:val="center"/>
          </w:tcPr>
          <w:p w14:paraId="15E9EF9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51" w:type="dxa"/>
            <w:shd w:val="clear" w:color="auto" w:fill="FFFFFF" w:themeFill="background1"/>
            <w:tcMar>
              <w:top w:w="0" w:type="dxa"/>
              <w:left w:w="108" w:type="dxa"/>
              <w:bottom w:w="0" w:type="dxa"/>
              <w:right w:w="108" w:type="dxa"/>
            </w:tcMar>
            <w:vAlign w:val="center"/>
          </w:tcPr>
          <w:p w14:paraId="4A986AA9" w14:textId="77777777" w:rsidR="00284822" w:rsidRDefault="00F77BF8">
            <w:pPr>
              <w:spacing w:line="240" w:lineRule="auto"/>
              <w:rPr>
                <w:rFonts w:ascii="Rockwell" w:hAnsi="Rockwell"/>
                <w:b/>
                <w:bCs/>
                <w:sz w:val="20"/>
                <w:szCs w:val="20"/>
              </w:rPr>
            </w:pPr>
            <w:r>
              <w:rPr>
                <w:rFonts w:ascii="Rockwell" w:hAnsi="Rockwell"/>
                <w:b/>
                <w:bCs/>
                <w:sz w:val="20"/>
                <w:szCs w:val="20"/>
              </w:rPr>
              <w:t>5</w:t>
            </w:r>
          </w:p>
        </w:tc>
        <w:tc>
          <w:tcPr>
            <w:tcW w:w="1134" w:type="dxa"/>
            <w:shd w:val="clear" w:color="auto" w:fill="FFFFFF" w:themeFill="background1"/>
            <w:tcMar>
              <w:top w:w="0" w:type="dxa"/>
              <w:left w:w="108" w:type="dxa"/>
              <w:bottom w:w="0" w:type="dxa"/>
              <w:right w:w="108" w:type="dxa"/>
            </w:tcMar>
            <w:vAlign w:val="center"/>
          </w:tcPr>
          <w:p w14:paraId="5440BF31" w14:textId="77777777" w:rsidR="00284822" w:rsidRDefault="00F77BF8">
            <w:pPr>
              <w:spacing w:line="240" w:lineRule="auto"/>
              <w:rPr>
                <w:rFonts w:ascii="Rockwell" w:hAnsi="Rockwell"/>
                <w:b/>
                <w:bCs/>
                <w:sz w:val="20"/>
                <w:szCs w:val="20"/>
              </w:rPr>
            </w:pPr>
            <w:r>
              <w:rPr>
                <w:rFonts w:ascii="Rockwell" w:hAnsi="Rockwell"/>
                <w:b/>
                <w:bCs/>
                <w:sz w:val="20"/>
                <w:szCs w:val="20"/>
              </w:rPr>
              <w:t>0,67%</w:t>
            </w:r>
          </w:p>
        </w:tc>
        <w:tc>
          <w:tcPr>
            <w:tcW w:w="992" w:type="dxa"/>
            <w:shd w:val="clear" w:color="auto" w:fill="FFFFFF" w:themeFill="background1"/>
            <w:tcMar>
              <w:top w:w="0" w:type="dxa"/>
              <w:left w:w="108" w:type="dxa"/>
              <w:bottom w:w="0" w:type="dxa"/>
              <w:right w:w="108" w:type="dxa"/>
            </w:tcMar>
            <w:vAlign w:val="center"/>
          </w:tcPr>
          <w:p w14:paraId="52F3A6EC" w14:textId="77777777" w:rsidR="00284822" w:rsidRDefault="00F77BF8">
            <w:pPr>
              <w:spacing w:line="240" w:lineRule="auto"/>
              <w:rPr>
                <w:rFonts w:ascii="Rockwell" w:hAnsi="Rockwell"/>
                <w:b/>
                <w:bCs/>
                <w:sz w:val="20"/>
                <w:szCs w:val="20"/>
              </w:rPr>
            </w:pPr>
            <w:r>
              <w:rPr>
                <w:rFonts w:ascii="Rockwell" w:hAnsi="Rockwell"/>
                <w:b/>
                <w:bCs/>
                <w:sz w:val="20"/>
                <w:szCs w:val="20"/>
              </w:rPr>
              <w:t>5</w:t>
            </w:r>
          </w:p>
        </w:tc>
        <w:tc>
          <w:tcPr>
            <w:tcW w:w="1843" w:type="dxa"/>
            <w:shd w:val="clear" w:color="auto" w:fill="FFFFFF" w:themeFill="background1"/>
            <w:tcMar>
              <w:top w:w="0" w:type="dxa"/>
              <w:left w:w="108" w:type="dxa"/>
              <w:bottom w:w="0" w:type="dxa"/>
              <w:right w:w="108" w:type="dxa"/>
            </w:tcMar>
            <w:vAlign w:val="center"/>
          </w:tcPr>
          <w:p w14:paraId="685789B1" w14:textId="77777777" w:rsidR="00284822" w:rsidRDefault="00F77BF8">
            <w:pPr>
              <w:spacing w:line="240" w:lineRule="auto"/>
              <w:rPr>
                <w:rFonts w:ascii="Rockwell" w:hAnsi="Rockwell"/>
                <w:b/>
                <w:bCs/>
                <w:sz w:val="20"/>
                <w:szCs w:val="20"/>
              </w:rPr>
            </w:pPr>
            <w:r>
              <w:rPr>
                <w:rFonts w:ascii="Rockwell" w:hAnsi="Rockwell"/>
                <w:b/>
                <w:bCs/>
                <w:sz w:val="20"/>
                <w:szCs w:val="20"/>
              </w:rPr>
              <w:t>0,42%</w:t>
            </w:r>
          </w:p>
        </w:tc>
      </w:tr>
      <w:tr w:rsidR="00284822" w14:paraId="33FED2FD" w14:textId="77777777">
        <w:trPr>
          <w:trHeight w:val="136"/>
          <w:jc w:val="center"/>
        </w:trPr>
        <w:tc>
          <w:tcPr>
            <w:tcW w:w="899" w:type="dxa"/>
            <w:shd w:val="clear" w:color="auto" w:fill="FFFFFF" w:themeFill="background1"/>
            <w:noWrap/>
            <w:tcMar>
              <w:top w:w="0" w:type="dxa"/>
              <w:left w:w="108" w:type="dxa"/>
              <w:bottom w:w="0" w:type="dxa"/>
              <w:right w:w="108" w:type="dxa"/>
            </w:tcMar>
            <w:vAlign w:val="bottom"/>
          </w:tcPr>
          <w:p w14:paraId="18F7B448"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39</w:t>
            </w:r>
          </w:p>
        </w:tc>
        <w:tc>
          <w:tcPr>
            <w:tcW w:w="1506" w:type="dxa"/>
            <w:shd w:val="clear" w:color="auto" w:fill="FFFFFF" w:themeFill="background1"/>
            <w:tcMar>
              <w:top w:w="0" w:type="dxa"/>
              <w:left w:w="108" w:type="dxa"/>
              <w:bottom w:w="0" w:type="dxa"/>
              <w:right w:w="108" w:type="dxa"/>
            </w:tcMar>
            <w:vAlign w:val="bottom"/>
          </w:tcPr>
          <w:p w14:paraId="71CBEA9F"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SENS</w:t>
            </w:r>
          </w:p>
        </w:tc>
        <w:tc>
          <w:tcPr>
            <w:tcW w:w="848" w:type="dxa"/>
            <w:shd w:val="clear" w:color="auto" w:fill="FFFFFF" w:themeFill="background1"/>
            <w:tcMar>
              <w:top w:w="0" w:type="dxa"/>
              <w:left w:w="108" w:type="dxa"/>
              <w:bottom w:w="0" w:type="dxa"/>
              <w:right w:w="108" w:type="dxa"/>
            </w:tcMar>
            <w:vAlign w:val="center"/>
          </w:tcPr>
          <w:p w14:paraId="36F4D18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7</w:t>
            </w:r>
          </w:p>
        </w:tc>
        <w:tc>
          <w:tcPr>
            <w:tcW w:w="1133" w:type="dxa"/>
            <w:shd w:val="clear" w:color="auto" w:fill="FFFFFF" w:themeFill="background1"/>
            <w:tcMar>
              <w:top w:w="0" w:type="dxa"/>
              <w:left w:w="108" w:type="dxa"/>
              <w:bottom w:w="0" w:type="dxa"/>
              <w:right w:w="108" w:type="dxa"/>
            </w:tcMar>
            <w:vAlign w:val="center"/>
          </w:tcPr>
          <w:p w14:paraId="69162E2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15,22%</w:t>
            </w:r>
          </w:p>
        </w:tc>
        <w:tc>
          <w:tcPr>
            <w:tcW w:w="847" w:type="dxa"/>
            <w:shd w:val="clear" w:color="auto" w:fill="FFFFFF" w:themeFill="background1"/>
            <w:tcMar>
              <w:top w:w="0" w:type="dxa"/>
              <w:left w:w="108" w:type="dxa"/>
              <w:bottom w:w="0" w:type="dxa"/>
              <w:right w:w="108" w:type="dxa"/>
            </w:tcMar>
            <w:vAlign w:val="center"/>
          </w:tcPr>
          <w:p w14:paraId="12F4BA4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7</w:t>
            </w:r>
          </w:p>
        </w:tc>
        <w:tc>
          <w:tcPr>
            <w:tcW w:w="1133" w:type="dxa"/>
            <w:shd w:val="clear" w:color="auto" w:fill="FFFFFF" w:themeFill="background1"/>
            <w:tcMar>
              <w:top w:w="0" w:type="dxa"/>
              <w:left w:w="108" w:type="dxa"/>
              <w:bottom w:w="0" w:type="dxa"/>
              <w:right w:w="108" w:type="dxa"/>
            </w:tcMar>
            <w:vAlign w:val="center"/>
          </w:tcPr>
          <w:p w14:paraId="5199F24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14,58%</w:t>
            </w:r>
          </w:p>
        </w:tc>
        <w:tc>
          <w:tcPr>
            <w:tcW w:w="848" w:type="dxa"/>
            <w:shd w:val="clear" w:color="auto" w:fill="FFFFFF" w:themeFill="background1"/>
            <w:tcMar>
              <w:top w:w="0" w:type="dxa"/>
              <w:left w:w="108" w:type="dxa"/>
              <w:bottom w:w="0" w:type="dxa"/>
              <w:right w:w="108" w:type="dxa"/>
            </w:tcMar>
            <w:vAlign w:val="center"/>
          </w:tcPr>
          <w:p w14:paraId="19F1780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24" w:type="dxa"/>
            <w:shd w:val="clear" w:color="auto" w:fill="FFFFFF" w:themeFill="background1"/>
            <w:tcMar>
              <w:top w:w="0" w:type="dxa"/>
              <w:left w:w="108" w:type="dxa"/>
              <w:bottom w:w="0" w:type="dxa"/>
              <w:right w:w="108" w:type="dxa"/>
            </w:tcMar>
            <w:vAlign w:val="center"/>
          </w:tcPr>
          <w:p w14:paraId="5F954D6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971" w:type="dxa"/>
            <w:shd w:val="clear" w:color="auto" w:fill="FFFFFF" w:themeFill="background1"/>
            <w:tcMar>
              <w:top w:w="0" w:type="dxa"/>
              <w:left w:w="108" w:type="dxa"/>
              <w:bottom w:w="0" w:type="dxa"/>
              <w:right w:w="108" w:type="dxa"/>
            </w:tcMar>
            <w:vAlign w:val="center"/>
          </w:tcPr>
          <w:p w14:paraId="7DC815A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4" w:type="dxa"/>
            <w:shd w:val="clear" w:color="auto" w:fill="FFFFFF" w:themeFill="background1"/>
            <w:tcMar>
              <w:top w:w="0" w:type="dxa"/>
              <w:left w:w="108" w:type="dxa"/>
              <w:bottom w:w="0" w:type="dxa"/>
              <w:right w:w="108" w:type="dxa"/>
            </w:tcMar>
            <w:vAlign w:val="center"/>
          </w:tcPr>
          <w:p w14:paraId="7FF2A2D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51" w:type="dxa"/>
            <w:shd w:val="clear" w:color="auto" w:fill="FFFFFF" w:themeFill="background1"/>
            <w:tcMar>
              <w:top w:w="0" w:type="dxa"/>
              <w:left w:w="108" w:type="dxa"/>
              <w:bottom w:w="0" w:type="dxa"/>
              <w:right w:w="108" w:type="dxa"/>
            </w:tcMar>
            <w:vAlign w:val="center"/>
          </w:tcPr>
          <w:p w14:paraId="1A5D2A55" w14:textId="77777777" w:rsidR="00284822" w:rsidRDefault="00F77BF8">
            <w:pPr>
              <w:spacing w:line="240" w:lineRule="auto"/>
              <w:rPr>
                <w:rFonts w:ascii="Rockwell" w:hAnsi="Rockwell"/>
                <w:b/>
                <w:bCs/>
                <w:sz w:val="20"/>
                <w:szCs w:val="20"/>
              </w:rPr>
            </w:pPr>
            <w:r>
              <w:rPr>
                <w:rFonts w:ascii="Rockwell" w:hAnsi="Rockwell"/>
                <w:b/>
                <w:bCs/>
                <w:sz w:val="20"/>
                <w:szCs w:val="20"/>
              </w:rPr>
              <w:t>19</w:t>
            </w:r>
          </w:p>
        </w:tc>
        <w:tc>
          <w:tcPr>
            <w:tcW w:w="1134" w:type="dxa"/>
            <w:shd w:val="clear" w:color="auto" w:fill="FFFFFF" w:themeFill="background1"/>
            <w:tcMar>
              <w:top w:w="0" w:type="dxa"/>
              <w:left w:w="108" w:type="dxa"/>
              <w:bottom w:w="0" w:type="dxa"/>
              <w:right w:w="108" w:type="dxa"/>
            </w:tcMar>
            <w:vAlign w:val="center"/>
          </w:tcPr>
          <w:p w14:paraId="032DC2D8" w14:textId="77777777" w:rsidR="00284822" w:rsidRDefault="00F77BF8">
            <w:pPr>
              <w:spacing w:line="240" w:lineRule="auto"/>
              <w:rPr>
                <w:rFonts w:ascii="Rockwell" w:hAnsi="Rockwell"/>
                <w:b/>
                <w:bCs/>
                <w:sz w:val="20"/>
                <w:szCs w:val="20"/>
              </w:rPr>
            </w:pPr>
            <w:r>
              <w:rPr>
                <w:rFonts w:ascii="Rockwell" w:hAnsi="Rockwell"/>
                <w:b/>
                <w:bCs/>
                <w:sz w:val="20"/>
                <w:szCs w:val="20"/>
              </w:rPr>
              <w:t>2,55%</w:t>
            </w:r>
          </w:p>
        </w:tc>
        <w:tc>
          <w:tcPr>
            <w:tcW w:w="992" w:type="dxa"/>
            <w:shd w:val="clear" w:color="auto" w:fill="FFFFFF" w:themeFill="background1"/>
            <w:tcMar>
              <w:top w:w="0" w:type="dxa"/>
              <w:left w:w="108" w:type="dxa"/>
              <w:bottom w:w="0" w:type="dxa"/>
              <w:right w:w="108" w:type="dxa"/>
            </w:tcMar>
            <w:vAlign w:val="center"/>
          </w:tcPr>
          <w:p w14:paraId="0D988248" w14:textId="77777777" w:rsidR="00284822" w:rsidRDefault="00F77BF8">
            <w:pPr>
              <w:spacing w:line="240" w:lineRule="auto"/>
              <w:rPr>
                <w:rFonts w:ascii="Rockwell" w:hAnsi="Rockwell"/>
                <w:b/>
                <w:bCs/>
                <w:sz w:val="20"/>
                <w:szCs w:val="20"/>
              </w:rPr>
            </w:pPr>
            <w:r>
              <w:rPr>
                <w:rFonts w:ascii="Rockwell" w:hAnsi="Rockwell"/>
                <w:b/>
                <w:bCs/>
                <w:sz w:val="20"/>
                <w:szCs w:val="20"/>
              </w:rPr>
              <w:t>27</w:t>
            </w:r>
          </w:p>
        </w:tc>
        <w:tc>
          <w:tcPr>
            <w:tcW w:w="1843" w:type="dxa"/>
            <w:shd w:val="clear" w:color="auto" w:fill="FFFFFF" w:themeFill="background1"/>
            <w:tcMar>
              <w:top w:w="0" w:type="dxa"/>
              <w:left w:w="108" w:type="dxa"/>
              <w:bottom w:w="0" w:type="dxa"/>
              <w:right w:w="108" w:type="dxa"/>
            </w:tcMar>
            <w:vAlign w:val="center"/>
          </w:tcPr>
          <w:p w14:paraId="2ECAC546" w14:textId="77777777" w:rsidR="00284822" w:rsidRDefault="00F77BF8">
            <w:pPr>
              <w:spacing w:line="240" w:lineRule="auto"/>
              <w:rPr>
                <w:rFonts w:ascii="Rockwell" w:hAnsi="Rockwell"/>
                <w:b/>
                <w:bCs/>
                <w:sz w:val="20"/>
                <w:szCs w:val="20"/>
              </w:rPr>
            </w:pPr>
            <w:r>
              <w:rPr>
                <w:rFonts w:ascii="Rockwell" w:hAnsi="Rockwell"/>
                <w:b/>
                <w:bCs/>
                <w:sz w:val="20"/>
                <w:szCs w:val="20"/>
              </w:rPr>
              <w:t>2,25%</w:t>
            </w:r>
          </w:p>
        </w:tc>
      </w:tr>
      <w:tr w:rsidR="00284822" w14:paraId="53F7851F" w14:textId="77777777">
        <w:trPr>
          <w:trHeight w:val="136"/>
          <w:jc w:val="center"/>
        </w:trPr>
        <w:tc>
          <w:tcPr>
            <w:tcW w:w="899" w:type="dxa"/>
            <w:shd w:val="clear" w:color="auto" w:fill="FFFFFF" w:themeFill="background1"/>
            <w:noWrap/>
            <w:tcMar>
              <w:top w:w="0" w:type="dxa"/>
              <w:left w:w="108" w:type="dxa"/>
              <w:bottom w:w="0" w:type="dxa"/>
              <w:right w:w="108" w:type="dxa"/>
            </w:tcMar>
            <w:vAlign w:val="bottom"/>
          </w:tcPr>
          <w:p w14:paraId="51F11577"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40</w:t>
            </w:r>
          </w:p>
        </w:tc>
        <w:tc>
          <w:tcPr>
            <w:tcW w:w="1506" w:type="dxa"/>
            <w:shd w:val="clear" w:color="auto" w:fill="FFFFFF" w:themeFill="background1"/>
            <w:tcMar>
              <w:top w:w="0" w:type="dxa"/>
              <w:left w:w="108" w:type="dxa"/>
              <w:bottom w:w="0" w:type="dxa"/>
              <w:right w:w="108" w:type="dxa"/>
            </w:tcMar>
            <w:vAlign w:val="bottom"/>
          </w:tcPr>
          <w:p w14:paraId="28D1631A"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SOCL</w:t>
            </w:r>
          </w:p>
        </w:tc>
        <w:tc>
          <w:tcPr>
            <w:tcW w:w="848" w:type="dxa"/>
            <w:shd w:val="clear" w:color="auto" w:fill="FFFFFF" w:themeFill="background1"/>
            <w:tcMar>
              <w:top w:w="0" w:type="dxa"/>
              <w:left w:w="108" w:type="dxa"/>
              <w:bottom w:w="0" w:type="dxa"/>
              <w:right w:w="108" w:type="dxa"/>
            </w:tcMar>
            <w:vAlign w:val="center"/>
          </w:tcPr>
          <w:p w14:paraId="03D3B35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33" w:type="dxa"/>
            <w:shd w:val="clear" w:color="auto" w:fill="FFFFFF" w:themeFill="background1"/>
            <w:tcMar>
              <w:top w:w="0" w:type="dxa"/>
              <w:left w:w="108" w:type="dxa"/>
              <w:bottom w:w="0" w:type="dxa"/>
              <w:right w:w="108" w:type="dxa"/>
            </w:tcMar>
            <w:vAlign w:val="center"/>
          </w:tcPr>
          <w:p w14:paraId="6B94C53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2,17%</w:t>
            </w:r>
          </w:p>
        </w:tc>
        <w:tc>
          <w:tcPr>
            <w:tcW w:w="847" w:type="dxa"/>
            <w:shd w:val="clear" w:color="auto" w:fill="FFFFFF" w:themeFill="background1"/>
            <w:tcMar>
              <w:top w:w="0" w:type="dxa"/>
              <w:left w:w="108" w:type="dxa"/>
              <w:bottom w:w="0" w:type="dxa"/>
              <w:right w:w="108" w:type="dxa"/>
            </w:tcMar>
            <w:vAlign w:val="center"/>
          </w:tcPr>
          <w:p w14:paraId="455F6F7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33" w:type="dxa"/>
            <w:shd w:val="clear" w:color="auto" w:fill="FFFFFF" w:themeFill="background1"/>
            <w:tcMar>
              <w:top w:w="0" w:type="dxa"/>
              <w:left w:w="108" w:type="dxa"/>
              <w:bottom w:w="0" w:type="dxa"/>
              <w:right w:w="108" w:type="dxa"/>
            </w:tcMar>
            <w:vAlign w:val="center"/>
          </w:tcPr>
          <w:p w14:paraId="79439B4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2,08%</w:t>
            </w:r>
          </w:p>
        </w:tc>
        <w:tc>
          <w:tcPr>
            <w:tcW w:w="848" w:type="dxa"/>
            <w:shd w:val="clear" w:color="auto" w:fill="FFFFFF" w:themeFill="background1"/>
            <w:tcMar>
              <w:top w:w="0" w:type="dxa"/>
              <w:left w:w="108" w:type="dxa"/>
              <w:bottom w:w="0" w:type="dxa"/>
              <w:right w:w="108" w:type="dxa"/>
            </w:tcMar>
            <w:vAlign w:val="center"/>
          </w:tcPr>
          <w:p w14:paraId="31A86FA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24" w:type="dxa"/>
            <w:shd w:val="clear" w:color="auto" w:fill="FFFFFF" w:themeFill="background1"/>
            <w:tcMar>
              <w:top w:w="0" w:type="dxa"/>
              <w:left w:w="108" w:type="dxa"/>
              <w:bottom w:w="0" w:type="dxa"/>
              <w:right w:w="108" w:type="dxa"/>
            </w:tcMar>
            <w:vAlign w:val="center"/>
          </w:tcPr>
          <w:p w14:paraId="25CFF52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971" w:type="dxa"/>
            <w:shd w:val="clear" w:color="auto" w:fill="FFFFFF" w:themeFill="background1"/>
            <w:tcMar>
              <w:top w:w="0" w:type="dxa"/>
              <w:left w:w="108" w:type="dxa"/>
              <w:bottom w:w="0" w:type="dxa"/>
              <w:right w:w="108" w:type="dxa"/>
            </w:tcMar>
            <w:vAlign w:val="center"/>
          </w:tcPr>
          <w:p w14:paraId="35FD3F8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4" w:type="dxa"/>
            <w:shd w:val="clear" w:color="auto" w:fill="FFFFFF" w:themeFill="background1"/>
            <w:tcMar>
              <w:top w:w="0" w:type="dxa"/>
              <w:left w:w="108" w:type="dxa"/>
              <w:bottom w:w="0" w:type="dxa"/>
              <w:right w:w="108" w:type="dxa"/>
            </w:tcMar>
            <w:vAlign w:val="center"/>
          </w:tcPr>
          <w:p w14:paraId="4F79D2E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51" w:type="dxa"/>
            <w:shd w:val="clear" w:color="auto" w:fill="FFFFFF" w:themeFill="background1"/>
            <w:tcMar>
              <w:top w:w="0" w:type="dxa"/>
              <w:left w:w="108" w:type="dxa"/>
              <w:bottom w:w="0" w:type="dxa"/>
              <w:right w:w="108" w:type="dxa"/>
            </w:tcMar>
            <w:vAlign w:val="center"/>
          </w:tcPr>
          <w:p w14:paraId="0F9D2471" w14:textId="77777777" w:rsidR="00284822" w:rsidRDefault="00F77BF8">
            <w:pPr>
              <w:spacing w:line="240" w:lineRule="auto"/>
              <w:rPr>
                <w:rFonts w:ascii="Rockwell" w:hAnsi="Rockwell"/>
                <w:b/>
                <w:bCs/>
                <w:sz w:val="20"/>
                <w:szCs w:val="20"/>
              </w:rPr>
            </w:pPr>
            <w:r>
              <w:rPr>
                <w:rFonts w:ascii="Rockwell" w:hAnsi="Rockwell"/>
                <w:b/>
                <w:bCs/>
                <w:sz w:val="20"/>
                <w:szCs w:val="20"/>
              </w:rPr>
              <w:t>8</w:t>
            </w:r>
          </w:p>
        </w:tc>
        <w:tc>
          <w:tcPr>
            <w:tcW w:w="1134" w:type="dxa"/>
            <w:shd w:val="clear" w:color="auto" w:fill="FFFFFF" w:themeFill="background1"/>
            <w:tcMar>
              <w:top w:w="0" w:type="dxa"/>
              <w:left w:w="108" w:type="dxa"/>
              <w:bottom w:w="0" w:type="dxa"/>
              <w:right w:w="108" w:type="dxa"/>
            </w:tcMar>
            <w:vAlign w:val="center"/>
          </w:tcPr>
          <w:p w14:paraId="1A8BB6D4" w14:textId="77777777" w:rsidR="00284822" w:rsidRDefault="00F77BF8">
            <w:pPr>
              <w:spacing w:line="240" w:lineRule="auto"/>
              <w:rPr>
                <w:rFonts w:ascii="Rockwell" w:hAnsi="Rockwell"/>
                <w:b/>
                <w:bCs/>
                <w:sz w:val="20"/>
                <w:szCs w:val="20"/>
              </w:rPr>
            </w:pPr>
            <w:r>
              <w:rPr>
                <w:rFonts w:ascii="Rockwell" w:hAnsi="Rockwell"/>
                <w:b/>
                <w:bCs/>
                <w:sz w:val="20"/>
                <w:szCs w:val="20"/>
              </w:rPr>
              <w:t>1,07%</w:t>
            </w:r>
          </w:p>
        </w:tc>
        <w:tc>
          <w:tcPr>
            <w:tcW w:w="992" w:type="dxa"/>
            <w:shd w:val="clear" w:color="auto" w:fill="FFFFFF" w:themeFill="background1"/>
            <w:tcMar>
              <w:top w:w="0" w:type="dxa"/>
              <w:left w:w="108" w:type="dxa"/>
              <w:bottom w:w="0" w:type="dxa"/>
              <w:right w:w="108" w:type="dxa"/>
            </w:tcMar>
            <w:vAlign w:val="center"/>
          </w:tcPr>
          <w:p w14:paraId="7CF1AA32" w14:textId="77777777" w:rsidR="00284822" w:rsidRDefault="00F77BF8">
            <w:pPr>
              <w:spacing w:line="240" w:lineRule="auto"/>
              <w:rPr>
                <w:rFonts w:ascii="Rockwell" w:hAnsi="Rockwell"/>
                <w:b/>
                <w:bCs/>
                <w:sz w:val="20"/>
                <w:szCs w:val="20"/>
              </w:rPr>
            </w:pPr>
            <w:r>
              <w:rPr>
                <w:rFonts w:ascii="Rockwell" w:hAnsi="Rockwell"/>
                <w:b/>
                <w:bCs/>
                <w:sz w:val="20"/>
                <w:szCs w:val="20"/>
              </w:rPr>
              <w:t>9</w:t>
            </w:r>
          </w:p>
        </w:tc>
        <w:tc>
          <w:tcPr>
            <w:tcW w:w="1843" w:type="dxa"/>
            <w:shd w:val="clear" w:color="auto" w:fill="FFFFFF" w:themeFill="background1"/>
            <w:tcMar>
              <w:top w:w="0" w:type="dxa"/>
              <w:left w:w="108" w:type="dxa"/>
              <w:bottom w:w="0" w:type="dxa"/>
              <w:right w:w="108" w:type="dxa"/>
            </w:tcMar>
            <w:vAlign w:val="center"/>
          </w:tcPr>
          <w:p w14:paraId="5E1B2F6E" w14:textId="77777777" w:rsidR="00284822" w:rsidRDefault="00F77BF8">
            <w:pPr>
              <w:spacing w:line="240" w:lineRule="auto"/>
              <w:rPr>
                <w:rFonts w:ascii="Rockwell" w:hAnsi="Rockwell"/>
                <w:b/>
                <w:bCs/>
                <w:sz w:val="20"/>
                <w:szCs w:val="20"/>
              </w:rPr>
            </w:pPr>
            <w:r>
              <w:rPr>
                <w:rFonts w:ascii="Rockwell" w:hAnsi="Rockwell"/>
                <w:b/>
                <w:bCs/>
                <w:sz w:val="20"/>
                <w:szCs w:val="20"/>
              </w:rPr>
              <w:t>0,75%</w:t>
            </w:r>
          </w:p>
        </w:tc>
      </w:tr>
      <w:tr w:rsidR="00284822" w14:paraId="11E54853" w14:textId="77777777">
        <w:trPr>
          <w:trHeight w:val="136"/>
          <w:jc w:val="center"/>
        </w:trPr>
        <w:tc>
          <w:tcPr>
            <w:tcW w:w="899" w:type="dxa"/>
            <w:shd w:val="clear" w:color="auto" w:fill="FFFFFF" w:themeFill="background1"/>
            <w:noWrap/>
            <w:tcMar>
              <w:top w:w="0" w:type="dxa"/>
              <w:left w:w="108" w:type="dxa"/>
              <w:bottom w:w="0" w:type="dxa"/>
              <w:right w:w="108" w:type="dxa"/>
            </w:tcMar>
            <w:vAlign w:val="bottom"/>
          </w:tcPr>
          <w:p w14:paraId="59BAE142"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41</w:t>
            </w:r>
          </w:p>
        </w:tc>
        <w:tc>
          <w:tcPr>
            <w:tcW w:w="1506" w:type="dxa"/>
            <w:shd w:val="clear" w:color="auto" w:fill="FFFFFF" w:themeFill="background1"/>
            <w:tcMar>
              <w:top w:w="0" w:type="dxa"/>
              <w:left w:w="108" w:type="dxa"/>
              <w:bottom w:w="0" w:type="dxa"/>
              <w:right w:w="108" w:type="dxa"/>
            </w:tcMar>
            <w:vAlign w:val="bottom"/>
          </w:tcPr>
          <w:p w14:paraId="71608980"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UFP</w:t>
            </w:r>
          </w:p>
        </w:tc>
        <w:tc>
          <w:tcPr>
            <w:tcW w:w="848" w:type="dxa"/>
            <w:shd w:val="clear" w:color="auto" w:fill="FFFFFF" w:themeFill="background1"/>
            <w:tcMar>
              <w:top w:w="0" w:type="dxa"/>
              <w:left w:w="108" w:type="dxa"/>
              <w:bottom w:w="0" w:type="dxa"/>
              <w:right w:w="108" w:type="dxa"/>
            </w:tcMar>
            <w:vAlign w:val="center"/>
          </w:tcPr>
          <w:p w14:paraId="1F87DC4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3" w:type="dxa"/>
            <w:shd w:val="clear" w:color="auto" w:fill="FFFFFF" w:themeFill="background1"/>
            <w:tcMar>
              <w:top w:w="0" w:type="dxa"/>
              <w:left w:w="108" w:type="dxa"/>
              <w:bottom w:w="0" w:type="dxa"/>
              <w:right w:w="108" w:type="dxa"/>
            </w:tcMar>
            <w:vAlign w:val="center"/>
          </w:tcPr>
          <w:p w14:paraId="3A195AB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47" w:type="dxa"/>
            <w:shd w:val="clear" w:color="auto" w:fill="FFFFFF" w:themeFill="background1"/>
            <w:tcMar>
              <w:top w:w="0" w:type="dxa"/>
              <w:left w:w="108" w:type="dxa"/>
              <w:bottom w:w="0" w:type="dxa"/>
              <w:right w:w="108" w:type="dxa"/>
            </w:tcMar>
            <w:vAlign w:val="center"/>
          </w:tcPr>
          <w:p w14:paraId="79B9112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3" w:type="dxa"/>
            <w:shd w:val="clear" w:color="auto" w:fill="FFFFFF" w:themeFill="background1"/>
            <w:tcMar>
              <w:top w:w="0" w:type="dxa"/>
              <w:left w:w="108" w:type="dxa"/>
              <w:bottom w:w="0" w:type="dxa"/>
              <w:right w:w="108" w:type="dxa"/>
            </w:tcMar>
            <w:vAlign w:val="center"/>
          </w:tcPr>
          <w:p w14:paraId="4BD4626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48" w:type="dxa"/>
            <w:shd w:val="clear" w:color="auto" w:fill="FFFFFF" w:themeFill="background1"/>
            <w:tcMar>
              <w:top w:w="0" w:type="dxa"/>
              <w:left w:w="108" w:type="dxa"/>
              <w:bottom w:w="0" w:type="dxa"/>
              <w:right w:w="108" w:type="dxa"/>
            </w:tcMar>
            <w:vAlign w:val="center"/>
          </w:tcPr>
          <w:p w14:paraId="2DD0FEA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24" w:type="dxa"/>
            <w:shd w:val="clear" w:color="auto" w:fill="FFFFFF" w:themeFill="background1"/>
            <w:tcMar>
              <w:top w:w="0" w:type="dxa"/>
              <w:left w:w="108" w:type="dxa"/>
              <w:bottom w:w="0" w:type="dxa"/>
              <w:right w:w="108" w:type="dxa"/>
            </w:tcMar>
            <w:vAlign w:val="center"/>
          </w:tcPr>
          <w:p w14:paraId="45C5838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971" w:type="dxa"/>
            <w:shd w:val="clear" w:color="auto" w:fill="FFFFFF" w:themeFill="background1"/>
            <w:tcMar>
              <w:top w:w="0" w:type="dxa"/>
              <w:left w:w="108" w:type="dxa"/>
              <w:bottom w:w="0" w:type="dxa"/>
              <w:right w:w="108" w:type="dxa"/>
            </w:tcMar>
            <w:vAlign w:val="center"/>
          </w:tcPr>
          <w:p w14:paraId="4554142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4" w:type="dxa"/>
            <w:shd w:val="clear" w:color="auto" w:fill="FFFFFF" w:themeFill="background1"/>
            <w:tcMar>
              <w:top w:w="0" w:type="dxa"/>
              <w:left w:w="108" w:type="dxa"/>
              <w:bottom w:w="0" w:type="dxa"/>
              <w:right w:w="108" w:type="dxa"/>
            </w:tcMar>
            <w:vAlign w:val="center"/>
          </w:tcPr>
          <w:p w14:paraId="45971AC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51" w:type="dxa"/>
            <w:shd w:val="clear" w:color="auto" w:fill="FFFFFF" w:themeFill="background1"/>
            <w:tcMar>
              <w:top w:w="0" w:type="dxa"/>
              <w:left w:w="108" w:type="dxa"/>
              <w:bottom w:w="0" w:type="dxa"/>
              <w:right w:w="108" w:type="dxa"/>
            </w:tcMar>
            <w:vAlign w:val="center"/>
          </w:tcPr>
          <w:p w14:paraId="50EA231F" w14:textId="77777777" w:rsidR="00284822" w:rsidRDefault="00F77BF8">
            <w:pPr>
              <w:spacing w:line="240" w:lineRule="auto"/>
              <w:rPr>
                <w:rFonts w:ascii="Rockwell" w:hAnsi="Rockwell"/>
                <w:b/>
                <w:bCs/>
                <w:sz w:val="20"/>
                <w:szCs w:val="20"/>
              </w:rPr>
            </w:pPr>
            <w:r>
              <w:rPr>
                <w:rFonts w:ascii="Rockwell" w:hAnsi="Rockwell"/>
                <w:b/>
                <w:bCs/>
                <w:sz w:val="20"/>
                <w:szCs w:val="20"/>
              </w:rPr>
              <w:t>2</w:t>
            </w:r>
          </w:p>
        </w:tc>
        <w:tc>
          <w:tcPr>
            <w:tcW w:w="1134" w:type="dxa"/>
            <w:shd w:val="clear" w:color="auto" w:fill="FFFFFF" w:themeFill="background1"/>
            <w:tcMar>
              <w:top w:w="0" w:type="dxa"/>
              <w:left w:w="108" w:type="dxa"/>
              <w:bottom w:w="0" w:type="dxa"/>
              <w:right w:w="108" w:type="dxa"/>
            </w:tcMar>
            <w:vAlign w:val="center"/>
          </w:tcPr>
          <w:p w14:paraId="41524144" w14:textId="77777777" w:rsidR="00284822" w:rsidRDefault="00F77BF8">
            <w:pPr>
              <w:spacing w:line="240" w:lineRule="auto"/>
              <w:rPr>
                <w:rFonts w:ascii="Rockwell" w:hAnsi="Rockwell"/>
                <w:b/>
                <w:bCs/>
                <w:sz w:val="20"/>
                <w:szCs w:val="20"/>
              </w:rPr>
            </w:pPr>
            <w:r>
              <w:rPr>
                <w:rFonts w:ascii="Rockwell" w:hAnsi="Rockwell"/>
                <w:b/>
                <w:bCs/>
                <w:sz w:val="20"/>
                <w:szCs w:val="20"/>
              </w:rPr>
              <w:t>0,27%</w:t>
            </w:r>
          </w:p>
        </w:tc>
        <w:tc>
          <w:tcPr>
            <w:tcW w:w="992" w:type="dxa"/>
            <w:shd w:val="clear" w:color="auto" w:fill="FFFFFF" w:themeFill="background1"/>
            <w:tcMar>
              <w:top w:w="0" w:type="dxa"/>
              <w:left w:w="108" w:type="dxa"/>
              <w:bottom w:w="0" w:type="dxa"/>
              <w:right w:w="108" w:type="dxa"/>
            </w:tcMar>
            <w:vAlign w:val="center"/>
          </w:tcPr>
          <w:p w14:paraId="0B9EA1DA" w14:textId="77777777" w:rsidR="00284822" w:rsidRDefault="00F77BF8">
            <w:pPr>
              <w:spacing w:line="240" w:lineRule="auto"/>
              <w:rPr>
                <w:rFonts w:ascii="Rockwell" w:hAnsi="Rockwell"/>
                <w:b/>
                <w:bCs/>
                <w:sz w:val="20"/>
                <w:szCs w:val="20"/>
              </w:rPr>
            </w:pPr>
            <w:r>
              <w:rPr>
                <w:rFonts w:ascii="Rockwell" w:hAnsi="Rockwell"/>
                <w:b/>
                <w:bCs/>
                <w:sz w:val="20"/>
                <w:szCs w:val="20"/>
              </w:rPr>
              <w:t>2</w:t>
            </w:r>
          </w:p>
        </w:tc>
        <w:tc>
          <w:tcPr>
            <w:tcW w:w="1843" w:type="dxa"/>
            <w:shd w:val="clear" w:color="auto" w:fill="FFFFFF" w:themeFill="background1"/>
            <w:tcMar>
              <w:top w:w="0" w:type="dxa"/>
              <w:left w:w="108" w:type="dxa"/>
              <w:bottom w:w="0" w:type="dxa"/>
              <w:right w:w="108" w:type="dxa"/>
            </w:tcMar>
            <w:vAlign w:val="center"/>
          </w:tcPr>
          <w:p w14:paraId="5FB3DAFF" w14:textId="77777777" w:rsidR="00284822" w:rsidRDefault="00F77BF8">
            <w:pPr>
              <w:spacing w:line="240" w:lineRule="auto"/>
              <w:rPr>
                <w:rFonts w:ascii="Rockwell" w:hAnsi="Rockwell"/>
                <w:b/>
                <w:bCs/>
                <w:sz w:val="20"/>
                <w:szCs w:val="20"/>
              </w:rPr>
            </w:pPr>
            <w:r>
              <w:rPr>
                <w:rFonts w:ascii="Rockwell" w:hAnsi="Rockwell"/>
                <w:b/>
                <w:bCs/>
                <w:sz w:val="20"/>
                <w:szCs w:val="20"/>
              </w:rPr>
              <w:t>0,17%</w:t>
            </w:r>
          </w:p>
        </w:tc>
      </w:tr>
      <w:tr w:rsidR="00284822" w14:paraId="3F4345CD" w14:textId="77777777">
        <w:trPr>
          <w:trHeight w:val="136"/>
          <w:jc w:val="center"/>
        </w:trPr>
        <w:tc>
          <w:tcPr>
            <w:tcW w:w="899" w:type="dxa"/>
            <w:shd w:val="clear" w:color="auto" w:fill="FFFFFF" w:themeFill="background1"/>
            <w:noWrap/>
            <w:tcMar>
              <w:top w:w="0" w:type="dxa"/>
              <w:left w:w="108" w:type="dxa"/>
              <w:bottom w:w="0" w:type="dxa"/>
              <w:right w:w="108" w:type="dxa"/>
            </w:tcMar>
            <w:vAlign w:val="bottom"/>
          </w:tcPr>
          <w:p w14:paraId="241449E8"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42</w:t>
            </w:r>
          </w:p>
        </w:tc>
        <w:tc>
          <w:tcPr>
            <w:tcW w:w="1506" w:type="dxa"/>
            <w:shd w:val="clear" w:color="auto" w:fill="FFFFFF" w:themeFill="background1"/>
            <w:tcMar>
              <w:top w:w="0" w:type="dxa"/>
              <w:left w:w="108" w:type="dxa"/>
              <w:bottom w:w="0" w:type="dxa"/>
              <w:right w:w="108" w:type="dxa"/>
            </w:tcMar>
            <w:vAlign w:val="bottom"/>
          </w:tcPr>
          <w:p w14:paraId="39641423"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UNDD</w:t>
            </w:r>
          </w:p>
        </w:tc>
        <w:tc>
          <w:tcPr>
            <w:tcW w:w="848" w:type="dxa"/>
            <w:shd w:val="clear" w:color="auto" w:fill="FFFFFF" w:themeFill="background1"/>
            <w:tcMar>
              <w:top w:w="0" w:type="dxa"/>
              <w:left w:w="108" w:type="dxa"/>
              <w:bottom w:w="0" w:type="dxa"/>
              <w:right w:w="108" w:type="dxa"/>
            </w:tcMar>
            <w:vAlign w:val="center"/>
          </w:tcPr>
          <w:p w14:paraId="4F6547C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133" w:type="dxa"/>
            <w:shd w:val="clear" w:color="auto" w:fill="FFFFFF" w:themeFill="background1"/>
            <w:tcMar>
              <w:top w:w="0" w:type="dxa"/>
              <w:left w:w="108" w:type="dxa"/>
              <w:bottom w:w="0" w:type="dxa"/>
              <w:right w:w="108" w:type="dxa"/>
            </w:tcMar>
            <w:vAlign w:val="center"/>
          </w:tcPr>
          <w:p w14:paraId="7B80491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4,35%</w:t>
            </w:r>
          </w:p>
        </w:tc>
        <w:tc>
          <w:tcPr>
            <w:tcW w:w="847" w:type="dxa"/>
            <w:shd w:val="clear" w:color="auto" w:fill="FFFFFF" w:themeFill="background1"/>
            <w:tcMar>
              <w:top w:w="0" w:type="dxa"/>
              <w:left w:w="108" w:type="dxa"/>
              <w:bottom w:w="0" w:type="dxa"/>
              <w:right w:w="108" w:type="dxa"/>
            </w:tcMar>
            <w:vAlign w:val="center"/>
          </w:tcPr>
          <w:p w14:paraId="03807AA8"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133" w:type="dxa"/>
            <w:shd w:val="clear" w:color="auto" w:fill="FFFFFF" w:themeFill="background1"/>
            <w:tcMar>
              <w:top w:w="0" w:type="dxa"/>
              <w:left w:w="108" w:type="dxa"/>
              <w:bottom w:w="0" w:type="dxa"/>
              <w:right w:w="108" w:type="dxa"/>
            </w:tcMar>
            <w:vAlign w:val="center"/>
          </w:tcPr>
          <w:p w14:paraId="72EE3234"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4,17%</w:t>
            </w:r>
          </w:p>
        </w:tc>
        <w:tc>
          <w:tcPr>
            <w:tcW w:w="848" w:type="dxa"/>
            <w:shd w:val="clear" w:color="auto" w:fill="FFFFFF" w:themeFill="background1"/>
            <w:tcMar>
              <w:top w:w="0" w:type="dxa"/>
              <w:left w:w="108" w:type="dxa"/>
              <w:bottom w:w="0" w:type="dxa"/>
              <w:right w:w="108" w:type="dxa"/>
            </w:tcMar>
            <w:vAlign w:val="center"/>
          </w:tcPr>
          <w:p w14:paraId="3708F76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024" w:type="dxa"/>
            <w:shd w:val="clear" w:color="auto" w:fill="FFFFFF" w:themeFill="background1"/>
            <w:tcMar>
              <w:top w:w="0" w:type="dxa"/>
              <w:left w:w="108" w:type="dxa"/>
              <w:bottom w:w="0" w:type="dxa"/>
              <w:right w:w="108" w:type="dxa"/>
            </w:tcMar>
            <w:vAlign w:val="center"/>
          </w:tcPr>
          <w:p w14:paraId="6E08878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10,53%</w:t>
            </w:r>
          </w:p>
        </w:tc>
        <w:tc>
          <w:tcPr>
            <w:tcW w:w="971" w:type="dxa"/>
            <w:shd w:val="clear" w:color="auto" w:fill="FFFFFF" w:themeFill="background1"/>
            <w:tcMar>
              <w:top w:w="0" w:type="dxa"/>
              <w:left w:w="108" w:type="dxa"/>
              <w:bottom w:w="0" w:type="dxa"/>
              <w:right w:w="108" w:type="dxa"/>
            </w:tcMar>
            <w:vAlign w:val="center"/>
          </w:tcPr>
          <w:p w14:paraId="58444711"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3</w:t>
            </w:r>
          </w:p>
        </w:tc>
        <w:tc>
          <w:tcPr>
            <w:tcW w:w="1134" w:type="dxa"/>
            <w:shd w:val="clear" w:color="auto" w:fill="FFFFFF" w:themeFill="background1"/>
            <w:tcMar>
              <w:top w:w="0" w:type="dxa"/>
              <w:left w:w="108" w:type="dxa"/>
              <w:bottom w:w="0" w:type="dxa"/>
              <w:right w:w="108" w:type="dxa"/>
            </w:tcMar>
            <w:vAlign w:val="center"/>
          </w:tcPr>
          <w:p w14:paraId="4E674F4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12,50%</w:t>
            </w:r>
          </w:p>
        </w:tc>
        <w:tc>
          <w:tcPr>
            <w:tcW w:w="851" w:type="dxa"/>
            <w:shd w:val="clear" w:color="auto" w:fill="FFFFFF" w:themeFill="background1"/>
            <w:tcMar>
              <w:top w:w="0" w:type="dxa"/>
              <w:left w:w="108" w:type="dxa"/>
              <w:bottom w:w="0" w:type="dxa"/>
              <w:right w:w="108" w:type="dxa"/>
            </w:tcMar>
            <w:vAlign w:val="center"/>
          </w:tcPr>
          <w:p w14:paraId="6C5983E0" w14:textId="77777777" w:rsidR="00284822" w:rsidRDefault="00F77BF8">
            <w:pPr>
              <w:spacing w:line="240" w:lineRule="auto"/>
              <w:rPr>
                <w:rFonts w:ascii="Rockwell" w:hAnsi="Rockwell"/>
                <w:b/>
                <w:bCs/>
                <w:sz w:val="20"/>
                <w:szCs w:val="20"/>
              </w:rPr>
            </w:pPr>
            <w:r>
              <w:rPr>
                <w:rFonts w:ascii="Rockwell" w:hAnsi="Rockwell"/>
                <w:b/>
                <w:bCs/>
                <w:sz w:val="20"/>
                <w:szCs w:val="20"/>
              </w:rPr>
              <w:t>9</w:t>
            </w:r>
          </w:p>
        </w:tc>
        <w:tc>
          <w:tcPr>
            <w:tcW w:w="1134" w:type="dxa"/>
            <w:shd w:val="clear" w:color="auto" w:fill="FFFFFF" w:themeFill="background1"/>
            <w:tcMar>
              <w:top w:w="0" w:type="dxa"/>
              <w:left w:w="108" w:type="dxa"/>
              <w:bottom w:w="0" w:type="dxa"/>
              <w:right w:w="108" w:type="dxa"/>
            </w:tcMar>
            <w:vAlign w:val="center"/>
          </w:tcPr>
          <w:p w14:paraId="412518D8" w14:textId="77777777" w:rsidR="00284822" w:rsidRDefault="00F77BF8">
            <w:pPr>
              <w:spacing w:line="240" w:lineRule="auto"/>
              <w:rPr>
                <w:rFonts w:ascii="Rockwell" w:hAnsi="Rockwell"/>
                <w:b/>
                <w:bCs/>
                <w:sz w:val="20"/>
                <w:szCs w:val="20"/>
              </w:rPr>
            </w:pPr>
            <w:r>
              <w:rPr>
                <w:rFonts w:ascii="Rockwell" w:hAnsi="Rockwell"/>
                <w:b/>
                <w:bCs/>
                <w:sz w:val="20"/>
                <w:szCs w:val="20"/>
              </w:rPr>
              <w:t>1,21%</w:t>
            </w:r>
          </w:p>
        </w:tc>
        <w:tc>
          <w:tcPr>
            <w:tcW w:w="992" w:type="dxa"/>
            <w:shd w:val="clear" w:color="auto" w:fill="FFFFFF" w:themeFill="background1"/>
            <w:tcMar>
              <w:top w:w="0" w:type="dxa"/>
              <w:left w:w="108" w:type="dxa"/>
              <w:bottom w:w="0" w:type="dxa"/>
              <w:right w:w="108" w:type="dxa"/>
            </w:tcMar>
            <w:vAlign w:val="center"/>
          </w:tcPr>
          <w:p w14:paraId="4736E2AC" w14:textId="77777777" w:rsidR="00284822" w:rsidRDefault="00F77BF8">
            <w:pPr>
              <w:spacing w:line="240" w:lineRule="auto"/>
              <w:rPr>
                <w:rFonts w:ascii="Rockwell" w:hAnsi="Rockwell"/>
                <w:b/>
                <w:bCs/>
                <w:sz w:val="20"/>
                <w:szCs w:val="20"/>
              </w:rPr>
            </w:pPr>
            <w:r>
              <w:rPr>
                <w:rFonts w:ascii="Rockwell" w:hAnsi="Rockwell"/>
                <w:b/>
                <w:bCs/>
                <w:sz w:val="20"/>
                <w:szCs w:val="20"/>
              </w:rPr>
              <w:t>16</w:t>
            </w:r>
          </w:p>
        </w:tc>
        <w:tc>
          <w:tcPr>
            <w:tcW w:w="1843" w:type="dxa"/>
            <w:shd w:val="clear" w:color="auto" w:fill="FFFFFF" w:themeFill="background1"/>
            <w:tcMar>
              <w:top w:w="0" w:type="dxa"/>
              <w:left w:w="108" w:type="dxa"/>
              <w:bottom w:w="0" w:type="dxa"/>
              <w:right w:w="108" w:type="dxa"/>
            </w:tcMar>
            <w:vAlign w:val="center"/>
          </w:tcPr>
          <w:p w14:paraId="1FA2AFE9" w14:textId="77777777" w:rsidR="00284822" w:rsidRDefault="00F77BF8">
            <w:pPr>
              <w:spacing w:line="240" w:lineRule="auto"/>
              <w:rPr>
                <w:rFonts w:ascii="Rockwell" w:hAnsi="Rockwell"/>
                <w:b/>
                <w:bCs/>
                <w:sz w:val="20"/>
                <w:szCs w:val="20"/>
              </w:rPr>
            </w:pPr>
            <w:r>
              <w:rPr>
                <w:rFonts w:ascii="Rockwell" w:hAnsi="Rockwell"/>
                <w:b/>
                <w:bCs/>
                <w:sz w:val="20"/>
                <w:szCs w:val="20"/>
              </w:rPr>
              <w:t>1,34%</w:t>
            </w:r>
          </w:p>
        </w:tc>
      </w:tr>
      <w:tr w:rsidR="00284822" w14:paraId="7318FCE9" w14:textId="77777777">
        <w:trPr>
          <w:trHeight w:val="136"/>
          <w:jc w:val="center"/>
        </w:trPr>
        <w:tc>
          <w:tcPr>
            <w:tcW w:w="899" w:type="dxa"/>
            <w:shd w:val="clear" w:color="auto" w:fill="FFFFFF" w:themeFill="background1"/>
            <w:noWrap/>
            <w:tcMar>
              <w:top w:w="0" w:type="dxa"/>
              <w:left w:w="108" w:type="dxa"/>
              <w:bottom w:w="0" w:type="dxa"/>
              <w:right w:w="108" w:type="dxa"/>
            </w:tcMar>
            <w:vAlign w:val="bottom"/>
          </w:tcPr>
          <w:p w14:paraId="12D9A03E"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43</w:t>
            </w:r>
          </w:p>
        </w:tc>
        <w:tc>
          <w:tcPr>
            <w:tcW w:w="1506" w:type="dxa"/>
            <w:shd w:val="clear" w:color="auto" w:fill="FFFFFF" w:themeFill="background1"/>
            <w:tcMar>
              <w:top w:w="0" w:type="dxa"/>
              <w:left w:w="108" w:type="dxa"/>
              <w:bottom w:w="0" w:type="dxa"/>
              <w:right w:w="108" w:type="dxa"/>
            </w:tcMar>
            <w:vAlign w:val="bottom"/>
          </w:tcPr>
          <w:p w14:paraId="41E52B09"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UNIR/MPS</w:t>
            </w:r>
          </w:p>
        </w:tc>
        <w:tc>
          <w:tcPr>
            <w:tcW w:w="848" w:type="dxa"/>
            <w:shd w:val="clear" w:color="auto" w:fill="FFFFFF" w:themeFill="background1"/>
            <w:tcMar>
              <w:top w:w="0" w:type="dxa"/>
              <w:left w:w="108" w:type="dxa"/>
              <w:bottom w:w="0" w:type="dxa"/>
              <w:right w:w="108" w:type="dxa"/>
            </w:tcMar>
            <w:vAlign w:val="center"/>
          </w:tcPr>
          <w:p w14:paraId="0FB0E12C"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3</w:t>
            </w:r>
          </w:p>
        </w:tc>
        <w:tc>
          <w:tcPr>
            <w:tcW w:w="1133" w:type="dxa"/>
            <w:shd w:val="clear" w:color="auto" w:fill="FFFFFF" w:themeFill="background1"/>
            <w:tcMar>
              <w:top w:w="0" w:type="dxa"/>
              <w:left w:w="108" w:type="dxa"/>
              <w:bottom w:w="0" w:type="dxa"/>
              <w:right w:w="108" w:type="dxa"/>
            </w:tcMar>
            <w:vAlign w:val="center"/>
          </w:tcPr>
          <w:p w14:paraId="0FBB13D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6,52%</w:t>
            </w:r>
          </w:p>
        </w:tc>
        <w:tc>
          <w:tcPr>
            <w:tcW w:w="847" w:type="dxa"/>
            <w:shd w:val="clear" w:color="auto" w:fill="FFFFFF" w:themeFill="background1"/>
            <w:tcMar>
              <w:top w:w="0" w:type="dxa"/>
              <w:left w:w="108" w:type="dxa"/>
              <w:bottom w:w="0" w:type="dxa"/>
              <w:right w:w="108" w:type="dxa"/>
            </w:tcMar>
            <w:vAlign w:val="center"/>
          </w:tcPr>
          <w:p w14:paraId="16F554E2"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3</w:t>
            </w:r>
          </w:p>
        </w:tc>
        <w:tc>
          <w:tcPr>
            <w:tcW w:w="1133" w:type="dxa"/>
            <w:shd w:val="clear" w:color="auto" w:fill="FFFFFF" w:themeFill="background1"/>
            <w:tcMar>
              <w:top w:w="0" w:type="dxa"/>
              <w:left w:w="108" w:type="dxa"/>
              <w:bottom w:w="0" w:type="dxa"/>
              <w:right w:w="108" w:type="dxa"/>
            </w:tcMar>
            <w:vAlign w:val="center"/>
          </w:tcPr>
          <w:p w14:paraId="5CC62EE7"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6,25%</w:t>
            </w:r>
          </w:p>
        </w:tc>
        <w:tc>
          <w:tcPr>
            <w:tcW w:w="848" w:type="dxa"/>
            <w:shd w:val="clear" w:color="auto" w:fill="FFFFFF" w:themeFill="background1"/>
            <w:tcMar>
              <w:top w:w="0" w:type="dxa"/>
              <w:left w:w="108" w:type="dxa"/>
              <w:bottom w:w="0" w:type="dxa"/>
              <w:right w:w="108" w:type="dxa"/>
            </w:tcMar>
            <w:vAlign w:val="center"/>
          </w:tcPr>
          <w:p w14:paraId="3A0234BA"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024" w:type="dxa"/>
            <w:shd w:val="clear" w:color="auto" w:fill="FFFFFF" w:themeFill="background1"/>
            <w:tcMar>
              <w:top w:w="0" w:type="dxa"/>
              <w:left w:w="108" w:type="dxa"/>
              <w:bottom w:w="0" w:type="dxa"/>
              <w:right w:w="108" w:type="dxa"/>
            </w:tcMar>
            <w:vAlign w:val="center"/>
          </w:tcPr>
          <w:p w14:paraId="01AD912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10,53%</w:t>
            </w:r>
          </w:p>
        </w:tc>
        <w:tc>
          <w:tcPr>
            <w:tcW w:w="971" w:type="dxa"/>
            <w:shd w:val="clear" w:color="auto" w:fill="FFFFFF" w:themeFill="background1"/>
            <w:tcMar>
              <w:top w:w="0" w:type="dxa"/>
              <w:left w:w="108" w:type="dxa"/>
              <w:bottom w:w="0" w:type="dxa"/>
              <w:right w:w="108" w:type="dxa"/>
            </w:tcMar>
            <w:vAlign w:val="center"/>
          </w:tcPr>
          <w:p w14:paraId="7AA52C0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w:t>
            </w:r>
          </w:p>
        </w:tc>
        <w:tc>
          <w:tcPr>
            <w:tcW w:w="1134" w:type="dxa"/>
            <w:shd w:val="clear" w:color="auto" w:fill="FFFFFF" w:themeFill="background1"/>
            <w:tcMar>
              <w:top w:w="0" w:type="dxa"/>
              <w:left w:w="108" w:type="dxa"/>
              <w:bottom w:w="0" w:type="dxa"/>
              <w:right w:w="108" w:type="dxa"/>
            </w:tcMar>
            <w:vAlign w:val="center"/>
          </w:tcPr>
          <w:p w14:paraId="2D96D34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8,33%</w:t>
            </w:r>
          </w:p>
        </w:tc>
        <w:tc>
          <w:tcPr>
            <w:tcW w:w="851" w:type="dxa"/>
            <w:shd w:val="clear" w:color="auto" w:fill="FFFFFF" w:themeFill="background1"/>
            <w:tcMar>
              <w:top w:w="0" w:type="dxa"/>
              <w:left w:w="108" w:type="dxa"/>
              <w:bottom w:w="0" w:type="dxa"/>
              <w:right w:w="108" w:type="dxa"/>
            </w:tcMar>
            <w:vAlign w:val="center"/>
          </w:tcPr>
          <w:p w14:paraId="0E330C67" w14:textId="77777777" w:rsidR="00284822" w:rsidRDefault="00F77BF8">
            <w:pPr>
              <w:spacing w:line="240" w:lineRule="auto"/>
              <w:rPr>
                <w:rFonts w:ascii="Rockwell" w:hAnsi="Rockwell"/>
                <w:b/>
                <w:bCs/>
                <w:sz w:val="20"/>
                <w:szCs w:val="20"/>
              </w:rPr>
            </w:pPr>
            <w:r>
              <w:rPr>
                <w:rFonts w:ascii="Rockwell" w:hAnsi="Rockwell"/>
                <w:b/>
                <w:bCs/>
                <w:sz w:val="20"/>
                <w:szCs w:val="20"/>
              </w:rPr>
              <w:t>69</w:t>
            </w:r>
          </w:p>
        </w:tc>
        <w:tc>
          <w:tcPr>
            <w:tcW w:w="1134" w:type="dxa"/>
            <w:shd w:val="clear" w:color="auto" w:fill="FFFFFF" w:themeFill="background1"/>
            <w:tcMar>
              <w:top w:w="0" w:type="dxa"/>
              <w:left w:w="108" w:type="dxa"/>
              <w:bottom w:w="0" w:type="dxa"/>
              <w:right w:w="108" w:type="dxa"/>
            </w:tcMar>
            <w:vAlign w:val="center"/>
          </w:tcPr>
          <w:p w14:paraId="576F9033" w14:textId="77777777" w:rsidR="00284822" w:rsidRDefault="00F77BF8">
            <w:pPr>
              <w:spacing w:line="240" w:lineRule="auto"/>
              <w:rPr>
                <w:rFonts w:ascii="Rockwell" w:hAnsi="Rockwell"/>
                <w:b/>
                <w:bCs/>
                <w:sz w:val="20"/>
                <w:szCs w:val="20"/>
              </w:rPr>
            </w:pPr>
            <w:r>
              <w:rPr>
                <w:rFonts w:ascii="Rockwell" w:hAnsi="Rockwell"/>
                <w:b/>
                <w:bCs/>
                <w:sz w:val="20"/>
                <w:szCs w:val="20"/>
              </w:rPr>
              <w:t>9,26%</w:t>
            </w:r>
          </w:p>
        </w:tc>
        <w:tc>
          <w:tcPr>
            <w:tcW w:w="992" w:type="dxa"/>
            <w:shd w:val="clear" w:color="auto" w:fill="FFFFFF" w:themeFill="background1"/>
            <w:tcMar>
              <w:top w:w="0" w:type="dxa"/>
              <w:left w:w="108" w:type="dxa"/>
              <w:bottom w:w="0" w:type="dxa"/>
              <w:right w:w="108" w:type="dxa"/>
            </w:tcMar>
            <w:vAlign w:val="center"/>
          </w:tcPr>
          <w:p w14:paraId="6DFBEAFD" w14:textId="77777777" w:rsidR="00284822" w:rsidRDefault="00F77BF8">
            <w:pPr>
              <w:spacing w:line="240" w:lineRule="auto"/>
              <w:rPr>
                <w:rFonts w:ascii="Rockwell" w:hAnsi="Rockwell"/>
                <w:b/>
                <w:bCs/>
                <w:sz w:val="20"/>
                <w:szCs w:val="20"/>
              </w:rPr>
            </w:pPr>
            <w:r>
              <w:rPr>
                <w:rFonts w:ascii="Rockwell" w:hAnsi="Rockwell"/>
                <w:b/>
                <w:bCs/>
                <w:sz w:val="20"/>
                <w:szCs w:val="20"/>
              </w:rPr>
              <w:t>86</w:t>
            </w:r>
          </w:p>
        </w:tc>
        <w:tc>
          <w:tcPr>
            <w:tcW w:w="1843" w:type="dxa"/>
            <w:shd w:val="clear" w:color="auto" w:fill="FFFFFF" w:themeFill="background1"/>
            <w:tcMar>
              <w:top w:w="0" w:type="dxa"/>
              <w:left w:w="108" w:type="dxa"/>
              <w:bottom w:w="0" w:type="dxa"/>
              <w:right w:w="108" w:type="dxa"/>
            </w:tcMar>
            <w:vAlign w:val="center"/>
          </w:tcPr>
          <w:p w14:paraId="7472CC6A" w14:textId="77777777" w:rsidR="00284822" w:rsidRDefault="00F77BF8">
            <w:pPr>
              <w:spacing w:line="240" w:lineRule="auto"/>
              <w:rPr>
                <w:rFonts w:ascii="Rockwell" w:hAnsi="Rockwell"/>
                <w:b/>
                <w:bCs/>
                <w:sz w:val="20"/>
                <w:szCs w:val="20"/>
              </w:rPr>
            </w:pPr>
            <w:r>
              <w:rPr>
                <w:rFonts w:ascii="Rockwell" w:hAnsi="Rockwell"/>
                <w:b/>
                <w:bCs/>
                <w:sz w:val="20"/>
                <w:szCs w:val="20"/>
              </w:rPr>
              <w:t>7,18%</w:t>
            </w:r>
          </w:p>
        </w:tc>
      </w:tr>
      <w:tr w:rsidR="00284822" w14:paraId="38DC8DA6" w14:textId="77777777">
        <w:trPr>
          <w:trHeight w:val="136"/>
          <w:jc w:val="center"/>
        </w:trPr>
        <w:tc>
          <w:tcPr>
            <w:tcW w:w="899" w:type="dxa"/>
            <w:shd w:val="clear" w:color="auto" w:fill="FFFFFF" w:themeFill="background1"/>
            <w:noWrap/>
            <w:tcMar>
              <w:top w:w="0" w:type="dxa"/>
              <w:left w:w="108" w:type="dxa"/>
              <w:bottom w:w="0" w:type="dxa"/>
              <w:right w:w="108" w:type="dxa"/>
            </w:tcMar>
            <w:vAlign w:val="bottom"/>
          </w:tcPr>
          <w:p w14:paraId="20AB60F8"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44</w:t>
            </w:r>
          </w:p>
        </w:tc>
        <w:tc>
          <w:tcPr>
            <w:tcW w:w="1506" w:type="dxa"/>
            <w:shd w:val="clear" w:color="auto" w:fill="FFFFFF" w:themeFill="background1"/>
            <w:tcMar>
              <w:top w:w="0" w:type="dxa"/>
              <w:left w:w="108" w:type="dxa"/>
              <w:bottom w:w="0" w:type="dxa"/>
              <w:right w:w="108" w:type="dxa"/>
            </w:tcMar>
            <w:vAlign w:val="bottom"/>
          </w:tcPr>
          <w:p w14:paraId="69B3DA57"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UPC</w:t>
            </w:r>
          </w:p>
        </w:tc>
        <w:tc>
          <w:tcPr>
            <w:tcW w:w="848" w:type="dxa"/>
            <w:shd w:val="clear" w:color="auto" w:fill="FFFFFF" w:themeFill="background1"/>
            <w:tcMar>
              <w:top w:w="0" w:type="dxa"/>
              <w:left w:w="108" w:type="dxa"/>
              <w:bottom w:w="0" w:type="dxa"/>
              <w:right w:w="108" w:type="dxa"/>
            </w:tcMar>
            <w:vAlign w:val="center"/>
          </w:tcPr>
          <w:p w14:paraId="33CC2A0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33" w:type="dxa"/>
            <w:shd w:val="clear" w:color="auto" w:fill="FFFFFF" w:themeFill="background1"/>
            <w:tcMar>
              <w:top w:w="0" w:type="dxa"/>
              <w:left w:w="108" w:type="dxa"/>
              <w:bottom w:w="0" w:type="dxa"/>
              <w:right w:w="108" w:type="dxa"/>
            </w:tcMar>
            <w:vAlign w:val="center"/>
          </w:tcPr>
          <w:p w14:paraId="3A76048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2,17%</w:t>
            </w:r>
          </w:p>
        </w:tc>
        <w:tc>
          <w:tcPr>
            <w:tcW w:w="847" w:type="dxa"/>
            <w:shd w:val="clear" w:color="auto" w:fill="FFFFFF" w:themeFill="background1"/>
            <w:tcMar>
              <w:top w:w="0" w:type="dxa"/>
              <w:left w:w="108" w:type="dxa"/>
              <w:bottom w:w="0" w:type="dxa"/>
              <w:right w:w="108" w:type="dxa"/>
            </w:tcMar>
            <w:vAlign w:val="center"/>
          </w:tcPr>
          <w:p w14:paraId="5C984D5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33" w:type="dxa"/>
            <w:shd w:val="clear" w:color="auto" w:fill="FFFFFF" w:themeFill="background1"/>
            <w:tcMar>
              <w:top w:w="0" w:type="dxa"/>
              <w:left w:w="108" w:type="dxa"/>
              <w:bottom w:w="0" w:type="dxa"/>
              <w:right w:w="108" w:type="dxa"/>
            </w:tcMar>
            <w:vAlign w:val="center"/>
          </w:tcPr>
          <w:p w14:paraId="59DADE96"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2,08%</w:t>
            </w:r>
          </w:p>
        </w:tc>
        <w:tc>
          <w:tcPr>
            <w:tcW w:w="848" w:type="dxa"/>
            <w:shd w:val="clear" w:color="auto" w:fill="FFFFFF" w:themeFill="background1"/>
            <w:tcMar>
              <w:top w:w="0" w:type="dxa"/>
              <w:left w:w="108" w:type="dxa"/>
              <w:bottom w:w="0" w:type="dxa"/>
              <w:right w:w="108" w:type="dxa"/>
            </w:tcMar>
            <w:vAlign w:val="center"/>
          </w:tcPr>
          <w:p w14:paraId="3C9A093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024" w:type="dxa"/>
            <w:shd w:val="clear" w:color="auto" w:fill="FFFFFF" w:themeFill="background1"/>
            <w:tcMar>
              <w:top w:w="0" w:type="dxa"/>
              <w:left w:w="108" w:type="dxa"/>
              <w:bottom w:w="0" w:type="dxa"/>
              <w:right w:w="108" w:type="dxa"/>
            </w:tcMar>
            <w:vAlign w:val="center"/>
          </w:tcPr>
          <w:p w14:paraId="7C6166D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5,26%</w:t>
            </w:r>
          </w:p>
        </w:tc>
        <w:tc>
          <w:tcPr>
            <w:tcW w:w="971" w:type="dxa"/>
            <w:shd w:val="clear" w:color="auto" w:fill="FFFFFF" w:themeFill="background1"/>
            <w:tcMar>
              <w:top w:w="0" w:type="dxa"/>
              <w:left w:w="108" w:type="dxa"/>
              <w:bottom w:w="0" w:type="dxa"/>
              <w:right w:w="108" w:type="dxa"/>
            </w:tcMar>
            <w:vAlign w:val="center"/>
          </w:tcPr>
          <w:p w14:paraId="3FB22ADB"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1</w:t>
            </w:r>
          </w:p>
        </w:tc>
        <w:tc>
          <w:tcPr>
            <w:tcW w:w="1134" w:type="dxa"/>
            <w:shd w:val="clear" w:color="auto" w:fill="FFFFFF" w:themeFill="background1"/>
            <w:tcMar>
              <w:top w:w="0" w:type="dxa"/>
              <w:left w:w="108" w:type="dxa"/>
              <w:bottom w:w="0" w:type="dxa"/>
              <w:right w:w="108" w:type="dxa"/>
            </w:tcMar>
            <w:vAlign w:val="center"/>
          </w:tcPr>
          <w:p w14:paraId="3122DF9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4,17%</w:t>
            </w:r>
          </w:p>
        </w:tc>
        <w:tc>
          <w:tcPr>
            <w:tcW w:w="851" w:type="dxa"/>
            <w:shd w:val="clear" w:color="auto" w:fill="FFFFFF" w:themeFill="background1"/>
            <w:tcMar>
              <w:top w:w="0" w:type="dxa"/>
              <w:left w:w="108" w:type="dxa"/>
              <w:bottom w:w="0" w:type="dxa"/>
              <w:right w:w="108" w:type="dxa"/>
            </w:tcMar>
            <w:vAlign w:val="center"/>
          </w:tcPr>
          <w:p w14:paraId="21E94B86" w14:textId="77777777" w:rsidR="00284822" w:rsidRDefault="00F77BF8">
            <w:pPr>
              <w:spacing w:line="240" w:lineRule="auto"/>
              <w:rPr>
                <w:rFonts w:ascii="Rockwell" w:hAnsi="Rockwell"/>
                <w:b/>
                <w:bCs/>
                <w:sz w:val="20"/>
                <w:szCs w:val="20"/>
              </w:rPr>
            </w:pPr>
            <w:r>
              <w:rPr>
                <w:rFonts w:ascii="Rockwell" w:hAnsi="Rockwell"/>
                <w:b/>
                <w:bCs/>
                <w:sz w:val="20"/>
                <w:szCs w:val="20"/>
              </w:rPr>
              <w:t>67</w:t>
            </w:r>
          </w:p>
        </w:tc>
        <w:tc>
          <w:tcPr>
            <w:tcW w:w="1134" w:type="dxa"/>
            <w:shd w:val="clear" w:color="auto" w:fill="FFFFFF" w:themeFill="background1"/>
            <w:tcMar>
              <w:top w:w="0" w:type="dxa"/>
              <w:left w:w="108" w:type="dxa"/>
              <w:bottom w:w="0" w:type="dxa"/>
              <w:right w:w="108" w:type="dxa"/>
            </w:tcMar>
            <w:vAlign w:val="center"/>
          </w:tcPr>
          <w:p w14:paraId="0E032415" w14:textId="77777777" w:rsidR="00284822" w:rsidRDefault="00F77BF8">
            <w:pPr>
              <w:spacing w:line="240" w:lineRule="auto"/>
              <w:rPr>
                <w:rFonts w:ascii="Rockwell" w:hAnsi="Rockwell"/>
                <w:b/>
                <w:bCs/>
                <w:sz w:val="20"/>
                <w:szCs w:val="20"/>
              </w:rPr>
            </w:pPr>
            <w:r>
              <w:rPr>
                <w:rFonts w:ascii="Rockwell" w:hAnsi="Rockwell"/>
                <w:b/>
                <w:bCs/>
                <w:sz w:val="20"/>
                <w:szCs w:val="20"/>
              </w:rPr>
              <w:t>8,99%</w:t>
            </w:r>
          </w:p>
        </w:tc>
        <w:tc>
          <w:tcPr>
            <w:tcW w:w="992" w:type="dxa"/>
            <w:shd w:val="clear" w:color="auto" w:fill="FFFFFF" w:themeFill="background1"/>
            <w:tcMar>
              <w:top w:w="0" w:type="dxa"/>
              <w:left w:w="108" w:type="dxa"/>
              <w:bottom w:w="0" w:type="dxa"/>
              <w:right w:w="108" w:type="dxa"/>
            </w:tcMar>
            <w:vAlign w:val="center"/>
          </w:tcPr>
          <w:p w14:paraId="298BE949" w14:textId="77777777" w:rsidR="00284822" w:rsidRDefault="00F77BF8">
            <w:pPr>
              <w:spacing w:line="240" w:lineRule="auto"/>
              <w:rPr>
                <w:rFonts w:ascii="Rockwell" w:hAnsi="Rockwell"/>
                <w:b/>
                <w:bCs/>
                <w:sz w:val="20"/>
                <w:szCs w:val="20"/>
              </w:rPr>
            </w:pPr>
            <w:r>
              <w:rPr>
                <w:rFonts w:ascii="Rockwell" w:hAnsi="Rockwell"/>
                <w:b/>
                <w:bCs/>
                <w:sz w:val="20"/>
                <w:szCs w:val="20"/>
              </w:rPr>
              <w:t>124</w:t>
            </w:r>
          </w:p>
        </w:tc>
        <w:tc>
          <w:tcPr>
            <w:tcW w:w="1843" w:type="dxa"/>
            <w:shd w:val="clear" w:color="auto" w:fill="FFFFFF" w:themeFill="background1"/>
            <w:tcMar>
              <w:top w:w="0" w:type="dxa"/>
              <w:left w:w="108" w:type="dxa"/>
              <w:bottom w:w="0" w:type="dxa"/>
              <w:right w:w="108" w:type="dxa"/>
            </w:tcMar>
            <w:vAlign w:val="center"/>
          </w:tcPr>
          <w:p w14:paraId="77815D13" w14:textId="77777777" w:rsidR="00284822" w:rsidRDefault="00F77BF8">
            <w:pPr>
              <w:spacing w:line="240" w:lineRule="auto"/>
              <w:rPr>
                <w:rFonts w:ascii="Rockwell" w:hAnsi="Rockwell"/>
                <w:b/>
                <w:bCs/>
                <w:sz w:val="20"/>
                <w:szCs w:val="20"/>
              </w:rPr>
            </w:pPr>
            <w:r>
              <w:rPr>
                <w:rFonts w:ascii="Rockwell" w:hAnsi="Rockwell"/>
                <w:b/>
                <w:bCs/>
                <w:sz w:val="20"/>
                <w:szCs w:val="20"/>
              </w:rPr>
              <w:t>10,35%</w:t>
            </w:r>
          </w:p>
        </w:tc>
      </w:tr>
      <w:tr w:rsidR="00284822" w14:paraId="4A007FEC" w14:textId="77777777">
        <w:trPr>
          <w:trHeight w:val="136"/>
          <w:jc w:val="center"/>
        </w:trPr>
        <w:tc>
          <w:tcPr>
            <w:tcW w:w="899" w:type="dxa"/>
            <w:shd w:val="clear" w:color="auto" w:fill="FFFFFF" w:themeFill="background1"/>
            <w:noWrap/>
            <w:tcMar>
              <w:top w:w="0" w:type="dxa"/>
              <w:left w:w="108" w:type="dxa"/>
              <w:bottom w:w="0" w:type="dxa"/>
              <w:right w:w="108" w:type="dxa"/>
            </w:tcMar>
            <w:vAlign w:val="bottom"/>
          </w:tcPr>
          <w:p w14:paraId="0032FAF1" w14:textId="77777777" w:rsidR="00284822" w:rsidRDefault="00F77BF8">
            <w:pPr>
              <w:spacing w:line="240" w:lineRule="auto"/>
              <w:rPr>
                <w:rFonts w:ascii="Rockwell" w:hAnsi="Rockwell"/>
                <w:bCs/>
                <w:color w:val="000000"/>
                <w:sz w:val="20"/>
                <w:szCs w:val="20"/>
              </w:rPr>
            </w:pPr>
            <w:r>
              <w:rPr>
                <w:rFonts w:ascii="Rockwell" w:hAnsi="Rockwell"/>
                <w:bCs/>
                <w:color w:val="000000"/>
                <w:sz w:val="20"/>
                <w:szCs w:val="20"/>
              </w:rPr>
              <w:t>45</w:t>
            </w:r>
          </w:p>
        </w:tc>
        <w:tc>
          <w:tcPr>
            <w:tcW w:w="1506" w:type="dxa"/>
            <w:shd w:val="clear" w:color="auto" w:fill="FFFFFF" w:themeFill="background1"/>
            <w:tcMar>
              <w:top w:w="0" w:type="dxa"/>
              <w:left w:w="108" w:type="dxa"/>
              <w:bottom w:w="0" w:type="dxa"/>
              <w:right w:w="108" w:type="dxa"/>
            </w:tcMar>
            <w:vAlign w:val="bottom"/>
          </w:tcPr>
          <w:p w14:paraId="3ED196AA" w14:textId="77777777" w:rsidR="00284822" w:rsidRDefault="00F77BF8">
            <w:pPr>
              <w:spacing w:line="240" w:lineRule="auto"/>
              <w:rPr>
                <w:rFonts w:ascii="Rockwell" w:hAnsi="Rockwell"/>
                <w:b/>
                <w:color w:val="000000"/>
                <w:sz w:val="20"/>
                <w:szCs w:val="20"/>
              </w:rPr>
            </w:pPr>
            <w:r>
              <w:rPr>
                <w:rFonts w:ascii="Rockwell" w:hAnsi="Rockwell"/>
                <w:b/>
                <w:color w:val="000000"/>
                <w:sz w:val="20"/>
                <w:szCs w:val="20"/>
              </w:rPr>
              <w:t>VB</w:t>
            </w:r>
          </w:p>
        </w:tc>
        <w:tc>
          <w:tcPr>
            <w:tcW w:w="848" w:type="dxa"/>
            <w:shd w:val="clear" w:color="auto" w:fill="FFFFFF" w:themeFill="background1"/>
            <w:tcMar>
              <w:top w:w="0" w:type="dxa"/>
              <w:left w:w="108" w:type="dxa"/>
              <w:bottom w:w="0" w:type="dxa"/>
              <w:right w:w="108" w:type="dxa"/>
            </w:tcMar>
            <w:vAlign w:val="center"/>
          </w:tcPr>
          <w:p w14:paraId="098DCA8F"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3" w:type="dxa"/>
            <w:shd w:val="clear" w:color="auto" w:fill="FFFFFF" w:themeFill="background1"/>
            <w:tcMar>
              <w:top w:w="0" w:type="dxa"/>
              <w:left w:w="108" w:type="dxa"/>
              <w:bottom w:w="0" w:type="dxa"/>
              <w:right w:w="108" w:type="dxa"/>
            </w:tcMar>
            <w:vAlign w:val="center"/>
          </w:tcPr>
          <w:p w14:paraId="1FA086C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47" w:type="dxa"/>
            <w:shd w:val="clear" w:color="auto" w:fill="FFFFFF" w:themeFill="background1"/>
            <w:tcMar>
              <w:top w:w="0" w:type="dxa"/>
              <w:left w:w="108" w:type="dxa"/>
              <w:bottom w:w="0" w:type="dxa"/>
              <w:right w:w="108" w:type="dxa"/>
            </w:tcMar>
            <w:vAlign w:val="center"/>
          </w:tcPr>
          <w:p w14:paraId="6C601873"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3" w:type="dxa"/>
            <w:shd w:val="clear" w:color="auto" w:fill="FFFFFF" w:themeFill="background1"/>
            <w:tcMar>
              <w:top w:w="0" w:type="dxa"/>
              <w:left w:w="108" w:type="dxa"/>
              <w:bottom w:w="0" w:type="dxa"/>
              <w:right w:w="108" w:type="dxa"/>
            </w:tcMar>
            <w:vAlign w:val="center"/>
          </w:tcPr>
          <w:p w14:paraId="3D96D38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48" w:type="dxa"/>
            <w:shd w:val="clear" w:color="auto" w:fill="FFFFFF" w:themeFill="background1"/>
            <w:tcMar>
              <w:top w:w="0" w:type="dxa"/>
              <w:left w:w="108" w:type="dxa"/>
              <w:bottom w:w="0" w:type="dxa"/>
              <w:right w:w="108" w:type="dxa"/>
            </w:tcMar>
            <w:vAlign w:val="center"/>
          </w:tcPr>
          <w:p w14:paraId="5E3E0E00"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024" w:type="dxa"/>
            <w:shd w:val="clear" w:color="auto" w:fill="FFFFFF" w:themeFill="background1"/>
            <w:tcMar>
              <w:top w:w="0" w:type="dxa"/>
              <w:left w:w="108" w:type="dxa"/>
              <w:bottom w:w="0" w:type="dxa"/>
              <w:right w:w="108" w:type="dxa"/>
            </w:tcMar>
            <w:vAlign w:val="center"/>
          </w:tcPr>
          <w:p w14:paraId="0DAC1109"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971" w:type="dxa"/>
            <w:shd w:val="clear" w:color="auto" w:fill="FFFFFF" w:themeFill="background1"/>
            <w:tcMar>
              <w:top w:w="0" w:type="dxa"/>
              <w:left w:w="108" w:type="dxa"/>
              <w:bottom w:w="0" w:type="dxa"/>
              <w:right w:w="108" w:type="dxa"/>
            </w:tcMar>
            <w:vAlign w:val="center"/>
          </w:tcPr>
          <w:p w14:paraId="1D16437D"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w:t>
            </w:r>
          </w:p>
        </w:tc>
        <w:tc>
          <w:tcPr>
            <w:tcW w:w="1134" w:type="dxa"/>
            <w:shd w:val="clear" w:color="auto" w:fill="FFFFFF" w:themeFill="background1"/>
            <w:tcMar>
              <w:top w:w="0" w:type="dxa"/>
              <w:left w:w="108" w:type="dxa"/>
              <w:bottom w:w="0" w:type="dxa"/>
              <w:right w:w="108" w:type="dxa"/>
            </w:tcMar>
            <w:vAlign w:val="center"/>
          </w:tcPr>
          <w:p w14:paraId="7A27D53E" w14:textId="77777777" w:rsidR="00284822" w:rsidRDefault="00F77BF8">
            <w:pPr>
              <w:spacing w:line="240" w:lineRule="auto"/>
              <w:rPr>
                <w:rFonts w:ascii="Rockwell" w:hAnsi="Rockwell"/>
                <w:color w:val="000000"/>
                <w:sz w:val="20"/>
                <w:szCs w:val="20"/>
              </w:rPr>
            </w:pPr>
            <w:r>
              <w:rPr>
                <w:rFonts w:ascii="Rockwell" w:hAnsi="Rockwell"/>
                <w:color w:val="000000"/>
                <w:sz w:val="20"/>
                <w:szCs w:val="20"/>
              </w:rPr>
              <w:t>0,00%</w:t>
            </w:r>
          </w:p>
        </w:tc>
        <w:tc>
          <w:tcPr>
            <w:tcW w:w="851" w:type="dxa"/>
            <w:shd w:val="clear" w:color="auto" w:fill="FFFFFF" w:themeFill="background1"/>
            <w:tcMar>
              <w:top w:w="0" w:type="dxa"/>
              <w:left w:w="108" w:type="dxa"/>
              <w:bottom w:w="0" w:type="dxa"/>
              <w:right w:w="108" w:type="dxa"/>
            </w:tcMar>
            <w:vAlign w:val="center"/>
          </w:tcPr>
          <w:p w14:paraId="652CAC9F" w14:textId="77777777" w:rsidR="00284822" w:rsidRDefault="00F77BF8">
            <w:pPr>
              <w:spacing w:line="240" w:lineRule="auto"/>
              <w:rPr>
                <w:rFonts w:ascii="Rockwell" w:hAnsi="Rockwell"/>
                <w:b/>
                <w:bCs/>
                <w:sz w:val="20"/>
                <w:szCs w:val="20"/>
              </w:rPr>
            </w:pPr>
            <w:r>
              <w:rPr>
                <w:rFonts w:ascii="Rockwell" w:hAnsi="Rockwell"/>
                <w:b/>
                <w:bCs/>
                <w:sz w:val="20"/>
                <w:szCs w:val="20"/>
              </w:rPr>
              <w:t>5</w:t>
            </w:r>
          </w:p>
        </w:tc>
        <w:tc>
          <w:tcPr>
            <w:tcW w:w="1134" w:type="dxa"/>
            <w:shd w:val="clear" w:color="auto" w:fill="FFFFFF" w:themeFill="background1"/>
            <w:tcMar>
              <w:top w:w="0" w:type="dxa"/>
              <w:left w:w="108" w:type="dxa"/>
              <w:bottom w:w="0" w:type="dxa"/>
              <w:right w:w="108" w:type="dxa"/>
            </w:tcMar>
            <w:vAlign w:val="center"/>
          </w:tcPr>
          <w:p w14:paraId="7DE74EC3" w14:textId="77777777" w:rsidR="00284822" w:rsidRDefault="00F77BF8">
            <w:pPr>
              <w:spacing w:line="240" w:lineRule="auto"/>
              <w:rPr>
                <w:rFonts w:ascii="Rockwell" w:hAnsi="Rockwell"/>
                <w:b/>
                <w:bCs/>
                <w:sz w:val="20"/>
                <w:szCs w:val="20"/>
              </w:rPr>
            </w:pPr>
            <w:r>
              <w:rPr>
                <w:rFonts w:ascii="Rockwell" w:hAnsi="Rockwell"/>
                <w:b/>
                <w:bCs/>
                <w:sz w:val="20"/>
                <w:szCs w:val="20"/>
              </w:rPr>
              <w:t>0,67%</w:t>
            </w:r>
          </w:p>
        </w:tc>
        <w:tc>
          <w:tcPr>
            <w:tcW w:w="992" w:type="dxa"/>
            <w:shd w:val="clear" w:color="auto" w:fill="FFFFFF" w:themeFill="background1"/>
            <w:tcMar>
              <w:top w:w="0" w:type="dxa"/>
              <w:left w:w="108" w:type="dxa"/>
              <w:bottom w:w="0" w:type="dxa"/>
              <w:right w:w="108" w:type="dxa"/>
            </w:tcMar>
            <w:vAlign w:val="center"/>
          </w:tcPr>
          <w:p w14:paraId="2DC58A79" w14:textId="77777777" w:rsidR="00284822" w:rsidRDefault="00F77BF8">
            <w:pPr>
              <w:spacing w:line="240" w:lineRule="auto"/>
              <w:rPr>
                <w:rFonts w:ascii="Rockwell" w:hAnsi="Rockwell"/>
                <w:b/>
                <w:bCs/>
                <w:sz w:val="20"/>
                <w:szCs w:val="20"/>
              </w:rPr>
            </w:pPr>
            <w:r>
              <w:rPr>
                <w:rFonts w:ascii="Rockwell" w:hAnsi="Rockwell"/>
                <w:b/>
                <w:bCs/>
                <w:sz w:val="20"/>
                <w:szCs w:val="20"/>
              </w:rPr>
              <w:t>6</w:t>
            </w:r>
          </w:p>
        </w:tc>
        <w:tc>
          <w:tcPr>
            <w:tcW w:w="1843" w:type="dxa"/>
            <w:shd w:val="clear" w:color="auto" w:fill="FFFFFF" w:themeFill="background1"/>
            <w:tcMar>
              <w:top w:w="0" w:type="dxa"/>
              <w:left w:w="108" w:type="dxa"/>
              <w:bottom w:w="0" w:type="dxa"/>
              <w:right w:w="108" w:type="dxa"/>
            </w:tcMar>
            <w:vAlign w:val="center"/>
          </w:tcPr>
          <w:p w14:paraId="0E5E12B6" w14:textId="77777777" w:rsidR="00284822" w:rsidRDefault="00F77BF8">
            <w:pPr>
              <w:spacing w:line="240" w:lineRule="auto"/>
              <w:rPr>
                <w:rFonts w:ascii="Rockwell" w:hAnsi="Rockwell"/>
                <w:b/>
                <w:bCs/>
                <w:sz w:val="20"/>
                <w:szCs w:val="20"/>
              </w:rPr>
            </w:pPr>
            <w:r>
              <w:rPr>
                <w:rFonts w:ascii="Rockwell" w:hAnsi="Rockwell"/>
                <w:b/>
                <w:bCs/>
                <w:sz w:val="20"/>
                <w:szCs w:val="20"/>
              </w:rPr>
              <w:t>0,50%</w:t>
            </w:r>
          </w:p>
        </w:tc>
      </w:tr>
      <w:tr w:rsidR="00284822" w14:paraId="7231F390" w14:textId="77777777">
        <w:trPr>
          <w:trHeight w:val="343"/>
          <w:jc w:val="center"/>
        </w:trPr>
        <w:tc>
          <w:tcPr>
            <w:tcW w:w="2405" w:type="dxa"/>
            <w:gridSpan w:val="2"/>
            <w:shd w:val="clear" w:color="auto" w:fill="FFFFFF" w:themeFill="background1"/>
            <w:noWrap/>
            <w:tcMar>
              <w:top w:w="0" w:type="dxa"/>
              <w:left w:w="108" w:type="dxa"/>
              <w:bottom w:w="0" w:type="dxa"/>
              <w:right w:w="108" w:type="dxa"/>
            </w:tcMar>
            <w:vAlign w:val="bottom"/>
          </w:tcPr>
          <w:p w14:paraId="1038563B" w14:textId="77777777" w:rsidR="00284822" w:rsidRDefault="00F77BF8">
            <w:pPr>
              <w:spacing w:line="240" w:lineRule="auto"/>
              <w:jc w:val="left"/>
              <w:rPr>
                <w:rFonts w:ascii="Rockwell" w:hAnsi="Rockwell"/>
                <w:b/>
                <w:bCs/>
                <w:color w:val="000000"/>
                <w:sz w:val="20"/>
                <w:szCs w:val="20"/>
              </w:rPr>
            </w:pPr>
            <w:r>
              <w:rPr>
                <w:rFonts w:ascii="Rockwell" w:hAnsi="Rockwell"/>
                <w:b/>
                <w:bCs/>
                <w:color w:val="000000"/>
                <w:sz w:val="20"/>
                <w:szCs w:val="20"/>
              </w:rPr>
              <w:t>TOTAL</w:t>
            </w:r>
          </w:p>
        </w:tc>
        <w:tc>
          <w:tcPr>
            <w:tcW w:w="848" w:type="dxa"/>
            <w:shd w:val="clear" w:color="auto" w:fill="FFFFFF" w:themeFill="background1"/>
            <w:tcMar>
              <w:top w:w="0" w:type="dxa"/>
              <w:left w:w="108" w:type="dxa"/>
              <w:bottom w:w="0" w:type="dxa"/>
              <w:right w:w="108" w:type="dxa"/>
            </w:tcMar>
            <w:vAlign w:val="center"/>
          </w:tcPr>
          <w:p w14:paraId="5C50D293" w14:textId="77777777" w:rsidR="00284822" w:rsidRDefault="00F77BF8">
            <w:pPr>
              <w:spacing w:line="240" w:lineRule="auto"/>
              <w:jc w:val="left"/>
              <w:rPr>
                <w:rFonts w:ascii="Rockwell" w:hAnsi="Rockwell"/>
                <w:b/>
                <w:color w:val="000000"/>
                <w:sz w:val="20"/>
                <w:szCs w:val="20"/>
              </w:rPr>
            </w:pPr>
            <w:r>
              <w:rPr>
                <w:rFonts w:ascii="Rockwell" w:hAnsi="Rockwell"/>
                <w:b/>
                <w:color w:val="000000"/>
                <w:sz w:val="20"/>
                <w:szCs w:val="20"/>
              </w:rPr>
              <w:t>46</w:t>
            </w:r>
          </w:p>
        </w:tc>
        <w:tc>
          <w:tcPr>
            <w:tcW w:w="1133" w:type="dxa"/>
            <w:shd w:val="clear" w:color="auto" w:fill="FFFFFF" w:themeFill="background1"/>
            <w:tcMar>
              <w:top w:w="0" w:type="dxa"/>
              <w:left w:w="108" w:type="dxa"/>
              <w:bottom w:w="0" w:type="dxa"/>
              <w:right w:w="108" w:type="dxa"/>
            </w:tcMar>
            <w:vAlign w:val="center"/>
          </w:tcPr>
          <w:p w14:paraId="23AB33A3" w14:textId="77777777" w:rsidR="00284822" w:rsidRDefault="00F77BF8">
            <w:pPr>
              <w:spacing w:line="240" w:lineRule="auto"/>
              <w:jc w:val="left"/>
              <w:rPr>
                <w:rFonts w:ascii="Rockwell" w:hAnsi="Rockwell"/>
                <w:b/>
                <w:color w:val="000000"/>
                <w:sz w:val="20"/>
                <w:szCs w:val="20"/>
              </w:rPr>
            </w:pPr>
            <w:r>
              <w:rPr>
                <w:rFonts w:ascii="Rockwell" w:hAnsi="Rockwell"/>
                <w:b/>
                <w:color w:val="000000"/>
                <w:sz w:val="20"/>
                <w:szCs w:val="20"/>
              </w:rPr>
              <w:t>100,00%</w:t>
            </w:r>
          </w:p>
        </w:tc>
        <w:tc>
          <w:tcPr>
            <w:tcW w:w="847" w:type="dxa"/>
            <w:shd w:val="clear" w:color="auto" w:fill="FFFFFF" w:themeFill="background1"/>
            <w:tcMar>
              <w:top w:w="0" w:type="dxa"/>
              <w:left w:w="108" w:type="dxa"/>
              <w:bottom w:w="0" w:type="dxa"/>
              <w:right w:w="108" w:type="dxa"/>
            </w:tcMar>
            <w:vAlign w:val="center"/>
          </w:tcPr>
          <w:p w14:paraId="79E8ACB5" w14:textId="77777777" w:rsidR="00284822" w:rsidRDefault="00F77BF8">
            <w:pPr>
              <w:spacing w:line="240" w:lineRule="auto"/>
              <w:jc w:val="left"/>
              <w:rPr>
                <w:rFonts w:ascii="Rockwell" w:hAnsi="Rockwell"/>
                <w:b/>
                <w:color w:val="000000"/>
                <w:sz w:val="20"/>
                <w:szCs w:val="20"/>
              </w:rPr>
            </w:pPr>
            <w:r>
              <w:rPr>
                <w:rFonts w:ascii="Rockwell" w:hAnsi="Rockwell"/>
                <w:b/>
                <w:color w:val="000000"/>
                <w:sz w:val="20"/>
                <w:szCs w:val="20"/>
              </w:rPr>
              <w:t>48</w:t>
            </w:r>
          </w:p>
        </w:tc>
        <w:tc>
          <w:tcPr>
            <w:tcW w:w="1133" w:type="dxa"/>
            <w:shd w:val="clear" w:color="auto" w:fill="FFFFFF" w:themeFill="background1"/>
            <w:tcMar>
              <w:top w:w="0" w:type="dxa"/>
              <w:left w:w="108" w:type="dxa"/>
              <w:bottom w:w="0" w:type="dxa"/>
              <w:right w:w="108" w:type="dxa"/>
            </w:tcMar>
            <w:vAlign w:val="center"/>
          </w:tcPr>
          <w:p w14:paraId="6E369A4E" w14:textId="77777777" w:rsidR="00284822" w:rsidRDefault="00F77BF8">
            <w:pPr>
              <w:spacing w:line="240" w:lineRule="auto"/>
              <w:jc w:val="left"/>
              <w:rPr>
                <w:rFonts w:ascii="Rockwell" w:hAnsi="Rockwell"/>
                <w:b/>
                <w:color w:val="000000"/>
                <w:sz w:val="20"/>
                <w:szCs w:val="20"/>
              </w:rPr>
            </w:pPr>
            <w:r>
              <w:rPr>
                <w:rFonts w:ascii="Rockwell" w:hAnsi="Rockwell"/>
                <w:b/>
                <w:color w:val="000000"/>
                <w:sz w:val="20"/>
                <w:szCs w:val="20"/>
              </w:rPr>
              <w:t>100,00%</w:t>
            </w:r>
          </w:p>
        </w:tc>
        <w:tc>
          <w:tcPr>
            <w:tcW w:w="848" w:type="dxa"/>
            <w:shd w:val="clear" w:color="auto" w:fill="FFFFFF" w:themeFill="background1"/>
            <w:tcMar>
              <w:top w:w="0" w:type="dxa"/>
              <w:left w:w="108" w:type="dxa"/>
              <w:bottom w:w="0" w:type="dxa"/>
              <w:right w:w="108" w:type="dxa"/>
            </w:tcMar>
            <w:vAlign w:val="center"/>
          </w:tcPr>
          <w:p w14:paraId="3FCA9A99" w14:textId="77777777" w:rsidR="00284822" w:rsidRDefault="00F77BF8">
            <w:pPr>
              <w:spacing w:line="240" w:lineRule="auto"/>
              <w:jc w:val="left"/>
              <w:rPr>
                <w:rFonts w:ascii="Rockwell" w:hAnsi="Rockwell"/>
                <w:b/>
                <w:color w:val="000000"/>
                <w:sz w:val="20"/>
                <w:szCs w:val="20"/>
              </w:rPr>
            </w:pPr>
            <w:r>
              <w:rPr>
                <w:rFonts w:ascii="Rockwell" w:hAnsi="Rockwell"/>
                <w:b/>
                <w:color w:val="000000"/>
                <w:sz w:val="20"/>
                <w:szCs w:val="20"/>
              </w:rPr>
              <w:t>19</w:t>
            </w:r>
          </w:p>
        </w:tc>
        <w:tc>
          <w:tcPr>
            <w:tcW w:w="1024" w:type="dxa"/>
            <w:shd w:val="clear" w:color="auto" w:fill="FFFFFF" w:themeFill="background1"/>
            <w:tcMar>
              <w:top w:w="0" w:type="dxa"/>
              <w:left w:w="108" w:type="dxa"/>
              <w:bottom w:w="0" w:type="dxa"/>
              <w:right w:w="108" w:type="dxa"/>
            </w:tcMar>
            <w:vAlign w:val="center"/>
          </w:tcPr>
          <w:p w14:paraId="5A99A796" w14:textId="77777777" w:rsidR="00284822" w:rsidRDefault="00F77BF8">
            <w:pPr>
              <w:spacing w:line="240" w:lineRule="auto"/>
              <w:jc w:val="left"/>
              <w:rPr>
                <w:rFonts w:ascii="Rockwell" w:hAnsi="Rockwell"/>
                <w:b/>
                <w:color w:val="000000"/>
                <w:sz w:val="20"/>
                <w:szCs w:val="20"/>
              </w:rPr>
            </w:pPr>
            <w:r>
              <w:rPr>
                <w:rFonts w:ascii="Rockwell" w:hAnsi="Rockwell"/>
                <w:b/>
                <w:color w:val="000000"/>
                <w:sz w:val="20"/>
                <w:szCs w:val="20"/>
              </w:rPr>
              <w:t>100,00%</w:t>
            </w:r>
          </w:p>
        </w:tc>
        <w:tc>
          <w:tcPr>
            <w:tcW w:w="971" w:type="dxa"/>
            <w:shd w:val="clear" w:color="auto" w:fill="FFFFFF" w:themeFill="background1"/>
            <w:tcMar>
              <w:top w:w="0" w:type="dxa"/>
              <w:left w:w="108" w:type="dxa"/>
              <w:bottom w:w="0" w:type="dxa"/>
              <w:right w:w="108" w:type="dxa"/>
            </w:tcMar>
            <w:vAlign w:val="center"/>
          </w:tcPr>
          <w:p w14:paraId="53BF14AF" w14:textId="77777777" w:rsidR="00284822" w:rsidRDefault="00F77BF8">
            <w:pPr>
              <w:spacing w:line="240" w:lineRule="auto"/>
              <w:jc w:val="left"/>
              <w:rPr>
                <w:rFonts w:ascii="Rockwell" w:hAnsi="Rockwell"/>
                <w:b/>
                <w:color w:val="000000"/>
                <w:sz w:val="20"/>
                <w:szCs w:val="20"/>
              </w:rPr>
            </w:pPr>
            <w:r>
              <w:rPr>
                <w:rFonts w:ascii="Rockwell" w:hAnsi="Rockwell"/>
                <w:b/>
                <w:color w:val="000000"/>
                <w:sz w:val="20"/>
                <w:szCs w:val="20"/>
              </w:rPr>
              <w:t>24</w:t>
            </w:r>
          </w:p>
        </w:tc>
        <w:tc>
          <w:tcPr>
            <w:tcW w:w="1134" w:type="dxa"/>
            <w:shd w:val="clear" w:color="auto" w:fill="FFFFFF" w:themeFill="background1"/>
            <w:tcMar>
              <w:top w:w="0" w:type="dxa"/>
              <w:left w:w="108" w:type="dxa"/>
              <w:bottom w:w="0" w:type="dxa"/>
              <w:right w:w="108" w:type="dxa"/>
            </w:tcMar>
            <w:vAlign w:val="center"/>
          </w:tcPr>
          <w:p w14:paraId="64896CB1" w14:textId="77777777" w:rsidR="00284822" w:rsidRDefault="00F77BF8">
            <w:pPr>
              <w:spacing w:line="240" w:lineRule="auto"/>
              <w:jc w:val="left"/>
              <w:rPr>
                <w:rFonts w:ascii="Rockwell" w:hAnsi="Rockwell"/>
                <w:b/>
                <w:color w:val="000000"/>
                <w:sz w:val="20"/>
                <w:szCs w:val="20"/>
              </w:rPr>
            </w:pPr>
            <w:r>
              <w:rPr>
                <w:rFonts w:ascii="Rockwell" w:hAnsi="Rockwell"/>
                <w:b/>
                <w:color w:val="000000"/>
                <w:sz w:val="20"/>
                <w:szCs w:val="20"/>
              </w:rPr>
              <w:t>100,00%</w:t>
            </w:r>
          </w:p>
        </w:tc>
        <w:tc>
          <w:tcPr>
            <w:tcW w:w="851" w:type="dxa"/>
            <w:shd w:val="clear" w:color="auto" w:fill="FFFFFF" w:themeFill="background1"/>
            <w:tcMar>
              <w:top w:w="0" w:type="dxa"/>
              <w:left w:w="108" w:type="dxa"/>
              <w:bottom w:w="0" w:type="dxa"/>
              <w:right w:w="108" w:type="dxa"/>
            </w:tcMar>
            <w:vAlign w:val="center"/>
          </w:tcPr>
          <w:p w14:paraId="071BAA74" w14:textId="77777777" w:rsidR="00284822" w:rsidRDefault="00F77BF8">
            <w:pPr>
              <w:spacing w:line="240" w:lineRule="auto"/>
              <w:jc w:val="left"/>
              <w:rPr>
                <w:rFonts w:ascii="Rockwell" w:hAnsi="Rockwell"/>
                <w:b/>
                <w:bCs/>
                <w:sz w:val="20"/>
                <w:szCs w:val="20"/>
              </w:rPr>
            </w:pPr>
            <w:r>
              <w:rPr>
                <w:rFonts w:ascii="Rockwell" w:hAnsi="Rockwell"/>
                <w:b/>
                <w:bCs/>
                <w:sz w:val="20"/>
                <w:szCs w:val="20"/>
              </w:rPr>
              <w:t>745</w:t>
            </w:r>
          </w:p>
        </w:tc>
        <w:tc>
          <w:tcPr>
            <w:tcW w:w="1134" w:type="dxa"/>
            <w:shd w:val="clear" w:color="auto" w:fill="FFFFFF" w:themeFill="background1"/>
            <w:tcMar>
              <w:top w:w="0" w:type="dxa"/>
              <w:left w:w="108" w:type="dxa"/>
              <w:bottom w:w="0" w:type="dxa"/>
              <w:right w:w="108" w:type="dxa"/>
            </w:tcMar>
            <w:vAlign w:val="center"/>
          </w:tcPr>
          <w:p w14:paraId="4B66EA0C" w14:textId="77777777" w:rsidR="00284822" w:rsidRDefault="00F77BF8">
            <w:pPr>
              <w:spacing w:line="240" w:lineRule="auto"/>
              <w:jc w:val="left"/>
              <w:rPr>
                <w:rFonts w:ascii="Rockwell" w:hAnsi="Rockwell"/>
                <w:b/>
                <w:bCs/>
                <w:sz w:val="20"/>
                <w:szCs w:val="20"/>
              </w:rPr>
            </w:pPr>
            <w:r>
              <w:rPr>
                <w:rFonts w:ascii="Rockwell" w:hAnsi="Rockwell"/>
                <w:b/>
                <w:bCs/>
                <w:sz w:val="20"/>
                <w:szCs w:val="20"/>
              </w:rPr>
              <w:t>100,00%</w:t>
            </w:r>
          </w:p>
        </w:tc>
        <w:tc>
          <w:tcPr>
            <w:tcW w:w="992" w:type="dxa"/>
            <w:shd w:val="clear" w:color="auto" w:fill="FFFFFF" w:themeFill="background1"/>
            <w:tcMar>
              <w:top w:w="0" w:type="dxa"/>
              <w:left w:w="108" w:type="dxa"/>
              <w:bottom w:w="0" w:type="dxa"/>
              <w:right w:w="108" w:type="dxa"/>
            </w:tcMar>
            <w:vAlign w:val="center"/>
          </w:tcPr>
          <w:p w14:paraId="462DBA42" w14:textId="77777777" w:rsidR="00284822" w:rsidRDefault="00F77BF8">
            <w:pPr>
              <w:spacing w:line="240" w:lineRule="auto"/>
              <w:jc w:val="left"/>
              <w:rPr>
                <w:rFonts w:ascii="Rockwell" w:hAnsi="Rockwell"/>
                <w:b/>
                <w:bCs/>
                <w:sz w:val="20"/>
                <w:szCs w:val="20"/>
              </w:rPr>
            </w:pPr>
            <w:r>
              <w:rPr>
                <w:rFonts w:ascii="Rockwell" w:hAnsi="Rockwell"/>
                <w:b/>
                <w:bCs/>
                <w:sz w:val="20"/>
                <w:szCs w:val="20"/>
              </w:rPr>
              <w:t>1198</w:t>
            </w:r>
          </w:p>
        </w:tc>
        <w:tc>
          <w:tcPr>
            <w:tcW w:w="1843" w:type="dxa"/>
            <w:shd w:val="clear" w:color="auto" w:fill="FFFFFF" w:themeFill="background1"/>
            <w:tcMar>
              <w:top w:w="0" w:type="dxa"/>
              <w:left w:w="108" w:type="dxa"/>
              <w:bottom w:w="0" w:type="dxa"/>
              <w:right w:w="108" w:type="dxa"/>
            </w:tcMar>
            <w:vAlign w:val="center"/>
          </w:tcPr>
          <w:p w14:paraId="634F3F08" w14:textId="77777777" w:rsidR="00284822" w:rsidRDefault="00F77BF8">
            <w:pPr>
              <w:spacing w:line="240" w:lineRule="auto"/>
              <w:jc w:val="left"/>
              <w:rPr>
                <w:rFonts w:ascii="Rockwell" w:hAnsi="Rockwell"/>
                <w:b/>
                <w:bCs/>
                <w:sz w:val="20"/>
                <w:szCs w:val="20"/>
              </w:rPr>
            </w:pPr>
            <w:r>
              <w:rPr>
                <w:rFonts w:ascii="Rockwell" w:hAnsi="Rockwell"/>
                <w:b/>
                <w:bCs/>
                <w:sz w:val="20"/>
                <w:szCs w:val="20"/>
              </w:rPr>
              <w:t>100,00%</w:t>
            </w:r>
          </w:p>
        </w:tc>
      </w:tr>
    </w:tbl>
    <w:p w14:paraId="0159DD78" w14:textId="4FED3B71" w:rsidR="00284822" w:rsidRDefault="00284822">
      <w:pPr>
        <w:spacing w:before="120" w:after="120"/>
        <w:jc w:val="left"/>
        <w:rPr>
          <w:rFonts w:ascii="Rockwell" w:hAnsi="Rockwell"/>
          <w:szCs w:val="26"/>
        </w:rPr>
      </w:pPr>
    </w:p>
    <w:sectPr w:rsidR="00284822">
      <w:pgSz w:w="16838" w:h="11906" w:orient="landscape"/>
      <w:pgMar w:top="1418" w:right="1418" w:bottom="1418" w:left="1418"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5" w:author="hp" w:date="2024-08-06T14:13:00Z" w:initials="h">
    <w:p w14:paraId="315B2386" w14:textId="77777777" w:rsidR="003148F1" w:rsidRDefault="003148F1">
      <w:pPr>
        <w:pStyle w:val="Commentaire"/>
      </w:pPr>
      <w:r>
        <w:t>Prendre en compte les sigles et abreviations dans le corps du texte ; par exemple CSC ;</w:t>
      </w:r>
    </w:p>
    <w:p w14:paraId="62CB6AE7" w14:textId="77777777" w:rsidR="003148F1" w:rsidRDefault="003148F1">
      <w:pPr>
        <w:pStyle w:val="Commentaire"/>
      </w:pPr>
      <w:r>
        <w:t xml:space="preserve">Uniformiser la police du document ainsi que le style d’écriture </w:t>
      </w:r>
    </w:p>
  </w:comment>
  <w:comment w:id="119" w:author="hp" w:date="2024-08-06T12:33:00Z" w:initials="h">
    <w:p w14:paraId="32404F51" w14:textId="77777777" w:rsidR="003148F1" w:rsidRDefault="003148F1">
      <w:pPr>
        <w:pStyle w:val="Commentaire"/>
      </w:pPr>
      <w:r>
        <w:t>Listez les médias concernés par la cessation de parution</w:t>
      </w:r>
    </w:p>
  </w:comment>
  <w:comment w:id="149" w:author="hp" w:date="2024-08-06T12:56:00Z" w:initials="h">
    <w:p w14:paraId="6ECF6138" w14:textId="77777777" w:rsidR="003148F1" w:rsidRDefault="003148F1">
      <w:pPr>
        <w:pStyle w:val="Commentaire"/>
      </w:pPr>
      <w:r>
        <w:t xml:space="preserve">Précisez en note de bas de page pourquoi le quotidien l’EXPRESS DU FASO déclaré à </w:t>
      </w:r>
      <w:r>
        <w:t>à Bob et y paraissant est comptabilisé dans les médias du Centre</w:t>
      </w:r>
    </w:p>
  </w:comment>
  <w:comment w:id="195" w:author="hp" w:date="2024-08-06T13:22:00Z" w:initials="h">
    <w:p w14:paraId="14488DA0" w14:textId="77777777" w:rsidR="003148F1" w:rsidRDefault="003148F1">
      <w:pPr>
        <w:pStyle w:val="Commentaire"/>
      </w:pPr>
      <w:r>
        <w:t>Quid de la sanction ?</w:t>
      </w:r>
    </w:p>
  </w:comment>
  <w:comment w:id="211" w:author="hp" w:date="2024-08-06T13:28:00Z" w:initials="h">
    <w:p w14:paraId="5B7E2F59" w14:textId="77777777" w:rsidR="003148F1" w:rsidRDefault="003148F1">
      <w:pPr>
        <w:pStyle w:val="Commentaire"/>
      </w:pPr>
      <w:r>
        <w:t xml:space="preserve">Quid de la </w:t>
      </w:r>
      <w:r>
        <w:t>suite?</w:t>
      </w:r>
    </w:p>
  </w:comment>
  <w:comment w:id="415" w:author="hp" w:date="2024-08-06T14:01:00Z" w:initials="h">
    <w:p w14:paraId="547C4D77" w14:textId="77777777" w:rsidR="003148F1" w:rsidRDefault="003148F1">
      <w:pPr>
        <w:pStyle w:val="Commentaire"/>
      </w:pPr>
      <w:r>
        <w:rPr>
          <w:rStyle w:val="Marquedecommentaire"/>
        </w:rPr>
        <w:t>Prendre en compte les sigles et abréviations dans le corps du texte ; par exemple CSC</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2CB6AE7" w15:done="0"/>
  <w15:commentEx w15:paraId="32404F51" w15:done="0"/>
  <w15:commentEx w15:paraId="6ECF6138" w15:done="0"/>
  <w15:commentEx w15:paraId="14488DA0" w15:done="0"/>
  <w15:commentEx w15:paraId="5B7E2F59" w15:done="0"/>
  <w15:commentEx w15:paraId="547C4D7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2CB6AE7" w16cid:durableId="2AEAC1D5"/>
  <w16cid:commentId w16cid:paraId="32404F51" w16cid:durableId="2AEAC1D6"/>
  <w16cid:commentId w16cid:paraId="6ECF6138" w16cid:durableId="2AEAC1D7"/>
  <w16cid:commentId w16cid:paraId="14488DA0" w16cid:durableId="2AEAC1D8"/>
  <w16cid:commentId w16cid:paraId="5B7E2F59" w16cid:durableId="2AEAC1D9"/>
  <w16cid:commentId w16cid:paraId="547C4D77" w16cid:durableId="2AEAC1D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32F12E" w14:textId="77777777" w:rsidR="001E63AF" w:rsidRDefault="001E63AF">
      <w:pPr>
        <w:spacing w:line="240" w:lineRule="auto"/>
      </w:pPr>
      <w:r>
        <w:separator/>
      </w:r>
    </w:p>
  </w:endnote>
  <w:endnote w:type="continuationSeparator" w:id="0">
    <w:p w14:paraId="57D60442" w14:textId="77777777" w:rsidR="001E63AF" w:rsidRDefault="001E63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Rockwell">
    <w:panose1 w:val="02060603020205020403"/>
    <w:charset w:val="00"/>
    <w:family w:val="roman"/>
    <w:pitch w:val="variable"/>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Bahnschrift Light">
    <w:panose1 w:val="020B0502040204020203"/>
    <w:charset w:val="00"/>
    <w:family w:val="swiss"/>
    <w:pitch w:val="variable"/>
    <w:sig w:usb0="A00002C7" w:usb1="00000002" w:usb2="00000000" w:usb3="00000000" w:csb0="0000019F" w:csb1="00000000"/>
  </w:font>
  <w:font w:name="Gautami">
    <w:panose1 w:val="02000500000000000000"/>
    <w:charset w:val="00"/>
    <w:family w:val="swiss"/>
    <w:pitch w:val="variable"/>
    <w:sig w:usb0="00200003" w:usb1="00000000" w:usb2="00000000" w:usb3="00000000" w:csb0="00000001" w:csb1="00000000"/>
  </w:font>
  <w:font w:name="Bernard MT Condensed">
    <w:panose1 w:val="02050806060905020404"/>
    <w:charset w:val="00"/>
    <w:family w:val="roman"/>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5907579"/>
    </w:sdtPr>
    <w:sdtContent>
      <w:p w14:paraId="27AD9286" w14:textId="563695A8" w:rsidR="003148F1" w:rsidRDefault="003148F1">
        <w:pPr>
          <w:pStyle w:val="Pieddepage"/>
          <w:jc w:val="center"/>
        </w:pPr>
        <w:r>
          <w:fldChar w:fldCharType="begin"/>
        </w:r>
        <w:r>
          <w:instrText>PAGE   \* MERGEFORMAT</w:instrText>
        </w:r>
        <w:r>
          <w:fldChar w:fldCharType="separate"/>
        </w:r>
        <w:r>
          <w:rPr>
            <w:noProof/>
          </w:rPr>
          <w:t>34</w:t>
        </w:r>
        <w:r>
          <w:fldChar w:fldCharType="end"/>
        </w:r>
      </w:p>
    </w:sdtContent>
  </w:sdt>
  <w:p w14:paraId="48DAEB1B" w14:textId="77777777" w:rsidR="003148F1" w:rsidRDefault="003148F1">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8136199"/>
    </w:sdtPr>
    <w:sdtContent>
      <w:p w14:paraId="5DC01F3A" w14:textId="79C4A704" w:rsidR="003148F1" w:rsidRDefault="003148F1">
        <w:pPr>
          <w:pStyle w:val="Pieddepage"/>
          <w:jc w:val="center"/>
        </w:pPr>
        <w:r>
          <w:fldChar w:fldCharType="begin"/>
        </w:r>
        <w:r>
          <w:instrText>PAGE   \* MERGEFORMAT</w:instrText>
        </w:r>
        <w:r>
          <w:fldChar w:fldCharType="separate"/>
        </w:r>
        <w:r>
          <w:rPr>
            <w:noProof/>
          </w:rPr>
          <w:t>42</w:t>
        </w:r>
        <w:r>
          <w:fldChar w:fldCharType="end"/>
        </w:r>
      </w:p>
    </w:sdtContent>
  </w:sdt>
  <w:p w14:paraId="2E7AEBE2" w14:textId="77777777" w:rsidR="003148F1" w:rsidRDefault="003148F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4356128"/>
    </w:sdtPr>
    <w:sdtContent>
      <w:p w14:paraId="605FAC84" w14:textId="4E350F41" w:rsidR="003148F1" w:rsidRDefault="003148F1">
        <w:pPr>
          <w:pStyle w:val="Pieddepage"/>
          <w:tabs>
            <w:tab w:val="clear" w:pos="4536"/>
            <w:tab w:val="left" w:pos="2235"/>
            <w:tab w:val="center" w:pos="4535"/>
          </w:tabs>
          <w:jc w:val="left"/>
        </w:pPr>
        <w:r>
          <w:tab/>
        </w:r>
        <w:r>
          <w:tab/>
        </w:r>
        <w:r>
          <w:fldChar w:fldCharType="begin"/>
        </w:r>
        <w:r>
          <w:instrText>PAGE   \* MERGEFORMAT</w:instrText>
        </w:r>
        <w:r>
          <w:fldChar w:fldCharType="separate"/>
        </w:r>
        <w:r>
          <w:rPr>
            <w:noProof/>
          </w:rPr>
          <w:t>83</w:t>
        </w:r>
        <w:r>
          <w:fldChar w:fldCharType="end"/>
        </w:r>
      </w:p>
    </w:sdtContent>
  </w:sdt>
  <w:p w14:paraId="516A3C5D" w14:textId="77777777" w:rsidR="003148F1" w:rsidRDefault="003148F1">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2640500"/>
    </w:sdtPr>
    <w:sdtContent>
      <w:p w14:paraId="012D6CDA" w14:textId="02F20CAC" w:rsidR="003148F1" w:rsidRDefault="003148F1">
        <w:pPr>
          <w:pStyle w:val="Pieddepage"/>
          <w:jc w:val="center"/>
        </w:pPr>
        <w:r>
          <w:fldChar w:fldCharType="begin"/>
        </w:r>
        <w:r>
          <w:instrText>PAGE   \* MERGEFORMAT</w:instrText>
        </w:r>
        <w:r>
          <w:fldChar w:fldCharType="separate"/>
        </w:r>
        <w:r>
          <w:rPr>
            <w:noProof/>
          </w:rPr>
          <w:t>96</w:t>
        </w:r>
        <w:r>
          <w:fldChar w:fldCharType="end"/>
        </w:r>
      </w:p>
    </w:sdtContent>
  </w:sdt>
  <w:p w14:paraId="46B5A9A8" w14:textId="77777777" w:rsidR="003148F1" w:rsidRDefault="003148F1">
    <w:pPr>
      <w:pStyle w:val="Pieddepag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3051167"/>
    </w:sdtPr>
    <w:sdtContent>
      <w:p w14:paraId="4D105431" w14:textId="6B69F745" w:rsidR="003148F1" w:rsidRDefault="003148F1">
        <w:pPr>
          <w:pStyle w:val="Pieddepage"/>
          <w:jc w:val="center"/>
        </w:pPr>
        <w:r>
          <w:fldChar w:fldCharType="begin"/>
        </w:r>
        <w:r>
          <w:instrText>PAGE   \* MERGEFORMAT</w:instrText>
        </w:r>
        <w:r>
          <w:fldChar w:fldCharType="separate"/>
        </w:r>
        <w:r>
          <w:rPr>
            <w:noProof/>
          </w:rPr>
          <w:t>109</w:t>
        </w:r>
        <w:r>
          <w:fldChar w:fldCharType="end"/>
        </w:r>
      </w:p>
    </w:sdtContent>
  </w:sdt>
  <w:p w14:paraId="067AAA8E" w14:textId="77777777" w:rsidR="003148F1" w:rsidRDefault="003148F1">
    <w:pPr>
      <w:pStyle w:val="Pieddepag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9453157"/>
    </w:sdtPr>
    <w:sdtContent>
      <w:p w14:paraId="5B1B12FA" w14:textId="65F9229B" w:rsidR="003148F1" w:rsidRDefault="003148F1">
        <w:pPr>
          <w:pStyle w:val="Pieddepage"/>
          <w:jc w:val="center"/>
        </w:pPr>
        <w:r>
          <w:fldChar w:fldCharType="begin"/>
        </w:r>
        <w:r>
          <w:instrText>PAGE   \* MERGEFORMAT</w:instrText>
        </w:r>
        <w:r>
          <w:fldChar w:fldCharType="separate"/>
        </w:r>
        <w:r>
          <w:rPr>
            <w:noProof/>
          </w:rPr>
          <w:t>115</w:t>
        </w:r>
        <w:r>
          <w:fldChar w:fldCharType="end"/>
        </w:r>
      </w:p>
    </w:sdtContent>
  </w:sdt>
  <w:p w14:paraId="38B3DFAE" w14:textId="77777777" w:rsidR="003148F1" w:rsidRDefault="003148F1">
    <w:pPr>
      <w:pStyle w:val="Pieddepage"/>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9684886"/>
    </w:sdtPr>
    <w:sdtContent>
      <w:p w14:paraId="05DC2F79" w14:textId="0C5BDED8" w:rsidR="003148F1" w:rsidRDefault="003148F1">
        <w:pPr>
          <w:pStyle w:val="Pieddepage"/>
          <w:jc w:val="center"/>
        </w:pPr>
        <w:r>
          <w:fldChar w:fldCharType="begin"/>
        </w:r>
        <w:r>
          <w:instrText>PAGE   \* MERGEFORMAT</w:instrText>
        </w:r>
        <w:r>
          <w:fldChar w:fldCharType="separate"/>
        </w:r>
        <w:r>
          <w:rPr>
            <w:noProof/>
          </w:rPr>
          <w:t>110</w:t>
        </w:r>
        <w:r>
          <w:fldChar w:fldCharType="end"/>
        </w:r>
      </w:p>
    </w:sdtContent>
  </w:sdt>
  <w:p w14:paraId="6B15E223" w14:textId="77777777" w:rsidR="003148F1" w:rsidRDefault="003148F1">
    <w:pPr>
      <w:pStyle w:val="Pieddepage"/>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0285417"/>
    </w:sdtPr>
    <w:sdtContent>
      <w:p w14:paraId="3AE1E341" w14:textId="621E06B4" w:rsidR="003148F1" w:rsidRDefault="003148F1">
        <w:pPr>
          <w:pStyle w:val="Pieddepage"/>
          <w:jc w:val="center"/>
        </w:pPr>
        <w:r>
          <w:fldChar w:fldCharType="begin"/>
        </w:r>
        <w:r>
          <w:instrText>PAGE   \* MERGEFORMAT</w:instrText>
        </w:r>
        <w:r>
          <w:fldChar w:fldCharType="separate"/>
        </w:r>
        <w:r>
          <w:rPr>
            <w:noProof/>
          </w:rPr>
          <w:t>131</w:t>
        </w:r>
        <w:r>
          <w:fldChar w:fldCharType="end"/>
        </w:r>
      </w:p>
    </w:sdtContent>
  </w:sdt>
  <w:p w14:paraId="06D813C7" w14:textId="77777777" w:rsidR="003148F1" w:rsidRDefault="003148F1">
    <w:pPr>
      <w:pStyle w:val="Pieddepage"/>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1325353"/>
    </w:sdtPr>
    <w:sdtContent>
      <w:p w14:paraId="63A48299" w14:textId="2A2CB5C3" w:rsidR="003148F1" w:rsidRDefault="003148F1">
        <w:pPr>
          <w:pStyle w:val="Pieddepage"/>
          <w:jc w:val="center"/>
        </w:pPr>
        <w:r>
          <w:fldChar w:fldCharType="begin"/>
        </w:r>
        <w:r>
          <w:instrText>PAGE   \* MERGEFORMAT</w:instrText>
        </w:r>
        <w:r>
          <w:fldChar w:fldCharType="separate"/>
        </w:r>
        <w:r>
          <w:rPr>
            <w:noProof/>
          </w:rPr>
          <w:t>195</w:t>
        </w:r>
        <w:r>
          <w:fldChar w:fldCharType="end"/>
        </w:r>
      </w:p>
    </w:sdtContent>
  </w:sdt>
  <w:p w14:paraId="393314C1" w14:textId="77777777" w:rsidR="003148F1" w:rsidRDefault="003148F1">
    <w:pPr>
      <w:pStyle w:val="Pieddepage"/>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7327972"/>
    </w:sdtPr>
    <w:sdtContent>
      <w:p w14:paraId="0A26D8F2" w14:textId="6D3297F8" w:rsidR="003148F1" w:rsidRDefault="003148F1">
        <w:pPr>
          <w:pStyle w:val="Pieddepage"/>
          <w:jc w:val="center"/>
        </w:pPr>
        <w:r>
          <w:fldChar w:fldCharType="begin"/>
        </w:r>
        <w:r>
          <w:instrText>PAGE   \* MERGEFORMAT</w:instrText>
        </w:r>
        <w:r>
          <w:fldChar w:fldCharType="separate"/>
        </w:r>
        <w:r>
          <w:rPr>
            <w:noProof/>
          </w:rPr>
          <w:t>208</w:t>
        </w:r>
        <w:r>
          <w:fldChar w:fldCharType="end"/>
        </w:r>
      </w:p>
    </w:sdtContent>
  </w:sdt>
  <w:p w14:paraId="0F5D6DBF" w14:textId="77777777" w:rsidR="003148F1" w:rsidRDefault="003148F1"/>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0291088"/>
    </w:sdtPr>
    <w:sdtContent>
      <w:p w14:paraId="76FCBCCB" w14:textId="23B59AC0" w:rsidR="003148F1" w:rsidRDefault="003148F1">
        <w:pPr>
          <w:pStyle w:val="Pieddepage"/>
          <w:jc w:val="center"/>
        </w:pPr>
        <w:r>
          <w:fldChar w:fldCharType="begin"/>
        </w:r>
        <w:r>
          <w:instrText>PAGE   \* MERGEFORMAT</w:instrText>
        </w:r>
        <w:r>
          <w:fldChar w:fldCharType="separate"/>
        </w:r>
        <w:r>
          <w:rPr>
            <w:noProof/>
          </w:rPr>
          <w:t>198</w:t>
        </w:r>
        <w:r>
          <w:fldChar w:fldCharType="end"/>
        </w:r>
      </w:p>
    </w:sdtContent>
  </w:sdt>
  <w:p w14:paraId="58E3A417" w14:textId="77777777" w:rsidR="003148F1" w:rsidRDefault="003148F1">
    <w:pPr>
      <w:pStyle w:val="Pieddepage"/>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9683106"/>
    </w:sdtPr>
    <w:sdtContent>
      <w:p w14:paraId="3B39F0B5" w14:textId="2E4D2971" w:rsidR="003148F1" w:rsidRDefault="003148F1">
        <w:pPr>
          <w:pStyle w:val="Pieddepage"/>
          <w:jc w:val="center"/>
        </w:pPr>
        <w:r>
          <w:fldChar w:fldCharType="begin"/>
        </w:r>
        <w:r>
          <w:instrText>PAGE   \* MERGEFORMAT</w:instrText>
        </w:r>
        <w:r>
          <w:fldChar w:fldCharType="separate"/>
        </w:r>
        <w:r>
          <w:rPr>
            <w:noProof/>
          </w:rPr>
          <w:t>210</w:t>
        </w:r>
        <w:r>
          <w:fldChar w:fldCharType="end"/>
        </w:r>
      </w:p>
    </w:sdtContent>
  </w:sdt>
  <w:p w14:paraId="38D42180" w14:textId="77777777" w:rsidR="003148F1" w:rsidRDefault="003148F1">
    <w:pPr>
      <w:pStyle w:val="Pieddepage"/>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1564978"/>
    </w:sdtPr>
    <w:sdtContent>
      <w:p w14:paraId="556B8FF0" w14:textId="1F964977" w:rsidR="003148F1" w:rsidRDefault="003148F1">
        <w:pPr>
          <w:pStyle w:val="Pieddepage"/>
          <w:jc w:val="center"/>
        </w:pPr>
        <w:r>
          <w:fldChar w:fldCharType="begin"/>
        </w:r>
        <w:r>
          <w:instrText>PAGE   \* MERGEFORMAT</w:instrText>
        </w:r>
        <w:r>
          <w:fldChar w:fldCharType="separate"/>
        </w:r>
        <w:r>
          <w:rPr>
            <w:noProof/>
          </w:rPr>
          <w:t>214</w:t>
        </w:r>
        <w:r>
          <w:fldChar w:fldCharType="end"/>
        </w:r>
      </w:p>
    </w:sdtContent>
  </w:sdt>
  <w:p w14:paraId="1A7DDCD5" w14:textId="77777777" w:rsidR="003148F1" w:rsidRDefault="003148F1">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91339D" w14:textId="77777777" w:rsidR="001E63AF" w:rsidRDefault="001E63AF">
      <w:r>
        <w:separator/>
      </w:r>
    </w:p>
  </w:footnote>
  <w:footnote w:type="continuationSeparator" w:id="0">
    <w:p w14:paraId="4CFE810B" w14:textId="77777777" w:rsidR="001E63AF" w:rsidRDefault="001E63AF">
      <w:r>
        <w:continuationSeparator/>
      </w:r>
    </w:p>
  </w:footnote>
  <w:footnote w:id="1">
    <w:p w14:paraId="45383ADA" w14:textId="77777777" w:rsidR="003148F1" w:rsidRDefault="003148F1">
      <w:pPr>
        <w:pStyle w:val="Notedebasdepage"/>
        <w:spacing w:line="276" w:lineRule="auto"/>
        <w:rPr>
          <w:i/>
          <w:sz w:val="18"/>
          <w:szCs w:val="18"/>
        </w:rPr>
      </w:pPr>
      <w:r>
        <w:rPr>
          <w:rStyle w:val="Appelnotedebasdep"/>
        </w:rPr>
        <w:footnoteRef/>
      </w:r>
      <w:r>
        <w:t xml:space="preserve"> </w:t>
      </w:r>
      <w:r>
        <w:rPr>
          <w:i/>
          <w:sz w:val="18"/>
          <w:szCs w:val="18"/>
        </w:rPr>
        <w:t>Le CSC a enregistré 4 départs du Collège des conseillers, dus notamment à :</w:t>
      </w:r>
    </w:p>
    <w:p w14:paraId="1936A0A1" w14:textId="77777777" w:rsidR="003148F1" w:rsidRDefault="003148F1">
      <w:pPr>
        <w:pStyle w:val="Notedebasdepage"/>
        <w:spacing w:line="276" w:lineRule="auto"/>
        <w:rPr>
          <w:i/>
          <w:sz w:val="18"/>
          <w:szCs w:val="18"/>
        </w:rPr>
      </w:pPr>
      <w:r>
        <w:rPr>
          <w:i/>
          <w:sz w:val="18"/>
          <w:szCs w:val="18"/>
        </w:rPr>
        <w:t xml:space="preserve">- le décès du Conseiller Zoumana WONOGO en mars 2021 ; </w:t>
      </w:r>
    </w:p>
    <w:p w14:paraId="5FBCF563" w14:textId="77777777" w:rsidR="003148F1" w:rsidRDefault="003148F1">
      <w:pPr>
        <w:pStyle w:val="Notedebasdepage"/>
        <w:spacing w:line="276" w:lineRule="auto"/>
        <w:rPr>
          <w:i/>
          <w:sz w:val="18"/>
          <w:szCs w:val="18"/>
        </w:rPr>
      </w:pPr>
      <w:r>
        <w:rPr>
          <w:i/>
          <w:sz w:val="18"/>
          <w:szCs w:val="18"/>
        </w:rPr>
        <w:t xml:space="preserve">- la démission du Président Mathias TANKOANO, en septembre 2021 ; </w:t>
      </w:r>
    </w:p>
    <w:p w14:paraId="6F1EB9F1" w14:textId="77777777" w:rsidR="003148F1" w:rsidRDefault="003148F1">
      <w:pPr>
        <w:pStyle w:val="Notedebasdepage"/>
        <w:spacing w:line="276" w:lineRule="auto"/>
        <w:rPr>
          <w:i/>
          <w:sz w:val="18"/>
          <w:szCs w:val="18"/>
        </w:rPr>
      </w:pPr>
      <w:r>
        <w:rPr>
          <w:i/>
          <w:sz w:val="18"/>
          <w:szCs w:val="18"/>
        </w:rPr>
        <w:t>- la nomination du Conseiller Victor SANOU à d’autres fonctions, en janvier 2022 ;</w:t>
      </w:r>
    </w:p>
    <w:p w14:paraId="08D050BC" w14:textId="77777777" w:rsidR="003148F1" w:rsidRDefault="003148F1">
      <w:pPr>
        <w:pStyle w:val="Notedebasdepage"/>
        <w:spacing w:line="276" w:lineRule="auto"/>
        <w:rPr>
          <w:i/>
          <w:sz w:val="18"/>
          <w:szCs w:val="18"/>
        </w:rPr>
      </w:pPr>
      <w:r>
        <w:rPr>
          <w:i/>
          <w:sz w:val="18"/>
          <w:szCs w:val="18"/>
        </w:rPr>
        <w:t>- la démission du Conseiller Alexis KONKOBO, en mai 2022.</w:t>
      </w:r>
    </w:p>
  </w:footnote>
  <w:footnote w:id="2">
    <w:p w14:paraId="3AB5EB47" w14:textId="77777777" w:rsidR="003148F1" w:rsidRDefault="003148F1">
      <w:pPr>
        <w:pStyle w:val="Notedebasdepage"/>
      </w:pPr>
      <w:r>
        <w:rPr>
          <w:rStyle w:val="Appelnotedebasdep"/>
        </w:rPr>
        <w:footnoteRef/>
      </w:r>
      <w:r>
        <w:t xml:space="preserve"> </w:t>
      </w:r>
      <w:r>
        <w:rPr>
          <w:i/>
          <w:sz w:val="18"/>
          <w:szCs w:val="18"/>
        </w:rPr>
        <w:t>Article 6 : le CSC procède par appel à candidatures pour l’attribution des fréquences aux sociétés de radiodiffusion sonores et télévisuels privées</w:t>
      </w:r>
      <w:r>
        <w:t>.</w:t>
      </w:r>
    </w:p>
  </w:footnote>
  <w:footnote w:id="3">
    <w:p w14:paraId="700FD85C" w14:textId="77777777" w:rsidR="003148F1" w:rsidRDefault="003148F1">
      <w:pPr>
        <w:pStyle w:val="Notedebasdepage"/>
      </w:pPr>
      <w:r>
        <w:rPr>
          <w:rStyle w:val="Appelnotedebasdep"/>
        </w:rPr>
        <w:footnoteRef/>
      </w:r>
      <w:r>
        <w:t xml:space="preserve"> </w:t>
      </w:r>
      <w:r>
        <w:rPr>
          <w:i/>
          <w:sz w:val="18"/>
          <w:szCs w:val="18"/>
        </w:rPr>
        <w:t xml:space="preserve">Loi </w:t>
      </w:r>
      <w:r>
        <w:rPr>
          <w:rFonts w:ascii="Rockwell" w:hAnsi="Rockwell"/>
          <w:i/>
          <w:sz w:val="18"/>
          <w:szCs w:val="18"/>
        </w:rPr>
        <w:t>N°080-2015/CNT du 23 novembre 2015 portant règlementation de la publicité au Burkina Faso.</w:t>
      </w:r>
      <w:r>
        <w:rPr>
          <w:rFonts w:ascii="Rockwell" w:hAnsi="Rockwell"/>
          <w:szCs w:val="26"/>
        </w:rPr>
        <w:t xml:space="preserve"> </w:t>
      </w:r>
    </w:p>
  </w:footnote>
  <w:footnote w:id="4">
    <w:p w14:paraId="2AEC2BE6" w14:textId="77777777" w:rsidR="003148F1" w:rsidRDefault="003148F1">
      <w:pPr>
        <w:spacing w:before="120" w:after="120" w:line="240" w:lineRule="auto"/>
        <w:ind w:left="-142"/>
        <w:rPr>
          <w:rFonts w:ascii="Rockwell" w:hAnsi="Rockwell"/>
          <w:sz w:val="18"/>
          <w:szCs w:val="18"/>
        </w:rPr>
      </w:pPr>
      <w:r>
        <w:rPr>
          <w:rStyle w:val="Appelnotedebasdep"/>
          <w:sz w:val="18"/>
          <w:szCs w:val="18"/>
        </w:rPr>
        <w:footnoteRef/>
      </w:r>
      <w:r>
        <w:rPr>
          <w:sz w:val="18"/>
          <w:szCs w:val="18"/>
        </w:rPr>
        <w:t xml:space="preserve"> </w:t>
      </w:r>
      <w:r>
        <w:rPr>
          <w:rFonts w:ascii="Rockwell" w:hAnsi="Rockwell"/>
          <w:sz w:val="18"/>
          <w:szCs w:val="18"/>
        </w:rPr>
        <w:t xml:space="preserve">Les </w:t>
      </w:r>
      <w:r>
        <w:rPr>
          <w:rFonts w:ascii="Rockwell" w:eastAsia="Calibri" w:hAnsi="Rockwell"/>
          <w:i/>
          <w:sz w:val="18"/>
          <w:szCs w:val="18"/>
          <w:lang w:eastAsia="en-US"/>
        </w:rPr>
        <w:t>RTB2 radio de Bobo, Dédougou et Gaoua</w:t>
      </w:r>
      <w:r>
        <w:rPr>
          <w:rFonts w:ascii="Rockwell" w:eastAsia="Calibri" w:hAnsi="Rockwell"/>
          <w:sz w:val="18"/>
          <w:szCs w:val="18"/>
          <w:lang w:eastAsia="en-US"/>
        </w:rPr>
        <w:t xml:space="preserve">, </w:t>
      </w:r>
      <w:r>
        <w:rPr>
          <w:rFonts w:ascii="Rockwell" w:eastAsia="Calibri" w:hAnsi="Rockwell"/>
          <w:i/>
          <w:sz w:val="18"/>
          <w:szCs w:val="18"/>
          <w:lang w:eastAsia="en-US"/>
        </w:rPr>
        <w:t>LPC</w:t>
      </w:r>
      <w:r>
        <w:rPr>
          <w:rFonts w:ascii="Rockwell" w:eastAsia="Calibri" w:hAnsi="Rockwell"/>
          <w:sz w:val="18"/>
          <w:szCs w:val="18"/>
          <w:lang w:eastAsia="en-US"/>
        </w:rPr>
        <w:t xml:space="preserve">, </w:t>
      </w:r>
      <w:r>
        <w:rPr>
          <w:rFonts w:ascii="Rockwell" w:eastAsia="Calibri" w:hAnsi="Rockwell"/>
          <w:i/>
          <w:sz w:val="18"/>
          <w:szCs w:val="18"/>
          <w:lang w:eastAsia="en-US"/>
        </w:rPr>
        <w:t>Oméga</w:t>
      </w:r>
      <w:r>
        <w:rPr>
          <w:rFonts w:ascii="Rockwell" w:eastAsia="Calibri" w:hAnsi="Rockwell"/>
          <w:sz w:val="18"/>
          <w:szCs w:val="18"/>
          <w:lang w:eastAsia="en-US"/>
        </w:rPr>
        <w:t xml:space="preserve">, </w:t>
      </w:r>
      <w:r>
        <w:rPr>
          <w:rFonts w:ascii="Rockwell" w:eastAsia="Calibri" w:hAnsi="Rockwell"/>
          <w:i/>
          <w:sz w:val="18"/>
          <w:szCs w:val="18"/>
          <w:lang w:eastAsia="en-US"/>
        </w:rPr>
        <w:t xml:space="preserve">Savane Fm, Balafon, Municipale de </w:t>
      </w:r>
      <w:r>
        <w:rPr>
          <w:rFonts w:ascii="Rockwell" w:eastAsia="Calibri" w:hAnsi="Rockwell"/>
          <w:i/>
          <w:sz w:val="18"/>
          <w:szCs w:val="18"/>
          <w:lang w:eastAsia="en-US"/>
        </w:rPr>
        <w:t xml:space="preserve">Sya, Amazone SARL, Etoile de Noël, RED, Al-Mafaz, Ahmadiyya de Bobo, Munyu, Tériya, RAC, Cascade </w:t>
      </w:r>
      <w:r>
        <w:rPr>
          <w:rFonts w:ascii="Rockwell" w:eastAsia="Calibri" w:hAnsi="Rockwell"/>
          <w:sz w:val="18"/>
          <w:szCs w:val="18"/>
          <w:lang w:eastAsia="en-US"/>
        </w:rPr>
        <w:t>de Banfora,</w:t>
      </w:r>
      <w:r>
        <w:rPr>
          <w:rFonts w:ascii="Rockwell" w:eastAsia="Calibri" w:hAnsi="Rockwell"/>
          <w:i/>
          <w:sz w:val="18"/>
          <w:szCs w:val="18"/>
          <w:lang w:eastAsia="en-US"/>
        </w:rPr>
        <w:t xml:space="preserve"> ARC Fm </w:t>
      </w:r>
      <w:r>
        <w:rPr>
          <w:rFonts w:ascii="Rockwell" w:eastAsia="Calibri" w:hAnsi="Rockwell"/>
          <w:sz w:val="18"/>
          <w:szCs w:val="18"/>
          <w:lang w:eastAsia="en-US"/>
        </w:rPr>
        <w:t>de Niangoloko</w:t>
      </w:r>
      <w:r>
        <w:rPr>
          <w:rFonts w:ascii="Rockwell" w:eastAsia="Calibri" w:hAnsi="Rockwell"/>
          <w:i/>
          <w:sz w:val="18"/>
          <w:szCs w:val="18"/>
          <w:lang w:eastAsia="en-US"/>
        </w:rPr>
        <w:t>, Salaki, Fréquence Espoir, Ahmadiyya de Dédougou et ESO </w:t>
      </w:r>
      <w:r>
        <w:rPr>
          <w:rFonts w:ascii="Rockwell" w:eastAsia="Calibri" w:hAnsi="Rockwell"/>
          <w:sz w:val="18"/>
          <w:szCs w:val="18"/>
          <w:lang w:eastAsia="en-US"/>
        </w:rPr>
        <w:t>;</w:t>
      </w:r>
    </w:p>
    <w:p w14:paraId="415CCE60" w14:textId="77777777" w:rsidR="003148F1" w:rsidRDefault="003148F1">
      <w:pPr>
        <w:pStyle w:val="Notedebasdepage"/>
        <w:rPr>
          <w:rFonts w:ascii="Rockwell" w:hAnsi="Rockwell"/>
          <w:sz w:val="10"/>
          <w:szCs w:val="10"/>
        </w:rPr>
      </w:pPr>
    </w:p>
  </w:footnote>
  <w:footnote w:id="5">
    <w:p w14:paraId="20661F14" w14:textId="77777777" w:rsidR="003148F1" w:rsidRDefault="003148F1">
      <w:pPr>
        <w:pStyle w:val="Notedebasdepage"/>
        <w:ind w:left="-142"/>
        <w:rPr>
          <w:rFonts w:ascii="Rockwell" w:hAnsi="Rockwell"/>
          <w:sz w:val="18"/>
          <w:szCs w:val="18"/>
        </w:rPr>
      </w:pPr>
      <w:r>
        <w:rPr>
          <w:rStyle w:val="Appelnotedebasdep"/>
          <w:rFonts w:ascii="Rockwell" w:hAnsi="Rockwell"/>
          <w:sz w:val="18"/>
          <w:szCs w:val="18"/>
        </w:rPr>
        <w:footnoteRef/>
      </w:r>
      <w:r>
        <w:rPr>
          <w:rFonts w:ascii="Rockwell" w:hAnsi="Rockwell"/>
          <w:sz w:val="18"/>
          <w:szCs w:val="18"/>
        </w:rPr>
        <w:t xml:space="preserve"> </w:t>
      </w:r>
      <w:r>
        <w:rPr>
          <w:rFonts w:ascii="Rockwell" w:hAnsi="Rockwell"/>
          <w:i/>
          <w:sz w:val="18"/>
          <w:szCs w:val="18"/>
        </w:rPr>
        <w:t>Loi N °057-2015/CNT du 04 septembre 2015 portant régime juridique de la presse écrite eu Burkina Faso</w:t>
      </w:r>
    </w:p>
  </w:footnote>
  <w:footnote w:id="6">
    <w:p w14:paraId="08C312D1" w14:textId="77777777" w:rsidR="003148F1" w:rsidRDefault="003148F1">
      <w:pPr>
        <w:pStyle w:val="Notedebasdepage"/>
        <w:rPr>
          <w:i/>
          <w:sz w:val="18"/>
          <w:szCs w:val="18"/>
        </w:rPr>
      </w:pPr>
      <w:r>
        <w:rPr>
          <w:rStyle w:val="Appelnotedebasdep"/>
          <w:sz w:val="18"/>
          <w:szCs w:val="18"/>
        </w:rPr>
        <w:footnoteRef/>
      </w:r>
      <w:r>
        <w:rPr>
          <w:sz w:val="18"/>
          <w:szCs w:val="18"/>
        </w:rPr>
        <w:t xml:space="preserve"> </w:t>
      </w:r>
      <w:r>
        <w:rPr>
          <w:i/>
          <w:sz w:val="18"/>
          <w:szCs w:val="18"/>
        </w:rPr>
        <w:t xml:space="preserve">Le ressort territorial de la DRO comprend les régions des Hauts-Bassins, des Cascades, du Mouhoun et du </w:t>
      </w:r>
    </w:p>
    <w:p w14:paraId="3EB59984" w14:textId="77777777" w:rsidR="003148F1" w:rsidRDefault="003148F1">
      <w:pPr>
        <w:pStyle w:val="Notedebasdepage"/>
        <w:rPr>
          <w:i/>
          <w:sz w:val="18"/>
          <w:szCs w:val="18"/>
        </w:rPr>
      </w:pPr>
      <w:r>
        <w:rPr>
          <w:i/>
          <w:sz w:val="18"/>
          <w:szCs w:val="18"/>
        </w:rPr>
        <w:t>Sud-Ouest.</w:t>
      </w:r>
    </w:p>
  </w:footnote>
  <w:footnote w:id="7">
    <w:p w14:paraId="57CF42A1" w14:textId="77777777" w:rsidR="003148F1" w:rsidRDefault="003148F1">
      <w:pPr>
        <w:pStyle w:val="Notedebasdepage"/>
        <w:rPr>
          <w:i/>
          <w:sz w:val="18"/>
          <w:szCs w:val="18"/>
        </w:rPr>
      </w:pPr>
      <w:r>
        <w:rPr>
          <w:rStyle w:val="Appelnotedebasdep"/>
        </w:rPr>
        <w:footnoteRef/>
      </w:r>
      <w:r>
        <w:t xml:space="preserve"> </w:t>
      </w:r>
      <w:r>
        <w:rPr>
          <w:i/>
          <w:sz w:val="18"/>
          <w:szCs w:val="18"/>
        </w:rPr>
        <w:t>MATDC, Communiqué administratif n°2020-00018/MATDC/SG/DGLPAP/DLFSPP DU 14 SEPTEMBRE 2020</w:t>
      </w:r>
    </w:p>
    <w:p w14:paraId="453C06FC" w14:textId="77777777" w:rsidR="003148F1" w:rsidRDefault="003148F1">
      <w:pPr>
        <w:pStyle w:val="Notedebasdepage"/>
      </w:pPr>
    </w:p>
  </w:footnote>
  <w:footnote w:id="8">
    <w:p w14:paraId="2AE4CBFD" w14:textId="77777777" w:rsidR="003148F1" w:rsidRDefault="003148F1">
      <w:pPr>
        <w:pStyle w:val="Notedebasdepage"/>
        <w:rPr>
          <w:rFonts w:ascii="Rockwell" w:hAnsi="Rockwell"/>
          <w:i/>
          <w:color w:val="000000" w:themeColor="text1"/>
        </w:rPr>
      </w:pPr>
      <w:r>
        <w:rPr>
          <w:rStyle w:val="Appelnotedebasdep"/>
        </w:rPr>
        <w:footnoteRef/>
      </w:r>
      <w:r>
        <w:t xml:space="preserve"> </w:t>
      </w:r>
      <w:r>
        <w:rPr>
          <w:i/>
          <w:color w:val="000000" w:themeColor="text1"/>
          <w:sz w:val="18"/>
          <w:szCs w:val="18"/>
        </w:rPr>
        <w:t xml:space="preserve">Loi n°059-2015/CNT du 04 Septembre 2015 portant régime juridique </w:t>
      </w:r>
      <w:r>
        <w:rPr>
          <w:rFonts w:ascii="Rockwell" w:hAnsi="Rockwell"/>
          <w:i/>
          <w:color w:val="000000" w:themeColor="text1"/>
          <w:sz w:val="18"/>
          <w:szCs w:val="18"/>
        </w:rPr>
        <w:t>de la Radiodiffusion Sonore et Télévisuelle au Burkina Faso</w:t>
      </w:r>
    </w:p>
    <w:p w14:paraId="2672659B" w14:textId="77777777" w:rsidR="003148F1" w:rsidRDefault="003148F1">
      <w:pPr>
        <w:pStyle w:val="Notedebasdepage"/>
        <w:rPr>
          <w:rFonts w:ascii="Rockwell" w:hAnsi="Rockwell"/>
          <w:i/>
          <w:color w:val="000000" w:themeColor="text1"/>
          <w:sz w:val="18"/>
          <w:szCs w:val="18"/>
        </w:rPr>
      </w:pPr>
    </w:p>
  </w:footnote>
  <w:footnote w:id="9">
    <w:p w14:paraId="0DB0A3BC" w14:textId="77777777" w:rsidR="003148F1" w:rsidRDefault="003148F1">
      <w:pPr>
        <w:pStyle w:val="Notedebasdepage"/>
      </w:pPr>
      <w:r>
        <w:rPr>
          <w:rStyle w:val="Appelnotedebasdep"/>
        </w:rPr>
        <w:footnoteRef/>
      </w:r>
      <w:r>
        <w:t xml:space="preserve"> </w:t>
      </w:r>
      <w:r>
        <w:rPr>
          <w:rFonts w:eastAsia="Calibri"/>
          <w:i/>
          <w:lang w:eastAsia="en-US"/>
        </w:rPr>
        <w:t>L’article 7 de la Constitution, l’article 5 de la loi N° 059-2015 / CNT portant régime juridique de la radiodiffusion sonore télévisuelle au Burkina Faso, et la Convention entre le CSC et la radio.</w:t>
      </w:r>
    </w:p>
  </w:footnote>
  <w:footnote w:id="10">
    <w:p w14:paraId="4C860E28" w14:textId="77777777" w:rsidR="003148F1" w:rsidRDefault="003148F1">
      <w:pPr>
        <w:pStyle w:val="Notedebasdepage"/>
        <w:rPr>
          <w:rFonts w:eastAsia="Calibri"/>
          <w:i/>
          <w:lang w:eastAsia="en-US"/>
        </w:rPr>
      </w:pPr>
      <w:r>
        <w:rPr>
          <w:rStyle w:val="Appelnotedebasdep"/>
        </w:rPr>
        <w:footnoteRef/>
      </w:r>
      <w:r>
        <w:t xml:space="preserve"> </w:t>
      </w:r>
      <w:r>
        <w:rPr>
          <w:rFonts w:eastAsia="Calibri"/>
          <w:i/>
          <w:lang w:eastAsia="en-US"/>
        </w:rPr>
        <w:t xml:space="preserve">L’article 140 de la loi n°059-2015 /CNT et des articles 6, 7,8 de la décision n°2019-18/CSC relative à la     </w:t>
      </w:r>
    </w:p>
    <w:p w14:paraId="4DD9EA79" w14:textId="77777777" w:rsidR="003148F1" w:rsidRDefault="003148F1">
      <w:pPr>
        <w:pStyle w:val="Notedebasdepage"/>
      </w:pPr>
      <w:r>
        <w:rPr>
          <w:rFonts w:eastAsia="Calibri"/>
          <w:i/>
          <w:lang w:eastAsia="en-US"/>
        </w:rPr>
        <w:t xml:space="preserve">       </w:t>
      </w:r>
      <w:r>
        <w:rPr>
          <w:rFonts w:eastAsia="Calibri"/>
          <w:i/>
          <w:lang w:eastAsia="en-US"/>
        </w:rPr>
        <w:t>règlementation des émissions d’expression directe</w:t>
      </w:r>
      <w:r>
        <w:rPr>
          <w:rFonts w:eastAsia="Calibri"/>
          <w:sz w:val="40"/>
          <w:szCs w:val="40"/>
          <w:lang w:eastAsia="en-US"/>
        </w:rPr>
        <w:t>.</w:t>
      </w:r>
    </w:p>
  </w:footnote>
  <w:footnote w:id="11">
    <w:p w14:paraId="3C050AE9" w14:textId="77777777" w:rsidR="003148F1" w:rsidRDefault="003148F1">
      <w:pPr>
        <w:pStyle w:val="Notedebasdepage"/>
      </w:pPr>
      <w:r>
        <w:rPr>
          <w:rStyle w:val="Appelnotedebasdep"/>
        </w:rPr>
        <w:footnoteRef/>
      </w:r>
      <w:r>
        <w:t xml:space="preserve"> </w:t>
      </w:r>
      <w:r>
        <w:rPr>
          <w:rFonts w:eastAsia="Calibri"/>
          <w:i/>
          <w:lang w:eastAsia="en-US"/>
        </w:rPr>
        <w:t>L’article 411 du Code pénal et la décision n°2014-0081/CSC/CAB/SG du 15 mai 2014 portant protection des mineurs contre les programmes de télévision pouvant nuire à leur épanouissement.</w:t>
      </w:r>
    </w:p>
  </w:footnote>
  <w:footnote w:id="12">
    <w:p w14:paraId="7C51402A" w14:textId="77777777" w:rsidR="003148F1" w:rsidRDefault="003148F1">
      <w:pPr>
        <w:spacing w:line="240" w:lineRule="auto"/>
        <w:rPr>
          <w:rFonts w:ascii="Rockwell" w:hAnsi="Rockwell"/>
          <w:i/>
          <w:sz w:val="20"/>
          <w:szCs w:val="20"/>
        </w:rPr>
      </w:pPr>
      <w:r>
        <w:rPr>
          <w:rStyle w:val="Appelnotedebasdep"/>
        </w:rPr>
        <w:footnoteRef/>
      </w:r>
      <w:r>
        <w:t xml:space="preserve"> </w:t>
      </w:r>
      <w:r>
        <w:rPr>
          <w:rFonts w:ascii="Rockwell" w:hAnsi="Rockwell"/>
          <w:i/>
          <w:sz w:val="20"/>
          <w:szCs w:val="20"/>
        </w:rPr>
        <w:t>La loi sur la publicité interdit toute publicité sur les établissements sanitaires, les morgues et effets mortuaires.</w:t>
      </w:r>
    </w:p>
    <w:p w14:paraId="228F174D" w14:textId="77777777" w:rsidR="003148F1" w:rsidRDefault="003148F1">
      <w:pPr>
        <w:pStyle w:val="Notedebasdepage"/>
      </w:pPr>
    </w:p>
  </w:footnote>
  <w:footnote w:id="13">
    <w:p w14:paraId="68DC6411" w14:textId="77777777" w:rsidR="003148F1" w:rsidRDefault="003148F1">
      <w:pPr>
        <w:pStyle w:val="Notedebasdepage"/>
        <w:spacing w:line="276" w:lineRule="auto"/>
      </w:pPr>
      <w:r>
        <w:rPr>
          <w:rStyle w:val="Appelnotedebasdep"/>
        </w:rPr>
        <w:footnoteRef/>
      </w:r>
      <w:r>
        <w:t xml:space="preserve"> </w:t>
      </w:r>
      <w:r>
        <w:rPr>
          <w:rFonts w:ascii="Rockwell" w:hAnsi="Rockwell"/>
        </w:rPr>
        <w:t xml:space="preserve"> L’alinéa 4 énonce que : « </w:t>
      </w:r>
      <w:r>
        <w:rPr>
          <w:rFonts w:ascii="Rockwell" w:hAnsi="Rockwell"/>
          <w:i/>
        </w:rPr>
        <w:t>Tout programme de catégorie 5 est interdite de diffusion. Par dérogation, un programme de catégorie 5 peut être diffusé entre minuit et 5 heures uniquement dans un service linéaire crypté diffusé en mode analogique.</w:t>
      </w:r>
      <w:r>
        <w:rPr>
          <w:rFonts w:ascii="Rockwell" w:hAnsi="Rockwell"/>
        </w:rPr>
        <w:t> »</w:t>
      </w:r>
    </w:p>
  </w:footnote>
  <w:footnote w:id="14">
    <w:p w14:paraId="69F7CFD1" w14:textId="77777777" w:rsidR="003148F1" w:rsidRDefault="003148F1">
      <w:pPr>
        <w:pStyle w:val="Notedebasdepage"/>
      </w:pPr>
      <w:r>
        <w:rPr>
          <w:rStyle w:val="Appelnotedebasdep"/>
        </w:rPr>
        <w:footnoteRef/>
      </w:r>
      <w:r>
        <w:t xml:space="preserve"> L</w:t>
      </w:r>
      <w:r>
        <w:rPr>
          <w:rFonts w:ascii="Rockwell" w:hAnsi="Rockwell"/>
        </w:rPr>
        <w:t>’article 111 de la loi n°080-2015/CNT du 23 novembre 2015 portant règlementation de la publicité au Burkina Faso.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3AD3E0" w14:textId="77777777" w:rsidR="003148F1" w:rsidRDefault="003148F1">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21B214" w14:textId="77777777" w:rsidR="003148F1" w:rsidRDefault="003148F1">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D293A8" w14:textId="77777777" w:rsidR="003148F1" w:rsidRDefault="003148F1">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2BF84" w14:textId="77777777" w:rsidR="003148F1" w:rsidRDefault="003148F1">
    <w:pPr>
      <w:pStyle w:val="En-tt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EE06D1" w14:textId="77777777" w:rsidR="003148F1" w:rsidRDefault="003148F1">
    <w:pPr>
      <w:pStyle w:val="En-tt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FEB73D" w14:textId="77777777" w:rsidR="003148F1" w:rsidRDefault="003148F1">
    <w:pPr>
      <w:pStyle w:val="En-tt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58405B" w14:textId="77777777" w:rsidR="003148F1" w:rsidRDefault="003148F1">
    <w:pPr>
      <w:pStyle w:val="En-tt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36E830" w14:textId="77777777" w:rsidR="003148F1" w:rsidRDefault="003148F1">
    <w:pPr>
      <w:pStyle w:val="En-tte"/>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781E76" w14:textId="77777777" w:rsidR="003148F1" w:rsidRDefault="003148F1">
    <w:pPr>
      <w:pStyle w:val="En-tte"/>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DD8463" w14:textId="77777777" w:rsidR="003148F1" w:rsidRDefault="003148F1">
    <w:pPr>
      <w:pStyle w:val="En-tte"/>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D1C107" w14:textId="77777777" w:rsidR="003148F1" w:rsidRDefault="003148F1">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1.25pt;height:11.25pt" o:bullet="t">
        <v:imagedata r:id="rId1" o:title=""/>
      </v:shape>
    </w:pict>
  </w:numPicBullet>
  <w:abstractNum w:abstractNumId="0" w15:restartNumberingAfterBreak="0">
    <w:nsid w:val="0092007D"/>
    <w:multiLevelType w:val="multilevel"/>
    <w:tmpl w:val="0092007D"/>
    <w:lvl w:ilvl="0">
      <w:numFmt w:val="bullet"/>
      <w:lvlText w:val="-"/>
      <w:lvlJc w:val="left"/>
      <w:pPr>
        <w:ind w:left="644" w:hanging="360"/>
      </w:pPr>
      <w:rPr>
        <w:rFonts w:ascii="Arial Narrow" w:eastAsia="Times New Roman" w:hAnsi="Arial Narrow" w:cs="Times New Roman"/>
        <w:color w:val="auto"/>
      </w:r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1" w15:restartNumberingAfterBreak="0">
    <w:nsid w:val="010249AC"/>
    <w:multiLevelType w:val="multilevel"/>
    <w:tmpl w:val="010249AC"/>
    <w:lvl w:ilvl="0">
      <w:start w:val="1"/>
      <w:numFmt w:val="bullet"/>
      <w:lvlText w:val=""/>
      <w:lvlJc w:val="left"/>
      <w:pPr>
        <w:ind w:left="720" w:hanging="360"/>
      </w:pPr>
      <w:rPr>
        <w:rFonts w:ascii="Wingdings" w:hAnsi="Wingdings"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1B10C31"/>
    <w:multiLevelType w:val="multilevel"/>
    <w:tmpl w:val="01B10C31"/>
    <w:lvl w:ilvl="0">
      <w:start w:val="1"/>
      <w:numFmt w:val="decimal"/>
      <w:lvlText w:val="%1."/>
      <w:lvlJc w:val="left"/>
      <w:pPr>
        <w:ind w:left="390" w:hanging="390"/>
      </w:pPr>
      <w:rPr>
        <w:rFonts w:ascii="Times New Roman" w:hAnsi="Times New Roman" w:hint="default"/>
        <w:i w:val="0"/>
      </w:rPr>
    </w:lvl>
    <w:lvl w:ilvl="1">
      <w:start w:val="1"/>
      <w:numFmt w:val="decimal"/>
      <w:lvlText w:val="%1.%2."/>
      <w:lvlJc w:val="left"/>
      <w:pPr>
        <w:ind w:left="1440" w:hanging="720"/>
      </w:pPr>
      <w:rPr>
        <w:rFonts w:ascii="Times New Roman" w:hAnsi="Times New Roman" w:hint="default"/>
        <w:i w:val="0"/>
      </w:rPr>
    </w:lvl>
    <w:lvl w:ilvl="2">
      <w:start w:val="1"/>
      <w:numFmt w:val="decimal"/>
      <w:lvlText w:val="%1.%2.%3."/>
      <w:lvlJc w:val="left"/>
      <w:pPr>
        <w:ind w:left="2520" w:hanging="1080"/>
      </w:pPr>
      <w:rPr>
        <w:rFonts w:ascii="Times New Roman" w:hAnsi="Times New Roman" w:hint="default"/>
        <w:i w:val="0"/>
      </w:rPr>
    </w:lvl>
    <w:lvl w:ilvl="3">
      <w:start w:val="1"/>
      <w:numFmt w:val="decimal"/>
      <w:lvlText w:val="%1.%2.%3.%4."/>
      <w:lvlJc w:val="left"/>
      <w:pPr>
        <w:ind w:left="3240" w:hanging="1080"/>
      </w:pPr>
      <w:rPr>
        <w:rFonts w:ascii="Times New Roman" w:hAnsi="Times New Roman" w:hint="default"/>
        <w:i w:val="0"/>
      </w:rPr>
    </w:lvl>
    <w:lvl w:ilvl="4">
      <w:start w:val="1"/>
      <w:numFmt w:val="decimal"/>
      <w:lvlText w:val="%1.%2.%3.%4.%5."/>
      <w:lvlJc w:val="left"/>
      <w:pPr>
        <w:ind w:left="4320" w:hanging="1440"/>
      </w:pPr>
      <w:rPr>
        <w:rFonts w:ascii="Times New Roman" w:hAnsi="Times New Roman" w:hint="default"/>
        <w:i w:val="0"/>
      </w:rPr>
    </w:lvl>
    <w:lvl w:ilvl="5">
      <w:start w:val="1"/>
      <w:numFmt w:val="decimal"/>
      <w:lvlText w:val="%1.%2.%3.%4.%5.%6."/>
      <w:lvlJc w:val="left"/>
      <w:pPr>
        <w:ind w:left="5400" w:hanging="1800"/>
      </w:pPr>
      <w:rPr>
        <w:rFonts w:ascii="Times New Roman" w:hAnsi="Times New Roman" w:hint="default"/>
        <w:i w:val="0"/>
      </w:rPr>
    </w:lvl>
    <w:lvl w:ilvl="6">
      <w:start w:val="1"/>
      <w:numFmt w:val="decimal"/>
      <w:lvlText w:val="%1.%2.%3.%4.%5.%6.%7."/>
      <w:lvlJc w:val="left"/>
      <w:pPr>
        <w:ind w:left="6480" w:hanging="2160"/>
      </w:pPr>
      <w:rPr>
        <w:rFonts w:ascii="Times New Roman" w:hAnsi="Times New Roman" w:hint="default"/>
        <w:i w:val="0"/>
      </w:rPr>
    </w:lvl>
    <w:lvl w:ilvl="7">
      <w:start w:val="1"/>
      <w:numFmt w:val="decimal"/>
      <w:lvlText w:val="%1.%2.%3.%4.%5.%6.%7.%8."/>
      <w:lvlJc w:val="left"/>
      <w:pPr>
        <w:ind w:left="7200" w:hanging="2160"/>
      </w:pPr>
      <w:rPr>
        <w:rFonts w:ascii="Times New Roman" w:hAnsi="Times New Roman" w:hint="default"/>
        <w:i w:val="0"/>
      </w:rPr>
    </w:lvl>
    <w:lvl w:ilvl="8">
      <w:start w:val="1"/>
      <w:numFmt w:val="decimal"/>
      <w:lvlText w:val="%1.%2.%3.%4.%5.%6.%7.%8.%9."/>
      <w:lvlJc w:val="left"/>
      <w:pPr>
        <w:ind w:left="8280" w:hanging="2520"/>
      </w:pPr>
      <w:rPr>
        <w:rFonts w:ascii="Times New Roman" w:hAnsi="Times New Roman" w:hint="default"/>
        <w:i w:val="0"/>
      </w:rPr>
    </w:lvl>
  </w:abstractNum>
  <w:abstractNum w:abstractNumId="3" w15:restartNumberingAfterBreak="0">
    <w:nsid w:val="03E80471"/>
    <w:multiLevelType w:val="multilevel"/>
    <w:tmpl w:val="03E80471"/>
    <w:lvl w:ilvl="0">
      <w:start w:val="1"/>
      <w:numFmt w:val="bullet"/>
      <w:lvlText w:val=""/>
      <w:lvlJc w:val="left"/>
      <w:pPr>
        <w:ind w:left="720" w:hanging="360"/>
      </w:pPr>
      <w:rPr>
        <w:rFonts w:ascii="Wingdings" w:hAnsi="Wingdings"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AB610D1"/>
    <w:multiLevelType w:val="multilevel"/>
    <w:tmpl w:val="0AB610D1"/>
    <w:lvl w:ilvl="0">
      <w:numFmt w:val="bullet"/>
      <w:lvlText w:val="-"/>
      <w:lvlJc w:val="left"/>
      <w:pPr>
        <w:ind w:left="1140" w:hanging="360"/>
      </w:pPr>
      <w:rPr>
        <w:rFonts w:ascii="Times New Roman" w:eastAsia="Calibri" w:hAnsi="Times New Roman" w:cs="Times New Roman"/>
      </w:rPr>
    </w:lvl>
    <w:lvl w:ilvl="1">
      <w:numFmt w:val="bullet"/>
      <w:lvlText w:val="o"/>
      <w:lvlJc w:val="left"/>
      <w:pPr>
        <w:ind w:left="1860" w:hanging="360"/>
      </w:pPr>
      <w:rPr>
        <w:rFonts w:ascii="Courier New" w:hAnsi="Courier New" w:cs="Courier New"/>
      </w:rPr>
    </w:lvl>
    <w:lvl w:ilvl="2">
      <w:numFmt w:val="bullet"/>
      <w:lvlText w:val=""/>
      <w:lvlJc w:val="left"/>
      <w:pPr>
        <w:ind w:left="2580" w:hanging="360"/>
      </w:pPr>
      <w:rPr>
        <w:rFonts w:ascii="Wingdings" w:hAnsi="Wingdings"/>
      </w:rPr>
    </w:lvl>
    <w:lvl w:ilvl="3">
      <w:numFmt w:val="bullet"/>
      <w:lvlText w:val=""/>
      <w:lvlJc w:val="left"/>
      <w:pPr>
        <w:ind w:left="3300" w:hanging="360"/>
      </w:pPr>
      <w:rPr>
        <w:rFonts w:ascii="Symbol" w:hAnsi="Symbol"/>
      </w:rPr>
    </w:lvl>
    <w:lvl w:ilvl="4">
      <w:numFmt w:val="bullet"/>
      <w:lvlText w:val="o"/>
      <w:lvlJc w:val="left"/>
      <w:pPr>
        <w:ind w:left="4020" w:hanging="360"/>
      </w:pPr>
      <w:rPr>
        <w:rFonts w:ascii="Courier New" w:hAnsi="Courier New" w:cs="Courier New"/>
      </w:rPr>
    </w:lvl>
    <w:lvl w:ilvl="5">
      <w:numFmt w:val="bullet"/>
      <w:lvlText w:val=""/>
      <w:lvlJc w:val="left"/>
      <w:pPr>
        <w:ind w:left="4740" w:hanging="360"/>
      </w:pPr>
      <w:rPr>
        <w:rFonts w:ascii="Wingdings" w:hAnsi="Wingdings"/>
      </w:rPr>
    </w:lvl>
    <w:lvl w:ilvl="6">
      <w:numFmt w:val="bullet"/>
      <w:lvlText w:val=""/>
      <w:lvlJc w:val="left"/>
      <w:pPr>
        <w:ind w:left="5460" w:hanging="360"/>
      </w:pPr>
      <w:rPr>
        <w:rFonts w:ascii="Symbol" w:hAnsi="Symbol"/>
      </w:rPr>
    </w:lvl>
    <w:lvl w:ilvl="7">
      <w:numFmt w:val="bullet"/>
      <w:lvlText w:val="o"/>
      <w:lvlJc w:val="left"/>
      <w:pPr>
        <w:ind w:left="6180" w:hanging="360"/>
      </w:pPr>
      <w:rPr>
        <w:rFonts w:ascii="Courier New" w:hAnsi="Courier New" w:cs="Courier New"/>
      </w:rPr>
    </w:lvl>
    <w:lvl w:ilvl="8">
      <w:numFmt w:val="bullet"/>
      <w:lvlText w:val=""/>
      <w:lvlJc w:val="left"/>
      <w:pPr>
        <w:ind w:left="6900" w:hanging="360"/>
      </w:pPr>
      <w:rPr>
        <w:rFonts w:ascii="Wingdings" w:hAnsi="Wingdings"/>
      </w:rPr>
    </w:lvl>
  </w:abstractNum>
  <w:abstractNum w:abstractNumId="5" w15:restartNumberingAfterBreak="0">
    <w:nsid w:val="0E5A3E28"/>
    <w:multiLevelType w:val="multilevel"/>
    <w:tmpl w:val="0E5A3E28"/>
    <w:lvl w:ilvl="0">
      <w:start w:val="4"/>
      <w:numFmt w:val="decimal"/>
      <w:lvlText w:val="%1."/>
      <w:lvlJc w:val="left"/>
      <w:pPr>
        <w:ind w:left="450" w:hanging="450"/>
      </w:pPr>
      <w:rPr>
        <w:rFonts w:hint="default"/>
      </w:rPr>
    </w:lvl>
    <w:lvl w:ilvl="1">
      <w:start w:val="2"/>
      <w:numFmt w:val="decimal"/>
      <w:lvlText w:val="%1.%2."/>
      <w:lvlJc w:val="left"/>
      <w:pPr>
        <w:ind w:left="1110" w:hanging="720"/>
      </w:pPr>
      <w:rPr>
        <w:rFonts w:hint="default"/>
      </w:rPr>
    </w:lvl>
    <w:lvl w:ilvl="2">
      <w:start w:val="1"/>
      <w:numFmt w:val="decimal"/>
      <w:lvlText w:val="%1.%2.%3."/>
      <w:lvlJc w:val="left"/>
      <w:pPr>
        <w:ind w:left="1860" w:hanging="108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3000" w:hanging="1440"/>
      </w:pPr>
      <w:rPr>
        <w:rFonts w:hint="default"/>
      </w:rPr>
    </w:lvl>
    <w:lvl w:ilvl="5">
      <w:start w:val="1"/>
      <w:numFmt w:val="decimal"/>
      <w:lvlText w:val="%1.%2.%3.%4.%5.%6."/>
      <w:lvlJc w:val="left"/>
      <w:pPr>
        <w:ind w:left="3750" w:hanging="1800"/>
      </w:pPr>
      <w:rPr>
        <w:rFonts w:hint="default"/>
      </w:rPr>
    </w:lvl>
    <w:lvl w:ilvl="6">
      <w:start w:val="1"/>
      <w:numFmt w:val="decimal"/>
      <w:lvlText w:val="%1.%2.%3.%4.%5.%6.%7."/>
      <w:lvlJc w:val="left"/>
      <w:pPr>
        <w:ind w:left="4500" w:hanging="2160"/>
      </w:pPr>
      <w:rPr>
        <w:rFonts w:hint="default"/>
      </w:rPr>
    </w:lvl>
    <w:lvl w:ilvl="7">
      <w:start w:val="1"/>
      <w:numFmt w:val="decimal"/>
      <w:lvlText w:val="%1.%2.%3.%4.%5.%6.%7.%8."/>
      <w:lvlJc w:val="left"/>
      <w:pPr>
        <w:ind w:left="4890" w:hanging="2160"/>
      </w:pPr>
      <w:rPr>
        <w:rFonts w:hint="default"/>
      </w:rPr>
    </w:lvl>
    <w:lvl w:ilvl="8">
      <w:start w:val="1"/>
      <w:numFmt w:val="decimal"/>
      <w:lvlText w:val="%1.%2.%3.%4.%5.%6.%7.%8.%9."/>
      <w:lvlJc w:val="left"/>
      <w:pPr>
        <w:ind w:left="5640" w:hanging="2520"/>
      </w:pPr>
      <w:rPr>
        <w:rFonts w:hint="default"/>
      </w:rPr>
    </w:lvl>
  </w:abstractNum>
  <w:abstractNum w:abstractNumId="6" w15:restartNumberingAfterBreak="0">
    <w:nsid w:val="103E4D7D"/>
    <w:multiLevelType w:val="multilevel"/>
    <w:tmpl w:val="103E4D7D"/>
    <w:lvl w:ilvl="0">
      <w:start w:val="1"/>
      <w:numFmt w:val="decimal"/>
      <w:lvlText w:val="%1."/>
      <w:lvlJc w:val="left"/>
      <w:pPr>
        <w:ind w:left="450" w:hanging="45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7" w15:restartNumberingAfterBreak="0">
    <w:nsid w:val="11936486"/>
    <w:multiLevelType w:val="multilevel"/>
    <w:tmpl w:val="11936486"/>
    <w:lvl w:ilvl="0">
      <w:start w:val="1"/>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22A1A54"/>
    <w:multiLevelType w:val="multilevel"/>
    <w:tmpl w:val="122A1A54"/>
    <w:lvl w:ilvl="0">
      <w:numFmt w:val="bullet"/>
      <w:lvlText w:val="-"/>
      <w:lvlJc w:val="left"/>
      <w:pPr>
        <w:ind w:left="1772" w:hanging="360"/>
      </w:pPr>
      <w:rPr>
        <w:rFonts w:ascii="Times New Roman" w:eastAsia="Calibri" w:hAnsi="Times New Roman" w:cs="Times New Roman"/>
      </w:rPr>
    </w:lvl>
    <w:lvl w:ilvl="1">
      <w:numFmt w:val="bullet"/>
      <w:lvlText w:val="o"/>
      <w:lvlJc w:val="left"/>
      <w:pPr>
        <w:ind w:left="2492" w:hanging="360"/>
      </w:pPr>
      <w:rPr>
        <w:rFonts w:ascii="Courier New" w:hAnsi="Courier New" w:cs="Courier New"/>
      </w:rPr>
    </w:lvl>
    <w:lvl w:ilvl="2">
      <w:numFmt w:val="bullet"/>
      <w:lvlText w:val=""/>
      <w:lvlJc w:val="left"/>
      <w:pPr>
        <w:ind w:left="3212" w:hanging="360"/>
      </w:pPr>
      <w:rPr>
        <w:rFonts w:ascii="Wingdings" w:hAnsi="Wingdings"/>
      </w:rPr>
    </w:lvl>
    <w:lvl w:ilvl="3">
      <w:numFmt w:val="bullet"/>
      <w:lvlText w:val=""/>
      <w:lvlJc w:val="left"/>
      <w:pPr>
        <w:ind w:left="3932" w:hanging="360"/>
      </w:pPr>
      <w:rPr>
        <w:rFonts w:ascii="Symbol" w:hAnsi="Symbol"/>
      </w:rPr>
    </w:lvl>
    <w:lvl w:ilvl="4">
      <w:numFmt w:val="bullet"/>
      <w:lvlText w:val="o"/>
      <w:lvlJc w:val="left"/>
      <w:pPr>
        <w:ind w:left="4652" w:hanging="360"/>
      </w:pPr>
      <w:rPr>
        <w:rFonts w:ascii="Courier New" w:hAnsi="Courier New" w:cs="Courier New"/>
      </w:rPr>
    </w:lvl>
    <w:lvl w:ilvl="5">
      <w:numFmt w:val="bullet"/>
      <w:lvlText w:val=""/>
      <w:lvlJc w:val="left"/>
      <w:pPr>
        <w:ind w:left="5372" w:hanging="360"/>
      </w:pPr>
      <w:rPr>
        <w:rFonts w:ascii="Wingdings" w:hAnsi="Wingdings"/>
      </w:rPr>
    </w:lvl>
    <w:lvl w:ilvl="6">
      <w:numFmt w:val="bullet"/>
      <w:lvlText w:val=""/>
      <w:lvlJc w:val="left"/>
      <w:pPr>
        <w:ind w:left="6092" w:hanging="360"/>
      </w:pPr>
      <w:rPr>
        <w:rFonts w:ascii="Symbol" w:hAnsi="Symbol"/>
      </w:rPr>
    </w:lvl>
    <w:lvl w:ilvl="7">
      <w:numFmt w:val="bullet"/>
      <w:lvlText w:val="o"/>
      <w:lvlJc w:val="left"/>
      <w:pPr>
        <w:ind w:left="6812" w:hanging="360"/>
      </w:pPr>
      <w:rPr>
        <w:rFonts w:ascii="Courier New" w:hAnsi="Courier New" w:cs="Courier New"/>
      </w:rPr>
    </w:lvl>
    <w:lvl w:ilvl="8">
      <w:numFmt w:val="bullet"/>
      <w:lvlText w:val=""/>
      <w:lvlJc w:val="left"/>
      <w:pPr>
        <w:ind w:left="7532" w:hanging="360"/>
      </w:pPr>
      <w:rPr>
        <w:rFonts w:ascii="Wingdings" w:hAnsi="Wingdings"/>
      </w:rPr>
    </w:lvl>
  </w:abstractNum>
  <w:abstractNum w:abstractNumId="9" w15:restartNumberingAfterBreak="0">
    <w:nsid w:val="12810FCF"/>
    <w:multiLevelType w:val="multilevel"/>
    <w:tmpl w:val="12810FCF"/>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0150AB"/>
    <w:multiLevelType w:val="multilevel"/>
    <w:tmpl w:val="160150AB"/>
    <w:lvl w:ilvl="0">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6A855BD"/>
    <w:multiLevelType w:val="multilevel"/>
    <w:tmpl w:val="16A855BD"/>
    <w:lvl w:ilvl="0">
      <w:numFmt w:val="bullet"/>
      <w:lvlText w:val=""/>
      <w:lvlJc w:val="left"/>
      <w:pPr>
        <w:ind w:left="786" w:hanging="360"/>
      </w:pPr>
      <w:rPr>
        <w:rFonts w:ascii="Wingdings" w:hAnsi="Wingdings"/>
      </w:rPr>
    </w:lvl>
    <w:lvl w:ilvl="1">
      <w:numFmt w:val="bullet"/>
      <w:lvlText w:val="o"/>
      <w:lvlJc w:val="left"/>
      <w:pPr>
        <w:ind w:left="1506" w:hanging="360"/>
      </w:pPr>
      <w:rPr>
        <w:rFonts w:ascii="Courier New" w:hAnsi="Courier New" w:cs="Courier New"/>
      </w:rPr>
    </w:lvl>
    <w:lvl w:ilvl="2">
      <w:numFmt w:val="bullet"/>
      <w:lvlText w:val=""/>
      <w:lvlJc w:val="left"/>
      <w:pPr>
        <w:ind w:left="2226" w:hanging="360"/>
      </w:pPr>
      <w:rPr>
        <w:rFonts w:ascii="Wingdings" w:hAnsi="Wingdings"/>
      </w:rPr>
    </w:lvl>
    <w:lvl w:ilvl="3">
      <w:numFmt w:val="bullet"/>
      <w:lvlText w:val=""/>
      <w:lvlJc w:val="left"/>
      <w:pPr>
        <w:ind w:left="2946" w:hanging="360"/>
      </w:pPr>
      <w:rPr>
        <w:rFonts w:ascii="Symbol" w:hAnsi="Symbol"/>
      </w:rPr>
    </w:lvl>
    <w:lvl w:ilvl="4">
      <w:numFmt w:val="bullet"/>
      <w:lvlText w:val="o"/>
      <w:lvlJc w:val="left"/>
      <w:pPr>
        <w:ind w:left="3666" w:hanging="360"/>
      </w:pPr>
      <w:rPr>
        <w:rFonts w:ascii="Courier New" w:hAnsi="Courier New" w:cs="Courier New"/>
      </w:rPr>
    </w:lvl>
    <w:lvl w:ilvl="5">
      <w:numFmt w:val="bullet"/>
      <w:lvlText w:val=""/>
      <w:lvlJc w:val="left"/>
      <w:pPr>
        <w:ind w:left="4386" w:hanging="360"/>
      </w:pPr>
      <w:rPr>
        <w:rFonts w:ascii="Wingdings" w:hAnsi="Wingdings"/>
      </w:rPr>
    </w:lvl>
    <w:lvl w:ilvl="6">
      <w:numFmt w:val="bullet"/>
      <w:lvlText w:val=""/>
      <w:lvlJc w:val="left"/>
      <w:pPr>
        <w:ind w:left="5106" w:hanging="360"/>
      </w:pPr>
      <w:rPr>
        <w:rFonts w:ascii="Symbol" w:hAnsi="Symbol"/>
      </w:rPr>
    </w:lvl>
    <w:lvl w:ilvl="7">
      <w:numFmt w:val="bullet"/>
      <w:lvlText w:val="o"/>
      <w:lvlJc w:val="left"/>
      <w:pPr>
        <w:ind w:left="5826" w:hanging="360"/>
      </w:pPr>
      <w:rPr>
        <w:rFonts w:ascii="Courier New" w:hAnsi="Courier New" w:cs="Courier New"/>
      </w:rPr>
    </w:lvl>
    <w:lvl w:ilvl="8">
      <w:numFmt w:val="bullet"/>
      <w:lvlText w:val=""/>
      <w:lvlJc w:val="left"/>
      <w:pPr>
        <w:ind w:left="6546" w:hanging="360"/>
      </w:pPr>
      <w:rPr>
        <w:rFonts w:ascii="Wingdings" w:hAnsi="Wingdings"/>
      </w:rPr>
    </w:lvl>
  </w:abstractNum>
  <w:abstractNum w:abstractNumId="12" w15:restartNumberingAfterBreak="0">
    <w:nsid w:val="170130A0"/>
    <w:multiLevelType w:val="multilevel"/>
    <w:tmpl w:val="170130A0"/>
    <w:lvl w:ilvl="0">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7B53E5C"/>
    <w:multiLevelType w:val="multilevel"/>
    <w:tmpl w:val="17B53E5C"/>
    <w:lvl w:ilvl="0">
      <w:start w:val="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8D9617C"/>
    <w:multiLevelType w:val="multilevel"/>
    <w:tmpl w:val="18D9617C"/>
    <w:lvl w:ilvl="0">
      <w:start w:val="2"/>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1AC2282B"/>
    <w:multiLevelType w:val="multilevel"/>
    <w:tmpl w:val="1AC2282B"/>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243831AC"/>
    <w:multiLevelType w:val="multilevel"/>
    <w:tmpl w:val="243831AC"/>
    <w:lvl w:ilvl="0">
      <w:start w:val="1"/>
      <w:numFmt w:val="decimal"/>
      <w:lvlText w:val="%1."/>
      <w:lvlJc w:val="left"/>
      <w:pPr>
        <w:ind w:left="785" w:hanging="360"/>
      </w:pPr>
      <w:rPr>
        <w:rFonts w:hint="default"/>
      </w:rPr>
    </w:lvl>
    <w:lvl w:ilvl="1">
      <w:start w:val="1"/>
      <w:numFmt w:val="bullet"/>
      <w:lvlText w:val="o"/>
      <w:lvlJc w:val="left"/>
      <w:pPr>
        <w:ind w:left="1505" w:hanging="360"/>
      </w:pPr>
      <w:rPr>
        <w:rFonts w:ascii="Courier New" w:hAnsi="Courier New" w:cs="Courier New" w:hint="default"/>
      </w:rPr>
    </w:lvl>
    <w:lvl w:ilvl="2">
      <w:start w:val="1"/>
      <w:numFmt w:val="bullet"/>
      <w:lvlText w:val=""/>
      <w:lvlJc w:val="left"/>
      <w:pPr>
        <w:ind w:left="2225" w:hanging="360"/>
      </w:pPr>
      <w:rPr>
        <w:rFonts w:ascii="Wingdings" w:hAnsi="Wingdings" w:hint="default"/>
      </w:rPr>
    </w:lvl>
    <w:lvl w:ilvl="3">
      <w:start w:val="1"/>
      <w:numFmt w:val="bullet"/>
      <w:lvlText w:val=""/>
      <w:lvlJc w:val="left"/>
      <w:pPr>
        <w:ind w:left="2945" w:hanging="360"/>
      </w:pPr>
      <w:rPr>
        <w:rFonts w:ascii="Symbol" w:hAnsi="Symbol" w:hint="default"/>
      </w:rPr>
    </w:lvl>
    <w:lvl w:ilvl="4">
      <w:start w:val="1"/>
      <w:numFmt w:val="bullet"/>
      <w:lvlText w:val="o"/>
      <w:lvlJc w:val="left"/>
      <w:pPr>
        <w:ind w:left="3665" w:hanging="360"/>
      </w:pPr>
      <w:rPr>
        <w:rFonts w:ascii="Courier New" w:hAnsi="Courier New" w:cs="Courier New" w:hint="default"/>
      </w:rPr>
    </w:lvl>
    <w:lvl w:ilvl="5">
      <w:start w:val="1"/>
      <w:numFmt w:val="bullet"/>
      <w:lvlText w:val=""/>
      <w:lvlJc w:val="left"/>
      <w:pPr>
        <w:ind w:left="4385" w:hanging="360"/>
      </w:pPr>
      <w:rPr>
        <w:rFonts w:ascii="Wingdings" w:hAnsi="Wingdings" w:hint="default"/>
      </w:rPr>
    </w:lvl>
    <w:lvl w:ilvl="6">
      <w:start w:val="1"/>
      <w:numFmt w:val="bullet"/>
      <w:lvlText w:val=""/>
      <w:lvlJc w:val="left"/>
      <w:pPr>
        <w:ind w:left="5105" w:hanging="360"/>
      </w:pPr>
      <w:rPr>
        <w:rFonts w:ascii="Symbol" w:hAnsi="Symbol" w:hint="default"/>
      </w:rPr>
    </w:lvl>
    <w:lvl w:ilvl="7">
      <w:start w:val="1"/>
      <w:numFmt w:val="bullet"/>
      <w:lvlText w:val="o"/>
      <w:lvlJc w:val="left"/>
      <w:pPr>
        <w:ind w:left="5825" w:hanging="360"/>
      </w:pPr>
      <w:rPr>
        <w:rFonts w:ascii="Courier New" w:hAnsi="Courier New" w:cs="Courier New" w:hint="default"/>
      </w:rPr>
    </w:lvl>
    <w:lvl w:ilvl="8">
      <w:start w:val="1"/>
      <w:numFmt w:val="bullet"/>
      <w:lvlText w:val=""/>
      <w:lvlJc w:val="left"/>
      <w:pPr>
        <w:ind w:left="6545" w:hanging="360"/>
      </w:pPr>
      <w:rPr>
        <w:rFonts w:ascii="Wingdings" w:hAnsi="Wingdings" w:hint="default"/>
      </w:rPr>
    </w:lvl>
  </w:abstractNum>
  <w:abstractNum w:abstractNumId="17" w15:restartNumberingAfterBreak="0">
    <w:nsid w:val="260130F6"/>
    <w:multiLevelType w:val="multilevel"/>
    <w:tmpl w:val="260130F6"/>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280C0262"/>
    <w:multiLevelType w:val="multilevel"/>
    <w:tmpl w:val="280C0262"/>
    <w:lvl w:ilvl="0">
      <w:start w:val="1"/>
      <w:numFmt w:val="decimal"/>
      <w:lvlText w:val="%1."/>
      <w:lvlJc w:val="left"/>
      <w:pPr>
        <w:ind w:left="450" w:hanging="45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932" w:hanging="108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3144" w:hanging="1440"/>
      </w:pPr>
      <w:rPr>
        <w:rFonts w:hint="default"/>
      </w:rPr>
    </w:lvl>
    <w:lvl w:ilvl="5">
      <w:start w:val="1"/>
      <w:numFmt w:val="decimal"/>
      <w:lvlText w:val="%1.%2.%3.%4.%5.%6."/>
      <w:lvlJc w:val="left"/>
      <w:pPr>
        <w:ind w:left="3930" w:hanging="1800"/>
      </w:pPr>
      <w:rPr>
        <w:rFonts w:hint="default"/>
      </w:rPr>
    </w:lvl>
    <w:lvl w:ilvl="6">
      <w:start w:val="1"/>
      <w:numFmt w:val="decimal"/>
      <w:lvlText w:val="%1.%2.%3.%4.%5.%6.%7."/>
      <w:lvlJc w:val="left"/>
      <w:pPr>
        <w:ind w:left="4716" w:hanging="2160"/>
      </w:pPr>
      <w:rPr>
        <w:rFonts w:hint="default"/>
      </w:rPr>
    </w:lvl>
    <w:lvl w:ilvl="7">
      <w:start w:val="1"/>
      <w:numFmt w:val="decimal"/>
      <w:lvlText w:val="%1.%2.%3.%4.%5.%6.%7.%8."/>
      <w:lvlJc w:val="left"/>
      <w:pPr>
        <w:ind w:left="5142" w:hanging="2160"/>
      </w:pPr>
      <w:rPr>
        <w:rFonts w:hint="default"/>
      </w:rPr>
    </w:lvl>
    <w:lvl w:ilvl="8">
      <w:start w:val="1"/>
      <w:numFmt w:val="decimal"/>
      <w:lvlText w:val="%1.%2.%3.%4.%5.%6.%7.%8.%9."/>
      <w:lvlJc w:val="left"/>
      <w:pPr>
        <w:ind w:left="5928" w:hanging="2520"/>
      </w:pPr>
      <w:rPr>
        <w:rFonts w:hint="default"/>
      </w:rPr>
    </w:lvl>
  </w:abstractNum>
  <w:abstractNum w:abstractNumId="19" w15:restartNumberingAfterBreak="0">
    <w:nsid w:val="29DF7E53"/>
    <w:multiLevelType w:val="multilevel"/>
    <w:tmpl w:val="29DF7E53"/>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AC8051A"/>
    <w:multiLevelType w:val="multilevel"/>
    <w:tmpl w:val="2AC8051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2214" w:hanging="108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562" w:hanging="216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7056" w:hanging="2520"/>
      </w:pPr>
      <w:rPr>
        <w:rFonts w:hint="default"/>
      </w:rPr>
    </w:lvl>
  </w:abstractNum>
  <w:abstractNum w:abstractNumId="21" w15:restartNumberingAfterBreak="0">
    <w:nsid w:val="300E49C3"/>
    <w:multiLevelType w:val="multilevel"/>
    <w:tmpl w:val="300E49C3"/>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1083E5B"/>
    <w:multiLevelType w:val="multilevel"/>
    <w:tmpl w:val="31083E5B"/>
    <w:lvl w:ilvl="0">
      <w:start w:val="1"/>
      <w:numFmt w:val="upperRoman"/>
      <w:lvlText w:val="%1."/>
      <w:lvlJc w:val="righ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31DB55D9"/>
    <w:multiLevelType w:val="multilevel"/>
    <w:tmpl w:val="31DB55D9"/>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36621E06"/>
    <w:multiLevelType w:val="multilevel"/>
    <w:tmpl w:val="36621E06"/>
    <w:lvl w:ilvl="0">
      <w:start w:val="5"/>
      <w:numFmt w:val="decimal"/>
      <w:lvlText w:val="%1."/>
      <w:lvlJc w:val="left"/>
      <w:pPr>
        <w:ind w:left="450" w:hanging="450"/>
      </w:pPr>
      <w:rPr>
        <w:rFonts w:hint="default"/>
      </w:rPr>
    </w:lvl>
    <w:lvl w:ilvl="1">
      <w:start w:val="2"/>
      <w:numFmt w:val="decimal"/>
      <w:lvlText w:val="%1.%2."/>
      <w:lvlJc w:val="left"/>
      <w:pPr>
        <w:ind w:left="578" w:hanging="720"/>
      </w:pPr>
      <w:rPr>
        <w:rFonts w:hint="default"/>
      </w:rPr>
    </w:lvl>
    <w:lvl w:ilvl="2">
      <w:start w:val="1"/>
      <w:numFmt w:val="decimal"/>
      <w:lvlText w:val="%1.%2.%3."/>
      <w:lvlJc w:val="left"/>
      <w:pPr>
        <w:ind w:left="796" w:hanging="1080"/>
      </w:pPr>
      <w:rPr>
        <w:rFonts w:hint="default"/>
      </w:rPr>
    </w:lvl>
    <w:lvl w:ilvl="3">
      <w:start w:val="1"/>
      <w:numFmt w:val="decimal"/>
      <w:lvlText w:val="%1.%2.%3.%4."/>
      <w:lvlJc w:val="left"/>
      <w:pPr>
        <w:ind w:left="654" w:hanging="1080"/>
      </w:pPr>
      <w:rPr>
        <w:rFonts w:hint="default"/>
      </w:rPr>
    </w:lvl>
    <w:lvl w:ilvl="4">
      <w:start w:val="1"/>
      <w:numFmt w:val="decimal"/>
      <w:lvlText w:val="%1.%2.%3.%4.%5."/>
      <w:lvlJc w:val="left"/>
      <w:pPr>
        <w:ind w:left="872" w:hanging="1440"/>
      </w:pPr>
      <w:rPr>
        <w:rFonts w:hint="default"/>
      </w:rPr>
    </w:lvl>
    <w:lvl w:ilvl="5">
      <w:start w:val="1"/>
      <w:numFmt w:val="decimal"/>
      <w:lvlText w:val="%1.%2.%3.%4.%5.%6."/>
      <w:lvlJc w:val="left"/>
      <w:pPr>
        <w:ind w:left="1090" w:hanging="1800"/>
      </w:pPr>
      <w:rPr>
        <w:rFonts w:hint="default"/>
      </w:rPr>
    </w:lvl>
    <w:lvl w:ilvl="6">
      <w:start w:val="1"/>
      <w:numFmt w:val="decimal"/>
      <w:lvlText w:val="%1.%2.%3.%4.%5.%6.%7."/>
      <w:lvlJc w:val="left"/>
      <w:pPr>
        <w:ind w:left="1308" w:hanging="2160"/>
      </w:pPr>
      <w:rPr>
        <w:rFonts w:hint="default"/>
      </w:rPr>
    </w:lvl>
    <w:lvl w:ilvl="7">
      <w:start w:val="1"/>
      <w:numFmt w:val="decimal"/>
      <w:lvlText w:val="%1.%2.%3.%4.%5.%6.%7.%8."/>
      <w:lvlJc w:val="left"/>
      <w:pPr>
        <w:ind w:left="1166" w:hanging="2160"/>
      </w:pPr>
      <w:rPr>
        <w:rFonts w:hint="default"/>
      </w:rPr>
    </w:lvl>
    <w:lvl w:ilvl="8">
      <w:start w:val="1"/>
      <w:numFmt w:val="decimal"/>
      <w:lvlText w:val="%1.%2.%3.%4.%5.%6.%7.%8.%9."/>
      <w:lvlJc w:val="left"/>
      <w:pPr>
        <w:ind w:left="1384" w:hanging="2520"/>
      </w:pPr>
      <w:rPr>
        <w:rFonts w:hint="default"/>
      </w:rPr>
    </w:lvl>
  </w:abstractNum>
  <w:abstractNum w:abstractNumId="25" w15:restartNumberingAfterBreak="0">
    <w:nsid w:val="37E1781B"/>
    <w:multiLevelType w:val="multilevel"/>
    <w:tmpl w:val="37E1781B"/>
    <w:lvl w:ilvl="0">
      <w:start w:val="2"/>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B7C4166"/>
    <w:multiLevelType w:val="multilevel"/>
    <w:tmpl w:val="3B7C4166"/>
    <w:lvl w:ilvl="0">
      <w:start w:val="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E057D58"/>
    <w:multiLevelType w:val="multilevel"/>
    <w:tmpl w:val="3E057D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7233B3E"/>
    <w:multiLevelType w:val="multilevel"/>
    <w:tmpl w:val="47233B3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9A44AA7"/>
    <w:multiLevelType w:val="multilevel"/>
    <w:tmpl w:val="49A44AA7"/>
    <w:lvl w:ilvl="0">
      <w:start w:val="1"/>
      <w:numFmt w:val="upperRoman"/>
      <w:pStyle w:val="Style2"/>
      <w:lvlText w:val="%1."/>
      <w:lvlJc w:val="left"/>
      <w:pPr>
        <w:ind w:left="1080" w:hanging="720"/>
      </w:pPr>
    </w:lvl>
    <w:lvl w:ilvl="1">
      <w:start w:val="1"/>
      <w:numFmt w:val="decimal"/>
      <w:lvlText w:val="%1.%2."/>
      <w:lvlJc w:val="left"/>
      <w:pPr>
        <w:ind w:left="2989" w:hanging="720"/>
      </w:pPr>
      <w:rPr>
        <w:b/>
      </w:rPr>
    </w:lvl>
    <w:lvl w:ilvl="2">
      <w:start w:val="1"/>
      <w:numFmt w:val="decimal"/>
      <w:lvlText w:val="%1.%2.%3."/>
      <w:lvlJc w:val="left"/>
      <w:pPr>
        <w:ind w:left="1288"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30" w15:restartNumberingAfterBreak="0">
    <w:nsid w:val="4C947DF7"/>
    <w:multiLevelType w:val="multilevel"/>
    <w:tmpl w:val="4C947DF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EAD1327"/>
    <w:multiLevelType w:val="multilevel"/>
    <w:tmpl w:val="4EAD1327"/>
    <w:lvl w:ilvl="0">
      <w:start w:val="2"/>
      <w:numFmt w:val="decimal"/>
      <w:lvlText w:val="%1."/>
      <w:lvlJc w:val="left"/>
      <w:pPr>
        <w:ind w:left="450" w:hanging="450"/>
      </w:pPr>
      <w:rPr>
        <w:rFonts w:hint="default"/>
      </w:rPr>
    </w:lvl>
    <w:lvl w:ilvl="1">
      <w:start w:val="1"/>
      <w:numFmt w:val="decimal"/>
      <w:lvlText w:val="%1.%2."/>
      <w:lvlJc w:val="left"/>
      <w:pPr>
        <w:ind w:left="1996" w:hanging="720"/>
      </w:pPr>
      <w:rPr>
        <w:rFonts w:hint="default"/>
      </w:rPr>
    </w:lvl>
    <w:lvl w:ilvl="2">
      <w:start w:val="1"/>
      <w:numFmt w:val="decimal"/>
      <w:lvlText w:val="%1.%2.%3."/>
      <w:lvlJc w:val="left"/>
      <w:pPr>
        <w:ind w:left="3632" w:hanging="1080"/>
      </w:pPr>
      <w:rPr>
        <w:rFonts w:hint="default"/>
      </w:rPr>
    </w:lvl>
    <w:lvl w:ilvl="3">
      <w:start w:val="1"/>
      <w:numFmt w:val="decimal"/>
      <w:lvlText w:val="%1.%2.%3.%4."/>
      <w:lvlJc w:val="left"/>
      <w:pPr>
        <w:ind w:left="4908" w:hanging="1080"/>
      </w:pPr>
      <w:rPr>
        <w:rFonts w:hint="default"/>
      </w:rPr>
    </w:lvl>
    <w:lvl w:ilvl="4">
      <w:start w:val="1"/>
      <w:numFmt w:val="decimal"/>
      <w:lvlText w:val="%1.%2.%3.%4.%5."/>
      <w:lvlJc w:val="left"/>
      <w:pPr>
        <w:ind w:left="6544" w:hanging="1440"/>
      </w:pPr>
      <w:rPr>
        <w:rFonts w:hint="default"/>
      </w:rPr>
    </w:lvl>
    <w:lvl w:ilvl="5">
      <w:start w:val="1"/>
      <w:numFmt w:val="decimal"/>
      <w:lvlText w:val="%1.%2.%3.%4.%5.%6."/>
      <w:lvlJc w:val="left"/>
      <w:pPr>
        <w:ind w:left="8180" w:hanging="1800"/>
      </w:pPr>
      <w:rPr>
        <w:rFonts w:hint="default"/>
      </w:rPr>
    </w:lvl>
    <w:lvl w:ilvl="6">
      <w:start w:val="1"/>
      <w:numFmt w:val="decimal"/>
      <w:lvlText w:val="%1.%2.%3.%4.%5.%6.%7."/>
      <w:lvlJc w:val="left"/>
      <w:pPr>
        <w:ind w:left="9816" w:hanging="2160"/>
      </w:pPr>
      <w:rPr>
        <w:rFonts w:hint="default"/>
      </w:rPr>
    </w:lvl>
    <w:lvl w:ilvl="7">
      <w:start w:val="1"/>
      <w:numFmt w:val="decimal"/>
      <w:lvlText w:val="%1.%2.%3.%4.%5.%6.%7.%8."/>
      <w:lvlJc w:val="left"/>
      <w:pPr>
        <w:ind w:left="11092" w:hanging="2160"/>
      </w:pPr>
      <w:rPr>
        <w:rFonts w:hint="default"/>
      </w:rPr>
    </w:lvl>
    <w:lvl w:ilvl="8">
      <w:start w:val="1"/>
      <w:numFmt w:val="decimal"/>
      <w:lvlText w:val="%1.%2.%3.%4.%5.%6.%7.%8.%9."/>
      <w:lvlJc w:val="left"/>
      <w:pPr>
        <w:ind w:left="12728" w:hanging="2520"/>
      </w:pPr>
      <w:rPr>
        <w:rFonts w:hint="default"/>
      </w:rPr>
    </w:lvl>
  </w:abstractNum>
  <w:abstractNum w:abstractNumId="32" w15:restartNumberingAfterBreak="0">
    <w:nsid w:val="4FB46BF8"/>
    <w:multiLevelType w:val="multilevel"/>
    <w:tmpl w:val="4FB46BF8"/>
    <w:lvl w:ilvl="0">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26D6335"/>
    <w:multiLevelType w:val="multilevel"/>
    <w:tmpl w:val="526D6335"/>
    <w:lvl w:ilvl="0">
      <w:start w:val="1"/>
      <w:numFmt w:val="bullet"/>
      <w:lvlText w:val=""/>
      <w:lvlJc w:val="left"/>
      <w:pPr>
        <w:ind w:left="720" w:hanging="360"/>
      </w:pPr>
      <w:rPr>
        <w:rFonts w:ascii="Wingdings" w:hAnsi="Wingdings"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46E59C6"/>
    <w:multiLevelType w:val="multilevel"/>
    <w:tmpl w:val="546E59C6"/>
    <w:lvl w:ilvl="0">
      <w:start w:val="3"/>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5" w15:restartNumberingAfterBreak="0">
    <w:nsid w:val="563E5251"/>
    <w:multiLevelType w:val="multilevel"/>
    <w:tmpl w:val="563E5251"/>
    <w:lvl w:ilvl="0">
      <w:start w:val="2"/>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6" w15:restartNumberingAfterBreak="0">
    <w:nsid w:val="56FF3DFC"/>
    <w:multiLevelType w:val="multilevel"/>
    <w:tmpl w:val="56FF3DFC"/>
    <w:lvl w:ilvl="0">
      <w:numFmt w:val="bullet"/>
      <w:lvlText w:val="-"/>
      <w:lvlJc w:val="left"/>
      <w:pPr>
        <w:ind w:left="785" w:hanging="360"/>
      </w:pPr>
      <w:rPr>
        <w:rFonts w:ascii="Times New Roman" w:eastAsia="Calibri" w:hAnsi="Times New Roman" w:cs="Times New Roman" w:hint="default"/>
      </w:rPr>
    </w:lvl>
    <w:lvl w:ilvl="1">
      <w:start w:val="1"/>
      <w:numFmt w:val="bullet"/>
      <w:lvlText w:val="o"/>
      <w:lvlJc w:val="left"/>
      <w:pPr>
        <w:ind w:left="1505" w:hanging="360"/>
      </w:pPr>
      <w:rPr>
        <w:rFonts w:ascii="Courier New" w:hAnsi="Courier New" w:cs="Courier New" w:hint="default"/>
      </w:rPr>
    </w:lvl>
    <w:lvl w:ilvl="2">
      <w:start w:val="1"/>
      <w:numFmt w:val="bullet"/>
      <w:lvlText w:val=""/>
      <w:lvlJc w:val="left"/>
      <w:pPr>
        <w:ind w:left="2225" w:hanging="360"/>
      </w:pPr>
      <w:rPr>
        <w:rFonts w:ascii="Wingdings" w:hAnsi="Wingdings" w:hint="default"/>
      </w:rPr>
    </w:lvl>
    <w:lvl w:ilvl="3">
      <w:start w:val="1"/>
      <w:numFmt w:val="bullet"/>
      <w:lvlText w:val=""/>
      <w:lvlJc w:val="left"/>
      <w:pPr>
        <w:ind w:left="2945" w:hanging="360"/>
      </w:pPr>
      <w:rPr>
        <w:rFonts w:ascii="Symbol" w:hAnsi="Symbol" w:hint="default"/>
      </w:rPr>
    </w:lvl>
    <w:lvl w:ilvl="4">
      <w:start w:val="1"/>
      <w:numFmt w:val="bullet"/>
      <w:lvlText w:val="o"/>
      <w:lvlJc w:val="left"/>
      <w:pPr>
        <w:ind w:left="3665" w:hanging="360"/>
      </w:pPr>
      <w:rPr>
        <w:rFonts w:ascii="Courier New" w:hAnsi="Courier New" w:cs="Courier New" w:hint="default"/>
      </w:rPr>
    </w:lvl>
    <w:lvl w:ilvl="5">
      <w:start w:val="1"/>
      <w:numFmt w:val="bullet"/>
      <w:lvlText w:val=""/>
      <w:lvlJc w:val="left"/>
      <w:pPr>
        <w:ind w:left="4385" w:hanging="360"/>
      </w:pPr>
      <w:rPr>
        <w:rFonts w:ascii="Wingdings" w:hAnsi="Wingdings" w:hint="default"/>
      </w:rPr>
    </w:lvl>
    <w:lvl w:ilvl="6">
      <w:start w:val="1"/>
      <w:numFmt w:val="bullet"/>
      <w:lvlText w:val=""/>
      <w:lvlJc w:val="left"/>
      <w:pPr>
        <w:ind w:left="5105" w:hanging="360"/>
      </w:pPr>
      <w:rPr>
        <w:rFonts w:ascii="Symbol" w:hAnsi="Symbol" w:hint="default"/>
      </w:rPr>
    </w:lvl>
    <w:lvl w:ilvl="7">
      <w:start w:val="1"/>
      <w:numFmt w:val="bullet"/>
      <w:lvlText w:val="o"/>
      <w:lvlJc w:val="left"/>
      <w:pPr>
        <w:ind w:left="5825" w:hanging="360"/>
      </w:pPr>
      <w:rPr>
        <w:rFonts w:ascii="Courier New" w:hAnsi="Courier New" w:cs="Courier New" w:hint="default"/>
      </w:rPr>
    </w:lvl>
    <w:lvl w:ilvl="8">
      <w:start w:val="1"/>
      <w:numFmt w:val="bullet"/>
      <w:lvlText w:val=""/>
      <w:lvlJc w:val="left"/>
      <w:pPr>
        <w:ind w:left="6545" w:hanging="360"/>
      </w:pPr>
      <w:rPr>
        <w:rFonts w:ascii="Wingdings" w:hAnsi="Wingdings" w:hint="default"/>
      </w:rPr>
    </w:lvl>
  </w:abstractNum>
  <w:abstractNum w:abstractNumId="37" w15:restartNumberingAfterBreak="0">
    <w:nsid w:val="598B764E"/>
    <w:multiLevelType w:val="multilevel"/>
    <w:tmpl w:val="598B764E"/>
    <w:lvl w:ilvl="0">
      <w:start w:val="2"/>
      <w:numFmt w:val="decimal"/>
      <w:lvlText w:val="%1."/>
      <w:lvlJc w:val="left"/>
      <w:pPr>
        <w:ind w:left="408" w:hanging="408"/>
      </w:pPr>
      <w:rPr>
        <w:rFonts w:hint="default"/>
      </w:rPr>
    </w:lvl>
    <w:lvl w:ilvl="1">
      <w:start w:val="2"/>
      <w:numFmt w:val="decimal"/>
      <w:lvlText w:val="%1.%2."/>
      <w:lvlJc w:val="left"/>
      <w:pPr>
        <w:ind w:left="1222" w:hanging="72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5314" w:hanging="1800"/>
      </w:pPr>
      <w:rPr>
        <w:rFonts w:hint="default"/>
      </w:rPr>
    </w:lvl>
    <w:lvl w:ilvl="8">
      <w:start w:val="1"/>
      <w:numFmt w:val="decimal"/>
      <w:lvlText w:val="%1.%2.%3.%4.%5.%6.%7.%8.%9."/>
      <w:lvlJc w:val="left"/>
      <w:pPr>
        <w:ind w:left="5816" w:hanging="1800"/>
      </w:pPr>
      <w:rPr>
        <w:rFonts w:hint="default"/>
      </w:rPr>
    </w:lvl>
  </w:abstractNum>
  <w:abstractNum w:abstractNumId="38" w15:restartNumberingAfterBreak="0">
    <w:nsid w:val="5BF46DF2"/>
    <w:multiLevelType w:val="multilevel"/>
    <w:tmpl w:val="5BF46DF2"/>
    <w:lvl w:ilvl="0">
      <w:numFmt w:val="bullet"/>
      <w:lvlText w:val=""/>
      <w:lvlJc w:val="left"/>
      <w:pPr>
        <w:ind w:left="780" w:hanging="360"/>
      </w:pPr>
      <w:rPr>
        <w:rFonts w:ascii="Wingdings" w:hAnsi="Wingdings"/>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39" w15:restartNumberingAfterBreak="0">
    <w:nsid w:val="602943F0"/>
    <w:multiLevelType w:val="multilevel"/>
    <w:tmpl w:val="602943F0"/>
    <w:lvl w:ilvl="0">
      <w:numFmt w:val="bullet"/>
      <w:lvlText w:val="-"/>
      <w:lvlJc w:val="left"/>
      <w:pPr>
        <w:ind w:left="785" w:hanging="360"/>
      </w:pPr>
      <w:rPr>
        <w:rFonts w:ascii="Times New Roman" w:eastAsia="Calibri" w:hAnsi="Times New Roman" w:cs="Times New Roman" w:hint="default"/>
      </w:rPr>
    </w:lvl>
    <w:lvl w:ilvl="1">
      <w:start w:val="1"/>
      <w:numFmt w:val="bullet"/>
      <w:lvlText w:val="o"/>
      <w:lvlJc w:val="left"/>
      <w:pPr>
        <w:ind w:left="1505" w:hanging="360"/>
      </w:pPr>
      <w:rPr>
        <w:rFonts w:ascii="Courier New" w:hAnsi="Courier New" w:cs="Courier New" w:hint="default"/>
      </w:rPr>
    </w:lvl>
    <w:lvl w:ilvl="2">
      <w:start w:val="1"/>
      <w:numFmt w:val="bullet"/>
      <w:lvlText w:val=""/>
      <w:lvlJc w:val="left"/>
      <w:pPr>
        <w:ind w:left="2225" w:hanging="360"/>
      </w:pPr>
      <w:rPr>
        <w:rFonts w:ascii="Wingdings" w:hAnsi="Wingdings" w:hint="default"/>
      </w:rPr>
    </w:lvl>
    <w:lvl w:ilvl="3">
      <w:start w:val="1"/>
      <w:numFmt w:val="bullet"/>
      <w:lvlText w:val=""/>
      <w:lvlJc w:val="left"/>
      <w:pPr>
        <w:ind w:left="2945" w:hanging="360"/>
      </w:pPr>
      <w:rPr>
        <w:rFonts w:ascii="Symbol" w:hAnsi="Symbol" w:hint="default"/>
      </w:rPr>
    </w:lvl>
    <w:lvl w:ilvl="4">
      <w:start w:val="1"/>
      <w:numFmt w:val="bullet"/>
      <w:lvlText w:val="o"/>
      <w:lvlJc w:val="left"/>
      <w:pPr>
        <w:ind w:left="3665" w:hanging="360"/>
      </w:pPr>
      <w:rPr>
        <w:rFonts w:ascii="Courier New" w:hAnsi="Courier New" w:cs="Courier New" w:hint="default"/>
      </w:rPr>
    </w:lvl>
    <w:lvl w:ilvl="5">
      <w:start w:val="1"/>
      <w:numFmt w:val="bullet"/>
      <w:lvlText w:val=""/>
      <w:lvlJc w:val="left"/>
      <w:pPr>
        <w:ind w:left="4385" w:hanging="360"/>
      </w:pPr>
      <w:rPr>
        <w:rFonts w:ascii="Wingdings" w:hAnsi="Wingdings" w:hint="default"/>
      </w:rPr>
    </w:lvl>
    <w:lvl w:ilvl="6">
      <w:start w:val="1"/>
      <w:numFmt w:val="bullet"/>
      <w:lvlText w:val=""/>
      <w:lvlJc w:val="left"/>
      <w:pPr>
        <w:ind w:left="5105" w:hanging="360"/>
      </w:pPr>
      <w:rPr>
        <w:rFonts w:ascii="Symbol" w:hAnsi="Symbol" w:hint="default"/>
      </w:rPr>
    </w:lvl>
    <w:lvl w:ilvl="7">
      <w:start w:val="1"/>
      <w:numFmt w:val="bullet"/>
      <w:lvlText w:val="o"/>
      <w:lvlJc w:val="left"/>
      <w:pPr>
        <w:ind w:left="5825" w:hanging="360"/>
      </w:pPr>
      <w:rPr>
        <w:rFonts w:ascii="Courier New" w:hAnsi="Courier New" w:cs="Courier New" w:hint="default"/>
      </w:rPr>
    </w:lvl>
    <w:lvl w:ilvl="8">
      <w:start w:val="1"/>
      <w:numFmt w:val="bullet"/>
      <w:lvlText w:val=""/>
      <w:lvlJc w:val="left"/>
      <w:pPr>
        <w:ind w:left="6545" w:hanging="360"/>
      </w:pPr>
      <w:rPr>
        <w:rFonts w:ascii="Wingdings" w:hAnsi="Wingdings" w:hint="default"/>
      </w:rPr>
    </w:lvl>
  </w:abstractNum>
  <w:abstractNum w:abstractNumId="40" w15:restartNumberingAfterBreak="0">
    <w:nsid w:val="61F531FB"/>
    <w:multiLevelType w:val="multilevel"/>
    <w:tmpl w:val="61F531FB"/>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62907F72"/>
    <w:multiLevelType w:val="multilevel"/>
    <w:tmpl w:val="62907F72"/>
    <w:lvl w:ilvl="0">
      <w:start w:val="1"/>
      <w:numFmt w:val="bullet"/>
      <w:lvlText w:val=""/>
      <w:lvlJc w:val="left"/>
      <w:pPr>
        <w:ind w:left="1080" w:hanging="360"/>
      </w:pPr>
      <w:rPr>
        <w:rFonts w:ascii="Wingdings" w:hAnsi="Wingdings" w:hint="default"/>
        <w:sz w:val="24"/>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2" w15:restartNumberingAfterBreak="0">
    <w:nsid w:val="650F3DE3"/>
    <w:multiLevelType w:val="multilevel"/>
    <w:tmpl w:val="650F3DE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88B6563"/>
    <w:multiLevelType w:val="multilevel"/>
    <w:tmpl w:val="688B6563"/>
    <w:lvl w:ilvl="0">
      <w:numFmt w:val="bullet"/>
      <w:lvlText w:val="-"/>
      <w:lvlJc w:val="left"/>
      <w:pPr>
        <w:ind w:left="785" w:hanging="360"/>
      </w:pPr>
      <w:rPr>
        <w:rFonts w:ascii="Times New Roman" w:eastAsia="Calibri" w:hAnsi="Times New Roman" w:cs="Times New Roman" w:hint="default"/>
      </w:rPr>
    </w:lvl>
    <w:lvl w:ilvl="1">
      <w:start w:val="1"/>
      <w:numFmt w:val="bullet"/>
      <w:lvlText w:val="o"/>
      <w:lvlJc w:val="left"/>
      <w:pPr>
        <w:ind w:left="1505" w:hanging="360"/>
      </w:pPr>
      <w:rPr>
        <w:rFonts w:ascii="Courier New" w:hAnsi="Courier New" w:cs="Courier New" w:hint="default"/>
      </w:rPr>
    </w:lvl>
    <w:lvl w:ilvl="2">
      <w:start w:val="1"/>
      <w:numFmt w:val="bullet"/>
      <w:lvlText w:val=""/>
      <w:lvlJc w:val="left"/>
      <w:pPr>
        <w:ind w:left="2225" w:hanging="360"/>
      </w:pPr>
      <w:rPr>
        <w:rFonts w:ascii="Wingdings" w:hAnsi="Wingdings" w:hint="default"/>
      </w:rPr>
    </w:lvl>
    <w:lvl w:ilvl="3">
      <w:start w:val="1"/>
      <w:numFmt w:val="bullet"/>
      <w:lvlText w:val=""/>
      <w:lvlJc w:val="left"/>
      <w:pPr>
        <w:ind w:left="2945" w:hanging="360"/>
      </w:pPr>
      <w:rPr>
        <w:rFonts w:ascii="Symbol" w:hAnsi="Symbol" w:hint="default"/>
      </w:rPr>
    </w:lvl>
    <w:lvl w:ilvl="4">
      <w:start w:val="1"/>
      <w:numFmt w:val="bullet"/>
      <w:lvlText w:val="o"/>
      <w:lvlJc w:val="left"/>
      <w:pPr>
        <w:ind w:left="3665" w:hanging="360"/>
      </w:pPr>
      <w:rPr>
        <w:rFonts w:ascii="Courier New" w:hAnsi="Courier New" w:cs="Courier New" w:hint="default"/>
      </w:rPr>
    </w:lvl>
    <w:lvl w:ilvl="5">
      <w:start w:val="1"/>
      <w:numFmt w:val="bullet"/>
      <w:lvlText w:val=""/>
      <w:lvlJc w:val="left"/>
      <w:pPr>
        <w:ind w:left="4385" w:hanging="360"/>
      </w:pPr>
      <w:rPr>
        <w:rFonts w:ascii="Wingdings" w:hAnsi="Wingdings" w:hint="default"/>
      </w:rPr>
    </w:lvl>
    <w:lvl w:ilvl="6">
      <w:start w:val="1"/>
      <w:numFmt w:val="bullet"/>
      <w:lvlText w:val=""/>
      <w:lvlJc w:val="left"/>
      <w:pPr>
        <w:ind w:left="5105" w:hanging="360"/>
      </w:pPr>
      <w:rPr>
        <w:rFonts w:ascii="Symbol" w:hAnsi="Symbol" w:hint="default"/>
      </w:rPr>
    </w:lvl>
    <w:lvl w:ilvl="7">
      <w:start w:val="1"/>
      <w:numFmt w:val="bullet"/>
      <w:lvlText w:val="o"/>
      <w:lvlJc w:val="left"/>
      <w:pPr>
        <w:ind w:left="5825" w:hanging="360"/>
      </w:pPr>
      <w:rPr>
        <w:rFonts w:ascii="Courier New" w:hAnsi="Courier New" w:cs="Courier New" w:hint="default"/>
      </w:rPr>
    </w:lvl>
    <w:lvl w:ilvl="8">
      <w:start w:val="1"/>
      <w:numFmt w:val="bullet"/>
      <w:lvlText w:val=""/>
      <w:lvlJc w:val="left"/>
      <w:pPr>
        <w:ind w:left="6545" w:hanging="360"/>
      </w:pPr>
      <w:rPr>
        <w:rFonts w:ascii="Wingdings" w:hAnsi="Wingdings" w:hint="default"/>
      </w:rPr>
    </w:lvl>
  </w:abstractNum>
  <w:abstractNum w:abstractNumId="44" w15:restartNumberingAfterBreak="0">
    <w:nsid w:val="69D67715"/>
    <w:multiLevelType w:val="multilevel"/>
    <w:tmpl w:val="69D67715"/>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45" w15:restartNumberingAfterBreak="0">
    <w:nsid w:val="6ABA3244"/>
    <w:multiLevelType w:val="multilevel"/>
    <w:tmpl w:val="6ABA3244"/>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6" w15:restartNumberingAfterBreak="0">
    <w:nsid w:val="6B2B2833"/>
    <w:multiLevelType w:val="multilevel"/>
    <w:tmpl w:val="6B2B28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Titre5"/>
      <w:lvlText w:val="%5."/>
      <w:lvlJc w:val="left"/>
      <w:pPr>
        <w:ind w:left="2651" w:hanging="360"/>
      </w:pPr>
      <w:rPr>
        <w:b/>
      </w:rPr>
    </w:lvl>
    <w:lvl w:ilvl="5">
      <w:start w:val="1"/>
      <w:numFmt w:val="decimal"/>
      <w:pStyle w:val="Titre6"/>
      <w:lvlText w:val="%6."/>
      <w:lvlJc w:val="left"/>
      <w:pPr>
        <w:ind w:left="502" w:hanging="360"/>
      </w:pPr>
      <w:rPr>
        <w:rFonts w:ascii="Times New Roman" w:hAnsi="Times New Roman" w:cs="Times New Roman"/>
        <w:b/>
        <w:sz w:val="26"/>
        <w:szCs w:val="26"/>
      </w:r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15:restartNumberingAfterBreak="0">
    <w:nsid w:val="6D0813BE"/>
    <w:multiLevelType w:val="multilevel"/>
    <w:tmpl w:val="6D0813BE"/>
    <w:lvl w:ilvl="0">
      <w:numFmt w:val="bullet"/>
      <w:lvlText w:val="-"/>
      <w:lvlJc w:val="left"/>
      <w:pPr>
        <w:ind w:left="816" w:hanging="360"/>
      </w:pPr>
      <w:rPr>
        <w:rFonts w:ascii="Times New Roman" w:eastAsia="Calibri" w:hAnsi="Times New Roman" w:cs="Times New Roman" w:hint="default"/>
      </w:rPr>
    </w:lvl>
    <w:lvl w:ilvl="1">
      <w:start w:val="1"/>
      <w:numFmt w:val="bullet"/>
      <w:lvlText w:val="o"/>
      <w:lvlJc w:val="left"/>
      <w:pPr>
        <w:ind w:left="1536" w:hanging="360"/>
      </w:pPr>
      <w:rPr>
        <w:rFonts w:ascii="Courier New" w:hAnsi="Courier New" w:cs="Courier New" w:hint="default"/>
      </w:rPr>
    </w:lvl>
    <w:lvl w:ilvl="2">
      <w:start w:val="1"/>
      <w:numFmt w:val="bullet"/>
      <w:lvlText w:val=""/>
      <w:lvlJc w:val="left"/>
      <w:pPr>
        <w:ind w:left="2256" w:hanging="360"/>
      </w:pPr>
      <w:rPr>
        <w:rFonts w:ascii="Wingdings" w:hAnsi="Wingdings" w:hint="default"/>
      </w:rPr>
    </w:lvl>
    <w:lvl w:ilvl="3">
      <w:start w:val="1"/>
      <w:numFmt w:val="bullet"/>
      <w:lvlText w:val=""/>
      <w:lvlJc w:val="left"/>
      <w:pPr>
        <w:ind w:left="2976" w:hanging="360"/>
      </w:pPr>
      <w:rPr>
        <w:rFonts w:ascii="Symbol" w:hAnsi="Symbol" w:hint="default"/>
      </w:rPr>
    </w:lvl>
    <w:lvl w:ilvl="4">
      <w:start w:val="1"/>
      <w:numFmt w:val="bullet"/>
      <w:lvlText w:val="o"/>
      <w:lvlJc w:val="left"/>
      <w:pPr>
        <w:ind w:left="3696" w:hanging="360"/>
      </w:pPr>
      <w:rPr>
        <w:rFonts w:ascii="Courier New" w:hAnsi="Courier New" w:cs="Courier New" w:hint="default"/>
      </w:rPr>
    </w:lvl>
    <w:lvl w:ilvl="5">
      <w:start w:val="1"/>
      <w:numFmt w:val="bullet"/>
      <w:lvlText w:val=""/>
      <w:lvlJc w:val="left"/>
      <w:pPr>
        <w:ind w:left="4416" w:hanging="360"/>
      </w:pPr>
      <w:rPr>
        <w:rFonts w:ascii="Wingdings" w:hAnsi="Wingdings" w:hint="default"/>
      </w:rPr>
    </w:lvl>
    <w:lvl w:ilvl="6">
      <w:start w:val="1"/>
      <w:numFmt w:val="bullet"/>
      <w:lvlText w:val=""/>
      <w:lvlJc w:val="left"/>
      <w:pPr>
        <w:ind w:left="5136" w:hanging="360"/>
      </w:pPr>
      <w:rPr>
        <w:rFonts w:ascii="Symbol" w:hAnsi="Symbol" w:hint="default"/>
      </w:rPr>
    </w:lvl>
    <w:lvl w:ilvl="7">
      <w:start w:val="1"/>
      <w:numFmt w:val="bullet"/>
      <w:lvlText w:val="o"/>
      <w:lvlJc w:val="left"/>
      <w:pPr>
        <w:ind w:left="5856" w:hanging="360"/>
      </w:pPr>
      <w:rPr>
        <w:rFonts w:ascii="Courier New" w:hAnsi="Courier New" w:cs="Courier New" w:hint="default"/>
      </w:rPr>
    </w:lvl>
    <w:lvl w:ilvl="8">
      <w:start w:val="1"/>
      <w:numFmt w:val="bullet"/>
      <w:lvlText w:val=""/>
      <w:lvlJc w:val="left"/>
      <w:pPr>
        <w:ind w:left="6576" w:hanging="360"/>
      </w:pPr>
      <w:rPr>
        <w:rFonts w:ascii="Wingdings" w:hAnsi="Wingdings" w:hint="default"/>
      </w:rPr>
    </w:lvl>
  </w:abstractNum>
  <w:abstractNum w:abstractNumId="48" w15:restartNumberingAfterBreak="0">
    <w:nsid w:val="75DD65FF"/>
    <w:multiLevelType w:val="multilevel"/>
    <w:tmpl w:val="75DD65FF"/>
    <w:lvl w:ilvl="0">
      <w:numFmt w:val="bullet"/>
      <w:lvlText w:val="-"/>
      <w:lvlJc w:val="left"/>
      <w:pPr>
        <w:ind w:left="1440" w:hanging="360"/>
      </w:pPr>
      <w:rPr>
        <w:rFonts w:ascii="Times New Roman" w:eastAsia="Calibri" w:hAnsi="Times New Roman" w:cs="Times New Roman"/>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49" w15:restartNumberingAfterBreak="0">
    <w:nsid w:val="75EB0559"/>
    <w:multiLevelType w:val="multilevel"/>
    <w:tmpl w:val="75EB0559"/>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0" w15:restartNumberingAfterBreak="0">
    <w:nsid w:val="76D94047"/>
    <w:multiLevelType w:val="multilevel"/>
    <w:tmpl w:val="76D94047"/>
    <w:lvl w:ilvl="0">
      <w:start w:val="1"/>
      <w:numFmt w:val="decimal"/>
      <w:lvlText w:val="%1"/>
      <w:lvlJc w:val="left"/>
      <w:pPr>
        <w:ind w:left="480" w:hanging="480"/>
      </w:pPr>
      <w:rPr>
        <w:b/>
        <w:i w:val="0"/>
        <w:color w:val="auto"/>
      </w:rPr>
    </w:lvl>
    <w:lvl w:ilvl="1">
      <w:start w:val="1"/>
      <w:numFmt w:val="decimal"/>
      <w:lvlText w:val="%1.%2"/>
      <w:lvlJc w:val="left"/>
      <w:pPr>
        <w:ind w:left="480" w:hanging="480"/>
      </w:pPr>
      <w:rPr>
        <w:b/>
        <w:i w:val="0"/>
        <w:color w:val="auto"/>
      </w:rPr>
    </w:lvl>
    <w:lvl w:ilvl="2">
      <w:start w:val="1"/>
      <w:numFmt w:val="decimal"/>
      <w:lvlText w:val="%1.%2.%3"/>
      <w:lvlJc w:val="left"/>
      <w:pPr>
        <w:ind w:left="720" w:hanging="720"/>
      </w:pPr>
      <w:rPr>
        <w:b/>
        <w:i w:val="0"/>
        <w:color w:val="auto"/>
      </w:rPr>
    </w:lvl>
    <w:lvl w:ilvl="3">
      <w:start w:val="1"/>
      <w:numFmt w:val="decimal"/>
      <w:lvlText w:val="%1.%2.%3.%4"/>
      <w:lvlJc w:val="left"/>
      <w:pPr>
        <w:ind w:left="720" w:hanging="720"/>
      </w:pPr>
      <w:rPr>
        <w:b/>
        <w:i w:val="0"/>
        <w:color w:val="auto"/>
      </w:rPr>
    </w:lvl>
    <w:lvl w:ilvl="4">
      <w:start w:val="1"/>
      <w:numFmt w:val="decimal"/>
      <w:lvlText w:val="%1.%2.%3.%4.%5"/>
      <w:lvlJc w:val="left"/>
      <w:pPr>
        <w:ind w:left="1080" w:hanging="1080"/>
      </w:pPr>
      <w:rPr>
        <w:b/>
        <w:i w:val="0"/>
        <w:color w:val="auto"/>
      </w:rPr>
    </w:lvl>
    <w:lvl w:ilvl="5">
      <w:start w:val="1"/>
      <w:numFmt w:val="decimal"/>
      <w:lvlText w:val="%1.%2.%3.%4.%5.%6"/>
      <w:lvlJc w:val="left"/>
      <w:pPr>
        <w:ind w:left="1440" w:hanging="1440"/>
      </w:pPr>
      <w:rPr>
        <w:b/>
        <w:i w:val="0"/>
        <w:color w:val="auto"/>
      </w:rPr>
    </w:lvl>
    <w:lvl w:ilvl="6">
      <w:start w:val="1"/>
      <w:numFmt w:val="decimal"/>
      <w:lvlText w:val="%1.%2.%3.%4.%5.%6.%7"/>
      <w:lvlJc w:val="left"/>
      <w:pPr>
        <w:ind w:left="1440" w:hanging="1440"/>
      </w:pPr>
      <w:rPr>
        <w:b/>
        <w:i w:val="0"/>
        <w:color w:val="auto"/>
      </w:rPr>
    </w:lvl>
    <w:lvl w:ilvl="7">
      <w:start w:val="1"/>
      <w:numFmt w:val="decimal"/>
      <w:lvlText w:val="%1.%2.%3.%4.%5.%6.%7.%8"/>
      <w:lvlJc w:val="left"/>
      <w:pPr>
        <w:ind w:left="1800" w:hanging="1800"/>
      </w:pPr>
      <w:rPr>
        <w:b/>
        <w:i w:val="0"/>
        <w:color w:val="auto"/>
      </w:rPr>
    </w:lvl>
    <w:lvl w:ilvl="8">
      <w:start w:val="1"/>
      <w:numFmt w:val="decimal"/>
      <w:lvlText w:val="%1.%2.%3.%4.%5.%6.%7.%8.%9"/>
      <w:lvlJc w:val="left"/>
      <w:pPr>
        <w:ind w:left="1800" w:hanging="1800"/>
      </w:pPr>
      <w:rPr>
        <w:b/>
        <w:i w:val="0"/>
        <w:color w:val="auto"/>
      </w:rPr>
    </w:lvl>
  </w:abstractNum>
  <w:abstractNum w:abstractNumId="51" w15:restartNumberingAfterBreak="0">
    <w:nsid w:val="771E1AE6"/>
    <w:multiLevelType w:val="multilevel"/>
    <w:tmpl w:val="771E1AE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78C159BF"/>
    <w:multiLevelType w:val="multilevel"/>
    <w:tmpl w:val="78C159BF"/>
    <w:lvl w:ilvl="0">
      <w:start w:val="2"/>
      <w:numFmt w:val="decimal"/>
      <w:lvlText w:val="%1"/>
      <w:lvlJc w:val="left"/>
      <w:pPr>
        <w:ind w:left="360" w:hanging="360"/>
      </w:pPr>
      <w:rPr>
        <w:rFonts w:hint="default"/>
      </w:rPr>
    </w:lvl>
    <w:lvl w:ilvl="1">
      <w:start w:val="2"/>
      <w:numFmt w:val="decimal"/>
      <w:lvlText w:val="%1.%2"/>
      <w:lvlJc w:val="left"/>
      <w:pPr>
        <w:ind w:left="-131" w:hanging="720"/>
      </w:pPr>
      <w:rPr>
        <w:rFonts w:hint="default"/>
      </w:rPr>
    </w:lvl>
    <w:lvl w:ilvl="2">
      <w:start w:val="1"/>
      <w:numFmt w:val="decimal"/>
      <w:lvlText w:val="%1.%2.%3"/>
      <w:lvlJc w:val="left"/>
      <w:pPr>
        <w:ind w:left="-982" w:hanging="720"/>
      </w:pPr>
      <w:rPr>
        <w:rFonts w:hint="default"/>
      </w:rPr>
    </w:lvl>
    <w:lvl w:ilvl="3">
      <w:start w:val="1"/>
      <w:numFmt w:val="decimal"/>
      <w:lvlText w:val="%1.%2.%3.%4"/>
      <w:lvlJc w:val="left"/>
      <w:pPr>
        <w:ind w:left="-1473" w:hanging="1080"/>
      </w:pPr>
      <w:rPr>
        <w:rFonts w:hint="default"/>
      </w:rPr>
    </w:lvl>
    <w:lvl w:ilvl="4">
      <w:start w:val="1"/>
      <w:numFmt w:val="decimal"/>
      <w:lvlText w:val="%1.%2.%3.%4.%5"/>
      <w:lvlJc w:val="left"/>
      <w:pPr>
        <w:ind w:left="-1964" w:hanging="1440"/>
      </w:pPr>
      <w:rPr>
        <w:rFonts w:hint="default"/>
      </w:rPr>
    </w:lvl>
    <w:lvl w:ilvl="5">
      <w:start w:val="1"/>
      <w:numFmt w:val="decimal"/>
      <w:lvlText w:val="%1.%2.%3.%4.%5.%6"/>
      <w:lvlJc w:val="left"/>
      <w:pPr>
        <w:ind w:left="-2455" w:hanging="1800"/>
      </w:pPr>
      <w:rPr>
        <w:rFonts w:hint="default"/>
      </w:rPr>
    </w:lvl>
    <w:lvl w:ilvl="6">
      <w:start w:val="1"/>
      <w:numFmt w:val="decimal"/>
      <w:lvlText w:val="%1.%2.%3.%4.%5.%6.%7"/>
      <w:lvlJc w:val="left"/>
      <w:pPr>
        <w:ind w:left="-3306" w:hanging="1800"/>
      </w:pPr>
      <w:rPr>
        <w:rFonts w:hint="default"/>
      </w:rPr>
    </w:lvl>
    <w:lvl w:ilvl="7">
      <w:start w:val="1"/>
      <w:numFmt w:val="decimal"/>
      <w:lvlText w:val="%1.%2.%3.%4.%5.%6.%7.%8"/>
      <w:lvlJc w:val="left"/>
      <w:pPr>
        <w:ind w:left="-3797" w:hanging="2160"/>
      </w:pPr>
      <w:rPr>
        <w:rFonts w:hint="default"/>
      </w:rPr>
    </w:lvl>
    <w:lvl w:ilvl="8">
      <w:start w:val="1"/>
      <w:numFmt w:val="decimal"/>
      <w:lvlText w:val="%1.%2.%3.%4.%5.%6.%7.%8.%9"/>
      <w:lvlJc w:val="left"/>
      <w:pPr>
        <w:ind w:left="-4288" w:hanging="2520"/>
      </w:pPr>
      <w:rPr>
        <w:rFonts w:hint="default"/>
      </w:rPr>
    </w:lvl>
  </w:abstractNum>
  <w:abstractNum w:abstractNumId="53" w15:restartNumberingAfterBreak="0">
    <w:nsid w:val="78CA321E"/>
    <w:multiLevelType w:val="multilevel"/>
    <w:tmpl w:val="78CA321E"/>
    <w:lvl w:ilvl="0">
      <w:start w:val="1"/>
      <w:numFmt w:val="decimal"/>
      <w:lvlText w:val="%1."/>
      <w:lvlJc w:val="left"/>
      <w:pPr>
        <w:ind w:left="450" w:hanging="450"/>
      </w:pPr>
      <w:rPr>
        <w:rFonts w:hint="default"/>
      </w:rPr>
    </w:lvl>
    <w:lvl w:ilvl="1">
      <w:start w:val="2"/>
      <w:numFmt w:val="decimal"/>
      <w:lvlText w:val="%1.%2."/>
      <w:lvlJc w:val="left"/>
      <w:pPr>
        <w:ind w:left="5891" w:hanging="720"/>
      </w:pPr>
      <w:rPr>
        <w:rFonts w:hint="default"/>
      </w:rPr>
    </w:lvl>
    <w:lvl w:ilvl="2">
      <w:start w:val="1"/>
      <w:numFmt w:val="decimal"/>
      <w:lvlText w:val="%1.%2.%3."/>
      <w:lvlJc w:val="left"/>
      <w:pPr>
        <w:ind w:left="11422" w:hanging="1080"/>
      </w:pPr>
      <w:rPr>
        <w:rFonts w:hint="default"/>
      </w:rPr>
    </w:lvl>
    <w:lvl w:ilvl="3">
      <w:start w:val="1"/>
      <w:numFmt w:val="decimal"/>
      <w:lvlText w:val="%1.%2.%3.%4."/>
      <w:lvlJc w:val="left"/>
      <w:pPr>
        <w:ind w:left="16593" w:hanging="1080"/>
      </w:pPr>
      <w:rPr>
        <w:rFonts w:hint="default"/>
      </w:rPr>
    </w:lvl>
    <w:lvl w:ilvl="4">
      <w:start w:val="1"/>
      <w:numFmt w:val="decimal"/>
      <w:lvlText w:val="%1.%2.%3.%4.%5."/>
      <w:lvlJc w:val="left"/>
      <w:pPr>
        <w:ind w:left="22124" w:hanging="1440"/>
      </w:pPr>
      <w:rPr>
        <w:rFonts w:hint="default"/>
      </w:rPr>
    </w:lvl>
    <w:lvl w:ilvl="5">
      <w:start w:val="1"/>
      <w:numFmt w:val="decimal"/>
      <w:lvlText w:val="%1.%2.%3.%4.%5.%6."/>
      <w:lvlJc w:val="left"/>
      <w:pPr>
        <w:ind w:left="27655" w:hanging="1800"/>
      </w:pPr>
      <w:rPr>
        <w:rFonts w:hint="default"/>
      </w:rPr>
    </w:lvl>
    <w:lvl w:ilvl="6">
      <w:start w:val="1"/>
      <w:numFmt w:val="decimal"/>
      <w:lvlText w:val="%1.%2.%3.%4.%5.%6.%7."/>
      <w:lvlJc w:val="left"/>
      <w:pPr>
        <w:ind w:left="-32350" w:hanging="2160"/>
      </w:pPr>
      <w:rPr>
        <w:rFonts w:hint="default"/>
      </w:rPr>
    </w:lvl>
    <w:lvl w:ilvl="7">
      <w:start w:val="1"/>
      <w:numFmt w:val="decimal"/>
      <w:lvlText w:val="%1.%2.%3.%4.%5.%6.%7.%8."/>
      <w:lvlJc w:val="left"/>
      <w:pPr>
        <w:ind w:left="-27179" w:hanging="2160"/>
      </w:pPr>
      <w:rPr>
        <w:rFonts w:hint="default"/>
      </w:rPr>
    </w:lvl>
    <w:lvl w:ilvl="8">
      <w:start w:val="1"/>
      <w:numFmt w:val="decimal"/>
      <w:lvlText w:val="%1.%2.%3.%4.%5.%6.%7.%8.%9."/>
      <w:lvlJc w:val="left"/>
      <w:pPr>
        <w:ind w:left="-21648" w:hanging="2520"/>
      </w:pPr>
      <w:rPr>
        <w:rFonts w:hint="default"/>
      </w:rPr>
    </w:lvl>
  </w:abstractNum>
  <w:abstractNum w:abstractNumId="54" w15:restartNumberingAfterBreak="0">
    <w:nsid w:val="7B9429EF"/>
    <w:multiLevelType w:val="multilevel"/>
    <w:tmpl w:val="7B9429EF"/>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7B955F0F"/>
    <w:multiLevelType w:val="multilevel"/>
    <w:tmpl w:val="7B955F0F"/>
    <w:lvl w:ilvl="0">
      <w:start w:val="1"/>
      <w:numFmt w:val="bullet"/>
      <w:pStyle w:val="Normal1"/>
      <w:lvlText w:val=""/>
      <w:lvlPicBulletId w:val="0"/>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7CFD506B"/>
    <w:multiLevelType w:val="multilevel"/>
    <w:tmpl w:val="7CFD506B"/>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7" w15:restartNumberingAfterBreak="0">
    <w:nsid w:val="7E1709D9"/>
    <w:multiLevelType w:val="multilevel"/>
    <w:tmpl w:val="7E1709D9"/>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8" w15:restartNumberingAfterBreak="0">
    <w:nsid w:val="7E2521BB"/>
    <w:multiLevelType w:val="multilevel"/>
    <w:tmpl w:val="7E2521BB"/>
    <w:lvl w:ilvl="0">
      <w:start w:val="1"/>
      <w:numFmt w:val="bullet"/>
      <w:lvlText w:val=""/>
      <w:lvlJc w:val="left"/>
      <w:pPr>
        <w:ind w:left="436" w:hanging="360"/>
      </w:pPr>
      <w:rPr>
        <w:rFonts w:ascii="Wingdings" w:hAnsi="Wingdings" w:hint="default"/>
      </w:rPr>
    </w:lvl>
    <w:lvl w:ilvl="1">
      <w:start w:val="1"/>
      <w:numFmt w:val="bullet"/>
      <w:lvlText w:val="o"/>
      <w:lvlJc w:val="left"/>
      <w:pPr>
        <w:ind w:left="1156" w:hanging="360"/>
      </w:pPr>
      <w:rPr>
        <w:rFonts w:ascii="Courier New" w:hAnsi="Courier New" w:cs="Courier New" w:hint="default"/>
      </w:rPr>
    </w:lvl>
    <w:lvl w:ilvl="2">
      <w:start w:val="1"/>
      <w:numFmt w:val="bullet"/>
      <w:lvlText w:val=""/>
      <w:lvlJc w:val="left"/>
      <w:pPr>
        <w:ind w:left="1876" w:hanging="360"/>
      </w:pPr>
      <w:rPr>
        <w:rFonts w:ascii="Wingdings" w:hAnsi="Wingdings" w:hint="default"/>
      </w:rPr>
    </w:lvl>
    <w:lvl w:ilvl="3">
      <w:start w:val="1"/>
      <w:numFmt w:val="bullet"/>
      <w:lvlText w:val=""/>
      <w:lvlJc w:val="left"/>
      <w:pPr>
        <w:ind w:left="2596" w:hanging="360"/>
      </w:pPr>
      <w:rPr>
        <w:rFonts w:ascii="Symbol" w:hAnsi="Symbol" w:hint="default"/>
      </w:rPr>
    </w:lvl>
    <w:lvl w:ilvl="4">
      <w:start w:val="1"/>
      <w:numFmt w:val="bullet"/>
      <w:lvlText w:val="o"/>
      <w:lvlJc w:val="left"/>
      <w:pPr>
        <w:ind w:left="3316" w:hanging="360"/>
      </w:pPr>
      <w:rPr>
        <w:rFonts w:ascii="Courier New" w:hAnsi="Courier New" w:cs="Courier New" w:hint="default"/>
      </w:rPr>
    </w:lvl>
    <w:lvl w:ilvl="5">
      <w:start w:val="1"/>
      <w:numFmt w:val="bullet"/>
      <w:lvlText w:val=""/>
      <w:lvlJc w:val="left"/>
      <w:pPr>
        <w:ind w:left="4036" w:hanging="360"/>
      </w:pPr>
      <w:rPr>
        <w:rFonts w:ascii="Wingdings" w:hAnsi="Wingdings" w:hint="default"/>
      </w:rPr>
    </w:lvl>
    <w:lvl w:ilvl="6">
      <w:start w:val="1"/>
      <w:numFmt w:val="bullet"/>
      <w:lvlText w:val=""/>
      <w:lvlJc w:val="left"/>
      <w:pPr>
        <w:ind w:left="4756" w:hanging="360"/>
      </w:pPr>
      <w:rPr>
        <w:rFonts w:ascii="Symbol" w:hAnsi="Symbol" w:hint="default"/>
      </w:rPr>
    </w:lvl>
    <w:lvl w:ilvl="7">
      <w:start w:val="1"/>
      <w:numFmt w:val="bullet"/>
      <w:lvlText w:val="o"/>
      <w:lvlJc w:val="left"/>
      <w:pPr>
        <w:ind w:left="5476" w:hanging="360"/>
      </w:pPr>
      <w:rPr>
        <w:rFonts w:ascii="Courier New" w:hAnsi="Courier New" w:cs="Courier New" w:hint="default"/>
      </w:rPr>
    </w:lvl>
    <w:lvl w:ilvl="8">
      <w:start w:val="1"/>
      <w:numFmt w:val="bullet"/>
      <w:lvlText w:val=""/>
      <w:lvlJc w:val="left"/>
      <w:pPr>
        <w:ind w:left="6196" w:hanging="360"/>
      </w:pPr>
      <w:rPr>
        <w:rFonts w:ascii="Wingdings" w:hAnsi="Wingdings" w:hint="default"/>
      </w:rPr>
    </w:lvl>
  </w:abstractNum>
  <w:num w:numId="1">
    <w:abstractNumId w:val="46"/>
    <w:lvlOverride w:ilvl="0">
      <w:lvl w:ilvl="0" w:tentative="1">
        <w:start w:val="1"/>
        <w:numFmt w:val="none"/>
        <w:lvlText w:val="%1"/>
        <w:lvlJc w:val="left"/>
      </w:lvl>
    </w:lvlOverride>
    <w:lvlOverride w:ilvl="1">
      <w:lvl w:ilvl="1" w:tentative="1">
        <w:start w:val="1"/>
        <w:numFmt w:val="none"/>
        <w:lvlText w:val="%2"/>
        <w:lvlJc w:val="left"/>
      </w:lvl>
    </w:lvlOverride>
    <w:lvlOverride w:ilvl="2">
      <w:lvl w:ilvl="2" w:tentative="1">
        <w:start w:val="1"/>
        <w:numFmt w:val="none"/>
        <w:lvlText w:val="%3"/>
        <w:lvlJc w:val="left"/>
      </w:lvl>
    </w:lvlOverride>
    <w:lvlOverride w:ilvl="3">
      <w:lvl w:ilvl="3" w:tentative="1">
        <w:start w:val="1"/>
        <w:numFmt w:val="none"/>
        <w:lvlText w:val="%4"/>
        <w:lvlJc w:val="left"/>
      </w:lvl>
    </w:lvlOverride>
    <w:lvlOverride w:ilvl="4">
      <w:lvl w:ilvl="4">
        <w:start w:val="1"/>
        <w:numFmt w:val="decimal"/>
        <w:pStyle w:val="Titre5"/>
        <w:lvlText w:val="%5."/>
        <w:lvlJc w:val="left"/>
        <w:pPr>
          <w:ind w:left="6456" w:hanging="360"/>
        </w:pPr>
        <w:rPr>
          <w:b/>
        </w:rPr>
      </w:lvl>
    </w:lvlOverride>
    <w:lvlOverride w:ilvl="5">
      <w:lvl w:ilvl="5">
        <w:start w:val="1"/>
        <w:numFmt w:val="decimal"/>
        <w:pStyle w:val="Titre6"/>
        <w:lvlText w:val="%6."/>
        <w:lvlJc w:val="left"/>
        <w:pPr>
          <w:ind w:left="3479" w:hanging="360"/>
        </w:pPr>
        <w:rPr>
          <w:rFonts w:ascii="Times New Roman" w:hAnsi="Times New Roman" w:cs="Times New Roman"/>
          <w:b/>
          <w:sz w:val="26"/>
          <w:szCs w:val="26"/>
        </w:rPr>
      </w:lvl>
    </w:lvlOverride>
    <w:lvlOverride w:ilvl="6">
      <w:lvl w:ilvl="6" w:tentative="1">
        <w:start w:val="1"/>
        <w:numFmt w:val="none"/>
        <w:lvlText w:val="%7"/>
        <w:lvlJc w:val="left"/>
      </w:lvl>
    </w:lvlOverride>
    <w:lvlOverride w:ilvl="7">
      <w:lvl w:ilvl="7" w:tentative="1">
        <w:start w:val="1"/>
        <w:numFmt w:val="none"/>
        <w:lvlText w:val="%8"/>
        <w:lvlJc w:val="left"/>
      </w:lvl>
    </w:lvlOverride>
    <w:lvlOverride w:ilvl="8">
      <w:lvl w:ilvl="8" w:tentative="1">
        <w:start w:val="1"/>
        <w:numFmt w:val="none"/>
        <w:lvlText w:val="%9"/>
        <w:lvlJc w:val="left"/>
      </w:lvl>
    </w:lvlOverride>
  </w:num>
  <w:num w:numId="2">
    <w:abstractNumId w:val="29"/>
  </w:num>
  <w:num w:numId="3">
    <w:abstractNumId w:val="55"/>
  </w:num>
  <w:num w:numId="4">
    <w:abstractNumId w:val="14"/>
  </w:num>
  <w:num w:numId="5">
    <w:abstractNumId w:val="40"/>
  </w:num>
  <w:num w:numId="6">
    <w:abstractNumId w:val="53"/>
  </w:num>
  <w:num w:numId="7">
    <w:abstractNumId w:val="38"/>
  </w:num>
  <w:num w:numId="8">
    <w:abstractNumId w:val="52"/>
  </w:num>
  <w:num w:numId="9">
    <w:abstractNumId w:val="18"/>
  </w:num>
  <w:num w:numId="10">
    <w:abstractNumId w:val="31"/>
  </w:num>
  <w:num w:numId="11">
    <w:abstractNumId w:val="32"/>
  </w:num>
  <w:num w:numId="12">
    <w:abstractNumId w:val="34"/>
  </w:num>
  <w:num w:numId="13">
    <w:abstractNumId w:val="48"/>
  </w:num>
  <w:num w:numId="14">
    <w:abstractNumId w:val="8"/>
  </w:num>
  <w:num w:numId="15">
    <w:abstractNumId w:val="57"/>
  </w:num>
  <w:num w:numId="16">
    <w:abstractNumId w:val="39"/>
  </w:num>
  <w:num w:numId="17">
    <w:abstractNumId w:val="36"/>
  </w:num>
  <w:num w:numId="18">
    <w:abstractNumId w:val="44"/>
  </w:num>
  <w:num w:numId="19">
    <w:abstractNumId w:val="2"/>
  </w:num>
  <w:num w:numId="20">
    <w:abstractNumId w:val="43"/>
  </w:num>
  <w:num w:numId="21">
    <w:abstractNumId w:val="16"/>
  </w:num>
  <w:num w:numId="22">
    <w:abstractNumId w:val="20"/>
  </w:num>
  <w:num w:numId="23">
    <w:abstractNumId w:val="46"/>
    <w:lvlOverride w:ilvl="0">
      <w:startOverride w:val="1"/>
      <w:lvl w:ilvl="0" w:tentative="1">
        <w:start w:val="1"/>
        <w:numFmt w:val="none"/>
        <w:lvlText w:val="%1"/>
        <w:lvlJc w:val="left"/>
      </w:lvl>
    </w:lvlOverride>
    <w:lvlOverride w:ilvl="1">
      <w:startOverride w:val="1"/>
      <w:lvl w:ilvl="1" w:tentative="1">
        <w:start w:val="1"/>
        <w:numFmt w:val="none"/>
        <w:lvlText w:val="%2"/>
        <w:lvlJc w:val="left"/>
      </w:lvl>
    </w:lvlOverride>
    <w:lvlOverride w:ilvl="2">
      <w:startOverride w:val="1"/>
      <w:lvl w:ilvl="2" w:tentative="1">
        <w:start w:val="1"/>
        <w:numFmt w:val="none"/>
        <w:lvlText w:val="%3"/>
        <w:lvlJc w:val="left"/>
      </w:lvl>
    </w:lvlOverride>
    <w:lvlOverride w:ilvl="3">
      <w:startOverride w:val="1"/>
      <w:lvl w:ilvl="3" w:tentative="1">
        <w:start w:val="1"/>
        <w:numFmt w:val="none"/>
        <w:lvlText w:val="%4"/>
        <w:lvlJc w:val="left"/>
      </w:lvl>
    </w:lvlOverride>
    <w:lvlOverride w:ilvl="4">
      <w:startOverride w:val="1"/>
      <w:lvl w:ilvl="4">
        <w:start w:val="1"/>
        <w:numFmt w:val="decimal"/>
        <w:pStyle w:val="Titre5"/>
        <w:lvlText w:val="%5."/>
        <w:lvlJc w:val="left"/>
        <w:pPr>
          <w:ind w:left="2651" w:hanging="360"/>
        </w:pPr>
        <w:rPr>
          <w:b/>
        </w:rPr>
      </w:lvl>
    </w:lvlOverride>
  </w:num>
  <w:num w:numId="24">
    <w:abstractNumId w:val="45"/>
  </w:num>
  <w:num w:numId="25">
    <w:abstractNumId w:val="10"/>
  </w:num>
  <w:num w:numId="26">
    <w:abstractNumId w:val="37"/>
  </w:num>
  <w:num w:numId="27">
    <w:abstractNumId w:val="28"/>
  </w:num>
  <w:num w:numId="28">
    <w:abstractNumId w:val="6"/>
  </w:num>
  <w:num w:numId="29">
    <w:abstractNumId w:val="5"/>
  </w:num>
  <w:num w:numId="30">
    <w:abstractNumId w:val="24"/>
  </w:num>
  <w:num w:numId="31">
    <w:abstractNumId w:val="49"/>
  </w:num>
  <w:num w:numId="32">
    <w:abstractNumId w:val="7"/>
  </w:num>
  <w:num w:numId="33">
    <w:abstractNumId w:val="35"/>
  </w:num>
  <w:num w:numId="34">
    <w:abstractNumId w:val="4"/>
  </w:num>
  <w:num w:numId="35">
    <w:abstractNumId w:val="47"/>
  </w:num>
  <w:num w:numId="36">
    <w:abstractNumId w:val="17"/>
  </w:num>
  <w:num w:numId="37">
    <w:abstractNumId w:val="15"/>
  </w:num>
  <w:num w:numId="38">
    <w:abstractNumId w:val="23"/>
  </w:num>
  <w:num w:numId="39">
    <w:abstractNumId w:val="0"/>
  </w:num>
  <w:num w:numId="40">
    <w:abstractNumId w:val="56"/>
  </w:num>
  <w:num w:numId="41">
    <w:abstractNumId w:val="46"/>
    <w:lvlOverride w:ilvl="0">
      <w:startOverride w:val="1"/>
      <w:lvl w:ilvl="0" w:tentative="1">
        <w:start w:val="1"/>
        <w:numFmt w:val="none"/>
        <w:lvlText w:val="%1"/>
        <w:lvlJc w:val="left"/>
      </w:lvl>
    </w:lvlOverride>
    <w:lvlOverride w:ilvl="1">
      <w:startOverride w:val="1"/>
      <w:lvl w:ilvl="1" w:tentative="1">
        <w:start w:val="1"/>
        <w:numFmt w:val="none"/>
        <w:lvlText w:val="%2"/>
        <w:lvlJc w:val="left"/>
      </w:lvl>
    </w:lvlOverride>
    <w:lvlOverride w:ilvl="2">
      <w:startOverride w:val="1"/>
      <w:lvl w:ilvl="2" w:tentative="1">
        <w:start w:val="1"/>
        <w:numFmt w:val="none"/>
        <w:lvlText w:val="%3"/>
        <w:lvlJc w:val="left"/>
      </w:lvl>
    </w:lvlOverride>
    <w:lvlOverride w:ilvl="3">
      <w:startOverride w:val="1"/>
      <w:lvl w:ilvl="3" w:tentative="1">
        <w:start w:val="1"/>
        <w:numFmt w:val="none"/>
        <w:lvlText w:val="%4"/>
        <w:lvlJc w:val="left"/>
      </w:lvl>
    </w:lvlOverride>
    <w:lvlOverride w:ilvl="4">
      <w:startOverride w:val="1"/>
      <w:lvl w:ilvl="4">
        <w:start w:val="1"/>
        <w:numFmt w:val="decimal"/>
        <w:pStyle w:val="Titre5"/>
        <w:lvlText w:val="%5."/>
        <w:lvlJc w:val="left"/>
        <w:pPr>
          <w:ind w:left="2651" w:hanging="360"/>
        </w:pPr>
        <w:rPr>
          <w:b/>
        </w:rPr>
      </w:lvl>
    </w:lvlOverride>
    <w:lvlOverride w:ilvl="5">
      <w:startOverride w:val="1"/>
      <w:lvl w:ilvl="5" w:tentative="1">
        <w:start w:val="1"/>
        <w:numFmt w:val="decimal"/>
        <w:pStyle w:val="Titre6"/>
        <w:lvlText w:val="%6."/>
        <w:lvlJc w:val="left"/>
        <w:pPr>
          <w:ind w:left="502" w:hanging="360"/>
        </w:pPr>
        <w:rPr>
          <w:rFonts w:ascii="Times New Roman" w:hAnsi="Times New Roman" w:cs="Times New Roman"/>
          <w:b/>
          <w:sz w:val="26"/>
          <w:szCs w:val="26"/>
        </w:rPr>
      </w:lvl>
    </w:lvlOverride>
    <w:lvlOverride w:ilvl="6">
      <w:startOverride w:val="1"/>
      <w:lvl w:ilvl="6" w:tentative="1">
        <w:start w:val="1"/>
        <w:numFmt w:val="none"/>
        <w:lvlText w:val="%7"/>
        <w:lvlJc w:val="left"/>
      </w:lvl>
    </w:lvlOverride>
    <w:lvlOverride w:ilvl="7">
      <w:startOverride w:val="1"/>
      <w:lvl w:ilvl="7" w:tentative="1">
        <w:start w:val="1"/>
        <w:numFmt w:val="none"/>
        <w:lvlText w:val="%8"/>
        <w:lvlJc w:val="left"/>
      </w:lvl>
    </w:lvlOverride>
    <w:lvlOverride w:ilvl="8">
      <w:startOverride w:val="1"/>
      <w:lvl w:ilvl="8" w:tentative="1">
        <w:start w:val="1"/>
        <w:numFmt w:val="none"/>
        <w:lvlText w:val="%9"/>
        <w:lvlJc w:val="left"/>
      </w:lvl>
    </w:lvlOverride>
  </w:num>
  <w:num w:numId="42">
    <w:abstractNumId w:val="11"/>
  </w:num>
  <w:num w:numId="43">
    <w:abstractNumId w:val="41"/>
  </w:num>
  <w:num w:numId="44">
    <w:abstractNumId w:val="33"/>
  </w:num>
  <w:num w:numId="45">
    <w:abstractNumId w:val="3"/>
  </w:num>
  <w:num w:numId="46">
    <w:abstractNumId w:val="1"/>
  </w:num>
  <w:num w:numId="47">
    <w:abstractNumId w:val="58"/>
  </w:num>
  <w:num w:numId="48">
    <w:abstractNumId w:val="21"/>
  </w:num>
  <w:num w:numId="4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2"/>
  </w:num>
  <w:num w:numId="51">
    <w:abstractNumId w:val="51"/>
  </w:num>
  <w:num w:numId="52">
    <w:abstractNumId w:val="19"/>
  </w:num>
  <w:num w:numId="53">
    <w:abstractNumId w:val="54"/>
  </w:num>
  <w:num w:numId="54">
    <w:abstractNumId w:val="30"/>
  </w:num>
  <w:num w:numId="55">
    <w:abstractNumId w:val="13"/>
  </w:num>
  <w:num w:numId="56">
    <w:abstractNumId w:val="22"/>
  </w:num>
  <w:num w:numId="57">
    <w:abstractNumId w:val="9"/>
  </w:num>
  <w:num w:numId="58">
    <w:abstractNumId w:val="42"/>
  </w:num>
  <w:num w:numId="59">
    <w:abstractNumId w:val="27"/>
  </w:num>
  <w:num w:numId="60">
    <w:abstractNumId w:val="26"/>
  </w:num>
  <w:num w:numId="61">
    <w:abstractNumId w:val="25"/>
  </w:num>
  <w:numIdMacAtCleanup w:val="6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hp">
    <w15:presenceInfo w15:providerId="None" w15:userId="hp"/>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E16"/>
    <w:rsid w:val="0000077C"/>
    <w:rsid w:val="00000981"/>
    <w:rsid w:val="0000129C"/>
    <w:rsid w:val="000021AA"/>
    <w:rsid w:val="00003346"/>
    <w:rsid w:val="000122DF"/>
    <w:rsid w:val="00013C8A"/>
    <w:rsid w:val="00013D8A"/>
    <w:rsid w:val="00013DB6"/>
    <w:rsid w:val="000144E1"/>
    <w:rsid w:val="000171FF"/>
    <w:rsid w:val="000201D6"/>
    <w:rsid w:val="000209CB"/>
    <w:rsid w:val="0002328B"/>
    <w:rsid w:val="000236DD"/>
    <w:rsid w:val="000240F5"/>
    <w:rsid w:val="00024A11"/>
    <w:rsid w:val="0002616A"/>
    <w:rsid w:val="000279E7"/>
    <w:rsid w:val="000318E7"/>
    <w:rsid w:val="00032AA6"/>
    <w:rsid w:val="000333FC"/>
    <w:rsid w:val="000341F7"/>
    <w:rsid w:val="000350E6"/>
    <w:rsid w:val="00035323"/>
    <w:rsid w:val="0004074B"/>
    <w:rsid w:val="00040C3A"/>
    <w:rsid w:val="00041F0F"/>
    <w:rsid w:val="00044C27"/>
    <w:rsid w:val="00047F65"/>
    <w:rsid w:val="000506D0"/>
    <w:rsid w:val="00056316"/>
    <w:rsid w:val="0005787C"/>
    <w:rsid w:val="0006168F"/>
    <w:rsid w:val="000636DC"/>
    <w:rsid w:val="000650A7"/>
    <w:rsid w:val="00066033"/>
    <w:rsid w:val="000660E2"/>
    <w:rsid w:val="00066686"/>
    <w:rsid w:val="00066DDB"/>
    <w:rsid w:val="000703FD"/>
    <w:rsid w:val="00070887"/>
    <w:rsid w:val="0007100F"/>
    <w:rsid w:val="000713CF"/>
    <w:rsid w:val="000738B3"/>
    <w:rsid w:val="00073E14"/>
    <w:rsid w:val="00074406"/>
    <w:rsid w:val="00075BA2"/>
    <w:rsid w:val="00076A8B"/>
    <w:rsid w:val="00077418"/>
    <w:rsid w:val="00077440"/>
    <w:rsid w:val="000774F5"/>
    <w:rsid w:val="00082041"/>
    <w:rsid w:val="00083FBB"/>
    <w:rsid w:val="000867E5"/>
    <w:rsid w:val="000869C8"/>
    <w:rsid w:val="000878E4"/>
    <w:rsid w:val="00090906"/>
    <w:rsid w:val="000914BC"/>
    <w:rsid w:val="00092238"/>
    <w:rsid w:val="000924D8"/>
    <w:rsid w:val="000929F4"/>
    <w:rsid w:val="00096224"/>
    <w:rsid w:val="00096A9C"/>
    <w:rsid w:val="000A140D"/>
    <w:rsid w:val="000A1561"/>
    <w:rsid w:val="000A1B9C"/>
    <w:rsid w:val="000A2C87"/>
    <w:rsid w:val="000A381F"/>
    <w:rsid w:val="000A3F94"/>
    <w:rsid w:val="000A4FF2"/>
    <w:rsid w:val="000A731C"/>
    <w:rsid w:val="000B08FA"/>
    <w:rsid w:val="000B1C91"/>
    <w:rsid w:val="000B1F8A"/>
    <w:rsid w:val="000B2780"/>
    <w:rsid w:val="000B4C0D"/>
    <w:rsid w:val="000B4F14"/>
    <w:rsid w:val="000B6E2E"/>
    <w:rsid w:val="000B78E0"/>
    <w:rsid w:val="000C03E9"/>
    <w:rsid w:val="000C33A0"/>
    <w:rsid w:val="000C454C"/>
    <w:rsid w:val="000C46EA"/>
    <w:rsid w:val="000C5306"/>
    <w:rsid w:val="000C57BE"/>
    <w:rsid w:val="000C5FEE"/>
    <w:rsid w:val="000C7094"/>
    <w:rsid w:val="000D06C4"/>
    <w:rsid w:val="000D30C8"/>
    <w:rsid w:val="000D55D0"/>
    <w:rsid w:val="000D6018"/>
    <w:rsid w:val="000D6E16"/>
    <w:rsid w:val="000E00AA"/>
    <w:rsid w:val="000E115A"/>
    <w:rsid w:val="000E3386"/>
    <w:rsid w:val="000E5C16"/>
    <w:rsid w:val="000F030B"/>
    <w:rsid w:val="000F31FE"/>
    <w:rsid w:val="000F4088"/>
    <w:rsid w:val="000F595B"/>
    <w:rsid w:val="000F6D7D"/>
    <w:rsid w:val="000F754A"/>
    <w:rsid w:val="000F7E8E"/>
    <w:rsid w:val="001009DC"/>
    <w:rsid w:val="00102041"/>
    <w:rsid w:val="00102371"/>
    <w:rsid w:val="00106036"/>
    <w:rsid w:val="00106895"/>
    <w:rsid w:val="00106BF6"/>
    <w:rsid w:val="00110E8E"/>
    <w:rsid w:val="0011203D"/>
    <w:rsid w:val="001159EB"/>
    <w:rsid w:val="001222EE"/>
    <w:rsid w:val="00124D31"/>
    <w:rsid w:val="00125FF5"/>
    <w:rsid w:val="00126804"/>
    <w:rsid w:val="001269C9"/>
    <w:rsid w:val="001302D3"/>
    <w:rsid w:val="00130C4E"/>
    <w:rsid w:val="001317F3"/>
    <w:rsid w:val="00132A2F"/>
    <w:rsid w:val="001334F1"/>
    <w:rsid w:val="00133F58"/>
    <w:rsid w:val="0013410E"/>
    <w:rsid w:val="00134C15"/>
    <w:rsid w:val="00135734"/>
    <w:rsid w:val="00135CC2"/>
    <w:rsid w:val="0013601D"/>
    <w:rsid w:val="001362E5"/>
    <w:rsid w:val="001366FD"/>
    <w:rsid w:val="00137721"/>
    <w:rsid w:val="00141D2E"/>
    <w:rsid w:val="001426C7"/>
    <w:rsid w:val="0014690C"/>
    <w:rsid w:val="00150317"/>
    <w:rsid w:val="00150320"/>
    <w:rsid w:val="0015039A"/>
    <w:rsid w:val="00152B9C"/>
    <w:rsid w:val="00152FC8"/>
    <w:rsid w:val="00153739"/>
    <w:rsid w:val="001545D1"/>
    <w:rsid w:val="00155157"/>
    <w:rsid w:val="00156020"/>
    <w:rsid w:val="00156E67"/>
    <w:rsid w:val="00157641"/>
    <w:rsid w:val="001623BA"/>
    <w:rsid w:val="00162D9C"/>
    <w:rsid w:val="0016555E"/>
    <w:rsid w:val="00166AED"/>
    <w:rsid w:val="00171D97"/>
    <w:rsid w:val="001763B5"/>
    <w:rsid w:val="00177EFB"/>
    <w:rsid w:val="00181908"/>
    <w:rsid w:val="00182E3F"/>
    <w:rsid w:val="00183F9F"/>
    <w:rsid w:val="00185672"/>
    <w:rsid w:val="001856CE"/>
    <w:rsid w:val="00185B83"/>
    <w:rsid w:val="00190290"/>
    <w:rsid w:val="001916AC"/>
    <w:rsid w:val="00192744"/>
    <w:rsid w:val="0019371E"/>
    <w:rsid w:val="00197A2D"/>
    <w:rsid w:val="001A0A64"/>
    <w:rsid w:val="001A1746"/>
    <w:rsid w:val="001A30FD"/>
    <w:rsid w:val="001A3696"/>
    <w:rsid w:val="001A3B8C"/>
    <w:rsid w:val="001A3C0F"/>
    <w:rsid w:val="001A49BC"/>
    <w:rsid w:val="001A5D7C"/>
    <w:rsid w:val="001A6F53"/>
    <w:rsid w:val="001B4A3C"/>
    <w:rsid w:val="001B5A21"/>
    <w:rsid w:val="001B722E"/>
    <w:rsid w:val="001C0F96"/>
    <w:rsid w:val="001C1AE3"/>
    <w:rsid w:val="001C1E1D"/>
    <w:rsid w:val="001C3D22"/>
    <w:rsid w:val="001C4ADD"/>
    <w:rsid w:val="001C7333"/>
    <w:rsid w:val="001C79E6"/>
    <w:rsid w:val="001C7F77"/>
    <w:rsid w:val="001D054B"/>
    <w:rsid w:val="001D0C04"/>
    <w:rsid w:val="001D1D2F"/>
    <w:rsid w:val="001D3649"/>
    <w:rsid w:val="001D6F45"/>
    <w:rsid w:val="001D7257"/>
    <w:rsid w:val="001D794D"/>
    <w:rsid w:val="001E0889"/>
    <w:rsid w:val="001E1C2C"/>
    <w:rsid w:val="001E1E2F"/>
    <w:rsid w:val="001E2D5F"/>
    <w:rsid w:val="001E3360"/>
    <w:rsid w:val="001E363B"/>
    <w:rsid w:val="001E3D8B"/>
    <w:rsid w:val="001E3FF5"/>
    <w:rsid w:val="001E54BC"/>
    <w:rsid w:val="001E552B"/>
    <w:rsid w:val="001E6032"/>
    <w:rsid w:val="001E621D"/>
    <w:rsid w:val="001E6257"/>
    <w:rsid w:val="001E63AF"/>
    <w:rsid w:val="001F1066"/>
    <w:rsid w:val="001F29CB"/>
    <w:rsid w:val="001F4E0A"/>
    <w:rsid w:val="00200C46"/>
    <w:rsid w:val="002022C0"/>
    <w:rsid w:val="00204490"/>
    <w:rsid w:val="0020497D"/>
    <w:rsid w:val="00207B19"/>
    <w:rsid w:val="002107EE"/>
    <w:rsid w:val="00211ECF"/>
    <w:rsid w:val="00212C4F"/>
    <w:rsid w:val="0021362F"/>
    <w:rsid w:val="00214AFB"/>
    <w:rsid w:val="00216768"/>
    <w:rsid w:val="002227A3"/>
    <w:rsid w:val="002230D1"/>
    <w:rsid w:val="0022386A"/>
    <w:rsid w:val="00224A6C"/>
    <w:rsid w:val="00224E47"/>
    <w:rsid w:val="0022665A"/>
    <w:rsid w:val="00230DD3"/>
    <w:rsid w:val="00231491"/>
    <w:rsid w:val="002314DF"/>
    <w:rsid w:val="00231F9B"/>
    <w:rsid w:val="002340C7"/>
    <w:rsid w:val="00234F81"/>
    <w:rsid w:val="0023768A"/>
    <w:rsid w:val="002419D6"/>
    <w:rsid w:val="0024441D"/>
    <w:rsid w:val="0024779E"/>
    <w:rsid w:val="002500C7"/>
    <w:rsid w:val="00251AE8"/>
    <w:rsid w:val="002525A3"/>
    <w:rsid w:val="0025261B"/>
    <w:rsid w:val="00252747"/>
    <w:rsid w:val="00252B1B"/>
    <w:rsid w:val="002536D2"/>
    <w:rsid w:val="00253C99"/>
    <w:rsid w:val="002549CD"/>
    <w:rsid w:val="00257D35"/>
    <w:rsid w:val="0026201F"/>
    <w:rsid w:val="002625B4"/>
    <w:rsid w:val="00262F3F"/>
    <w:rsid w:val="00264293"/>
    <w:rsid w:val="0027170A"/>
    <w:rsid w:val="00273F21"/>
    <w:rsid w:val="002755DE"/>
    <w:rsid w:val="002774D8"/>
    <w:rsid w:val="00277DB9"/>
    <w:rsid w:val="0028089A"/>
    <w:rsid w:val="002818E8"/>
    <w:rsid w:val="00281D6D"/>
    <w:rsid w:val="00282707"/>
    <w:rsid w:val="00282AB3"/>
    <w:rsid w:val="00284822"/>
    <w:rsid w:val="00284841"/>
    <w:rsid w:val="00285711"/>
    <w:rsid w:val="0029052C"/>
    <w:rsid w:val="00290688"/>
    <w:rsid w:val="00292011"/>
    <w:rsid w:val="00292131"/>
    <w:rsid w:val="0029228F"/>
    <w:rsid w:val="00294816"/>
    <w:rsid w:val="00295389"/>
    <w:rsid w:val="002A1101"/>
    <w:rsid w:val="002A1237"/>
    <w:rsid w:val="002A2E96"/>
    <w:rsid w:val="002A3A7E"/>
    <w:rsid w:val="002A61EA"/>
    <w:rsid w:val="002A784E"/>
    <w:rsid w:val="002B1E8B"/>
    <w:rsid w:val="002B26FC"/>
    <w:rsid w:val="002B26FF"/>
    <w:rsid w:val="002B2938"/>
    <w:rsid w:val="002B2C1E"/>
    <w:rsid w:val="002B63CE"/>
    <w:rsid w:val="002B653F"/>
    <w:rsid w:val="002B6F86"/>
    <w:rsid w:val="002C4D2D"/>
    <w:rsid w:val="002C7CC4"/>
    <w:rsid w:val="002D1338"/>
    <w:rsid w:val="002D39C3"/>
    <w:rsid w:val="002D3F92"/>
    <w:rsid w:val="002D48AD"/>
    <w:rsid w:val="002D4BA2"/>
    <w:rsid w:val="002D5EA9"/>
    <w:rsid w:val="002D64F2"/>
    <w:rsid w:val="002D7F4F"/>
    <w:rsid w:val="002E0C8A"/>
    <w:rsid w:val="002E2377"/>
    <w:rsid w:val="002E28B5"/>
    <w:rsid w:val="002E3DFF"/>
    <w:rsid w:val="002E658E"/>
    <w:rsid w:val="002F1C01"/>
    <w:rsid w:val="002F1EC3"/>
    <w:rsid w:val="002F2B70"/>
    <w:rsid w:val="002F41B5"/>
    <w:rsid w:val="002F5A3A"/>
    <w:rsid w:val="002F7C86"/>
    <w:rsid w:val="0030466B"/>
    <w:rsid w:val="00304C83"/>
    <w:rsid w:val="00306A7F"/>
    <w:rsid w:val="003075D9"/>
    <w:rsid w:val="00307E10"/>
    <w:rsid w:val="0031407D"/>
    <w:rsid w:val="003148F1"/>
    <w:rsid w:val="00314E30"/>
    <w:rsid w:val="00315A93"/>
    <w:rsid w:val="00316104"/>
    <w:rsid w:val="00317818"/>
    <w:rsid w:val="0032015A"/>
    <w:rsid w:val="003210CB"/>
    <w:rsid w:val="003218FE"/>
    <w:rsid w:val="003224D0"/>
    <w:rsid w:val="003229BB"/>
    <w:rsid w:val="003256F8"/>
    <w:rsid w:val="00325BF3"/>
    <w:rsid w:val="0032693A"/>
    <w:rsid w:val="003339B1"/>
    <w:rsid w:val="00333AF2"/>
    <w:rsid w:val="00334B88"/>
    <w:rsid w:val="00334E53"/>
    <w:rsid w:val="00342A44"/>
    <w:rsid w:val="00342FCD"/>
    <w:rsid w:val="00344BE9"/>
    <w:rsid w:val="00345575"/>
    <w:rsid w:val="00346D0F"/>
    <w:rsid w:val="003479FF"/>
    <w:rsid w:val="00347CB9"/>
    <w:rsid w:val="00354701"/>
    <w:rsid w:val="00357A59"/>
    <w:rsid w:val="00360D6E"/>
    <w:rsid w:val="0036194D"/>
    <w:rsid w:val="00361F5D"/>
    <w:rsid w:val="00364B6F"/>
    <w:rsid w:val="00364E88"/>
    <w:rsid w:val="00365930"/>
    <w:rsid w:val="003675BF"/>
    <w:rsid w:val="00367893"/>
    <w:rsid w:val="00367BAD"/>
    <w:rsid w:val="00370087"/>
    <w:rsid w:val="00372B0A"/>
    <w:rsid w:val="00372E73"/>
    <w:rsid w:val="00374796"/>
    <w:rsid w:val="00374AA1"/>
    <w:rsid w:val="0037664E"/>
    <w:rsid w:val="00376772"/>
    <w:rsid w:val="00376D54"/>
    <w:rsid w:val="003801E7"/>
    <w:rsid w:val="00381C7A"/>
    <w:rsid w:val="00381FA0"/>
    <w:rsid w:val="00382ED6"/>
    <w:rsid w:val="00383313"/>
    <w:rsid w:val="00385D67"/>
    <w:rsid w:val="00386F4A"/>
    <w:rsid w:val="00387B94"/>
    <w:rsid w:val="003904EF"/>
    <w:rsid w:val="0039100D"/>
    <w:rsid w:val="003931DC"/>
    <w:rsid w:val="003A097D"/>
    <w:rsid w:val="003A12E5"/>
    <w:rsid w:val="003A5646"/>
    <w:rsid w:val="003B173A"/>
    <w:rsid w:val="003B69C1"/>
    <w:rsid w:val="003B7148"/>
    <w:rsid w:val="003B7994"/>
    <w:rsid w:val="003B79AE"/>
    <w:rsid w:val="003C07C0"/>
    <w:rsid w:val="003C0E07"/>
    <w:rsid w:val="003C1EE0"/>
    <w:rsid w:val="003C6736"/>
    <w:rsid w:val="003D1271"/>
    <w:rsid w:val="003D1AAA"/>
    <w:rsid w:val="003D5FC6"/>
    <w:rsid w:val="003D5FC7"/>
    <w:rsid w:val="003D688A"/>
    <w:rsid w:val="003D6966"/>
    <w:rsid w:val="003D6D18"/>
    <w:rsid w:val="003E0D2E"/>
    <w:rsid w:val="003E2D15"/>
    <w:rsid w:val="003E3B0F"/>
    <w:rsid w:val="003E48B4"/>
    <w:rsid w:val="003E5B5F"/>
    <w:rsid w:val="003E5BFB"/>
    <w:rsid w:val="003E602D"/>
    <w:rsid w:val="003E7FF7"/>
    <w:rsid w:val="003F0854"/>
    <w:rsid w:val="003F3EF9"/>
    <w:rsid w:val="003F507A"/>
    <w:rsid w:val="003F581D"/>
    <w:rsid w:val="003F68DC"/>
    <w:rsid w:val="003F69DC"/>
    <w:rsid w:val="003F7959"/>
    <w:rsid w:val="003F7B52"/>
    <w:rsid w:val="00401ED0"/>
    <w:rsid w:val="00403C6E"/>
    <w:rsid w:val="00404A77"/>
    <w:rsid w:val="0040508B"/>
    <w:rsid w:val="00405DBD"/>
    <w:rsid w:val="00413A01"/>
    <w:rsid w:val="00414C3A"/>
    <w:rsid w:val="00417956"/>
    <w:rsid w:val="00420E84"/>
    <w:rsid w:val="00420F7C"/>
    <w:rsid w:val="00421137"/>
    <w:rsid w:val="0042655D"/>
    <w:rsid w:val="00426A7D"/>
    <w:rsid w:val="00430808"/>
    <w:rsid w:val="00431762"/>
    <w:rsid w:val="00431CDA"/>
    <w:rsid w:val="0043276D"/>
    <w:rsid w:val="0043441C"/>
    <w:rsid w:val="00435162"/>
    <w:rsid w:val="004361C5"/>
    <w:rsid w:val="00437AB6"/>
    <w:rsid w:val="00442493"/>
    <w:rsid w:val="00442DE7"/>
    <w:rsid w:val="00444340"/>
    <w:rsid w:val="00447585"/>
    <w:rsid w:val="00447F03"/>
    <w:rsid w:val="00450081"/>
    <w:rsid w:val="004501CD"/>
    <w:rsid w:val="004516E1"/>
    <w:rsid w:val="00452035"/>
    <w:rsid w:val="004525A8"/>
    <w:rsid w:val="00454190"/>
    <w:rsid w:val="004544A2"/>
    <w:rsid w:val="00454E8B"/>
    <w:rsid w:val="00456F18"/>
    <w:rsid w:val="004619DC"/>
    <w:rsid w:val="0046752A"/>
    <w:rsid w:val="00467A4E"/>
    <w:rsid w:val="0047274E"/>
    <w:rsid w:val="00472E23"/>
    <w:rsid w:val="00473015"/>
    <w:rsid w:val="00473C10"/>
    <w:rsid w:val="00480E89"/>
    <w:rsid w:val="00481F68"/>
    <w:rsid w:val="00485552"/>
    <w:rsid w:val="00487960"/>
    <w:rsid w:val="00490364"/>
    <w:rsid w:val="00490D43"/>
    <w:rsid w:val="00491F7C"/>
    <w:rsid w:val="00493412"/>
    <w:rsid w:val="004945EB"/>
    <w:rsid w:val="00495E2D"/>
    <w:rsid w:val="0049733D"/>
    <w:rsid w:val="004A0298"/>
    <w:rsid w:val="004A2DDA"/>
    <w:rsid w:val="004A32CA"/>
    <w:rsid w:val="004A4B38"/>
    <w:rsid w:val="004A5CC5"/>
    <w:rsid w:val="004A63AD"/>
    <w:rsid w:val="004A6F61"/>
    <w:rsid w:val="004B021A"/>
    <w:rsid w:val="004B2129"/>
    <w:rsid w:val="004B236E"/>
    <w:rsid w:val="004B691A"/>
    <w:rsid w:val="004B715E"/>
    <w:rsid w:val="004B71F7"/>
    <w:rsid w:val="004C16BB"/>
    <w:rsid w:val="004C1F72"/>
    <w:rsid w:val="004C2B61"/>
    <w:rsid w:val="004C41A0"/>
    <w:rsid w:val="004C4204"/>
    <w:rsid w:val="004C4C39"/>
    <w:rsid w:val="004C575C"/>
    <w:rsid w:val="004C6947"/>
    <w:rsid w:val="004D06EC"/>
    <w:rsid w:val="004D0E31"/>
    <w:rsid w:val="004D7C7E"/>
    <w:rsid w:val="004E061A"/>
    <w:rsid w:val="004E07DC"/>
    <w:rsid w:val="004E1894"/>
    <w:rsid w:val="004E18C0"/>
    <w:rsid w:val="004E1E8E"/>
    <w:rsid w:val="004E35C4"/>
    <w:rsid w:val="004E3B02"/>
    <w:rsid w:val="004E4A7C"/>
    <w:rsid w:val="004E677A"/>
    <w:rsid w:val="004E768E"/>
    <w:rsid w:val="004F0987"/>
    <w:rsid w:val="004F43AC"/>
    <w:rsid w:val="004F50D3"/>
    <w:rsid w:val="005004EE"/>
    <w:rsid w:val="00500F72"/>
    <w:rsid w:val="005011AE"/>
    <w:rsid w:val="0050397C"/>
    <w:rsid w:val="005040A9"/>
    <w:rsid w:val="00507B7A"/>
    <w:rsid w:val="0051083D"/>
    <w:rsid w:val="00511690"/>
    <w:rsid w:val="005149FB"/>
    <w:rsid w:val="005152DB"/>
    <w:rsid w:val="00516B7F"/>
    <w:rsid w:val="00516FE6"/>
    <w:rsid w:val="00521A68"/>
    <w:rsid w:val="00522AFB"/>
    <w:rsid w:val="00525868"/>
    <w:rsid w:val="00527DDC"/>
    <w:rsid w:val="00530091"/>
    <w:rsid w:val="00530BB3"/>
    <w:rsid w:val="00533E6F"/>
    <w:rsid w:val="00541FB8"/>
    <w:rsid w:val="005423D5"/>
    <w:rsid w:val="00546E3C"/>
    <w:rsid w:val="00547905"/>
    <w:rsid w:val="00550878"/>
    <w:rsid w:val="0055165F"/>
    <w:rsid w:val="005542DE"/>
    <w:rsid w:val="005543B3"/>
    <w:rsid w:val="00554958"/>
    <w:rsid w:val="00560039"/>
    <w:rsid w:val="00560994"/>
    <w:rsid w:val="00560BF8"/>
    <w:rsid w:val="0056256E"/>
    <w:rsid w:val="0056331F"/>
    <w:rsid w:val="0056412D"/>
    <w:rsid w:val="00565194"/>
    <w:rsid w:val="0057165E"/>
    <w:rsid w:val="00571AAE"/>
    <w:rsid w:val="005735DD"/>
    <w:rsid w:val="00573645"/>
    <w:rsid w:val="005737E0"/>
    <w:rsid w:val="00574E4C"/>
    <w:rsid w:val="00574F59"/>
    <w:rsid w:val="0057654C"/>
    <w:rsid w:val="005767D7"/>
    <w:rsid w:val="00580ABD"/>
    <w:rsid w:val="00580DA6"/>
    <w:rsid w:val="00581706"/>
    <w:rsid w:val="00582C17"/>
    <w:rsid w:val="00583671"/>
    <w:rsid w:val="00583898"/>
    <w:rsid w:val="00587AE7"/>
    <w:rsid w:val="00591EA1"/>
    <w:rsid w:val="005933BC"/>
    <w:rsid w:val="00593AD2"/>
    <w:rsid w:val="00595E18"/>
    <w:rsid w:val="00597371"/>
    <w:rsid w:val="00597F47"/>
    <w:rsid w:val="005A085E"/>
    <w:rsid w:val="005A1788"/>
    <w:rsid w:val="005A18DE"/>
    <w:rsid w:val="005A1EDD"/>
    <w:rsid w:val="005A256D"/>
    <w:rsid w:val="005A2DF8"/>
    <w:rsid w:val="005A57B4"/>
    <w:rsid w:val="005B0A5B"/>
    <w:rsid w:val="005B127F"/>
    <w:rsid w:val="005B168B"/>
    <w:rsid w:val="005B3251"/>
    <w:rsid w:val="005B7492"/>
    <w:rsid w:val="005B75D1"/>
    <w:rsid w:val="005C11D3"/>
    <w:rsid w:val="005C167A"/>
    <w:rsid w:val="005C28C3"/>
    <w:rsid w:val="005C2D6E"/>
    <w:rsid w:val="005C3CAE"/>
    <w:rsid w:val="005C564B"/>
    <w:rsid w:val="005C5BE0"/>
    <w:rsid w:val="005D0906"/>
    <w:rsid w:val="005D11A2"/>
    <w:rsid w:val="005D4827"/>
    <w:rsid w:val="005D54F8"/>
    <w:rsid w:val="005D7A43"/>
    <w:rsid w:val="005E0115"/>
    <w:rsid w:val="005E13B4"/>
    <w:rsid w:val="005E1482"/>
    <w:rsid w:val="005E17A5"/>
    <w:rsid w:val="005E1BBD"/>
    <w:rsid w:val="005E1FFA"/>
    <w:rsid w:val="005E296D"/>
    <w:rsid w:val="005E4291"/>
    <w:rsid w:val="005E4BD3"/>
    <w:rsid w:val="005E6872"/>
    <w:rsid w:val="005E744A"/>
    <w:rsid w:val="005F02AF"/>
    <w:rsid w:val="005F0373"/>
    <w:rsid w:val="005F2D03"/>
    <w:rsid w:val="005F336A"/>
    <w:rsid w:val="005F4A3A"/>
    <w:rsid w:val="005F5205"/>
    <w:rsid w:val="005F5E67"/>
    <w:rsid w:val="0060024A"/>
    <w:rsid w:val="00600DD4"/>
    <w:rsid w:val="0060228C"/>
    <w:rsid w:val="0060232B"/>
    <w:rsid w:val="00605321"/>
    <w:rsid w:val="006126B2"/>
    <w:rsid w:val="00612E1C"/>
    <w:rsid w:val="0061386B"/>
    <w:rsid w:val="00614AC5"/>
    <w:rsid w:val="006173A2"/>
    <w:rsid w:val="00620A42"/>
    <w:rsid w:val="00622DC7"/>
    <w:rsid w:val="006230FD"/>
    <w:rsid w:val="006237BE"/>
    <w:rsid w:val="006249F1"/>
    <w:rsid w:val="006251BB"/>
    <w:rsid w:val="006256C2"/>
    <w:rsid w:val="00626ED6"/>
    <w:rsid w:val="00627432"/>
    <w:rsid w:val="00627712"/>
    <w:rsid w:val="006349AD"/>
    <w:rsid w:val="006350CC"/>
    <w:rsid w:val="006358D8"/>
    <w:rsid w:val="0063603F"/>
    <w:rsid w:val="006375D6"/>
    <w:rsid w:val="00637F58"/>
    <w:rsid w:val="00641F74"/>
    <w:rsid w:val="006422BB"/>
    <w:rsid w:val="00642535"/>
    <w:rsid w:val="00645536"/>
    <w:rsid w:val="006460F7"/>
    <w:rsid w:val="00652036"/>
    <w:rsid w:val="0065211D"/>
    <w:rsid w:val="006523B9"/>
    <w:rsid w:val="00654EB7"/>
    <w:rsid w:val="0065589E"/>
    <w:rsid w:val="00656164"/>
    <w:rsid w:val="006578C1"/>
    <w:rsid w:val="0066126D"/>
    <w:rsid w:val="0066218A"/>
    <w:rsid w:val="00662733"/>
    <w:rsid w:val="00662980"/>
    <w:rsid w:val="00662E0D"/>
    <w:rsid w:val="00664E44"/>
    <w:rsid w:val="00665703"/>
    <w:rsid w:val="00665D32"/>
    <w:rsid w:val="0067027A"/>
    <w:rsid w:val="006706EA"/>
    <w:rsid w:val="00672DB9"/>
    <w:rsid w:val="006738D0"/>
    <w:rsid w:val="00675B00"/>
    <w:rsid w:val="00675DFC"/>
    <w:rsid w:val="0067694A"/>
    <w:rsid w:val="00677007"/>
    <w:rsid w:val="00680011"/>
    <w:rsid w:val="0068007B"/>
    <w:rsid w:val="006834BA"/>
    <w:rsid w:val="00683B34"/>
    <w:rsid w:val="006859D1"/>
    <w:rsid w:val="00686AFC"/>
    <w:rsid w:val="00686D64"/>
    <w:rsid w:val="0068717A"/>
    <w:rsid w:val="006878F0"/>
    <w:rsid w:val="00691A06"/>
    <w:rsid w:val="006921F0"/>
    <w:rsid w:val="00693681"/>
    <w:rsid w:val="00693C64"/>
    <w:rsid w:val="00693D5E"/>
    <w:rsid w:val="00693E03"/>
    <w:rsid w:val="00695598"/>
    <w:rsid w:val="0069618A"/>
    <w:rsid w:val="006A0C98"/>
    <w:rsid w:val="006A381B"/>
    <w:rsid w:val="006A3C01"/>
    <w:rsid w:val="006A44D4"/>
    <w:rsid w:val="006A48C6"/>
    <w:rsid w:val="006A4EC9"/>
    <w:rsid w:val="006A5779"/>
    <w:rsid w:val="006A6D93"/>
    <w:rsid w:val="006B0669"/>
    <w:rsid w:val="006B0E0E"/>
    <w:rsid w:val="006B4072"/>
    <w:rsid w:val="006B4446"/>
    <w:rsid w:val="006B4534"/>
    <w:rsid w:val="006B4B49"/>
    <w:rsid w:val="006B553B"/>
    <w:rsid w:val="006B5663"/>
    <w:rsid w:val="006B6EFD"/>
    <w:rsid w:val="006B7359"/>
    <w:rsid w:val="006C1E8B"/>
    <w:rsid w:val="006C3205"/>
    <w:rsid w:val="006C3F9A"/>
    <w:rsid w:val="006C5168"/>
    <w:rsid w:val="006C564D"/>
    <w:rsid w:val="006C58F2"/>
    <w:rsid w:val="006C5B25"/>
    <w:rsid w:val="006D1C03"/>
    <w:rsid w:val="006D3A9F"/>
    <w:rsid w:val="006D473C"/>
    <w:rsid w:val="006D5761"/>
    <w:rsid w:val="006D6682"/>
    <w:rsid w:val="006D7A6C"/>
    <w:rsid w:val="006E26D2"/>
    <w:rsid w:val="006E67F6"/>
    <w:rsid w:val="006E708B"/>
    <w:rsid w:val="006F03C4"/>
    <w:rsid w:val="006F2150"/>
    <w:rsid w:val="006F3E49"/>
    <w:rsid w:val="006F409B"/>
    <w:rsid w:val="006F43CF"/>
    <w:rsid w:val="00700ABC"/>
    <w:rsid w:val="00701256"/>
    <w:rsid w:val="00710B20"/>
    <w:rsid w:val="00710ECD"/>
    <w:rsid w:val="0071177A"/>
    <w:rsid w:val="00711B4C"/>
    <w:rsid w:val="00712106"/>
    <w:rsid w:val="00712447"/>
    <w:rsid w:val="00713C67"/>
    <w:rsid w:val="00715C07"/>
    <w:rsid w:val="007162B9"/>
    <w:rsid w:val="007166A9"/>
    <w:rsid w:val="007167EE"/>
    <w:rsid w:val="007168EF"/>
    <w:rsid w:val="00717529"/>
    <w:rsid w:val="0072026C"/>
    <w:rsid w:val="00721107"/>
    <w:rsid w:val="007239F4"/>
    <w:rsid w:val="0072474D"/>
    <w:rsid w:val="00725861"/>
    <w:rsid w:val="0072622A"/>
    <w:rsid w:val="00727781"/>
    <w:rsid w:val="007311C5"/>
    <w:rsid w:val="00732978"/>
    <w:rsid w:val="007334ED"/>
    <w:rsid w:val="00734BC3"/>
    <w:rsid w:val="00736DF7"/>
    <w:rsid w:val="00737371"/>
    <w:rsid w:val="00737D18"/>
    <w:rsid w:val="00737F48"/>
    <w:rsid w:val="00740980"/>
    <w:rsid w:val="00742E21"/>
    <w:rsid w:val="00743926"/>
    <w:rsid w:val="00746B38"/>
    <w:rsid w:val="00746D14"/>
    <w:rsid w:val="00747E45"/>
    <w:rsid w:val="00753153"/>
    <w:rsid w:val="00754222"/>
    <w:rsid w:val="00754F6D"/>
    <w:rsid w:val="007577E0"/>
    <w:rsid w:val="00757A29"/>
    <w:rsid w:val="007623D2"/>
    <w:rsid w:val="00762B6D"/>
    <w:rsid w:val="00764EF9"/>
    <w:rsid w:val="0077142F"/>
    <w:rsid w:val="00773338"/>
    <w:rsid w:val="00773B8E"/>
    <w:rsid w:val="007763B2"/>
    <w:rsid w:val="0077746C"/>
    <w:rsid w:val="00777721"/>
    <w:rsid w:val="007823C6"/>
    <w:rsid w:val="00782792"/>
    <w:rsid w:val="007837FC"/>
    <w:rsid w:val="00783B71"/>
    <w:rsid w:val="00785B4D"/>
    <w:rsid w:val="00786049"/>
    <w:rsid w:val="00786891"/>
    <w:rsid w:val="007869B8"/>
    <w:rsid w:val="00786BF3"/>
    <w:rsid w:val="007967AC"/>
    <w:rsid w:val="007A37DE"/>
    <w:rsid w:val="007A7C46"/>
    <w:rsid w:val="007B11FF"/>
    <w:rsid w:val="007B1257"/>
    <w:rsid w:val="007B190F"/>
    <w:rsid w:val="007B3A63"/>
    <w:rsid w:val="007B50B2"/>
    <w:rsid w:val="007C140D"/>
    <w:rsid w:val="007C1605"/>
    <w:rsid w:val="007C2837"/>
    <w:rsid w:val="007C6985"/>
    <w:rsid w:val="007C7ED4"/>
    <w:rsid w:val="007D1315"/>
    <w:rsid w:val="007D13D0"/>
    <w:rsid w:val="007D148D"/>
    <w:rsid w:val="007D1569"/>
    <w:rsid w:val="007D1A8C"/>
    <w:rsid w:val="007D474C"/>
    <w:rsid w:val="007D7AE5"/>
    <w:rsid w:val="007E04DE"/>
    <w:rsid w:val="007E0EDF"/>
    <w:rsid w:val="007E1868"/>
    <w:rsid w:val="007E2A35"/>
    <w:rsid w:val="007E4E86"/>
    <w:rsid w:val="007E648E"/>
    <w:rsid w:val="007F1141"/>
    <w:rsid w:val="007F1E06"/>
    <w:rsid w:val="00802555"/>
    <w:rsid w:val="008049DD"/>
    <w:rsid w:val="008051CB"/>
    <w:rsid w:val="00805E43"/>
    <w:rsid w:val="00811AD0"/>
    <w:rsid w:val="00811C27"/>
    <w:rsid w:val="00811CAE"/>
    <w:rsid w:val="00813202"/>
    <w:rsid w:val="00813272"/>
    <w:rsid w:val="008135DF"/>
    <w:rsid w:val="00815152"/>
    <w:rsid w:val="00815894"/>
    <w:rsid w:val="00815E3B"/>
    <w:rsid w:val="00817EBF"/>
    <w:rsid w:val="0082000F"/>
    <w:rsid w:val="0082106F"/>
    <w:rsid w:val="008215CD"/>
    <w:rsid w:val="00821A1F"/>
    <w:rsid w:val="00822E31"/>
    <w:rsid w:val="00824057"/>
    <w:rsid w:val="00824359"/>
    <w:rsid w:val="008255FE"/>
    <w:rsid w:val="008275C8"/>
    <w:rsid w:val="00827990"/>
    <w:rsid w:val="00832BF2"/>
    <w:rsid w:val="008335D7"/>
    <w:rsid w:val="00834017"/>
    <w:rsid w:val="00834179"/>
    <w:rsid w:val="00834334"/>
    <w:rsid w:val="00835F77"/>
    <w:rsid w:val="00841B31"/>
    <w:rsid w:val="00841CAC"/>
    <w:rsid w:val="008473F0"/>
    <w:rsid w:val="00851041"/>
    <w:rsid w:val="00851DD2"/>
    <w:rsid w:val="0085312F"/>
    <w:rsid w:val="0085552F"/>
    <w:rsid w:val="00860623"/>
    <w:rsid w:val="00860662"/>
    <w:rsid w:val="008641FF"/>
    <w:rsid w:val="008648C5"/>
    <w:rsid w:val="00867EB8"/>
    <w:rsid w:val="008707D8"/>
    <w:rsid w:val="00871B42"/>
    <w:rsid w:val="00872846"/>
    <w:rsid w:val="00872C59"/>
    <w:rsid w:val="0087361D"/>
    <w:rsid w:val="00874BF3"/>
    <w:rsid w:val="008767F8"/>
    <w:rsid w:val="008767FC"/>
    <w:rsid w:val="008772E4"/>
    <w:rsid w:val="00877E65"/>
    <w:rsid w:val="0088008F"/>
    <w:rsid w:val="00881042"/>
    <w:rsid w:val="00881488"/>
    <w:rsid w:val="00881BAB"/>
    <w:rsid w:val="00882EB4"/>
    <w:rsid w:val="008837B6"/>
    <w:rsid w:val="00883E81"/>
    <w:rsid w:val="008854F2"/>
    <w:rsid w:val="008927B2"/>
    <w:rsid w:val="00893DB7"/>
    <w:rsid w:val="008960DC"/>
    <w:rsid w:val="00896BB1"/>
    <w:rsid w:val="00897A09"/>
    <w:rsid w:val="00897CFE"/>
    <w:rsid w:val="00897E4B"/>
    <w:rsid w:val="008A28FE"/>
    <w:rsid w:val="008A3FE4"/>
    <w:rsid w:val="008A4188"/>
    <w:rsid w:val="008A7F24"/>
    <w:rsid w:val="008B0ED2"/>
    <w:rsid w:val="008B2FF4"/>
    <w:rsid w:val="008B6C8E"/>
    <w:rsid w:val="008B7BB1"/>
    <w:rsid w:val="008C12D9"/>
    <w:rsid w:val="008C244F"/>
    <w:rsid w:val="008C3911"/>
    <w:rsid w:val="008C54D7"/>
    <w:rsid w:val="008C5DB2"/>
    <w:rsid w:val="008C6167"/>
    <w:rsid w:val="008D006B"/>
    <w:rsid w:val="008D2B07"/>
    <w:rsid w:val="008D2C6B"/>
    <w:rsid w:val="008D4756"/>
    <w:rsid w:val="008D559E"/>
    <w:rsid w:val="008D7EC2"/>
    <w:rsid w:val="008E0045"/>
    <w:rsid w:val="008E073A"/>
    <w:rsid w:val="008E1E9C"/>
    <w:rsid w:val="008E61D8"/>
    <w:rsid w:val="008E7745"/>
    <w:rsid w:val="008F113E"/>
    <w:rsid w:val="008F161E"/>
    <w:rsid w:val="008F1A73"/>
    <w:rsid w:val="008F4836"/>
    <w:rsid w:val="00900591"/>
    <w:rsid w:val="00904935"/>
    <w:rsid w:val="00904C21"/>
    <w:rsid w:val="00906A62"/>
    <w:rsid w:val="00906CA8"/>
    <w:rsid w:val="00907635"/>
    <w:rsid w:val="00907B05"/>
    <w:rsid w:val="00911358"/>
    <w:rsid w:val="009120AC"/>
    <w:rsid w:val="00912AC2"/>
    <w:rsid w:val="00912B24"/>
    <w:rsid w:val="009157E9"/>
    <w:rsid w:val="00916802"/>
    <w:rsid w:val="00916B4E"/>
    <w:rsid w:val="009171C5"/>
    <w:rsid w:val="00917B08"/>
    <w:rsid w:val="0092218D"/>
    <w:rsid w:val="00923AB5"/>
    <w:rsid w:val="009279B0"/>
    <w:rsid w:val="00927BB6"/>
    <w:rsid w:val="00933282"/>
    <w:rsid w:val="00935095"/>
    <w:rsid w:val="00935473"/>
    <w:rsid w:val="00935829"/>
    <w:rsid w:val="00944135"/>
    <w:rsid w:val="009457A4"/>
    <w:rsid w:val="00946963"/>
    <w:rsid w:val="00951317"/>
    <w:rsid w:val="0095200B"/>
    <w:rsid w:val="00952893"/>
    <w:rsid w:val="009552BA"/>
    <w:rsid w:val="00955F85"/>
    <w:rsid w:val="00957181"/>
    <w:rsid w:val="00960EF5"/>
    <w:rsid w:val="00963B5C"/>
    <w:rsid w:val="00965213"/>
    <w:rsid w:val="00967448"/>
    <w:rsid w:val="00971A60"/>
    <w:rsid w:val="00974028"/>
    <w:rsid w:val="0097522A"/>
    <w:rsid w:val="00975EB3"/>
    <w:rsid w:val="009807E5"/>
    <w:rsid w:val="00982DBA"/>
    <w:rsid w:val="00984668"/>
    <w:rsid w:val="00987380"/>
    <w:rsid w:val="00993C9E"/>
    <w:rsid w:val="00993E33"/>
    <w:rsid w:val="00994C61"/>
    <w:rsid w:val="0099542E"/>
    <w:rsid w:val="00996AB7"/>
    <w:rsid w:val="00997986"/>
    <w:rsid w:val="009A4478"/>
    <w:rsid w:val="009A5EA2"/>
    <w:rsid w:val="009B167E"/>
    <w:rsid w:val="009B175C"/>
    <w:rsid w:val="009B1FC1"/>
    <w:rsid w:val="009B2F3F"/>
    <w:rsid w:val="009B3ABA"/>
    <w:rsid w:val="009B3D4C"/>
    <w:rsid w:val="009B4270"/>
    <w:rsid w:val="009B5FF5"/>
    <w:rsid w:val="009B62AE"/>
    <w:rsid w:val="009B7A32"/>
    <w:rsid w:val="009C1438"/>
    <w:rsid w:val="009C1C59"/>
    <w:rsid w:val="009C24E5"/>
    <w:rsid w:val="009C3DBC"/>
    <w:rsid w:val="009C44B8"/>
    <w:rsid w:val="009C5129"/>
    <w:rsid w:val="009C5439"/>
    <w:rsid w:val="009C78D3"/>
    <w:rsid w:val="009D2894"/>
    <w:rsid w:val="009D484F"/>
    <w:rsid w:val="009D519C"/>
    <w:rsid w:val="009D6F58"/>
    <w:rsid w:val="009E1157"/>
    <w:rsid w:val="009E5E93"/>
    <w:rsid w:val="009E715A"/>
    <w:rsid w:val="009E7CD8"/>
    <w:rsid w:val="009F0FA9"/>
    <w:rsid w:val="009F1436"/>
    <w:rsid w:val="009F57DC"/>
    <w:rsid w:val="009F706B"/>
    <w:rsid w:val="009F713B"/>
    <w:rsid w:val="009F7319"/>
    <w:rsid w:val="00A001B3"/>
    <w:rsid w:val="00A00AAB"/>
    <w:rsid w:val="00A01A42"/>
    <w:rsid w:val="00A01F06"/>
    <w:rsid w:val="00A03B11"/>
    <w:rsid w:val="00A03FFD"/>
    <w:rsid w:val="00A113D7"/>
    <w:rsid w:val="00A131AE"/>
    <w:rsid w:val="00A134C4"/>
    <w:rsid w:val="00A13548"/>
    <w:rsid w:val="00A16523"/>
    <w:rsid w:val="00A171E8"/>
    <w:rsid w:val="00A17876"/>
    <w:rsid w:val="00A17EEF"/>
    <w:rsid w:val="00A2194D"/>
    <w:rsid w:val="00A223BD"/>
    <w:rsid w:val="00A238B3"/>
    <w:rsid w:val="00A23A20"/>
    <w:rsid w:val="00A25666"/>
    <w:rsid w:val="00A26226"/>
    <w:rsid w:val="00A2676B"/>
    <w:rsid w:val="00A268CD"/>
    <w:rsid w:val="00A30A7C"/>
    <w:rsid w:val="00A3131D"/>
    <w:rsid w:val="00A324D5"/>
    <w:rsid w:val="00A33E55"/>
    <w:rsid w:val="00A362C3"/>
    <w:rsid w:val="00A372D5"/>
    <w:rsid w:val="00A401A7"/>
    <w:rsid w:val="00A41D7A"/>
    <w:rsid w:val="00A42984"/>
    <w:rsid w:val="00A44216"/>
    <w:rsid w:val="00A444EE"/>
    <w:rsid w:val="00A45074"/>
    <w:rsid w:val="00A45392"/>
    <w:rsid w:val="00A4670B"/>
    <w:rsid w:val="00A508F0"/>
    <w:rsid w:val="00A51FA0"/>
    <w:rsid w:val="00A56E67"/>
    <w:rsid w:val="00A5746A"/>
    <w:rsid w:val="00A574ED"/>
    <w:rsid w:val="00A60610"/>
    <w:rsid w:val="00A6439F"/>
    <w:rsid w:val="00A6510A"/>
    <w:rsid w:val="00A715D2"/>
    <w:rsid w:val="00A720BE"/>
    <w:rsid w:val="00A7347F"/>
    <w:rsid w:val="00A735A1"/>
    <w:rsid w:val="00A73B96"/>
    <w:rsid w:val="00A74D1D"/>
    <w:rsid w:val="00A7502C"/>
    <w:rsid w:val="00A7593F"/>
    <w:rsid w:val="00A774C4"/>
    <w:rsid w:val="00A80040"/>
    <w:rsid w:val="00A8320F"/>
    <w:rsid w:val="00A83595"/>
    <w:rsid w:val="00A85540"/>
    <w:rsid w:val="00A85594"/>
    <w:rsid w:val="00A86820"/>
    <w:rsid w:val="00A87663"/>
    <w:rsid w:val="00A879E3"/>
    <w:rsid w:val="00A90CBE"/>
    <w:rsid w:val="00A91379"/>
    <w:rsid w:val="00A92ECF"/>
    <w:rsid w:val="00A9310D"/>
    <w:rsid w:val="00A95278"/>
    <w:rsid w:val="00A963D6"/>
    <w:rsid w:val="00AA06C5"/>
    <w:rsid w:val="00AA14DC"/>
    <w:rsid w:val="00AA5C80"/>
    <w:rsid w:val="00AA71AE"/>
    <w:rsid w:val="00AB0E65"/>
    <w:rsid w:val="00AB0F0F"/>
    <w:rsid w:val="00AB256B"/>
    <w:rsid w:val="00AB3F80"/>
    <w:rsid w:val="00AB40AE"/>
    <w:rsid w:val="00AB526A"/>
    <w:rsid w:val="00AB7A8B"/>
    <w:rsid w:val="00AB7FFC"/>
    <w:rsid w:val="00AC104B"/>
    <w:rsid w:val="00AC35E6"/>
    <w:rsid w:val="00AC5472"/>
    <w:rsid w:val="00AC6A60"/>
    <w:rsid w:val="00AD05AC"/>
    <w:rsid w:val="00AD2CD4"/>
    <w:rsid w:val="00AD34CA"/>
    <w:rsid w:val="00AD3CD6"/>
    <w:rsid w:val="00AD4449"/>
    <w:rsid w:val="00AD5D5C"/>
    <w:rsid w:val="00AD6B70"/>
    <w:rsid w:val="00AD768F"/>
    <w:rsid w:val="00AF0B27"/>
    <w:rsid w:val="00AF3BCA"/>
    <w:rsid w:val="00AF43C2"/>
    <w:rsid w:val="00AF71CB"/>
    <w:rsid w:val="00AF7DDF"/>
    <w:rsid w:val="00B0219E"/>
    <w:rsid w:val="00B04B3E"/>
    <w:rsid w:val="00B1056E"/>
    <w:rsid w:val="00B12C8C"/>
    <w:rsid w:val="00B140A6"/>
    <w:rsid w:val="00B15D31"/>
    <w:rsid w:val="00B17B2D"/>
    <w:rsid w:val="00B17E78"/>
    <w:rsid w:val="00B23428"/>
    <w:rsid w:val="00B24DDD"/>
    <w:rsid w:val="00B25380"/>
    <w:rsid w:val="00B254E8"/>
    <w:rsid w:val="00B2595B"/>
    <w:rsid w:val="00B26019"/>
    <w:rsid w:val="00B26DC8"/>
    <w:rsid w:val="00B30558"/>
    <w:rsid w:val="00B316A1"/>
    <w:rsid w:val="00B3180F"/>
    <w:rsid w:val="00B32022"/>
    <w:rsid w:val="00B33555"/>
    <w:rsid w:val="00B3465F"/>
    <w:rsid w:val="00B353DC"/>
    <w:rsid w:val="00B35D40"/>
    <w:rsid w:val="00B364BC"/>
    <w:rsid w:val="00B3707B"/>
    <w:rsid w:val="00B377A6"/>
    <w:rsid w:val="00B40C83"/>
    <w:rsid w:val="00B415D8"/>
    <w:rsid w:val="00B42189"/>
    <w:rsid w:val="00B43DBC"/>
    <w:rsid w:val="00B4491D"/>
    <w:rsid w:val="00B457D1"/>
    <w:rsid w:val="00B465CF"/>
    <w:rsid w:val="00B503C8"/>
    <w:rsid w:val="00B50407"/>
    <w:rsid w:val="00B51785"/>
    <w:rsid w:val="00B51B88"/>
    <w:rsid w:val="00B51F2D"/>
    <w:rsid w:val="00B521FD"/>
    <w:rsid w:val="00B52ADC"/>
    <w:rsid w:val="00B54888"/>
    <w:rsid w:val="00B5710D"/>
    <w:rsid w:val="00B6156F"/>
    <w:rsid w:val="00B62F25"/>
    <w:rsid w:val="00B63987"/>
    <w:rsid w:val="00B64EBB"/>
    <w:rsid w:val="00B70C2E"/>
    <w:rsid w:val="00B70CBB"/>
    <w:rsid w:val="00B723BF"/>
    <w:rsid w:val="00B73818"/>
    <w:rsid w:val="00B73EBD"/>
    <w:rsid w:val="00B75043"/>
    <w:rsid w:val="00B753D0"/>
    <w:rsid w:val="00B75766"/>
    <w:rsid w:val="00B76E7B"/>
    <w:rsid w:val="00B82001"/>
    <w:rsid w:val="00B83E1C"/>
    <w:rsid w:val="00B858D9"/>
    <w:rsid w:val="00B9024F"/>
    <w:rsid w:val="00B903C1"/>
    <w:rsid w:val="00B9252D"/>
    <w:rsid w:val="00B933A8"/>
    <w:rsid w:val="00B94E8C"/>
    <w:rsid w:val="00B96091"/>
    <w:rsid w:val="00BA1EEB"/>
    <w:rsid w:val="00BA6E06"/>
    <w:rsid w:val="00BB00FE"/>
    <w:rsid w:val="00BB0493"/>
    <w:rsid w:val="00BB0499"/>
    <w:rsid w:val="00BB2B03"/>
    <w:rsid w:val="00BB36C0"/>
    <w:rsid w:val="00BB37D0"/>
    <w:rsid w:val="00BB3E01"/>
    <w:rsid w:val="00BB5C18"/>
    <w:rsid w:val="00BB6063"/>
    <w:rsid w:val="00BB674E"/>
    <w:rsid w:val="00BC0423"/>
    <w:rsid w:val="00BC0C4B"/>
    <w:rsid w:val="00BC1E5F"/>
    <w:rsid w:val="00BC201F"/>
    <w:rsid w:val="00BC2072"/>
    <w:rsid w:val="00BC26B2"/>
    <w:rsid w:val="00BC2EE6"/>
    <w:rsid w:val="00BC5DDF"/>
    <w:rsid w:val="00BC6691"/>
    <w:rsid w:val="00BC789C"/>
    <w:rsid w:val="00BD0256"/>
    <w:rsid w:val="00BD0322"/>
    <w:rsid w:val="00BD0345"/>
    <w:rsid w:val="00BD06FD"/>
    <w:rsid w:val="00BD2748"/>
    <w:rsid w:val="00BD7549"/>
    <w:rsid w:val="00BE084F"/>
    <w:rsid w:val="00BE199C"/>
    <w:rsid w:val="00BE1B0C"/>
    <w:rsid w:val="00BE6AC7"/>
    <w:rsid w:val="00BE7870"/>
    <w:rsid w:val="00BF079B"/>
    <w:rsid w:val="00BF12E1"/>
    <w:rsid w:val="00BF45C2"/>
    <w:rsid w:val="00BF46C4"/>
    <w:rsid w:val="00BF5DC5"/>
    <w:rsid w:val="00BF6B27"/>
    <w:rsid w:val="00BF70B4"/>
    <w:rsid w:val="00C00F17"/>
    <w:rsid w:val="00C010E5"/>
    <w:rsid w:val="00C03563"/>
    <w:rsid w:val="00C03B91"/>
    <w:rsid w:val="00C04008"/>
    <w:rsid w:val="00C04758"/>
    <w:rsid w:val="00C05D57"/>
    <w:rsid w:val="00C06978"/>
    <w:rsid w:val="00C069C0"/>
    <w:rsid w:val="00C1058B"/>
    <w:rsid w:val="00C13AC7"/>
    <w:rsid w:val="00C144BB"/>
    <w:rsid w:val="00C14DBB"/>
    <w:rsid w:val="00C16082"/>
    <w:rsid w:val="00C239E1"/>
    <w:rsid w:val="00C24944"/>
    <w:rsid w:val="00C31B47"/>
    <w:rsid w:val="00C3245C"/>
    <w:rsid w:val="00C34694"/>
    <w:rsid w:val="00C34837"/>
    <w:rsid w:val="00C4193E"/>
    <w:rsid w:val="00C438EB"/>
    <w:rsid w:val="00C448FC"/>
    <w:rsid w:val="00C45D2F"/>
    <w:rsid w:val="00C505D9"/>
    <w:rsid w:val="00C51EED"/>
    <w:rsid w:val="00C55F84"/>
    <w:rsid w:val="00C56E74"/>
    <w:rsid w:val="00C577AF"/>
    <w:rsid w:val="00C607BE"/>
    <w:rsid w:val="00C6140E"/>
    <w:rsid w:val="00C614D2"/>
    <w:rsid w:val="00C63B2F"/>
    <w:rsid w:val="00C64576"/>
    <w:rsid w:val="00C6522D"/>
    <w:rsid w:val="00C675AC"/>
    <w:rsid w:val="00C71DFE"/>
    <w:rsid w:val="00C721D5"/>
    <w:rsid w:val="00C72415"/>
    <w:rsid w:val="00C74ABF"/>
    <w:rsid w:val="00C74DF3"/>
    <w:rsid w:val="00C82FD8"/>
    <w:rsid w:val="00C8314D"/>
    <w:rsid w:val="00C83529"/>
    <w:rsid w:val="00C90A15"/>
    <w:rsid w:val="00C91757"/>
    <w:rsid w:val="00C9278A"/>
    <w:rsid w:val="00C92FE7"/>
    <w:rsid w:val="00C93948"/>
    <w:rsid w:val="00C941BE"/>
    <w:rsid w:val="00C94B10"/>
    <w:rsid w:val="00C968E4"/>
    <w:rsid w:val="00CA3381"/>
    <w:rsid w:val="00CA34A7"/>
    <w:rsid w:val="00CA47AE"/>
    <w:rsid w:val="00CA4C2F"/>
    <w:rsid w:val="00CA5494"/>
    <w:rsid w:val="00CB2BE8"/>
    <w:rsid w:val="00CB4C7F"/>
    <w:rsid w:val="00CB4E42"/>
    <w:rsid w:val="00CB6822"/>
    <w:rsid w:val="00CB75AB"/>
    <w:rsid w:val="00CB7D69"/>
    <w:rsid w:val="00CC3015"/>
    <w:rsid w:val="00CC3168"/>
    <w:rsid w:val="00CD115A"/>
    <w:rsid w:val="00CD5824"/>
    <w:rsid w:val="00CD616B"/>
    <w:rsid w:val="00CD695F"/>
    <w:rsid w:val="00CD7A6F"/>
    <w:rsid w:val="00CE0330"/>
    <w:rsid w:val="00CE0755"/>
    <w:rsid w:val="00CE0CA0"/>
    <w:rsid w:val="00CE1054"/>
    <w:rsid w:val="00CE14CE"/>
    <w:rsid w:val="00CE184C"/>
    <w:rsid w:val="00CE224F"/>
    <w:rsid w:val="00CE2B41"/>
    <w:rsid w:val="00CE3441"/>
    <w:rsid w:val="00CE5F63"/>
    <w:rsid w:val="00CE766F"/>
    <w:rsid w:val="00CE7D10"/>
    <w:rsid w:val="00CF1A87"/>
    <w:rsid w:val="00CF2090"/>
    <w:rsid w:val="00CF32D5"/>
    <w:rsid w:val="00CF3AB5"/>
    <w:rsid w:val="00CF3E5F"/>
    <w:rsid w:val="00CF6201"/>
    <w:rsid w:val="00D00748"/>
    <w:rsid w:val="00D01158"/>
    <w:rsid w:val="00D02B1C"/>
    <w:rsid w:val="00D070A2"/>
    <w:rsid w:val="00D0733B"/>
    <w:rsid w:val="00D10CE7"/>
    <w:rsid w:val="00D10F9B"/>
    <w:rsid w:val="00D1269C"/>
    <w:rsid w:val="00D12E45"/>
    <w:rsid w:val="00D12F0A"/>
    <w:rsid w:val="00D1382E"/>
    <w:rsid w:val="00D13ADA"/>
    <w:rsid w:val="00D140E6"/>
    <w:rsid w:val="00D151B3"/>
    <w:rsid w:val="00D15DC0"/>
    <w:rsid w:val="00D16CC5"/>
    <w:rsid w:val="00D171E8"/>
    <w:rsid w:val="00D1748D"/>
    <w:rsid w:val="00D21858"/>
    <w:rsid w:val="00D22865"/>
    <w:rsid w:val="00D23044"/>
    <w:rsid w:val="00D23139"/>
    <w:rsid w:val="00D2389F"/>
    <w:rsid w:val="00D24ECA"/>
    <w:rsid w:val="00D307A0"/>
    <w:rsid w:val="00D330F1"/>
    <w:rsid w:val="00D33F94"/>
    <w:rsid w:val="00D340A1"/>
    <w:rsid w:val="00D35DF7"/>
    <w:rsid w:val="00D360AE"/>
    <w:rsid w:val="00D4335F"/>
    <w:rsid w:val="00D43E06"/>
    <w:rsid w:val="00D43EBA"/>
    <w:rsid w:val="00D43EDE"/>
    <w:rsid w:val="00D44B88"/>
    <w:rsid w:val="00D46DBE"/>
    <w:rsid w:val="00D506D9"/>
    <w:rsid w:val="00D54575"/>
    <w:rsid w:val="00D54ABE"/>
    <w:rsid w:val="00D550C8"/>
    <w:rsid w:val="00D61CE0"/>
    <w:rsid w:val="00D65D4A"/>
    <w:rsid w:val="00D65EA0"/>
    <w:rsid w:val="00D72B13"/>
    <w:rsid w:val="00D734D7"/>
    <w:rsid w:val="00D763DC"/>
    <w:rsid w:val="00D80276"/>
    <w:rsid w:val="00D84658"/>
    <w:rsid w:val="00D84F04"/>
    <w:rsid w:val="00D9114E"/>
    <w:rsid w:val="00D91214"/>
    <w:rsid w:val="00D92BCF"/>
    <w:rsid w:val="00D94075"/>
    <w:rsid w:val="00D96AAD"/>
    <w:rsid w:val="00D96AB4"/>
    <w:rsid w:val="00DA06E1"/>
    <w:rsid w:val="00DA0B2C"/>
    <w:rsid w:val="00DA1C69"/>
    <w:rsid w:val="00DA3123"/>
    <w:rsid w:val="00DA4EC4"/>
    <w:rsid w:val="00DA67B0"/>
    <w:rsid w:val="00DA6BB9"/>
    <w:rsid w:val="00DB24E3"/>
    <w:rsid w:val="00DB3B2D"/>
    <w:rsid w:val="00DB6A5D"/>
    <w:rsid w:val="00DB6B78"/>
    <w:rsid w:val="00DC059F"/>
    <w:rsid w:val="00DC1530"/>
    <w:rsid w:val="00DC273E"/>
    <w:rsid w:val="00DC3DCA"/>
    <w:rsid w:val="00DC401A"/>
    <w:rsid w:val="00DC5B3D"/>
    <w:rsid w:val="00DC7875"/>
    <w:rsid w:val="00DD4E06"/>
    <w:rsid w:val="00DD70FD"/>
    <w:rsid w:val="00DE0173"/>
    <w:rsid w:val="00DE05AC"/>
    <w:rsid w:val="00DE32C3"/>
    <w:rsid w:val="00DE38B4"/>
    <w:rsid w:val="00DE408D"/>
    <w:rsid w:val="00DE5DC5"/>
    <w:rsid w:val="00DE7984"/>
    <w:rsid w:val="00DE7EC6"/>
    <w:rsid w:val="00DF1F51"/>
    <w:rsid w:val="00DF3F16"/>
    <w:rsid w:val="00DF428C"/>
    <w:rsid w:val="00DF4A85"/>
    <w:rsid w:val="00DF52D2"/>
    <w:rsid w:val="00DF5EFB"/>
    <w:rsid w:val="00DF5F5F"/>
    <w:rsid w:val="00DF6BA5"/>
    <w:rsid w:val="00DF7BBE"/>
    <w:rsid w:val="00E0145F"/>
    <w:rsid w:val="00E01477"/>
    <w:rsid w:val="00E01ECA"/>
    <w:rsid w:val="00E0308E"/>
    <w:rsid w:val="00E04900"/>
    <w:rsid w:val="00E06F8E"/>
    <w:rsid w:val="00E0722F"/>
    <w:rsid w:val="00E113C0"/>
    <w:rsid w:val="00E11F99"/>
    <w:rsid w:val="00E12C34"/>
    <w:rsid w:val="00E1685E"/>
    <w:rsid w:val="00E17C3E"/>
    <w:rsid w:val="00E205D4"/>
    <w:rsid w:val="00E24151"/>
    <w:rsid w:val="00E2503A"/>
    <w:rsid w:val="00E279F0"/>
    <w:rsid w:val="00E27F04"/>
    <w:rsid w:val="00E3057A"/>
    <w:rsid w:val="00E33F85"/>
    <w:rsid w:val="00E343BD"/>
    <w:rsid w:val="00E344E0"/>
    <w:rsid w:val="00E34EFF"/>
    <w:rsid w:val="00E359F4"/>
    <w:rsid w:val="00E376FA"/>
    <w:rsid w:val="00E40909"/>
    <w:rsid w:val="00E41F72"/>
    <w:rsid w:val="00E47798"/>
    <w:rsid w:val="00E501F7"/>
    <w:rsid w:val="00E50AA9"/>
    <w:rsid w:val="00E5376A"/>
    <w:rsid w:val="00E55BC4"/>
    <w:rsid w:val="00E55D48"/>
    <w:rsid w:val="00E6584B"/>
    <w:rsid w:val="00E666B8"/>
    <w:rsid w:val="00E6720E"/>
    <w:rsid w:val="00E702EC"/>
    <w:rsid w:val="00E70A15"/>
    <w:rsid w:val="00E712F7"/>
    <w:rsid w:val="00E744BA"/>
    <w:rsid w:val="00E75C2F"/>
    <w:rsid w:val="00E771D0"/>
    <w:rsid w:val="00E80464"/>
    <w:rsid w:val="00E812B9"/>
    <w:rsid w:val="00E8385A"/>
    <w:rsid w:val="00E84EA8"/>
    <w:rsid w:val="00E8525E"/>
    <w:rsid w:val="00E854D0"/>
    <w:rsid w:val="00E8678F"/>
    <w:rsid w:val="00E86E02"/>
    <w:rsid w:val="00E9264A"/>
    <w:rsid w:val="00E93F68"/>
    <w:rsid w:val="00E9494A"/>
    <w:rsid w:val="00E9553E"/>
    <w:rsid w:val="00E9694A"/>
    <w:rsid w:val="00EA0556"/>
    <w:rsid w:val="00EA3C78"/>
    <w:rsid w:val="00EA54B3"/>
    <w:rsid w:val="00EA62FA"/>
    <w:rsid w:val="00EB06A5"/>
    <w:rsid w:val="00EB5C21"/>
    <w:rsid w:val="00EB78EE"/>
    <w:rsid w:val="00EC013D"/>
    <w:rsid w:val="00EC030B"/>
    <w:rsid w:val="00EC0644"/>
    <w:rsid w:val="00EC21CD"/>
    <w:rsid w:val="00EC515D"/>
    <w:rsid w:val="00EC6252"/>
    <w:rsid w:val="00EC6C57"/>
    <w:rsid w:val="00EC701B"/>
    <w:rsid w:val="00ED0632"/>
    <w:rsid w:val="00ED1323"/>
    <w:rsid w:val="00ED21E7"/>
    <w:rsid w:val="00ED2488"/>
    <w:rsid w:val="00ED7A45"/>
    <w:rsid w:val="00ED7C4F"/>
    <w:rsid w:val="00ED7D3E"/>
    <w:rsid w:val="00ED7E84"/>
    <w:rsid w:val="00EE1844"/>
    <w:rsid w:val="00EE1B9F"/>
    <w:rsid w:val="00EE22F4"/>
    <w:rsid w:val="00EE3718"/>
    <w:rsid w:val="00EE57A5"/>
    <w:rsid w:val="00EE5AC8"/>
    <w:rsid w:val="00EF310A"/>
    <w:rsid w:val="00EF635E"/>
    <w:rsid w:val="00EF74C3"/>
    <w:rsid w:val="00F0047D"/>
    <w:rsid w:val="00F02510"/>
    <w:rsid w:val="00F03E2E"/>
    <w:rsid w:val="00F0538B"/>
    <w:rsid w:val="00F054B4"/>
    <w:rsid w:val="00F05533"/>
    <w:rsid w:val="00F05D3F"/>
    <w:rsid w:val="00F06317"/>
    <w:rsid w:val="00F06547"/>
    <w:rsid w:val="00F1008A"/>
    <w:rsid w:val="00F10CF6"/>
    <w:rsid w:val="00F11279"/>
    <w:rsid w:val="00F118F7"/>
    <w:rsid w:val="00F126CC"/>
    <w:rsid w:val="00F13CB9"/>
    <w:rsid w:val="00F13F5E"/>
    <w:rsid w:val="00F1461D"/>
    <w:rsid w:val="00F17586"/>
    <w:rsid w:val="00F20272"/>
    <w:rsid w:val="00F208CF"/>
    <w:rsid w:val="00F20C43"/>
    <w:rsid w:val="00F213ED"/>
    <w:rsid w:val="00F22453"/>
    <w:rsid w:val="00F22F44"/>
    <w:rsid w:val="00F249F6"/>
    <w:rsid w:val="00F251B8"/>
    <w:rsid w:val="00F26158"/>
    <w:rsid w:val="00F30A42"/>
    <w:rsid w:val="00F31DF3"/>
    <w:rsid w:val="00F33FDA"/>
    <w:rsid w:val="00F3622F"/>
    <w:rsid w:val="00F36A17"/>
    <w:rsid w:val="00F40039"/>
    <w:rsid w:val="00F4109A"/>
    <w:rsid w:val="00F417C5"/>
    <w:rsid w:val="00F425F0"/>
    <w:rsid w:val="00F4360F"/>
    <w:rsid w:val="00F4648B"/>
    <w:rsid w:val="00F46DA9"/>
    <w:rsid w:val="00F4705D"/>
    <w:rsid w:val="00F47FC4"/>
    <w:rsid w:val="00F52CFD"/>
    <w:rsid w:val="00F54DFF"/>
    <w:rsid w:val="00F54EB9"/>
    <w:rsid w:val="00F55D6B"/>
    <w:rsid w:val="00F56D6B"/>
    <w:rsid w:val="00F57AF0"/>
    <w:rsid w:val="00F653C0"/>
    <w:rsid w:val="00F65757"/>
    <w:rsid w:val="00F66C3A"/>
    <w:rsid w:val="00F67501"/>
    <w:rsid w:val="00F67654"/>
    <w:rsid w:val="00F72D4C"/>
    <w:rsid w:val="00F744A0"/>
    <w:rsid w:val="00F745A0"/>
    <w:rsid w:val="00F74C27"/>
    <w:rsid w:val="00F77BF8"/>
    <w:rsid w:val="00F77CDA"/>
    <w:rsid w:val="00F80E4B"/>
    <w:rsid w:val="00F81F73"/>
    <w:rsid w:val="00F82D58"/>
    <w:rsid w:val="00F872C7"/>
    <w:rsid w:val="00F9092C"/>
    <w:rsid w:val="00F915CF"/>
    <w:rsid w:val="00F9167E"/>
    <w:rsid w:val="00F95862"/>
    <w:rsid w:val="00F9632F"/>
    <w:rsid w:val="00FA18CA"/>
    <w:rsid w:val="00FA2BE8"/>
    <w:rsid w:val="00FA307D"/>
    <w:rsid w:val="00FB09FA"/>
    <w:rsid w:val="00FB1605"/>
    <w:rsid w:val="00FB2B10"/>
    <w:rsid w:val="00FB4029"/>
    <w:rsid w:val="00FB609A"/>
    <w:rsid w:val="00FB658F"/>
    <w:rsid w:val="00FB68BB"/>
    <w:rsid w:val="00FB7F41"/>
    <w:rsid w:val="00FC0EFB"/>
    <w:rsid w:val="00FC266B"/>
    <w:rsid w:val="00FC28F9"/>
    <w:rsid w:val="00FC2C84"/>
    <w:rsid w:val="00FC3BDF"/>
    <w:rsid w:val="00FC4BD7"/>
    <w:rsid w:val="00FD0A22"/>
    <w:rsid w:val="00FD7828"/>
    <w:rsid w:val="00FE3137"/>
    <w:rsid w:val="00FE3FF2"/>
    <w:rsid w:val="00FE4512"/>
    <w:rsid w:val="00FE795F"/>
    <w:rsid w:val="00FF033D"/>
    <w:rsid w:val="00FF0B4E"/>
    <w:rsid w:val="00FF0C43"/>
    <w:rsid w:val="00FF1BEA"/>
    <w:rsid w:val="00FF2DF7"/>
    <w:rsid w:val="00FF2E65"/>
    <w:rsid w:val="00FF3E62"/>
    <w:rsid w:val="00FF5E43"/>
    <w:rsid w:val="00FF5EE0"/>
    <w:rsid w:val="048F52C4"/>
    <w:rsid w:val="341160D1"/>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9A3785C"/>
  <w15:docId w15:val="{3ED3D9DD-05A0-4486-88F4-4FCEBC469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unhideWhenUsed="1"/>
    <w:lsdException w:name="footnote text" w:qFormat="1"/>
    <w:lsdException w:name="annotation text" w:qFormat="1"/>
    <w:lsdException w:name="header" w:qFormat="1"/>
    <w:lsdException w:name="footer" w:qFormat="1"/>
    <w:lsdException w:name="index heading" w:semiHidden="1" w:unhideWhenUsed="1"/>
    <w:lsdException w:name="caption" w:uiPriority="0" w:qFormat="1"/>
    <w:lsdException w:name="table of figures" w:uiPriority="0"/>
    <w:lsdException w:name="envelope address" w:semiHidden="1" w:unhideWhenUsed="1"/>
    <w:lsdException w:name="envelope return" w:semiHidden="1" w:unhideWhenUsed="1"/>
    <w:lsdException w:name="footnote reference" w:qFormat="1"/>
    <w:lsdException w:name="annotation reference" w:qFormat="1"/>
    <w:lsdException w:name="line number" w:uiPriority="0" w:qFormat="1"/>
    <w:lsdException w:name="page number" w:uiPriority="0"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qFormat="1"/>
    <w:lsdException w:name="Strong" w:uiPriority="0" w:qFormat="1"/>
    <w:lsdException w:name="Emphasis" w:uiPriority="0" w:qFormat="1"/>
    <w:lsdException w:name="Document Map" w:uiPriority="0"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uiPriority="0"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autoSpaceDN w:val="0"/>
      <w:spacing w:line="360" w:lineRule="auto"/>
      <w:jc w:val="both"/>
      <w:textAlignment w:val="baseline"/>
    </w:pPr>
    <w:rPr>
      <w:rFonts w:ascii="Times New Roman" w:eastAsia="Times New Roman" w:hAnsi="Times New Roman"/>
      <w:sz w:val="26"/>
      <w:szCs w:val="24"/>
    </w:rPr>
  </w:style>
  <w:style w:type="paragraph" w:styleId="Titre1">
    <w:name w:val="heading 1"/>
    <w:basedOn w:val="Normal"/>
    <w:next w:val="Normal"/>
    <w:uiPriority w:val="9"/>
    <w:qFormat/>
    <w:pPr>
      <w:keepNext/>
      <w:keepLines/>
      <w:spacing w:before="240"/>
      <w:jc w:val="center"/>
      <w:outlineLvl w:val="0"/>
    </w:pPr>
    <w:rPr>
      <w:b/>
      <w:sz w:val="32"/>
      <w:szCs w:val="32"/>
    </w:rPr>
  </w:style>
  <w:style w:type="paragraph" w:styleId="Titre2">
    <w:name w:val="heading 2"/>
    <w:basedOn w:val="Normal"/>
    <w:next w:val="Normal"/>
    <w:uiPriority w:val="9"/>
    <w:qFormat/>
    <w:pPr>
      <w:keepNext/>
      <w:keepLines/>
      <w:spacing w:before="40"/>
      <w:jc w:val="center"/>
      <w:outlineLvl w:val="1"/>
    </w:pPr>
    <w:rPr>
      <w:b/>
      <w:sz w:val="28"/>
      <w:szCs w:val="26"/>
    </w:rPr>
  </w:style>
  <w:style w:type="paragraph" w:styleId="Titre3">
    <w:name w:val="heading 3"/>
    <w:basedOn w:val="Normal"/>
    <w:next w:val="Normal"/>
    <w:link w:val="Titre3Car1"/>
    <w:qFormat/>
    <w:pPr>
      <w:keepNext/>
      <w:keepLines/>
      <w:spacing w:before="40"/>
      <w:jc w:val="center"/>
      <w:outlineLvl w:val="2"/>
    </w:pPr>
    <w:rPr>
      <w:b/>
      <w:i/>
      <w:sz w:val="28"/>
    </w:rPr>
  </w:style>
  <w:style w:type="paragraph" w:styleId="Titre4">
    <w:name w:val="heading 4"/>
    <w:basedOn w:val="Normal"/>
    <w:next w:val="Normal"/>
    <w:uiPriority w:val="9"/>
    <w:qFormat/>
    <w:pPr>
      <w:keepNext/>
      <w:keepLines/>
      <w:spacing w:before="40"/>
      <w:jc w:val="center"/>
      <w:outlineLvl w:val="3"/>
    </w:pPr>
    <w:rPr>
      <w:b/>
      <w:iCs/>
    </w:rPr>
  </w:style>
  <w:style w:type="paragraph" w:styleId="Titre5">
    <w:name w:val="heading 5"/>
    <w:basedOn w:val="Normal"/>
    <w:next w:val="Normal"/>
    <w:qFormat/>
    <w:pPr>
      <w:keepNext/>
      <w:numPr>
        <w:ilvl w:val="4"/>
        <w:numId w:val="1"/>
      </w:numPr>
      <w:spacing w:before="120" w:after="120"/>
      <w:ind w:left="5531"/>
      <w:jc w:val="left"/>
      <w:outlineLvl w:val="4"/>
    </w:pPr>
    <w:rPr>
      <w:b/>
      <w:szCs w:val="32"/>
    </w:rPr>
  </w:style>
  <w:style w:type="paragraph" w:styleId="Titre6">
    <w:name w:val="heading 6"/>
    <w:basedOn w:val="Paragraphedeliste"/>
    <w:next w:val="Lgende"/>
    <w:qFormat/>
    <w:pPr>
      <w:numPr>
        <w:ilvl w:val="5"/>
        <w:numId w:val="1"/>
      </w:numPr>
      <w:ind w:left="1080" w:hanging="180"/>
      <w:jc w:val="center"/>
      <w:outlineLvl w:val="5"/>
    </w:pPr>
    <w:rPr>
      <w:b/>
      <w:i/>
    </w:rPr>
  </w:style>
  <w:style w:type="paragraph" w:styleId="Titre7">
    <w:name w:val="heading 7"/>
    <w:basedOn w:val="Normal"/>
    <w:next w:val="Normal"/>
    <w:qFormat/>
    <w:pPr>
      <w:keepNext/>
      <w:keepLines/>
      <w:spacing w:before="40"/>
      <w:outlineLvl w:val="6"/>
    </w:pPr>
    <w:rPr>
      <w:rFonts w:ascii="Calibri Light" w:hAnsi="Calibri Light"/>
      <w:i/>
      <w:iCs/>
      <w:color w:val="1F4D78"/>
    </w:rPr>
  </w:style>
  <w:style w:type="paragraph" w:styleId="Titre8">
    <w:name w:val="heading 8"/>
    <w:basedOn w:val="Normal"/>
    <w:next w:val="Normal"/>
    <w:qFormat/>
    <w:pPr>
      <w:keepNext/>
      <w:keepLines/>
      <w:spacing w:before="200" w:line="276" w:lineRule="auto"/>
      <w:outlineLvl w:val="7"/>
    </w:pPr>
    <w:rPr>
      <w:rFonts w:ascii="Calibri Light" w:hAnsi="Calibri Light"/>
      <w:color w:val="404040"/>
      <w:sz w:val="20"/>
      <w:szCs w:val="20"/>
      <w:lang w:eastAsia="en-US"/>
    </w:rPr>
  </w:style>
  <w:style w:type="paragraph" w:styleId="Titre9">
    <w:name w:val="heading 9"/>
    <w:basedOn w:val="Normal"/>
    <w:next w:val="Normal"/>
    <w:qFormat/>
    <w:pPr>
      <w:keepNext/>
      <w:keepLines/>
      <w:spacing w:before="200" w:line="276" w:lineRule="auto"/>
      <w:outlineLvl w:val="8"/>
    </w:pPr>
    <w:rPr>
      <w:rFonts w:ascii="Calibri Light" w:hAnsi="Calibri Light"/>
      <w:i/>
      <w:iCs/>
      <w:color w:val="404040"/>
      <w:sz w:val="20"/>
      <w:szCs w:val="20"/>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qFormat/>
    <w:pPr>
      <w:spacing w:before="120" w:after="120"/>
    </w:pPr>
    <w:rPr>
      <w:szCs w:val="26"/>
    </w:rPr>
  </w:style>
  <w:style w:type="paragraph" w:styleId="Lgende">
    <w:name w:val="caption"/>
    <w:basedOn w:val="Normal"/>
    <w:next w:val="Normal"/>
    <w:qFormat/>
    <w:rPr>
      <w:b/>
      <w:bCs/>
      <w:sz w:val="20"/>
      <w:szCs w:val="20"/>
    </w:rPr>
  </w:style>
  <w:style w:type="paragraph" w:styleId="Textedebulles">
    <w:name w:val="Balloon Text"/>
    <w:basedOn w:val="Normal"/>
    <w:uiPriority w:val="99"/>
    <w:qFormat/>
    <w:pPr>
      <w:spacing w:line="240" w:lineRule="auto"/>
    </w:pPr>
    <w:rPr>
      <w:rFonts w:ascii="Segoe UI" w:hAnsi="Segoe UI" w:cs="Segoe UI"/>
      <w:sz w:val="18"/>
      <w:szCs w:val="18"/>
    </w:rPr>
  </w:style>
  <w:style w:type="paragraph" w:styleId="Corpsdetexte">
    <w:name w:val="Body Text"/>
    <w:basedOn w:val="Normal"/>
    <w:qFormat/>
    <w:rPr>
      <w:b/>
      <w:bCs/>
      <w:sz w:val="28"/>
    </w:rPr>
  </w:style>
  <w:style w:type="paragraph" w:styleId="Corpsdetexte2">
    <w:name w:val="Body Text 2"/>
    <w:basedOn w:val="Normal"/>
    <w:qFormat/>
    <w:pPr>
      <w:spacing w:after="120" w:line="480" w:lineRule="auto"/>
    </w:pPr>
    <w:rPr>
      <w:rFonts w:ascii="Calibri" w:eastAsia="Calibri" w:hAnsi="Calibri"/>
      <w:sz w:val="22"/>
      <w:szCs w:val="22"/>
      <w:lang w:eastAsia="en-US"/>
    </w:rPr>
  </w:style>
  <w:style w:type="paragraph" w:styleId="Corpsdetexte3">
    <w:name w:val="Body Text 3"/>
    <w:basedOn w:val="Normal"/>
    <w:qFormat/>
    <w:pPr>
      <w:tabs>
        <w:tab w:val="left" w:pos="4270"/>
      </w:tabs>
      <w:spacing w:line="480" w:lineRule="auto"/>
    </w:pPr>
    <w:rPr>
      <w:b/>
      <w:color w:val="FF0000"/>
    </w:rPr>
  </w:style>
  <w:style w:type="paragraph" w:styleId="Retraitcorpsdetexte">
    <w:name w:val="Body Text Indent"/>
    <w:basedOn w:val="Normal"/>
    <w:qFormat/>
    <w:pPr>
      <w:spacing w:after="120"/>
      <w:ind w:left="283"/>
    </w:pPr>
  </w:style>
  <w:style w:type="paragraph" w:styleId="Retraitcorpsdetexte2">
    <w:name w:val="Body Text Indent 2"/>
    <w:basedOn w:val="Normal"/>
    <w:qFormat/>
    <w:pPr>
      <w:spacing w:after="120" w:line="480" w:lineRule="auto"/>
      <w:ind w:left="283"/>
    </w:pPr>
    <w:rPr>
      <w:rFonts w:ascii="Calibri" w:eastAsia="Calibri" w:hAnsi="Calibri"/>
      <w:sz w:val="22"/>
      <w:szCs w:val="22"/>
      <w:lang w:eastAsia="en-US"/>
    </w:rPr>
  </w:style>
  <w:style w:type="paragraph" w:styleId="Retraitcorpsdetexte3">
    <w:name w:val="Body Text Indent 3"/>
    <w:basedOn w:val="Normal"/>
    <w:qFormat/>
    <w:pPr>
      <w:spacing w:after="120" w:line="276" w:lineRule="auto"/>
      <w:ind w:left="283"/>
    </w:pPr>
    <w:rPr>
      <w:rFonts w:ascii="Calibri" w:hAnsi="Calibri"/>
      <w:sz w:val="16"/>
      <w:szCs w:val="16"/>
    </w:rPr>
  </w:style>
  <w:style w:type="character" w:styleId="Marquedecommentaire">
    <w:name w:val="annotation reference"/>
    <w:basedOn w:val="Policepardfaut"/>
    <w:uiPriority w:val="99"/>
    <w:qFormat/>
    <w:rPr>
      <w:sz w:val="16"/>
      <w:szCs w:val="16"/>
    </w:rPr>
  </w:style>
  <w:style w:type="paragraph" w:styleId="Commentaire">
    <w:name w:val="annotation text"/>
    <w:basedOn w:val="Normal"/>
    <w:uiPriority w:val="99"/>
    <w:qFormat/>
    <w:pPr>
      <w:spacing w:line="240" w:lineRule="auto"/>
    </w:pPr>
    <w:rPr>
      <w:sz w:val="20"/>
      <w:szCs w:val="20"/>
    </w:rPr>
  </w:style>
  <w:style w:type="paragraph" w:styleId="Objetducommentaire">
    <w:name w:val="annotation subject"/>
    <w:basedOn w:val="Commentaire"/>
    <w:next w:val="Commentaire"/>
    <w:uiPriority w:val="99"/>
    <w:qFormat/>
    <w:pPr>
      <w:spacing w:line="360" w:lineRule="auto"/>
    </w:pPr>
    <w:rPr>
      <w:b/>
      <w:bCs/>
    </w:rPr>
  </w:style>
  <w:style w:type="paragraph" w:styleId="Explorateurdedocuments">
    <w:name w:val="Document Map"/>
    <w:basedOn w:val="Normal"/>
    <w:qFormat/>
    <w:rPr>
      <w:rFonts w:ascii="Tahoma" w:hAnsi="Tahoma"/>
      <w:sz w:val="16"/>
      <w:szCs w:val="16"/>
    </w:rPr>
  </w:style>
  <w:style w:type="character" w:styleId="Accentuation">
    <w:name w:val="Emphasis"/>
    <w:qFormat/>
    <w:rPr>
      <w:i/>
      <w:iCs/>
    </w:rPr>
  </w:style>
  <w:style w:type="character" w:styleId="Appeldenotedefin">
    <w:name w:val="endnote reference"/>
    <w:qFormat/>
    <w:rPr>
      <w:position w:val="0"/>
      <w:vertAlign w:val="superscript"/>
    </w:rPr>
  </w:style>
  <w:style w:type="paragraph" w:styleId="Notedefin">
    <w:name w:val="endnote text"/>
    <w:basedOn w:val="Normal"/>
    <w:qFormat/>
    <w:pPr>
      <w:spacing w:after="160" w:line="240" w:lineRule="auto"/>
      <w:jc w:val="left"/>
      <w:textAlignment w:val="auto"/>
    </w:pPr>
    <w:rPr>
      <w:rFonts w:ascii="Calibri" w:eastAsia="Calibri" w:hAnsi="Calibri"/>
      <w:sz w:val="20"/>
      <w:szCs w:val="20"/>
    </w:rPr>
  </w:style>
  <w:style w:type="character" w:styleId="Lienhypertextesuivivisit">
    <w:name w:val="FollowedHyperlink"/>
    <w:uiPriority w:val="99"/>
    <w:qFormat/>
    <w:rPr>
      <w:color w:val="954F72"/>
      <w:u w:val="single"/>
    </w:rPr>
  </w:style>
  <w:style w:type="paragraph" w:styleId="Pieddepage">
    <w:name w:val="footer"/>
    <w:basedOn w:val="Normal"/>
    <w:uiPriority w:val="99"/>
    <w:qFormat/>
    <w:pPr>
      <w:tabs>
        <w:tab w:val="center" w:pos="4536"/>
        <w:tab w:val="right" w:pos="9072"/>
      </w:tabs>
    </w:pPr>
  </w:style>
  <w:style w:type="character" w:styleId="Appelnotedebasdep">
    <w:name w:val="footnote reference"/>
    <w:basedOn w:val="Policepardfaut"/>
    <w:uiPriority w:val="99"/>
    <w:qFormat/>
    <w:rPr>
      <w:position w:val="0"/>
      <w:vertAlign w:val="superscript"/>
    </w:rPr>
  </w:style>
  <w:style w:type="paragraph" w:styleId="Notedebasdepage">
    <w:name w:val="footnote text"/>
    <w:basedOn w:val="Normal"/>
    <w:uiPriority w:val="99"/>
    <w:qFormat/>
    <w:pPr>
      <w:spacing w:line="240" w:lineRule="auto"/>
    </w:pPr>
    <w:rPr>
      <w:sz w:val="20"/>
      <w:szCs w:val="20"/>
    </w:rPr>
  </w:style>
  <w:style w:type="paragraph" w:styleId="En-tte">
    <w:name w:val="header"/>
    <w:basedOn w:val="Normal"/>
    <w:uiPriority w:val="99"/>
    <w:qFormat/>
    <w:pPr>
      <w:tabs>
        <w:tab w:val="center" w:pos="4536"/>
        <w:tab w:val="right" w:pos="9072"/>
      </w:tabs>
    </w:pPr>
    <w:rPr>
      <w:rFonts w:ascii="Calibri" w:eastAsia="Calibri" w:hAnsi="Calibri"/>
      <w:sz w:val="20"/>
      <w:szCs w:val="20"/>
    </w:rPr>
  </w:style>
  <w:style w:type="character" w:styleId="CitationHTML">
    <w:name w:val="HTML Cite"/>
    <w:qFormat/>
    <w:rPr>
      <w:i/>
      <w:iCs/>
    </w:rPr>
  </w:style>
  <w:style w:type="character" w:styleId="Lienhypertexte">
    <w:name w:val="Hyperlink"/>
    <w:uiPriority w:val="99"/>
    <w:qFormat/>
    <w:rPr>
      <w:color w:val="0563C1"/>
      <w:u w:val="single"/>
    </w:rPr>
  </w:style>
  <w:style w:type="character" w:styleId="Numrodeligne">
    <w:name w:val="line number"/>
    <w:qFormat/>
  </w:style>
  <w:style w:type="paragraph" w:styleId="NormalWeb">
    <w:name w:val="Normal (Web)"/>
    <w:basedOn w:val="Normal"/>
    <w:qFormat/>
    <w:pPr>
      <w:spacing w:before="100" w:after="100"/>
    </w:pPr>
  </w:style>
  <w:style w:type="character" w:styleId="Numrodepage">
    <w:name w:val="page number"/>
    <w:basedOn w:val="Policepardfaut"/>
    <w:qFormat/>
  </w:style>
  <w:style w:type="character" w:styleId="lev">
    <w:name w:val="Strong"/>
    <w:qFormat/>
    <w:rPr>
      <w:b/>
      <w:bCs/>
    </w:rPr>
  </w:style>
  <w:style w:type="paragraph" w:styleId="Sous-titre">
    <w:name w:val="Subtitle"/>
    <w:basedOn w:val="Normal"/>
    <w:next w:val="Normal"/>
    <w:uiPriority w:val="11"/>
    <w:qFormat/>
    <w:pPr>
      <w:spacing w:after="60"/>
      <w:jc w:val="center"/>
      <w:outlineLvl w:val="1"/>
    </w:pPr>
    <w:rPr>
      <w:rFonts w:ascii="Calibri Light" w:hAnsi="Calibri Light"/>
    </w:rPr>
  </w:style>
  <w:style w:type="table" w:styleId="Grilledutableau">
    <w:name w:val="Table Grid"/>
    <w:basedOn w:val="Tableau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desillustrations">
    <w:name w:val="table of figures"/>
    <w:basedOn w:val="Normal"/>
    <w:next w:val="Normal"/>
    <w:rPr>
      <w:rFonts w:ascii="Calibri" w:eastAsia="Calibri" w:hAnsi="Calibri"/>
      <w:sz w:val="22"/>
      <w:szCs w:val="22"/>
      <w:lang w:eastAsia="en-US"/>
    </w:rPr>
  </w:style>
  <w:style w:type="paragraph" w:styleId="Titre">
    <w:name w:val="Title"/>
    <w:basedOn w:val="Normal"/>
    <w:next w:val="Normal"/>
    <w:uiPriority w:val="10"/>
    <w:qFormat/>
    <w:pPr>
      <w:pBdr>
        <w:bottom w:val="single" w:sz="8" w:space="4" w:color="4472C4"/>
      </w:pBdr>
      <w:spacing w:after="300"/>
    </w:pPr>
    <w:rPr>
      <w:rFonts w:ascii="Calibri Light" w:hAnsi="Calibri Light"/>
      <w:color w:val="323E4F"/>
      <w:spacing w:val="5"/>
      <w:kern w:val="3"/>
      <w:sz w:val="52"/>
      <w:szCs w:val="52"/>
      <w:lang w:eastAsia="en-US"/>
    </w:rPr>
  </w:style>
  <w:style w:type="paragraph" w:styleId="TM1">
    <w:name w:val="toc 1"/>
    <w:basedOn w:val="Normal"/>
    <w:next w:val="Normal"/>
    <w:autoRedefine/>
    <w:uiPriority w:val="39"/>
    <w:qFormat/>
    <w:pPr>
      <w:tabs>
        <w:tab w:val="right" w:leader="dot" w:pos="9060"/>
      </w:tabs>
      <w:spacing w:before="120" w:after="120" w:line="240" w:lineRule="auto"/>
      <w:jc w:val="center"/>
    </w:pPr>
    <w:rPr>
      <w:rFonts w:ascii="Rockwell" w:hAnsi="Rockwell" w:cstheme="minorHAnsi"/>
      <w:b/>
      <w:bCs/>
      <w:sz w:val="24"/>
    </w:rPr>
  </w:style>
  <w:style w:type="paragraph" w:styleId="TM2">
    <w:name w:val="toc 2"/>
    <w:basedOn w:val="Normal"/>
    <w:next w:val="Normal"/>
    <w:autoRedefine/>
    <w:uiPriority w:val="39"/>
    <w:qFormat/>
    <w:pPr>
      <w:tabs>
        <w:tab w:val="right" w:leader="dot" w:pos="9060"/>
      </w:tabs>
      <w:spacing w:line="240" w:lineRule="auto"/>
      <w:ind w:left="261"/>
      <w:jc w:val="left"/>
    </w:pPr>
    <w:rPr>
      <w:rFonts w:asciiTheme="minorHAnsi" w:hAnsiTheme="minorHAnsi" w:cstheme="minorHAnsi"/>
      <w:i/>
      <w:iCs/>
      <w:sz w:val="20"/>
      <w:szCs w:val="20"/>
    </w:rPr>
  </w:style>
  <w:style w:type="paragraph" w:styleId="TM3">
    <w:name w:val="toc 3"/>
    <w:basedOn w:val="Normal"/>
    <w:next w:val="Normal"/>
    <w:autoRedefine/>
    <w:uiPriority w:val="39"/>
    <w:qFormat/>
    <w:pPr>
      <w:ind w:left="520"/>
      <w:jc w:val="left"/>
    </w:pPr>
    <w:rPr>
      <w:rFonts w:asciiTheme="minorHAnsi" w:hAnsiTheme="minorHAnsi" w:cstheme="minorHAnsi"/>
      <w:sz w:val="20"/>
      <w:szCs w:val="20"/>
    </w:rPr>
  </w:style>
  <w:style w:type="paragraph" w:styleId="TM4">
    <w:name w:val="toc 4"/>
    <w:basedOn w:val="Normal"/>
    <w:next w:val="Normal"/>
    <w:autoRedefine/>
    <w:uiPriority w:val="39"/>
    <w:qFormat/>
    <w:pPr>
      <w:ind w:left="780"/>
      <w:jc w:val="left"/>
    </w:pPr>
    <w:rPr>
      <w:rFonts w:asciiTheme="minorHAnsi" w:hAnsiTheme="minorHAnsi" w:cstheme="minorHAnsi"/>
      <w:sz w:val="20"/>
      <w:szCs w:val="20"/>
    </w:rPr>
  </w:style>
  <w:style w:type="paragraph" w:styleId="TM5">
    <w:name w:val="toc 5"/>
    <w:basedOn w:val="Normal"/>
    <w:next w:val="Normal"/>
    <w:autoRedefine/>
    <w:uiPriority w:val="39"/>
    <w:qFormat/>
    <w:pPr>
      <w:ind w:left="1040"/>
      <w:jc w:val="left"/>
    </w:pPr>
    <w:rPr>
      <w:rFonts w:asciiTheme="minorHAnsi" w:hAnsiTheme="minorHAnsi" w:cstheme="minorHAnsi"/>
      <w:sz w:val="20"/>
      <w:szCs w:val="20"/>
    </w:rPr>
  </w:style>
  <w:style w:type="paragraph" w:styleId="TM6">
    <w:name w:val="toc 6"/>
    <w:basedOn w:val="Normal"/>
    <w:next w:val="Normal"/>
    <w:autoRedefine/>
    <w:uiPriority w:val="39"/>
    <w:qFormat/>
    <w:pPr>
      <w:ind w:left="1300"/>
      <w:jc w:val="left"/>
    </w:pPr>
    <w:rPr>
      <w:rFonts w:asciiTheme="minorHAnsi" w:hAnsiTheme="minorHAnsi" w:cstheme="minorHAnsi"/>
      <w:sz w:val="20"/>
      <w:szCs w:val="20"/>
    </w:rPr>
  </w:style>
  <w:style w:type="paragraph" w:styleId="TM7">
    <w:name w:val="toc 7"/>
    <w:basedOn w:val="Normal"/>
    <w:next w:val="Normal"/>
    <w:autoRedefine/>
    <w:uiPriority w:val="39"/>
    <w:qFormat/>
    <w:pPr>
      <w:ind w:left="1560"/>
      <w:jc w:val="left"/>
    </w:pPr>
    <w:rPr>
      <w:rFonts w:asciiTheme="minorHAnsi" w:hAnsiTheme="minorHAnsi" w:cstheme="minorHAnsi"/>
      <w:sz w:val="20"/>
      <w:szCs w:val="20"/>
    </w:rPr>
  </w:style>
  <w:style w:type="paragraph" w:styleId="TM8">
    <w:name w:val="toc 8"/>
    <w:basedOn w:val="Normal"/>
    <w:next w:val="Normal"/>
    <w:autoRedefine/>
    <w:uiPriority w:val="39"/>
    <w:qFormat/>
    <w:pPr>
      <w:ind w:left="1820"/>
      <w:jc w:val="left"/>
    </w:pPr>
    <w:rPr>
      <w:rFonts w:asciiTheme="minorHAnsi" w:hAnsiTheme="minorHAnsi" w:cstheme="minorHAnsi"/>
      <w:sz w:val="20"/>
      <w:szCs w:val="20"/>
    </w:rPr>
  </w:style>
  <w:style w:type="paragraph" w:styleId="TM9">
    <w:name w:val="toc 9"/>
    <w:basedOn w:val="Normal"/>
    <w:next w:val="Normal"/>
    <w:autoRedefine/>
    <w:uiPriority w:val="39"/>
    <w:qFormat/>
    <w:pPr>
      <w:ind w:left="2080"/>
      <w:jc w:val="left"/>
    </w:pPr>
    <w:rPr>
      <w:rFonts w:asciiTheme="minorHAnsi" w:hAnsiTheme="minorHAnsi" w:cstheme="minorHAnsi"/>
      <w:sz w:val="20"/>
      <w:szCs w:val="20"/>
    </w:rPr>
  </w:style>
  <w:style w:type="paragraph" w:customStyle="1" w:styleId="Style7">
    <w:name w:val="Style7"/>
    <w:basedOn w:val="Titre7"/>
    <w:qFormat/>
    <w:pPr>
      <w:spacing w:before="240" w:after="240"/>
      <w:ind w:firstLine="1560"/>
      <w:jc w:val="left"/>
    </w:pPr>
    <w:rPr>
      <w:rFonts w:ascii="Times New Roman" w:hAnsi="Times New Roman"/>
      <w:color w:val="auto"/>
      <w:sz w:val="24"/>
    </w:rPr>
  </w:style>
  <w:style w:type="character" w:customStyle="1" w:styleId="Titre1Car">
    <w:name w:val="Titre 1 Car"/>
    <w:basedOn w:val="Policepardfaut"/>
    <w:uiPriority w:val="9"/>
    <w:qFormat/>
    <w:rPr>
      <w:rFonts w:ascii="Times New Roman" w:eastAsia="Times New Roman" w:hAnsi="Times New Roman" w:cs="Times New Roman"/>
      <w:b/>
      <w:sz w:val="32"/>
      <w:szCs w:val="32"/>
      <w:lang w:eastAsia="fr-FR"/>
    </w:rPr>
  </w:style>
  <w:style w:type="character" w:customStyle="1" w:styleId="Titre2Car">
    <w:name w:val="Titre 2 Car"/>
    <w:basedOn w:val="Policepardfaut"/>
    <w:uiPriority w:val="9"/>
    <w:qFormat/>
    <w:rPr>
      <w:rFonts w:ascii="Times New Roman" w:eastAsia="Times New Roman" w:hAnsi="Times New Roman" w:cs="Times New Roman"/>
      <w:b/>
      <w:sz w:val="28"/>
      <w:szCs w:val="26"/>
      <w:lang w:eastAsia="fr-FR"/>
    </w:rPr>
  </w:style>
  <w:style w:type="character" w:customStyle="1" w:styleId="Titre3Car">
    <w:name w:val="Titre 3 Car"/>
    <w:basedOn w:val="Policepardfaut"/>
    <w:uiPriority w:val="9"/>
    <w:qFormat/>
    <w:rPr>
      <w:rFonts w:ascii="Times New Roman" w:eastAsia="Times New Roman" w:hAnsi="Times New Roman" w:cs="Times New Roman"/>
      <w:b/>
      <w:i/>
      <w:sz w:val="28"/>
      <w:szCs w:val="24"/>
      <w:lang w:eastAsia="fr-FR"/>
    </w:rPr>
  </w:style>
  <w:style w:type="character" w:customStyle="1" w:styleId="Titre4Car">
    <w:name w:val="Titre 4 Car"/>
    <w:basedOn w:val="Policepardfaut"/>
    <w:uiPriority w:val="9"/>
    <w:qFormat/>
    <w:rPr>
      <w:rFonts w:ascii="Times New Roman" w:eastAsia="Times New Roman" w:hAnsi="Times New Roman" w:cs="Times New Roman"/>
      <w:b/>
      <w:iCs/>
      <w:sz w:val="26"/>
      <w:szCs w:val="24"/>
      <w:lang w:eastAsia="fr-FR"/>
    </w:rPr>
  </w:style>
  <w:style w:type="character" w:customStyle="1" w:styleId="Titre5Car">
    <w:name w:val="Titre 5 Car"/>
    <w:basedOn w:val="Policepardfaut"/>
    <w:uiPriority w:val="9"/>
    <w:qFormat/>
    <w:rPr>
      <w:rFonts w:ascii="Times New Roman" w:eastAsia="Times New Roman" w:hAnsi="Times New Roman" w:cs="Times New Roman"/>
      <w:b/>
      <w:sz w:val="26"/>
      <w:szCs w:val="32"/>
      <w:lang w:eastAsia="fr-FR"/>
    </w:rPr>
  </w:style>
  <w:style w:type="character" w:customStyle="1" w:styleId="Titre6Car">
    <w:name w:val="Titre 6 Car"/>
    <w:basedOn w:val="Policepardfaut"/>
    <w:uiPriority w:val="9"/>
    <w:qFormat/>
    <w:rPr>
      <w:rFonts w:ascii="Times New Roman" w:eastAsia="Times New Roman" w:hAnsi="Times New Roman" w:cs="Times New Roman"/>
      <w:b/>
      <w:i/>
      <w:sz w:val="26"/>
      <w:szCs w:val="26"/>
      <w:lang w:eastAsia="fr-FR"/>
    </w:rPr>
  </w:style>
  <w:style w:type="character" w:customStyle="1" w:styleId="Titre7Car">
    <w:name w:val="Titre 7 Car"/>
    <w:basedOn w:val="Policepardfaut"/>
    <w:qFormat/>
    <w:rPr>
      <w:rFonts w:ascii="Calibri Light" w:eastAsia="Times New Roman" w:hAnsi="Calibri Light" w:cs="Times New Roman"/>
      <w:i/>
      <w:iCs/>
      <w:color w:val="1F4D78"/>
      <w:sz w:val="26"/>
      <w:szCs w:val="24"/>
      <w:lang w:eastAsia="fr-FR"/>
    </w:rPr>
  </w:style>
  <w:style w:type="character" w:customStyle="1" w:styleId="Titre8Car">
    <w:name w:val="Titre 8 Car"/>
    <w:basedOn w:val="Policepardfaut"/>
    <w:qFormat/>
    <w:rPr>
      <w:rFonts w:ascii="Calibri Light" w:eastAsia="Times New Roman" w:hAnsi="Calibri Light" w:cs="Times New Roman"/>
      <w:color w:val="404040"/>
      <w:sz w:val="20"/>
      <w:szCs w:val="20"/>
    </w:rPr>
  </w:style>
  <w:style w:type="character" w:customStyle="1" w:styleId="Titre9Car">
    <w:name w:val="Titre 9 Car"/>
    <w:basedOn w:val="Policepardfaut"/>
    <w:qFormat/>
    <w:rPr>
      <w:rFonts w:ascii="Calibri Light" w:eastAsia="Times New Roman" w:hAnsi="Calibri Light" w:cs="Times New Roman"/>
      <w:i/>
      <w:iCs/>
      <w:color w:val="404040"/>
      <w:sz w:val="20"/>
      <w:szCs w:val="20"/>
    </w:rPr>
  </w:style>
  <w:style w:type="paragraph" w:styleId="Sansinterligne">
    <w:name w:val="No Spacing"/>
    <w:uiPriority w:val="1"/>
    <w:qFormat/>
    <w:pPr>
      <w:suppressAutoHyphens/>
      <w:autoSpaceDN w:val="0"/>
      <w:textAlignment w:val="baseline"/>
    </w:pPr>
    <w:rPr>
      <w:rFonts w:ascii="Times New Roman" w:eastAsia="Times New Roman" w:hAnsi="Times New Roman"/>
      <w:sz w:val="24"/>
      <w:szCs w:val="24"/>
    </w:rPr>
  </w:style>
  <w:style w:type="character" w:customStyle="1" w:styleId="ParagraphedelisteCar">
    <w:name w:val="Paragraphe de liste Car"/>
    <w:qFormat/>
    <w:rPr>
      <w:rFonts w:ascii="Times New Roman" w:eastAsia="Times New Roman" w:hAnsi="Times New Roman" w:cs="Times New Roman"/>
      <w:sz w:val="26"/>
      <w:szCs w:val="26"/>
      <w:lang w:eastAsia="fr-FR"/>
    </w:rPr>
  </w:style>
  <w:style w:type="character" w:customStyle="1" w:styleId="NotedebasdepageCar">
    <w:name w:val="Note de bas de page Car"/>
    <w:basedOn w:val="Policepardfaut"/>
    <w:uiPriority w:val="99"/>
    <w:qFormat/>
    <w:rPr>
      <w:rFonts w:ascii="Times New Roman" w:eastAsia="Times New Roman" w:hAnsi="Times New Roman" w:cs="Times New Roman"/>
      <w:sz w:val="20"/>
      <w:szCs w:val="20"/>
      <w:lang w:eastAsia="fr-FR"/>
    </w:rPr>
  </w:style>
  <w:style w:type="character" w:customStyle="1" w:styleId="CommentaireCar">
    <w:name w:val="Commentaire Car"/>
    <w:basedOn w:val="Policepardfaut"/>
    <w:uiPriority w:val="99"/>
    <w:qFormat/>
    <w:rPr>
      <w:rFonts w:ascii="Times New Roman" w:eastAsia="Times New Roman" w:hAnsi="Times New Roman" w:cs="Times New Roman"/>
      <w:sz w:val="20"/>
      <w:szCs w:val="20"/>
      <w:lang w:eastAsia="fr-FR"/>
    </w:rPr>
  </w:style>
  <w:style w:type="character" w:customStyle="1" w:styleId="TextedebullesCar">
    <w:name w:val="Texte de bulles Car"/>
    <w:basedOn w:val="Policepardfaut"/>
    <w:uiPriority w:val="99"/>
    <w:qFormat/>
    <w:rPr>
      <w:rFonts w:ascii="Segoe UI" w:eastAsia="Times New Roman" w:hAnsi="Segoe UI" w:cs="Segoe UI"/>
      <w:sz w:val="18"/>
      <w:szCs w:val="18"/>
      <w:lang w:eastAsia="fr-FR"/>
    </w:rPr>
  </w:style>
  <w:style w:type="character" w:customStyle="1" w:styleId="PieddepageCar">
    <w:name w:val="Pied de page Car"/>
    <w:basedOn w:val="Policepardfaut"/>
    <w:uiPriority w:val="99"/>
    <w:qFormat/>
    <w:rPr>
      <w:rFonts w:ascii="Times New Roman" w:eastAsia="Times New Roman" w:hAnsi="Times New Roman" w:cs="Times New Roman"/>
      <w:sz w:val="26"/>
      <w:szCs w:val="24"/>
      <w:lang w:eastAsia="fr-FR"/>
    </w:rPr>
  </w:style>
  <w:style w:type="paragraph" w:customStyle="1" w:styleId="Senou4">
    <w:name w:val="Senou 4"/>
    <w:basedOn w:val="Normal"/>
    <w:qFormat/>
    <w:pPr>
      <w:spacing w:before="120" w:after="120"/>
      <w:textAlignment w:val="auto"/>
    </w:pPr>
    <w:rPr>
      <w:rFonts w:ascii="Arial" w:eastAsia="Calibri" w:hAnsi="Arial"/>
      <w:b/>
      <w:color w:val="000000"/>
      <w:spacing w:val="-3"/>
      <w:sz w:val="24"/>
      <w:szCs w:val="22"/>
    </w:rPr>
  </w:style>
  <w:style w:type="paragraph" w:customStyle="1" w:styleId="En-ttedetabledesmatires1">
    <w:name w:val="En-tête de table des matières1"/>
    <w:basedOn w:val="Titre1"/>
    <w:next w:val="Normal"/>
    <w:uiPriority w:val="39"/>
    <w:qFormat/>
    <w:pPr>
      <w:spacing w:line="240" w:lineRule="auto"/>
    </w:pPr>
    <w:rPr>
      <w:rFonts w:ascii="Calibri Light" w:hAnsi="Calibri Light"/>
      <w:color w:val="2E74B5"/>
    </w:rPr>
  </w:style>
  <w:style w:type="character" w:customStyle="1" w:styleId="En-tteCar">
    <w:name w:val="En-tête Car"/>
    <w:basedOn w:val="Policepardfaut"/>
    <w:uiPriority w:val="99"/>
    <w:qFormat/>
    <w:rPr>
      <w:rFonts w:ascii="Calibri" w:eastAsia="Calibri" w:hAnsi="Calibri" w:cs="Times New Roman"/>
      <w:sz w:val="20"/>
      <w:szCs w:val="20"/>
      <w:lang w:eastAsia="fr-FR"/>
    </w:rPr>
  </w:style>
  <w:style w:type="character" w:customStyle="1" w:styleId="RetraitcorpsdetexteCar">
    <w:name w:val="Retrait corps de texte Car"/>
    <w:basedOn w:val="Policepardfaut"/>
    <w:qFormat/>
    <w:rPr>
      <w:rFonts w:ascii="Times New Roman" w:eastAsia="Times New Roman" w:hAnsi="Times New Roman" w:cs="Times New Roman"/>
      <w:sz w:val="26"/>
      <w:szCs w:val="24"/>
      <w:lang w:eastAsia="fr-FR"/>
    </w:rPr>
  </w:style>
  <w:style w:type="character" w:customStyle="1" w:styleId="fullarticletexte">
    <w:name w:val="fullarticletexte"/>
    <w:qFormat/>
  </w:style>
  <w:style w:type="character" w:customStyle="1" w:styleId="wording6">
    <w:name w:val="wording6"/>
    <w:qFormat/>
    <w:rPr>
      <w:color w:val="1B1B21"/>
      <w:sz w:val="18"/>
      <w:szCs w:val="18"/>
      <w:u w:val="none"/>
    </w:rPr>
  </w:style>
  <w:style w:type="character" w:customStyle="1" w:styleId="ExplorateurdedocumentsCar">
    <w:name w:val="Explorateur de documents Car"/>
    <w:basedOn w:val="Policepardfaut"/>
    <w:qFormat/>
    <w:rPr>
      <w:rFonts w:ascii="Tahoma" w:eastAsia="Times New Roman" w:hAnsi="Tahoma" w:cs="Times New Roman"/>
      <w:sz w:val="16"/>
      <w:szCs w:val="16"/>
      <w:lang w:eastAsia="fr-FR"/>
    </w:rPr>
  </w:style>
  <w:style w:type="paragraph" w:customStyle="1" w:styleId="xl65">
    <w:name w:val="xl65"/>
    <w:basedOn w:val="Normal"/>
    <w:qFormat/>
    <w:pPr>
      <w:pBdr>
        <w:top w:val="single" w:sz="4" w:space="0" w:color="000000"/>
        <w:left w:val="single" w:sz="4" w:space="0" w:color="000000"/>
        <w:bottom w:val="single" w:sz="4" w:space="0" w:color="000000"/>
        <w:right w:val="single" w:sz="4" w:space="0" w:color="000000"/>
      </w:pBdr>
      <w:spacing w:before="100" w:after="100"/>
    </w:pPr>
  </w:style>
  <w:style w:type="paragraph" w:customStyle="1" w:styleId="xl66">
    <w:name w:val="xl66"/>
    <w:basedOn w:val="Normal"/>
    <w:qFormat/>
    <w:pPr>
      <w:pBdr>
        <w:top w:val="single" w:sz="4" w:space="0" w:color="000000"/>
        <w:left w:val="single" w:sz="4" w:space="0" w:color="000000"/>
        <w:bottom w:val="single" w:sz="4" w:space="0" w:color="000000"/>
        <w:right w:val="single" w:sz="4" w:space="0" w:color="000000"/>
      </w:pBdr>
      <w:spacing w:before="100" w:after="100"/>
    </w:pPr>
  </w:style>
  <w:style w:type="paragraph" w:customStyle="1" w:styleId="xl67">
    <w:name w:val="xl67"/>
    <w:basedOn w:val="Normal"/>
    <w:qFormat/>
    <w:pPr>
      <w:pBdr>
        <w:top w:val="single" w:sz="4" w:space="0" w:color="000000"/>
        <w:left w:val="single" w:sz="4" w:space="0" w:color="000000"/>
        <w:bottom w:val="single" w:sz="4" w:space="0" w:color="000000"/>
        <w:right w:val="single" w:sz="4" w:space="0" w:color="000000"/>
      </w:pBdr>
      <w:spacing w:before="100" w:after="100"/>
    </w:pPr>
    <w:rPr>
      <w:sz w:val="28"/>
      <w:szCs w:val="28"/>
    </w:rPr>
  </w:style>
  <w:style w:type="paragraph" w:customStyle="1" w:styleId="xl68">
    <w:name w:val="xl68"/>
    <w:basedOn w:val="Normal"/>
    <w:qFormat/>
    <w:pPr>
      <w:pBdr>
        <w:top w:val="single" w:sz="4" w:space="0" w:color="000000"/>
        <w:left w:val="single" w:sz="4" w:space="0" w:color="000000"/>
        <w:bottom w:val="single" w:sz="4" w:space="0" w:color="000000"/>
        <w:right w:val="single" w:sz="4" w:space="0" w:color="000000"/>
      </w:pBdr>
      <w:spacing w:before="100" w:after="100"/>
    </w:pPr>
    <w:rPr>
      <w:sz w:val="32"/>
      <w:szCs w:val="32"/>
    </w:rPr>
  </w:style>
  <w:style w:type="paragraph" w:customStyle="1" w:styleId="xl69">
    <w:name w:val="xl69"/>
    <w:basedOn w:val="Normal"/>
    <w:qFormat/>
    <w:pPr>
      <w:pBdr>
        <w:top w:val="single" w:sz="4" w:space="0" w:color="000000"/>
        <w:left w:val="single" w:sz="4" w:space="0" w:color="000000"/>
        <w:bottom w:val="single" w:sz="4" w:space="0" w:color="000000"/>
        <w:right w:val="single" w:sz="4" w:space="0" w:color="000000"/>
      </w:pBdr>
      <w:spacing w:before="100" w:after="100"/>
    </w:pPr>
    <w:rPr>
      <w:sz w:val="36"/>
      <w:szCs w:val="36"/>
    </w:rPr>
  </w:style>
  <w:style w:type="paragraph" w:customStyle="1" w:styleId="xl70">
    <w:name w:val="xl70"/>
    <w:basedOn w:val="Normal"/>
    <w:qFormat/>
    <w:pPr>
      <w:pBdr>
        <w:top w:val="single" w:sz="4" w:space="0" w:color="000000"/>
        <w:left w:val="single" w:sz="4" w:space="0" w:color="000000"/>
        <w:bottom w:val="single" w:sz="4" w:space="0" w:color="000000"/>
        <w:right w:val="single" w:sz="4" w:space="0" w:color="000000"/>
      </w:pBdr>
      <w:spacing w:before="100" w:after="100"/>
    </w:pPr>
    <w:rPr>
      <w:sz w:val="28"/>
      <w:szCs w:val="28"/>
    </w:rPr>
  </w:style>
  <w:style w:type="paragraph" w:customStyle="1" w:styleId="xl71">
    <w:name w:val="xl71"/>
    <w:basedOn w:val="Normal"/>
    <w:qFormat/>
    <w:pPr>
      <w:pBdr>
        <w:top w:val="single" w:sz="4" w:space="0" w:color="000000"/>
        <w:left w:val="single" w:sz="4" w:space="0" w:color="000000"/>
        <w:bottom w:val="single" w:sz="4" w:space="0" w:color="000000"/>
        <w:right w:val="single" w:sz="4" w:space="0" w:color="000000"/>
      </w:pBdr>
      <w:spacing w:before="100" w:after="100"/>
    </w:pPr>
  </w:style>
  <w:style w:type="paragraph" w:customStyle="1" w:styleId="xl72">
    <w:name w:val="xl72"/>
    <w:basedOn w:val="Normal"/>
    <w:qFormat/>
    <w:pPr>
      <w:pBdr>
        <w:top w:val="single" w:sz="4" w:space="0" w:color="000000"/>
        <w:left w:val="single" w:sz="4" w:space="0" w:color="000000"/>
        <w:bottom w:val="single" w:sz="4" w:space="0" w:color="000000"/>
        <w:right w:val="single" w:sz="4" w:space="0" w:color="000000"/>
      </w:pBdr>
      <w:spacing w:before="100" w:after="100"/>
    </w:pPr>
  </w:style>
  <w:style w:type="paragraph" w:customStyle="1" w:styleId="xl73">
    <w:name w:val="xl73"/>
    <w:basedOn w:val="Normal"/>
    <w:qFormat/>
    <w:pPr>
      <w:pBdr>
        <w:top w:val="single" w:sz="4" w:space="0" w:color="000000"/>
        <w:left w:val="single" w:sz="4" w:space="0" w:color="000000"/>
        <w:bottom w:val="single" w:sz="4" w:space="0" w:color="000000"/>
        <w:right w:val="single" w:sz="4" w:space="0" w:color="000000"/>
      </w:pBdr>
      <w:spacing w:before="100" w:after="100"/>
    </w:pPr>
    <w:rPr>
      <w:sz w:val="32"/>
      <w:szCs w:val="32"/>
    </w:rPr>
  </w:style>
  <w:style w:type="paragraph" w:customStyle="1" w:styleId="xl75">
    <w:name w:val="xl75"/>
    <w:basedOn w:val="Normal"/>
    <w:qFormat/>
    <w:pPr>
      <w:pBdr>
        <w:top w:val="single" w:sz="4" w:space="0" w:color="000000"/>
        <w:left w:val="single" w:sz="4" w:space="0" w:color="000000"/>
        <w:bottom w:val="single" w:sz="4" w:space="0" w:color="000000"/>
        <w:right w:val="single" w:sz="4" w:space="0" w:color="000000"/>
      </w:pBdr>
      <w:spacing w:before="100" w:after="100"/>
    </w:pPr>
  </w:style>
  <w:style w:type="paragraph" w:customStyle="1" w:styleId="xl76">
    <w:name w:val="xl76"/>
    <w:basedOn w:val="Normal"/>
    <w:qFormat/>
    <w:pPr>
      <w:pBdr>
        <w:top w:val="single" w:sz="4" w:space="0" w:color="000000"/>
        <w:left w:val="single" w:sz="4" w:space="0" w:color="000000"/>
        <w:bottom w:val="single" w:sz="4" w:space="0" w:color="000000"/>
        <w:right w:val="single" w:sz="4" w:space="0" w:color="000000"/>
      </w:pBdr>
      <w:spacing w:before="100" w:after="100"/>
    </w:pPr>
  </w:style>
  <w:style w:type="paragraph" w:customStyle="1" w:styleId="xl77">
    <w:name w:val="xl77"/>
    <w:basedOn w:val="Normal"/>
    <w:qFormat/>
    <w:pPr>
      <w:pBdr>
        <w:top w:val="single" w:sz="4" w:space="0" w:color="000000"/>
        <w:left w:val="single" w:sz="4" w:space="0" w:color="000000"/>
        <w:bottom w:val="single" w:sz="4" w:space="0" w:color="000000"/>
        <w:right w:val="single" w:sz="4" w:space="0" w:color="000000"/>
      </w:pBdr>
      <w:spacing w:before="100" w:after="100"/>
    </w:pPr>
  </w:style>
  <w:style w:type="paragraph" w:customStyle="1" w:styleId="xl78">
    <w:name w:val="xl78"/>
    <w:basedOn w:val="Normal"/>
    <w:qFormat/>
    <w:pPr>
      <w:pBdr>
        <w:top w:val="single" w:sz="4" w:space="0" w:color="000000"/>
        <w:left w:val="single" w:sz="4" w:space="0" w:color="000000"/>
        <w:bottom w:val="single" w:sz="4" w:space="0" w:color="000000"/>
        <w:right w:val="single" w:sz="4" w:space="0" w:color="000000"/>
      </w:pBdr>
      <w:spacing w:before="100" w:after="100"/>
    </w:pPr>
  </w:style>
  <w:style w:type="paragraph" w:customStyle="1" w:styleId="xl79">
    <w:name w:val="xl79"/>
    <w:basedOn w:val="Normal"/>
    <w:qFormat/>
    <w:pPr>
      <w:pBdr>
        <w:top w:val="single" w:sz="4" w:space="0" w:color="000000"/>
        <w:left w:val="single" w:sz="4" w:space="0" w:color="000000"/>
        <w:bottom w:val="single" w:sz="4" w:space="0" w:color="000000"/>
        <w:right w:val="single" w:sz="4" w:space="0" w:color="000000"/>
      </w:pBdr>
      <w:spacing w:before="100" w:after="100"/>
    </w:pPr>
  </w:style>
  <w:style w:type="paragraph" w:customStyle="1" w:styleId="xl80">
    <w:name w:val="xl80"/>
    <w:basedOn w:val="Normal"/>
    <w:qFormat/>
    <w:pPr>
      <w:pBdr>
        <w:top w:val="single" w:sz="4" w:space="0" w:color="000000"/>
        <w:left w:val="single" w:sz="4" w:space="0" w:color="000000"/>
        <w:bottom w:val="single" w:sz="4" w:space="0" w:color="000000"/>
        <w:right w:val="single" w:sz="4" w:space="0" w:color="000000"/>
      </w:pBdr>
      <w:spacing w:before="100" w:after="100"/>
    </w:pPr>
  </w:style>
  <w:style w:type="character" w:customStyle="1" w:styleId="CorpsdetexteCar">
    <w:name w:val="Corps de texte Car"/>
    <w:basedOn w:val="Policepardfaut"/>
    <w:qFormat/>
    <w:rPr>
      <w:rFonts w:ascii="Times New Roman" w:eastAsia="Times New Roman" w:hAnsi="Times New Roman" w:cs="Times New Roman"/>
      <w:b/>
      <w:bCs/>
      <w:sz w:val="28"/>
      <w:szCs w:val="24"/>
      <w:lang w:eastAsia="fr-FR"/>
    </w:rPr>
  </w:style>
  <w:style w:type="character" w:customStyle="1" w:styleId="Corpsdetexte2Car">
    <w:name w:val="Corps de texte 2 Car"/>
    <w:basedOn w:val="Policepardfaut"/>
    <w:qFormat/>
    <w:rPr>
      <w:rFonts w:ascii="Calibri" w:eastAsia="Calibri" w:hAnsi="Calibri" w:cs="Times New Roman"/>
    </w:rPr>
  </w:style>
  <w:style w:type="character" w:customStyle="1" w:styleId="Retraitcorpsdetexte2Car">
    <w:name w:val="Retrait corps de texte 2 Car"/>
    <w:basedOn w:val="Policepardfaut"/>
    <w:qFormat/>
    <w:rPr>
      <w:rFonts w:ascii="Calibri" w:eastAsia="Calibri" w:hAnsi="Calibri" w:cs="Times New Roman"/>
    </w:rPr>
  </w:style>
  <w:style w:type="paragraph" w:customStyle="1" w:styleId="xl74">
    <w:name w:val="xl74"/>
    <w:basedOn w:val="Normal"/>
    <w:qFormat/>
    <w:pPr>
      <w:pBdr>
        <w:top w:val="single" w:sz="4" w:space="0" w:color="000000"/>
        <w:left w:val="single" w:sz="4" w:space="0" w:color="000000"/>
        <w:bottom w:val="single" w:sz="4" w:space="0" w:color="000000"/>
        <w:right w:val="single" w:sz="4" w:space="0" w:color="000000"/>
      </w:pBdr>
      <w:spacing w:before="100" w:after="100"/>
      <w:jc w:val="right"/>
    </w:pPr>
  </w:style>
  <w:style w:type="paragraph" w:customStyle="1" w:styleId="xl63">
    <w:name w:val="xl63"/>
    <w:basedOn w:val="Normal"/>
    <w:qFormat/>
    <w:pPr>
      <w:pBdr>
        <w:top w:val="single" w:sz="4" w:space="0" w:color="000000"/>
        <w:left w:val="single" w:sz="4" w:space="0" w:color="000000"/>
        <w:bottom w:val="single" w:sz="4" w:space="0" w:color="000000"/>
        <w:right w:val="single" w:sz="4" w:space="0" w:color="000000"/>
      </w:pBdr>
      <w:spacing w:before="100" w:after="100"/>
    </w:pPr>
  </w:style>
  <w:style w:type="paragraph" w:customStyle="1" w:styleId="xl64">
    <w:name w:val="xl64"/>
    <w:basedOn w:val="Normal"/>
    <w:qFormat/>
    <w:pPr>
      <w:pBdr>
        <w:top w:val="single" w:sz="4" w:space="0" w:color="000000"/>
        <w:left w:val="single" w:sz="4" w:space="0" w:color="000000"/>
        <w:bottom w:val="single" w:sz="4" w:space="0" w:color="000000"/>
        <w:right w:val="single" w:sz="4" w:space="0" w:color="000000"/>
      </w:pBdr>
      <w:spacing w:before="100" w:after="100"/>
    </w:pPr>
  </w:style>
  <w:style w:type="character" w:customStyle="1" w:styleId="Titredulivre1">
    <w:name w:val="Titre du livre1"/>
    <w:qFormat/>
    <w:rPr>
      <w:b/>
      <w:bCs/>
      <w:i/>
      <w:iCs/>
      <w:spacing w:val="5"/>
    </w:rPr>
  </w:style>
  <w:style w:type="character" w:customStyle="1" w:styleId="Aucun">
    <w:name w:val="Aucun"/>
    <w:qFormat/>
  </w:style>
  <w:style w:type="paragraph" w:customStyle="1" w:styleId="Corps">
    <w:name w:val="Corps"/>
    <w:qFormat/>
    <w:pPr>
      <w:pBdr>
        <w:top w:val="single" w:sz="2" w:space="31" w:color="FFFFFF"/>
        <w:left w:val="single" w:sz="2" w:space="31" w:color="FFFFFF"/>
        <w:bottom w:val="single" w:sz="2" w:space="31" w:color="FFFFFF"/>
        <w:right w:val="single" w:sz="2" w:space="31" w:color="FFFFFF"/>
      </w:pBdr>
      <w:suppressAutoHyphens/>
      <w:autoSpaceDN w:val="0"/>
      <w:spacing w:after="160"/>
      <w:textAlignment w:val="baseline"/>
    </w:pPr>
    <w:rPr>
      <w:rFonts w:cs="Calibri"/>
      <w:color w:val="000000"/>
      <w:sz w:val="22"/>
      <w:szCs w:val="22"/>
    </w:rPr>
  </w:style>
  <w:style w:type="character" w:customStyle="1" w:styleId="acopre">
    <w:name w:val="acopre"/>
    <w:qFormat/>
  </w:style>
  <w:style w:type="paragraph" w:customStyle="1" w:styleId="comment-reply">
    <w:name w:val="comment-reply"/>
    <w:basedOn w:val="Normal"/>
    <w:qFormat/>
    <w:pPr>
      <w:spacing w:before="100" w:after="100"/>
      <w:textAlignment w:val="auto"/>
    </w:pPr>
  </w:style>
  <w:style w:type="paragraph" w:customStyle="1" w:styleId="font5">
    <w:name w:val="font5"/>
    <w:basedOn w:val="Normal"/>
    <w:qFormat/>
    <w:pPr>
      <w:spacing w:before="100" w:after="100"/>
      <w:textAlignment w:val="auto"/>
    </w:pPr>
    <w:rPr>
      <w:b/>
      <w:bCs/>
      <w:i/>
      <w:iCs/>
      <w:color w:val="000000"/>
      <w:sz w:val="18"/>
      <w:szCs w:val="18"/>
    </w:rPr>
  </w:style>
  <w:style w:type="paragraph" w:customStyle="1" w:styleId="font6">
    <w:name w:val="font6"/>
    <w:basedOn w:val="Normal"/>
    <w:qFormat/>
    <w:pPr>
      <w:spacing w:before="100" w:after="100"/>
      <w:textAlignment w:val="auto"/>
    </w:pPr>
    <w:rPr>
      <w:b/>
      <w:bCs/>
      <w:color w:val="000000"/>
      <w:sz w:val="20"/>
      <w:szCs w:val="20"/>
    </w:rPr>
  </w:style>
  <w:style w:type="paragraph" w:customStyle="1" w:styleId="xl96">
    <w:name w:val="xl96"/>
    <w:basedOn w:val="Normal"/>
    <w:qFormat/>
    <w:pPr>
      <w:pBdr>
        <w:top w:val="single" w:sz="8" w:space="0" w:color="000000"/>
        <w:left w:val="single" w:sz="8" w:space="0" w:color="000000"/>
        <w:bottom w:val="single" w:sz="8" w:space="0" w:color="000000"/>
        <w:right w:val="single" w:sz="8" w:space="0" w:color="000000"/>
      </w:pBdr>
      <w:shd w:val="clear" w:color="auto" w:fill="FFF2CC"/>
      <w:spacing w:before="100" w:after="100"/>
      <w:jc w:val="center"/>
      <w:textAlignment w:val="center"/>
    </w:pPr>
    <w:rPr>
      <w:b/>
      <w:bCs/>
      <w:color w:val="0563C1"/>
      <w:sz w:val="28"/>
      <w:szCs w:val="28"/>
      <w:u w:val="single"/>
    </w:rPr>
  </w:style>
  <w:style w:type="paragraph" w:customStyle="1" w:styleId="xl97">
    <w:name w:val="xl97"/>
    <w:basedOn w:val="Normal"/>
    <w:qFormat/>
    <w:pPr>
      <w:pBdr>
        <w:top w:val="single" w:sz="8" w:space="0" w:color="000000"/>
        <w:left w:val="single" w:sz="8" w:space="0" w:color="000000"/>
        <w:bottom w:val="single" w:sz="8" w:space="0" w:color="000000"/>
        <w:right w:val="single" w:sz="8" w:space="0" w:color="000000"/>
      </w:pBdr>
      <w:shd w:val="clear" w:color="auto" w:fill="FFF2CC"/>
      <w:spacing w:before="100" w:after="100"/>
      <w:jc w:val="center"/>
      <w:textAlignment w:val="center"/>
    </w:pPr>
    <w:rPr>
      <w:b/>
      <w:bCs/>
      <w:color w:val="0563C1"/>
      <w:sz w:val="28"/>
      <w:szCs w:val="28"/>
      <w:u w:val="single"/>
    </w:rPr>
  </w:style>
  <w:style w:type="paragraph" w:customStyle="1" w:styleId="xl98">
    <w:name w:val="xl98"/>
    <w:basedOn w:val="Normal"/>
    <w:qFormat/>
    <w:pPr>
      <w:shd w:val="clear" w:color="auto" w:fill="FFF2CC"/>
      <w:spacing w:before="100" w:after="100"/>
      <w:jc w:val="center"/>
      <w:textAlignment w:val="center"/>
    </w:pPr>
    <w:rPr>
      <w:b/>
      <w:bCs/>
      <w:color w:val="0563C1"/>
      <w:sz w:val="28"/>
      <w:szCs w:val="28"/>
      <w:u w:val="single"/>
    </w:rPr>
  </w:style>
  <w:style w:type="paragraph" w:customStyle="1" w:styleId="xl99">
    <w:name w:val="xl99"/>
    <w:basedOn w:val="Normal"/>
    <w:qFormat/>
    <w:pPr>
      <w:shd w:val="clear" w:color="auto" w:fill="FFF2CC"/>
      <w:spacing w:before="100" w:after="100"/>
      <w:jc w:val="center"/>
      <w:textAlignment w:val="center"/>
    </w:pPr>
    <w:rPr>
      <w:b/>
      <w:bCs/>
      <w:color w:val="0563C1"/>
      <w:sz w:val="28"/>
      <w:szCs w:val="28"/>
      <w:u w:val="single"/>
    </w:rPr>
  </w:style>
  <w:style w:type="paragraph" w:customStyle="1" w:styleId="xl100">
    <w:name w:val="xl100"/>
    <w:basedOn w:val="Normal"/>
    <w:qFormat/>
    <w:pPr>
      <w:shd w:val="clear" w:color="auto" w:fill="FFF2CC"/>
      <w:spacing w:before="100" w:after="100"/>
      <w:jc w:val="center"/>
      <w:textAlignment w:val="center"/>
    </w:pPr>
    <w:rPr>
      <w:b/>
      <w:bCs/>
      <w:color w:val="0563C1"/>
      <w:sz w:val="28"/>
      <w:szCs w:val="28"/>
      <w:u w:val="single"/>
    </w:rPr>
  </w:style>
  <w:style w:type="paragraph" w:customStyle="1" w:styleId="xl101">
    <w:name w:val="xl101"/>
    <w:basedOn w:val="Normal"/>
    <w:qFormat/>
    <w:pPr>
      <w:pBdr>
        <w:top w:val="single" w:sz="8" w:space="0" w:color="000000"/>
        <w:left w:val="single" w:sz="8" w:space="0" w:color="000000"/>
        <w:bottom w:val="single" w:sz="8" w:space="0" w:color="000000"/>
        <w:right w:val="single" w:sz="8" w:space="0" w:color="000000"/>
      </w:pBdr>
      <w:shd w:val="clear" w:color="auto" w:fill="FFF2CC"/>
      <w:spacing w:before="100" w:after="100"/>
      <w:jc w:val="center"/>
      <w:textAlignment w:val="center"/>
    </w:pPr>
    <w:rPr>
      <w:b/>
      <w:bCs/>
      <w:sz w:val="28"/>
      <w:szCs w:val="28"/>
    </w:rPr>
  </w:style>
  <w:style w:type="paragraph" w:customStyle="1" w:styleId="xl102">
    <w:name w:val="xl102"/>
    <w:basedOn w:val="Normal"/>
    <w:qFormat/>
    <w:pPr>
      <w:pBdr>
        <w:top w:val="single" w:sz="8" w:space="0" w:color="000000"/>
        <w:left w:val="single" w:sz="8" w:space="0" w:color="000000"/>
        <w:bottom w:val="single" w:sz="8" w:space="0" w:color="000000"/>
        <w:right w:val="single" w:sz="8" w:space="0" w:color="000000"/>
      </w:pBdr>
      <w:shd w:val="clear" w:color="auto" w:fill="FFF2CC"/>
      <w:spacing w:before="100" w:after="100"/>
      <w:jc w:val="center"/>
      <w:textAlignment w:val="center"/>
    </w:pPr>
    <w:rPr>
      <w:b/>
      <w:bCs/>
      <w:sz w:val="28"/>
      <w:szCs w:val="28"/>
    </w:rPr>
  </w:style>
  <w:style w:type="paragraph" w:customStyle="1" w:styleId="xl103">
    <w:name w:val="xl103"/>
    <w:basedOn w:val="Normal"/>
    <w:qFormat/>
    <w:pPr>
      <w:pBdr>
        <w:top w:val="single" w:sz="8" w:space="0" w:color="000000"/>
        <w:left w:val="single" w:sz="8" w:space="0" w:color="000000"/>
        <w:bottom w:val="single" w:sz="8" w:space="0" w:color="000000"/>
        <w:right w:val="single" w:sz="8" w:space="0" w:color="000000"/>
      </w:pBdr>
      <w:shd w:val="clear" w:color="auto" w:fill="FFF2CC"/>
      <w:spacing w:before="100" w:after="100"/>
      <w:jc w:val="center"/>
      <w:textAlignment w:val="center"/>
    </w:pPr>
    <w:rPr>
      <w:b/>
      <w:bCs/>
      <w:sz w:val="28"/>
      <w:szCs w:val="28"/>
    </w:rPr>
  </w:style>
  <w:style w:type="paragraph" w:customStyle="1" w:styleId="xl104">
    <w:name w:val="xl104"/>
    <w:basedOn w:val="Normal"/>
    <w:qFormat/>
    <w:pPr>
      <w:shd w:val="clear" w:color="auto" w:fill="FFF2CC"/>
      <w:spacing w:before="100" w:after="100"/>
      <w:jc w:val="center"/>
      <w:textAlignment w:val="center"/>
    </w:pPr>
    <w:rPr>
      <w:b/>
      <w:bCs/>
      <w:sz w:val="28"/>
      <w:szCs w:val="28"/>
    </w:rPr>
  </w:style>
  <w:style w:type="paragraph" w:customStyle="1" w:styleId="xl105">
    <w:name w:val="xl105"/>
    <w:basedOn w:val="Normal"/>
    <w:qFormat/>
    <w:pPr>
      <w:shd w:val="clear" w:color="auto" w:fill="FFF2CC"/>
      <w:spacing w:before="100" w:after="100"/>
      <w:jc w:val="center"/>
      <w:textAlignment w:val="center"/>
    </w:pPr>
    <w:rPr>
      <w:b/>
      <w:bCs/>
      <w:sz w:val="28"/>
      <w:szCs w:val="28"/>
    </w:rPr>
  </w:style>
  <w:style w:type="paragraph" w:customStyle="1" w:styleId="xl106">
    <w:name w:val="xl106"/>
    <w:basedOn w:val="Normal"/>
    <w:qFormat/>
    <w:pPr>
      <w:shd w:val="clear" w:color="auto" w:fill="FFF2CC"/>
      <w:spacing w:before="100" w:after="100"/>
      <w:jc w:val="center"/>
      <w:textAlignment w:val="center"/>
    </w:pPr>
    <w:rPr>
      <w:b/>
      <w:bCs/>
      <w:sz w:val="28"/>
      <w:szCs w:val="28"/>
    </w:rPr>
  </w:style>
  <w:style w:type="paragraph" w:customStyle="1" w:styleId="xl107">
    <w:name w:val="xl107"/>
    <w:basedOn w:val="Normal"/>
    <w:qFormat/>
    <w:pPr>
      <w:pBdr>
        <w:top w:val="single" w:sz="8" w:space="0" w:color="000000"/>
        <w:left w:val="single" w:sz="8" w:space="0" w:color="000000"/>
        <w:bottom w:val="single" w:sz="8" w:space="0" w:color="000000"/>
        <w:right w:val="single" w:sz="8" w:space="0" w:color="000000"/>
      </w:pBdr>
      <w:shd w:val="clear" w:color="auto" w:fill="FFF2CC"/>
      <w:spacing w:before="100" w:after="100"/>
      <w:jc w:val="center"/>
      <w:textAlignment w:val="center"/>
    </w:pPr>
    <w:rPr>
      <w:color w:val="0563C1"/>
      <w:sz w:val="28"/>
      <w:szCs w:val="28"/>
      <w:u w:val="single"/>
    </w:rPr>
  </w:style>
  <w:style w:type="paragraph" w:customStyle="1" w:styleId="xl108">
    <w:name w:val="xl108"/>
    <w:basedOn w:val="Normal"/>
    <w:pPr>
      <w:pBdr>
        <w:top w:val="single" w:sz="8" w:space="0" w:color="000000"/>
        <w:left w:val="single" w:sz="8" w:space="0" w:color="000000"/>
        <w:bottom w:val="single" w:sz="8" w:space="0" w:color="000000"/>
        <w:right w:val="single" w:sz="8" w:space="0" w:color="000000"/>
      </w:pBdr>
      <w:shd w:val="clear" w:color="auto" w:fill="FFF2CC"/>
      <w:spacing w:before="100" w:after="100"/>
      <w:jc w:val="center"/>
      <w:textAlignment w:val="center"/>
    </w:pPr>
    <w:rPr>
      <w:color w:val="0563C1"/>
      <w:sz w:val="28"/>
      <w:szCs w:val="28"/>
      <w:u w:val="single"/>
    </w:rPr>
  </w:style>
  <w:style w:type="paragraph" w:customStyle="1" w:styleId="xl109">
    <w:name w:val="xl109"/>
    <w:basedOn w:val="Normal"/>
    <w:pPr>
      <w:pBdr>
        <w:top w:val="single" w:sz="8" w:space="0" w:color="000000"/>
        <w:left w:val="single" w:sz="8" w:space="0" w:color="000000"/>
        <w:bottom w:val="single" w:sz="8" w:space="0" w:color="000000"/>
        <w:right w:val="single" w:sz="8" w:space="0" w:color="000000"/>
      </w:pBdr>
      <w:shd w:val="clear" w:color="auto" w:fill="FFF2CC"/>
      <w:spacing w:before="100" w:after="100"/>
      <w:jc w:val="center"/>
      <w:textAlignment w:val="center"/>
    </w:pPr>
    <w:rPr>
      <w:color w:val="0563C1"/>
      <w:sz w:val="28"/>
      <w:szCs w:val="28"/>
      <w:u w:val="single"/>
    </w:rPr>
  </w:style>
  <w:style w:type="paragraph" w:customStyle="1" w:styleId="xl110">
    <w:name w:val="xl110"/>
    <w:basedOn w:val="Normal"/>
    <w:pPr>
      <w:shd w:val="clear" w:color="auto" w:fill="FFF2CC"/>
      <w:spacing w:before="100" w:after="100"/>
      <w:jc w:val="center"/>
      <w:textAlignment w:val="center"/>
    </w:pPr>
    <w:rPr>
      <w:color w:val="0563C1"/>
      <w:sz w:val="28"/>
      <w:szCs w:val="28"/>
      <w:u w:val="single"/>
    </w:rPr>
  </w:style>
  <w:style w:type="paragraph" w:customStyle="1" w:styleId="xl111">
    <w:name w:val="xl111"/>
    <w:basedOn w:val="Normal"/>
    <w:pPr>
      <w:shd w:val="clear" w:color="auto" w:fill="FFF2CC"/>
      <w:spacing w:before="100" w:after="100"/>
      <w:jc w:val="center"/>
      <w:textAlignment w:val="center"/>
    </w:pPr>
    <w:rPr>
      <w:color w:val="0563C1"/>
      <w:sz w:val="28"/>
      <w:szCs w:val="28"/>
      <w:u w:val="single"/>
    </w:rPr>
  </w:style>
  <w:style w:type="paragraph" w:customStyle="1" w:styleId="xl112">
    <w:name w:val="xl112"/>
    <w:basedOn w:val="Normal"/>
    <w:pPr>
      <w:shd w:val="clear" w:color="auto" w:fill="FFF2CC"/>
      <w:spacing w:before="100" w:after="100"/>
      <w:jc w:val="center"/>
      <w:textAlignment w:val="center"/>
    </w:pPr>
    <w:rPr>
      <w:color w:val="0563C1"/>
      <w:sz w:val="28"/>
      <w:szCs w:val="28"/>
      <w:u w:val="single"/>
    </w:rPr>
  </w:style>
  <w:style w:type="paragraph" w:customStyle="1" w:styleId="comment-meta">
    <w:name w:val="comment-meta"/>
    <w:pPr>
      <w:pBdr>
        <w:top w:val="single" w:sz="2" w:space="31" w:color="FFFFFF"/>
        <w:left w:val="single" w:sz="2" w:space="31" w:color="FFFFFF"/>
        <w:bottom w:val="single" w:sz="2" w:space="31" w:color="FFFFFF"/>
        <w:right w:val="single" w:sz="2" w:space="31" w:color="FFFFFF"/>
      </w:pBdr>
      <w:suppressAutoHyphens/>
      <w:autoSpaceDN w:val="0"/>
      <w:spacing w:before="100" w:after="100"/>
      <w:textAlignment w:val="baseline"/>
    </w:pPr>
    <w:rPr>
      <w:rFonts w:ascii="Times New Roman" w:eastAsia="Arial Unicode MS" w:hAnsi="Times New Roman" w:cs="Arial Unicode MS"/>
      <w:color w:val="000000"/>
      <w:sz w:val="24"/>
      <w:szCs w:val="24"/>
    </w:rPr>
  </w:style>
  <w:style w:type="character" w:customStyle="1" w:styleId="Lien">
    <w:name w:val="Lien"/>
    <w:qFormat/>
    <w:rPr>
      <w:color w:val="0563C1"/>
      <w:u w:val="single" w:color="0563C1"/>
    </w:rPr>
  </w:style>
  <w:style w:type="character" w:customStyle="1" w:styleId="Hyperlink0">
    <w:name w:val="Hyperlink.0"/>
    <w:rPr>
      <w:color w:val="0563C1"/>
      <w:sz w:val="26"/>
      <w:szCs w:val="26"/>
      <w:u w:val="single" w:color="0563C1"/>
    </w:rPr>
  </w:style>
  <w:style w:type="character" w:customStyle="1" w:styleId="Hyperlink1">
    <w:name w:val="Hyperlink.1"/>
    <w:rPr>
      <w:color w:val="2E74B5"/>
      <w:sz w:val="26"/>
      <w:szCs w:val="26"/>
      <w:u w:val="single" w:color="2E74B5"/>
    </w:rPr>
  </w:style>
  <w:style w:type="character" w:customStyle="1" w:styleId="st">
    <w:name w:val="st"/>
  </w:style>
  <w:style w:type="character" w:customStyle="1" w:styleId="item">
    <w:name w:val="item"/>
  </w:style>
  <w:style w:type="character" w:customStyle="1" w:styleId="reviewer">
    <w:name w:val="reviewer"/>
  </w:style>
  <w:style w:type="character" w:customStyle="1" w:styleId="sep">
    <w:name w:val="sep"/>
  </w:style>
  <w:style w:type="character" w:customStyle="1" w:styleId="Sous-titreCar">
    <w:name w:val="Sous-titre Car"/>
    <w:basedOn w:val="Policepardfaut"/>
    <w:uiPriority w:val="11"/>
    <w:rPr>
      <w:rFonts w:ascii="Calibri Light" w:eastAsia="Times New Roman" w:hAnsi="Calibri Light" w:cs="Times New Roman"/>
      <w:sz w:val="26"/>
      <w:szCs w:val="24"/>
      <w:lang w:eastAsia="fr-FR"/>
    </w:rPr>
  </w:style>
  <w:style w:type="paragraph" w:customStyle="1" w:styleId="Default">
    <w:name w:val="Default"/>
    <w:pPr>
      <w:suppressAutoHyphens/>
      <w:autoSpaceDE w:val="0"/>
      <w:autoSpaceDN w:val="0"/>
      <w:textAlignment w:val="baseline"/>
    </w:pPr>
    <w:rPr>
      <w:rFonts w:ascii="Cambria" w:hAnsi="Cambria" w:cs="Cambria"/>
      <w:color w:val="000000"/>
      <w:sz w:val="24"/>
      <w:szCs w:val="24"/>
      <w:lang w:eastAsia="en-US"/>
    </w:rPr>
  </w:style>
  <w:style w:type="character" w:customStyle="1" w:styleId="ObjetducommentaireCar">
    <w:name w:val="Objet du commentaire Car"/>
    <w:basedOn w:val="CommentaireCar"/>
    <w:uiPriority w:val="99"/>
    <w:rPr>
      <w:rFonts w:ascii="Times New Roman" w:eastAsia="Times New Roman" w:hAnsi="Times New Roman" w:cs="Times New Roman"/>
      <w:b/>
      <w:bCs/>
      <w:sz w:val="20"/>
      <w:szCs w:val="20"/>
      <w:lang w:eastAsia="fr-FR"/>
    </w:rPr>
  </w:style>
  <w:style w:type="character" w:customStyle="1" w:styleId="ExplorateurdedocumentsCar1">
    <w:name w:val="Explorateur de documents Car1"/>
    <w:rPr>
      <w:rFonts w:ascii="Segoe UI" w:eastAsia="Times New Roman" w:hAnsi="Segoe UI" w:cs="Segoe UI"/>
      <w:sz w:val="16"/>
      <w:szCs w:val="16"/>
    </w:rPr>
  </w:style>
  <w:style w:type="paragraph" w:customStyle="1" w:styleId="Rvision1">
    <w:name w:val="Révision1"/>
    <w:pPr>
      <w:suppressAutoHyphens/>
      <w:autoSpaceDN w:val="0"/>
      <w:textAlignment w:val="baseline"/>
    </w:pPr>
    <w:rPr>
      <w:rFonts w:eastAsia="Times New Roman"/>
      <w:sz w:val="22"/>
      <w:szCs w:val="22"/>
    </w:rPr>
  </w:style>
  <w:style w:type="character" w:customStyle="1" w:styleId="Retraitcorpsdetexte3Car">
    <w:name w:val="Retrait corps de texte 3 Car"/>
    <w:basedOn w:val="Policepardfaut"/>
    <w:qFormat/>
    <w:rPr>
      <w:rFonts w:ascii="Calibri" w:eastAsia="Times New Roman" w:hAnsi="Calibri" w:cs="Times New Roman"/>
      <w:sz w:val="16"/>
      <w:szCs w:val="16"/>
      <w:lang w:eastAsia="fr-FR"/>
    </w:rPr>
  </w:style>
  <w:style w:type="character" w:customStyle="1" w:styleId="SansinterligneCar">
    <w:name w:val="Sans interligne Car"/>
    <w:rPr>
      <w:rFonts w:ascii="Times New Roman" w:eastAsia="Times New Roman" w:hAnsi="Times New Roman" w:cs="Times New Roman"/>
      <w:sz w:val="24"/>
      <w:szCs w:val="24"/>
      <w:lang w:eastAsia="fr-FR"/>
    </w:rPr>
  </w:style>
  <w:style w:type="character" w:customStyle="1" w:styleId="TitreCar">
    <w:name w:val="Titre Car"/>
    <w:basedOn w:val="Policepardfaut"/>
    <w:uiPriority w:val="10"/>
    <w:qFormat/>
    <w:rPr>
      <w:rFonts w:ascii="Calibri Light" w:eastAsia="Times New Roman" w:hAnsi="Calibri Light" w:cs="Times New Roman"/>
      <w:color w:val="323E4F"/>
      <w:spacing w:val="5"/>
      <w:kern w:val="3"/>
      <w:sz w:val="52"/>
      <w:szCs w:val="52"/>
    </w:rPr>
  </w:style>
  <w:style w:type="character" w:customStyle="1" w:styleId="Emphaseple1">
    <w:name w:val="Emphase pâle1"/>
    <w:qFormat/>
    <w:rPr>
      <w:i/>
      <w:iCs/>
      <w:color w:val="808080"/>
    </w:rPr>
  </w:style>
  <w:style w:type="character" w:customStyle="1" w:styleId="Emphaseintense1">
    <w:name w:val="Emphase intense1"/>
    <w:qFormat/>
    <w:rPr>
      <w:b/>
      <w:bCs/>
      <w:i/>
      <w:iCs/>
      <w:color w:val="4472C4"/>
    </w:rPr>
  </w:style>
  <w:style w:type="paragraph" w:styleId="Citation">
    <w:name w:val="Quote"/>
    <w:basedOn w:val="Normal"/>
    <w:next w:val="Normal"/>
    <w:uiPriority w:val="29"/>
    <w:qFormat/>
    <w:pPr>
      <w:spacing w:after="200" w:line="276" w:lineRule="auto"/>
    </w:pPr>
    <w:rPr>
      <w:rFonts w:ascii="Calibri" w:eastAsia="Calibri" w:hAnsi="Calibri"/>
      <w:i/>
      <w:iCs/>
      <w:color w:val="000000"/>
      <w:sz w:val="22"/>
      <w:szCs w:val="22"/>
      <w:lang w:eastAsia="en-US"/>
    </w:rPr>
  </w:style>
  <w:style w:type="character" w:customStyle="1" w:styleId="CitationCar">
    <w:name w:val="Citation Car"/>
    <w:basedOn w:val="Policepardfaut"/>
    <w:uiPriority w:val="29"/>
    <w:rPr>
      <w:rFonts w:ascii="Calibri" w:eastAsia="Calibri" w:hAnsi="Calibri" w:cs="Times New Roman"/>
      <w:i/>
      <w:iCs/>
      <w:color w:val="000000"/>
    </w:rPr>
  </w:style>
  <w:style w:type="paragraph" w:styleId="Citationintense">
    <w:name w:val="Intense Quote"/>
    <w:basedOn w:val="Normal"/>
    <w:next w:val="Normal"/>
    <w:pPr>
      <w:pBdr>
        <w:bottom w:val="single" w:sz="4" w:space="4" w:color="4472C4"/>
      </w:pBdr>
      <w:spacing w:before="200" w:after="280" w:line="276" w:lineRule="auto"/>
      <w:ind w:left="936" w:right="936"/>
    </w:pPr>
    <w:rPr>
      <w:rFonts w:ascii="Calibri" w:eastAsia="Calibri" w:hAnsi="Calibri"/>
      <w:b/>
      <w:bCs/>
      <w:i/>
      <w:iCs/>
      <w:color w:val="4472C4"/>
      <w:sz w:val="22"/>
      <w:szCs w:val="22"/>
      <w:lang w:eastAsia="en-US"/>
    </w:rPr>
  </w:style>
  <w:style w:type="character" w:customStyle="1" w:styleId="CitationintenseCar">
    <w:name w:val="Citation intense Car"/>
    <w:basedOn w:val="Policepardfaut"/>
    <w:qFormat/>
    <w:rPr>
      <w:rFonts w:ascii="Calibri" w:eastAsia="Calibri" w:hAnsi="Calibri" w:cs="Times New Roman"/>
      <w:b/>
      <w:bCs/>
      <w:i/>
      <w:iCs/>
      <w:color w:val="4472C4"/>
    </w:rPr>
  </w:style>
  <w:style w:type="character" w:customStyle="1" w:styleId="Rfrenceple1">
    <w:name w:val="Référence pâle1"/>
    <w:qFormat/>
    <w:rPr>
      <w:smallCaps/>
      <w:color w:val="ED7D31"/>
      <w:u w:val="single"/>
    </w:rPr>
  </w:style>
  <w:style w:type="character" w:customStyle="1" w:styleId="Rfrenceintense1">
    <w:name w:val="Référence intense1"/>
    <w:rPr>
      <w:b/>
      <w:bCs/>
      <w:smallCaps/>
      <w:color w:val="ED7D31"/>
      <w:spacing w:val="5"/>
      <w:u w:val="single"/>
    </w:rPr>
  </w:style>
  <w:style w:type="character" w:customStyle="1" w:styleId="st1">
    <w:name w:val="st1"/>
    <w:qFormat/>
  </w:style>
  <w:style w:type="character" w:customStyle="1" w:styleId="e24kjd">
    <w:name w:val="e24kjd"/>
    <w:qFormat/>
  </w:style>
  <w:style w:type="paragraph" w:customStyle="1" w:styleId="msonormal0">
    <w:name w:val="msonormal"/>
    <w:basedOn w:val="Normal"/>
    <w:qFormat/>
    <w:pPr>
      <w:spacing w:before="100" w:after="100"/>
    </w:pPr>
  </w:style>
  <w:style w:type="paragraph" w:customStyle="1" w:styleId="xl81">
    <w:name w:val="xl81"/>
    <w:basedOn w:val="Normal"/>
    <w:qFormat/>
    <w:pPr>
      <w:shd w:val="clear" w:color="auto" w:fill="C5E0B3"/>
      <w:spacing w:before="100" w:after="100"/>
      <w:textAlignment w:val="center"/>
    </w:pPr>
    <w:rPr>
      <w:b/>
      <w:bCs/>
      <w:color w:val="000000"/>
      <w:sz w:val="18"/>
      <w:szCs w:val="18"/>
    </w:rPr>
  </w:style>
  <w:style w:type="paragraph" w:customStyle="1" w:styleId="xl82">
    <w:name w:val="xl82"/>
    <w:basedOn w:val="Normal"/>
    <w:qFormat/>
    <w:pPr>
      <w:spacing w:before="100" w:after="100"/>
      <w:jc w:val="center"/>
      <w:textAlignment w:val="center"/>
    </w:pPr>
    <w:rPr>
      <w:color w:val="000000"/>
      <w:sz w:val="18"/>
      <w:szCs w:val="18"/>
    </w:rPr>
  </w:style>
  <w:style w:type="paragraph" w:customStyle="1" w:styleId="xl83">
    <w:name w:val="xl83"/>
    <w:basedOn w:val="Normal"/>
    <w:qFormat/>
    <w:pPr>
      <w:spacing w:before="100" w:after="100"/>
      <w:jc w:val="center"/>
      <w:textAlignment w:val="center"/>
    </w:pPr>
    <w:rPr>
      <w:color w:val="000000"/>
      <w:sz w:val="18"/>
      <w:szCs w:val="18"/>
    </w:rPr>
  </w:style>
  <w:style w:type="paragraph" w:customStyle="1" w:styleId="xl84">
    <w:name w:val="xl84"/>
    <w:basedOn w:val="Normal"/>
    <w:qFormat/>
    <w:pPr>
      <w:pBdr>
        <w:top w:val="single" w:sz="8" w:space="0" w:color="000000"/>
        <w:left w:val="single" w:sz="8" w:space="0" w:color="000000"/>
        <w:bottom w:val="single" w:sz="8" w:space="0" w:color="000000"/>
        <w:right w:val="single" w:sz="8" w:space="0" w:color="000000"/>
      </w:pBdr>
      <w:spacing w:before="100" w:after="100"/>
      <w:jc w:val="center"/>
      <w:textAlignment w:val="center"/>
    </w:pPr>
    <w:rPr>
      <w:color w:val="000000"/>
    </w:rPr>
  </w:style>
  <w:style w:type="paragraph" w:customStyle="1" w:styleId="xl85">
    <w:name w:val="xl85"/>
    <w:basedOn w:val="Normal"/>
    <w:pPr>
      <w:spacing w:before="100" w:after="100"/>
      <w:jc w:val="right"/>
      <w:textAlignment w:val="center"/>
    </w:pPr>
    <w:rPr>
      <w:color w:val="000000"/>
    </w:rPr>
  </w:style>
  <w:style w:type="paragraph" w:customStyle="1" w:styleId="xl86">
    <w:name w:val="xl86"/>
    <w:basedOn w:val="Normal"/>
    <w:qFormat/>
    <w:pPr>
      <w:shd w:val="clear" w:color="auto" w:fill="C5E0B3"/>
      <w:spacing w:before="100" w:after="100"/>
      <w:textAlignment w:val="center"/>
    </w:pPr>
    <w:rPr>
      <w:b/>
      <w:bCs/>
      <w:color w:val="000000"/>
      <w:sz w:val="18"/>
      <w:szCs w:val="18"/>
    </w:rPr>
  </w:style>
  <w:style w:type="paragraph" w:customStyle="1" w:styleId="xl87">
    <w:name w:val="xl87"/>
    <w:basedOn w:val="Normal"/>
    <w:qFormat/>
    <w:pPr>
      <w:shd w:val="clear" w:color="auto" w:fill="BDD6EE"/>
      <w:spacing w:before="100" w:after="100"/>
      <w:textAlignment w:val="center"/>
    </w:pPr>
    <w:rPr>
      <w:b/>
      <w:bCs/>
      <w:color w:val="000000"/>
      <w:sz w:val="18"/>
      <w:szCs w:val="18"/>
    </w:rPr>
  </w:style>
  <w:style w:type="paragraph" w:customStyle="1" w:styleId="xl88">
    <w:name w:val="xl88"/>
    <w:basedOn w:val="Normal"/>
    <w:qFormat/>
    <w:pPr>
      <w:spacing w:before="100" w:after="100"/>
      <w:textAlignment w:val="center"/>
    </w:pPr>
    <w:rPr>
      <w:b/>
      <w:bCs/>
      <w:color w:val="000000"/>
    </w:rPr>
  </w:style>
  <w:style w:type="paragraph" w:customStyle="1" w:styleId="xl89">
    <w:name w:val="xl89"/>
    <w:basedOn w:val="Normal"/>
    <w:qFormat/>
    <w:pPr>
      <w:shd w:val="clear" w:color="auto" w:fill="FFF2CC"/>
      <w:spacing w:before="100" w:after="100"/>
      <w:textAlignment w:val="center"/>
    </w:pPr>
    <w:rPr>
      <w:b/>
      <w:bCs/>
      <w:color w:val="000000"/>
    </w:rPr>
  </w:style>
  <w:style w:type="paragraph" w:customStyle="1" w:styleId="xl90">
    <w:name w:val="xl90"/>
    <w:basedOn w:val="Normal"/>
    <w:qFormat/>
    <w:pPr>
      <w:spacing w:before="100" w:after="100"/>
      <w:jc w:val="center"/>
      <w:textAlignment w:val="center"/>
    </w:pPr>
    <w:rPr>
      <w:color w:val="000000"/>
      <w:sz w:val="18"/>
      <w:szCs w:val="18"/>
    </w:rPr>
  </w:style>
  <w:style w:type="paragraph" w:customStyle="1" w:styleId="xl91">
    <w:name w:val="xl91"/>
    <w:basedOn w:val="Normal"/>
    <w:qFormat/>
    <w:pPr>
      <w:spacing w:before="100" w:after="100"/>
      <w:jc w:val="center"/>
      <w:textAlignment w:val="center"/>
    </w:pPr>
    <w:rPr>
      <w:color w:val="000000"/>
    </w:rPr>
  </w:style>
  <w:style w:type="paragraph" w:customStyle="1" w:styleId="xl92">
    <w:name w:val="xl92"/>
    <w:basedOn w:val="Normal"/>
    <w:qFormat/>
    <w:pPr>
      <w:pBdr>
        <w:top w:val="single" w:sz="8" w:space="0" w:color="000000"/>
        <w:left w:val="single" w:sz="8" w:space="0" w:color="000000"/>
        <w:bottom w:val="single" w:sz="8" w:space="0" w:color="000000"/>
        <w:right w:val="single" w:sz="8" w:space="0" w:color="000000"/>
      </w:pBdr>
      <w:spacing w:before="100" w:after="100"/>
      <w:jc w:val="center"/>
      <w:textAlignment w:val="center"/>
    </w:pPr>
    <w:rPr>
      <w:color w:val="000000"/>
      <w:sz w:val="16"/>
      <w:szCs w:val="16"/>
    </w:rPr>
  </w:style>
  <w:style w:type="paragraph" w:customStyle="1" w:styleId="xl93">
    <w:name w:val="xl93"/>
    <w:basedOn w:val="Normal"/>
    <w:qFormat/>
    <w:pPr>
      <w:pBdr>
        <w:top w:val="single" w:sz="8" w:space="0" w:color="000000"/>
        <w:left w:val="single" w:sz="8" w:space="0" w:color="000000"/>
        <w:bottom w:val="single" w:sz="8" w:space="0" w:color="000000"/>
        <w:right w:val="single" w:sz="8" w:space="0" w:color="000000"/>
      </w:pBdr>
      <w:spacing w:before="100" w:after="100"/>
      <w:jc w:val="center"/>
      <w:textAlignment w:val="center"/>
    </w:pPr>
    <w:rPr>
      <w:color w:val="000000"/>
    </w:rPr>
  </w:style>
  <w:style w:type="paragraph" w:customStyle="1" w:styleId="xl94">
    <w:name w:val="xl94"/>
    <w:basedOn w:val="Normal"/>
    <w:pPr>
      <w:pBdr>
        <w:top w:val="single" w:sz="8" w:space="0" w:color="000000"/>
        <w:left w:val="single" w:sz="8" w:space="0" w:color="000000"/>
        <w:bottom w:val="single" w:sz="8" w:space="0" w:color="000000"/>
        <w:right w:val="single" w:sz="8" w:space="0" w:color="000000"/>
      </w:pBdr>
      <w:spacing w:before="100" w:after="100"/>
      <w:jc w:val="right"/>
      <w:textAlignment w:val="center"/>
    </w:pPr>
    <w:rPr>
      <w:color w:val="000000"/>
    </w:rPr>
  </w:style>
  <w:style w:type="paragraph" w:customStyle="1" w:styleId="xl95">
    <w:name w:val="xl95"/>
    <w:basedOn w:val="Normal"/>
    <w:qFormat/>
    <w:pPr>
      <w:spacing w:before="100" w:after="100"/>
      <w:jc w:val="right"/>
      <w:textAlignment w:val="center"/>
    </w:pPr>
    <w:rPr>
      <w:color w:val="000000"/>
    </w:rPr>
  </w:style>
  <w:style w:type="paragraph" w:customStyle="1" w:styleId="Style1">
    <w:name w:val="Style1"/>
    <w:basedOn w:val="Paragraphedeliste"/>
    <w:pPr>
      <w:spacing w:before="240"/>
    </w:pPr>
    <w:rPr>
      <w:b/>
    </w:rPr>
  </w:style>
  <w:style w:type="paragraph" w:customStyle="1" w:styleId="Style2">
    <w:name w:val="Style2"/>
    <w:basedOn w:val="Style1"/>
    <w:pPr>
      <w:numPr>
        <w:numId w:val="2"/>
      </w:numPr>
      <w:outlineLvl w:val="1"/>
    </w:pPr>
  </w:style>
  <w:style w:type="character" w:customStyle="1" w:styleId="Style1Car">
    <w:name w:val="Style1 Car"/>
    <w:rPr>
      <w:rFonts w:ascii="Times New Roman" w:eastAsia="Calibri" w:hAnsi="Times New Roman" w:cs="Times New Roman"/>
      <w:b/>
      <w:sz w:val="26"/>
      <w:szCs w:val="26"/>
      <w:lang w:eastAsia="fr-FR"/>
    </w:rPr>
  </w:style>
  <w:style w:type="character" w:customStyle="1" w:styleId="Style2Car">
    <w:name w:val="Style2 Car"/>
    <w:rPr>
      <w:rFonts w:ascii="Times New Roman" w:eastAsia="Calibri" w:hAnsi="Times New Roman" w:cs="Times New Roman"/>
      <w:b/>
      <w:sz w:val="26"/>
      <w:szCs w:val="26"/>
      <w:lang w:eastAsia="fr-FR"/>
    </w:rPr>
  </w:style>
  <w:style w:type="character" w:customStyle="1" w:styleId="Mentionnonrsolue1">
    <w:name w:val="Mention non résolue1"/>
    <w:qFormat/>
    <w:rPr>
      <w:color w:val="605E5C"/>
      <w:shd w:val="clear" w:color="auto" w:fill="E1DFDD"/>
    </w:rPr>
  </w:style>
  <w:style w:type="character" w:customStyle="1" w:styleId="Emphaseple11">
    <w:name w:val="Emphase pâle11"/>
    <w:rPr>
      <w:i/>
      <w:iCs/>
      <w:color w:val="808080"/>
    </w:rPr>
  </w:style>
  <w:style w:type="character" w:customStyle="1" w:styleId="Emphaseintense11">
    <w:name w:val="Emphase intense11"/>
    <w:rPr>
      <w:b/>
      <w:bCs/>
      <w:i/>
      <w:iCs/>
      <w:color w:val="4472C4"/>
    </w:rPr>
  </w:style>
  <w:style w:type="character" w:customStyle="1" w:styleId="Rfrenceple11">
    <w:name w:val="Référence pâle11"/>
    <w:qFormat/>
    <w:rPr>
      <w:smallCaps/>
      <w:color w:val="ED7D31"/>
      <w:u w:val="single"/>
    </w:rPr>
  </w:style>
  <w:style w:type="character" w:customStyle="1" w:styleId="Mentionnonrsolue2">
    <w:name w:val="Mention non résolue2"/>
    <w:rPr>
      <w:color w:val="605E5C"/>
      <w:shd w:val="clear" w:color="auto" w:fill="E1DFDD"/>
    </w:rPr>
  </w:style>
  <w:style w:type="character" w:customStyle="1" w:styleId="Corpsdetexte3Car">
    <w:name w:val="Corps de texte 3 Car"/>
    <w:basedOn w:val="Policepardfaut"/>
    <w:rPr>
      <w:rFonts w:ascii="Times New Roman" w:eastAsia="Times New Roman" w:hAnsi="Times New Roman" w:cs="Times New Roman"/>
      <w:b/>
      <w:color w:val="FF0000"/>
      <w:sz w:val="26"/>
      <w:szCs w:val="24"/>
      <w:lang w:eastAsia="fr-FR"/>
    </w:rPr>
  </w:style>
  <w:style w:type="character" w:customStyle="1" w:styleId="NotedefinCar">
    <w:name w:val="Note de fin Car"/>
    <w:basedOn w:val="Policepardfaut"/>
    <w:rPr>
      <w:rFonts w:ascii="Calibri" w:eastAsia="Calibri" w:hAnsi="Calibri" w:cs="Times New Roman"/>
      <w:sz w:val="20"/>
      <w:szCs w:val="20"/>
      <w:lang w:eastAsia="fr-FR"/>
    </w:rPr>
  </w:style>
  <w:style w:type="character" w:customStyle="1" w:styleId="d2edcug0">
    <w:name w:val="d2edcug0"/>
  </w:style>
  <w:style w:type="character" w:customStyle="1" w:styleId="TextedebullesCar1">
    <w:name w:val="Texte de bulles Car1"/>
    <w:basedOn w:val="Policepardfaut"/>
    <w:uiPriority w:val="99"/>
    <w:rPr>
      <w:rFonts w:ascii="Segoe UI" w:hAnsi="Segoe UI" w:cs="Segoe UI"/>
      <w:sz w:val="18"/>
      <w:szCs w:val="18"/>
    </w:rPr>
  </w:style>
  <w:style w:type="character" w:customStyle="1" w:styleId="En-tteCar1">
    <w:name w:val="En-tête Car1"/>
    <w:basedOn w:val="Policepardfaut"/>
    <w:uiPriority w:val="99"/>
    <w:rPr>
      <w:rFonts w:ascii="Bahnschrift Light" w:hAnsi="Bahnschrift Light"/>
      <w:sz w:val="24"/>
    </w:rPr>
  </w:style>
  <w:style w:type="character" w:customStyle="1" w:styleId="ObjetducommentaireCar1">
    <w:name w:val="Objet du commentaire Car1"/>
    <w:basedOn w:val="CommentaireCar"/>
    <w:uiPriority w:val="99"/>
    <w:rPr>
      <w:rFonts w:ascii="Times New Roman" w:eastAsia="Times New Roman" w:hAnsi="Times New Roman" w:cs="Times New Roman"/>
      <w:b/>
      <w:bCs/>
      <w:sz w:val="20"/>
      <w:szCs w:val="20"/>
      <w:lang w:eastAsia="fr-FR"/>
    </w:rPr>
  </w:style>
  <w:style w:type="paragraph" w:customStyle="1" w:styleId="z-Hautduformulaire1">
    <w:name w:val="z-Haut du formulaire1"/>
    <w:basedOn w:val="Normal"/>
    <w:next w:val="Normal"/>
    <w:pPr>
      <w:pBdr>
        <w:bottom w:val="single" w:sz="6" w:space="1" w:color="000000"/>
      </w:pBdr>
      <w:spacing w:line="240" w:lineRule="auto"/>
      <w:jc w:val="center"/>
      <w:textAlignment w:val="auto"/>
    </w:pPr>
    <w:rPr>
      <w:rFonts w:ascii="Arial" w:hAnsi="Arial" w:cs="Arial"/>
      <w:vanish/>
      <w:sz w:val="16"/>
      <w:szCs w:val="16"/>
    </w:rPr>
  </w:style>
  <w:style w:type="character" w:customStyle="1" w:styleId="z-HautduformulaireCar">
    <w:name w:val="z-Haut du formulaire Car"/>
    <w:basedOn w:val="Policepardfaut"/>
    <w:qFormat/>
    <w:rPr>
      <w:rFonts w:ascii="Arial" w:eastAsia="Times New Roman" w:hAnsi="Arial" w:cs="Arial"/>
      <w:vanish/>
      <w:sz w:val="16"/>
      <w:szCs w:val="16"/>
      <w:lang w:eastAsia="fr-FR"/>
    </w:rPr>
  </w:style>
  <w:style w:type="paragraph" w:customStyle="1" w:styleId="z-Basduformulaire1">
    <w:name w:val="z-Bas du formulaire1"/>
    <w:basedOn w:val="Normal"/>
    <w:next w:val="Normal"/>
    <w:pPr>
      <w:pBdr>
        <w:top w:val="single" w:sz="6" w:space="1" w:color="000000"/>
      </w:pBdr>
      <w:spacing w:line="240" w:lineRule="auto"/>
      <w:jc w:val="center"/>
      <w:textAlignment w:val="auto"/>
    </w:pPr>
    <w:rPr>
      <w:rFonts w:ascii="Arial" w:hAnsi="Arial" w:cs="Arial"/>
      <w:vanish/>
      <w:sz w:val="16"/>
      <w:szCs w:val="16"/>
    </w:rPr>
  </w:style>
  <w:style w:type="character" w:customStyle="1" w:styleId="z-BasduformulaireCar">
    <w:name w:val="z-Bas du formulaire Car"/>
    <w:basedOn w:val="Policepardfaut"/>
    <w:rPr>
      <w:rFonts w:ascii="Arial" w:eastAsia="Times New Roman" w:hAnsi="Arial" w:cs="Arial"/>
      <w:vanish/>
      <w:sz w:val="16"/>
      <w:szCs w:val="16"/>
      <w:lang w:eastAsia="fr-FR"/>
    </w:rPr>
  </w:style>
  <w:style w:type="character" w:customStyle="1" w:styleId="Mentionnonrsolue3">
    <w:name w:val="Mention non résolue3"/>
    <w:basedOn w:val="Policepardfaut"/>
    <w:qFormat/>
    <w:rPr>
      <w:color w:val="605E5C"/>
      <w:shd w:val="clear" w:color="auto" w:fill="E1DFDD"/>
    </w:rPr>
  </w:style>
  <w:style w:type="character" w:customStyle="1" w:styleId="Titre7Car1">
    <w:name w:val="Titre 7 Car1"/>
    <w:basedOn w:val="Policepardfaut"/>
    <w:qFormat/>
    <w:rPr>
      <w:rFonts w:ascii="Calibri Light" w:eastAsia="Times New Roman" w:hAnsi="Calibri Light"/>
      <w:i/>
      <w:iCs/>
      <w:color w:val="1F4D78"/>
      <w:sz w:val="26"/>
      <w:szCs w:val="24"/>
      <w:lang w:eastAsia="fr-FR"/>
    </w:rPr>
  </w:style>
  <w:style w:type="character" w:customStyle="1" w:styleId="Style7Car">
    <w:name w:val="Style7 Car"/>
    <w:basedOn w:val="Titre7Car1"/>
    <w:rPr>
      <w:rFonts w:ascii="Times New Roman" w:eastAsia="Times New Roman" w:hAnsi="Times New Roman"/>
      <w:i/>
      <w:iCs/>
      <w:color w:val="1F4D78"/>
      <w:sz w:val="24"/>
      <w:szCs w:val="24"/>
      <w:lang w:eastAsia="fr-FR"/>
    </w:rPr>
  </w:style>
  <w:style w:type="character" w:customStyle="1" w:styleId="Mentionnonrsolue4">
    <w:name w:val="Mention non résolue4"/>
    <w:basedOn w:val="Policepardfaut"/>
    <w:uiPriority w:val="99"/>
    <w:semiHidden/>
    <w:unhideWhenUsed/>
    <w:rPr>
      <w:color w:val="605E5C"/>
      <w:shd w:val="clear" w:color="auto" w:fill="E1DFDD"/>
    </w:rPr>
  </w:style>
  <w:style w:type="table" w:customStyle="1" w:styleId="Grilledutableau1">
    <w:name w:val="Grille du tableau1"/>
    <w:basedOn w:val="TableauNormal"/>
    <w:uiPriority w:val="39"/>
    <w:rPr>
      <w:rFonts w:asciiTheme="minorHAnsi" w:eastAsiaTheme="minorHAnsi" w:hAnsiTheme="minorHAnsi" w:cstheme="minorBid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Grilledutableau2">
    <w:name w:val="Grille du tableau2"/>
    <w:basedOn w:val="TableauNormal"/>
    <w:uiPriority w:val="39"/>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nonrsolue5">
    <w:name w:val="Mention non résolue5"/>
    <w:basedOn w:val="Policepardfaut"/>
    <w:uiPriority w:val="99"/>
    <w:semiHidden/>
    <w:unhideWhenUsed/>
    <w:qFormat/>
    <w:rPr>
      <w:color w:val="605E5C"/>
      <w:shd w:val="clear" w:color="auto" w:fill="E1DFDD"/>
    </w:rPr>
  </w:style>
  <w:style w:type="table" w:customStyle="1" w:styleId="Grilledutableau3">
    <w:name w:val="Grille du tableau3"/>
    <w:basedOn w:val="TableauNormal"/>
    <w:uiPriority w:val="39"/>
    <w:qFormat/>
    <w:rPr>
      <w:rFonts w:asciiTheme="minorHAnsi" w:eastAsiaTheme="minorHAnsi" w:hAnsiTheme="minorHAnsi" w:cstheme="minorBid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Grilledutableau4">
    <w:name w:val="Grille du tableau4"/>
    <w:basedOn w:val="TableauNormal"/>
    <w:uiPriority w:val="39"/>
    <w:qFormat/>
    <w:rPr>
      <w:rFonts w:asciiTheme="minorHAnsi" w:eastAsiaTheme="minorHAnsi" w:hAnsiTheme="minorHAnsi" w:cstheme="minorBid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3">
    <w:name w:val="Style3"/>
    <w:basedOn w:val="Normal"/>
    <w:link w:val="Style3Car"/>
    <w:qFormat/>
    <w:pPr>
      <w:keepNext/>
      <w:keepLines/>
      <w:spacing w:before="240" w:after="240"/>
      <w:jc w:val="center"/>
      <w:outlineLvl w:val="2"/>
    </w:pPr>
    <w:rPr>
      <w:rFonts w:ascii="Rockwell" w:hAnsi="Rockwell"/>
      <w:b/>
      <w:i/>
      <w:sz w:val="28"/>
      <w:szCs w:val="28"/>
    </w:rPr>
  </w:style>
  <w:style w:type="paragraph" w:customStyle="1" w:styleId="Style4">
    <w:name w:val="Style4"/>
    <w:basedOn w:val="Style3"/>
    <w:link w:val="Style4Car"/>
    <w:qFormat/>
  </w:style>
  <w:style w:type="character" w:customStyle="1" w:styleId="Style3Car">
    <w:name w:val="Style3 Car"/>
    <w:basedOn w:val="Policepardfaut"/>
    <w:link w:val="Style3"/>
    <w:rPr>
      <w:rFonts w:ascii="Rockwell" w:eastAsia="Times New Roman" w:hAnsi="Rockwell"/>
      <w:b/>
      <w:i/>
      <w:sz w:val="28"/>
      <w:szCs w:val="28"/>
      <w:lang w:eastAsia="fr-FR"/>
    </w:rPr>
  </w:style>
  <w:style w:type="character" w:customStyle="1" w:styleId="Style4Car">
    <w:name w:val="Style4 Car"/>
    <w:basedOn w:val="Style3Car"/>
    <w:link w:val="Style4"/>
    <w:rPr>
      <w:rFonts w:ascii="Rockwell" w:eastAsia="Times New Roman" w:hAnsi="Rockwell"/>
      <w:b/>
      <w:i/>
      <w:sz w:val="28"/>
      <w:szCs w:val="28"/>
      <w:lang w:eastAsia="fr-FR"/>
    </w:rPr>
  </w:style>
  <w:style w:type="table" w:customStyle="1" w:styleId="Grilledutableau5">
    <w:name w:val="Grille du tableau5"/>
    <w:basedOn w:val="TableauNormal"/>
    <w:uiPriority w:val="39"/>
    <w:rPr>
      <w:rFonts w:asciiTheme="minorHAnsi" w:eastAsiaTheme="minorHAnsi" w:hAnsiTheme="minorHAnsi" w:cstheme="minorBid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Grilledutableau6">
    <w:name w:val="Grille du tableau6"/>
    <w:basedOn w:val="TableauNormal"/>
    <w:uiPriority w:val="39"/>
    <w:qFormat/>
    <w:rPr>
      <w:rFonts w:asciiTheme="minorHAnsi" w:eastAsiaTheme="minorHAnsi" w:hAnsiTheme="minorHAnsi" w:cstheme="minorBid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Grilledutableau7">
    <w:name w:val="Grille du tableau7"/>
    <w:basedOn w:val="TableauNormal"/>
    <w:uiPriority w:val="39"/>
    <w:rPr>
      <w:rFonts w:asciiTheme="minorHAnsi" w:eastAsiaTheme="minorHAnsi" w:hAnsiTheme="minorHAnsi" w:cstheme="minorBid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1">
    <w:name w:val="Normal1"/>
    <w:basedOn w:val="Titre3"/>
    <w:link w:val="normalCar"/>
    <w:qFormat/>
    <w:pPr>
      <w:numPr>
        <w:numId w:val="3"/>
      </w:numPr>
      <w:spacing w:before="240" w:after="240"/>
      <w:jc w:val="both"/>
    </w:pPr>
    <w:rPr>
      <w:rFonts w:ascii="Rockwell" w:hAnsi="Rockwell"/>
      <w:sz w:val="26"/>
      <w:szCs w:val="26"/>
    </w:rPr>
  </w:style>
  <w:style w:type="character" w:customStyle="1" w:styleId="Titre3Car1">
    <w:name w:val="Titre 3 Car1"/>
    <w:basedOn w:val="Policepardfaut"/>
    <w:link w:val="Titre3"/>
    <w:rPr>
      <w:rFonts w:ascii="Times New Roman" w:eastAsia="Times New Roman" w:hAnsi="Times New Roman"/>
      <w:b/>
      <w:i/>
      <w:sz w:val="28"/>
      <w:szCs w:val="24"/>
      <w:lang w:eastAsia="fr-FR"/>
    </w:rPr>
  </w:style>
  <w:style w:type="character" w:customStyle="1" w:styleId="normalCar">
    <w:name w:val="normal Car"/>
    <w:basedOn w:val="Titre3Car1"/>
    <w:link w:val="Normal1"/>
    <w:rPr>
      <w:rFonts w:ascii="Rockwell" w:eastAsia="Times New Roman" w:hAnsi="Rockwell"/>
      <w:b/>
      <w:i/>
      <w:sz w:val="26"/>
      <w:szCs w:val="26"/>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file:///F:\Rapports%20publics%20amend&#233;s\VF%20Projet%20rapport%20public%202022.docx" TargetMode="External"/><Relationship Id="rId299" Type="http://schemas.openxmlformats.org/officeDocument/2006/relationships/header" Target="header9.xml"/><Relationship Id="rId21" Type="http://schemas.openxmlformats.org/officeDocument/2006/relationships/image" Target="media/image3.jpeg"/><Relationship Id="rId63" Type="http://schemas.openxmlformats.org/officeDocument/2006/relationships/hyperlink" Target="http://www.lefaso.net/" TargetMode="External"/><Relationship Id="rId159" Type="http://schemas.openxmlformats.org/officeDocument/2006/relationships/hyperlink" Target="http://www.lesechosdufaso.net" TargetMode="External"/><Relationship Id="rId170" Type="http://schemas.openxmlformats.org/officeDocument/2006/relationships/hyperlink" Target="http://www.focustelecom.net" TargetMode="External"/><Relationship Id="rId226" Type="http://schemas.openxmlformats.org/officeDocument/2006/relationships/hyperlink" Target="http://www.actuelmediabf.com" TargetMode="External"/><Relationship Id="rId268" Type="http://schemas.openxmlformats.org/officeDocument/2006/relationships/hyperlink" Target="http://www.burkinanews.info" TargetMode="External"/><Relationship Id="rId32" Type="http://schemas.openxmlformats.org/officeDocument/2006/relationships/image" Target="media/image14.jpeg"/><Relationship Id="rId74" Type="http://schemas.openxmlformats.org/officeDocument/2006/relationships/hyperlink" Target="http://www.ouaga24.com" TargetMode="External"/><Relationship Id="rId128" Type="http://schemas.openxmlformats.org/officeDocument/2006/relationships/image" Target="media/image37.emf"/><Relationship Id="rId5" Type="http://schemas.openxmlformats.org/officeDocument/2006/relationships/settings" Target="settings.xml"/><Relationship Id="rId181" Type="http://schemas.openxmlformats.org/officeDocument/2006/relationships/hyperlink" Target="http://www.minute.bf" TargetMode="External"/><Relationship Id="rId237" Type="http://schemas.openxmlformats.org/officeDocument/2006/relationships/hyperlink" Target="http://www.mpap-bf.com" TargetMode="External"/><Relationship Id="rId279" Type="http://schemas.openxmlformats.org/officeDocument/2006/relationships/hyperlink" Target="http://www.radio21.com" TargetMode="External"/><Relationship Id="rId43" Type="http://schemas.openxmlformats.org/officeDocument/2006/relationships/header" Target="header1.xml"/><Relationship Id="rId139" Type="http://schemas.openxmlformats.org/officeDocument/2006/relationships/hyperlink" Target="http://www.fasonews.com" TargetMode="External"/><Relationship Id="rId290" Type="http://schemas.openxmlformats.org/officeDocument/2006/relationships/hyperlink" Target="http://www.fasotv.net" TargetMode="External"/><Relationship Id="rId304" Type="http://schemas.openxmlformats.org/officeDocument/2006/relationships/hyperlink" Target="http://www.lefaso.net/" TargetMode="External"/><Relationship Id="rId85" Type="http://schemas.openxmlformats.org/officeDocument/2006/relationships/image" Target="media/image20.png"/><Relationship Id="rId150" Type="http://schemas.openxmlformats.org/officeDocument/2006/relationships/hyperlink" Target="http://www.laplumedufaso.net" TargetMode="External"/><Relationship Id="rId192" Type="http://schemas.openxmlformats.org/officeDocument/2006/relationships/hyperlink" Target="http://www.islam.bf.com" TargetMode="External"/><Relationship Id="rId206" Type="http://schemas.openxmlformats.org/officeDocument/2006/relationships/hyperlink" Target="http://www.biznesskibaya.com" TargetMode="External"/><Relationship Id="rId248" Type="http://schemas.openxmlformats.org/officeDocument/2006/relationships/hyperlink" Target="http://www.eclairinfo.net" TargetMode="External"/><Relationship Id="rId12" Type="http://schemas.microsoft.com/office/2016/09/relationships/commentsIds" Target="commentsIds.xml"/><Relationship Id="rId108" Type="http://schemas.openxmlformats.org/officeDocument/2006/relationships/image" Target="media/image27.jpeg"/><Relationship Id="rId54" Type="http://schemas.openxmlformats.org/officeDocument/2006/relationships/hyperlink" Target="http://www.infoh24.info" TargetMode="External"/><Relationship Id="rId96" Type="http://schemas.openxmlformats.org/officeDocument/2006/relationships/image" Target="media/image23.jpeg"/><Relationship Id="rId161" Type="http://schemas.openxmlformats.org/officeDocument/2006/relationships/hyperlink" Target="http://www.daawatoul.islamia.net" TargetMode="External"/><Relationship Id="rId217" Type="http://schemas.openxmlformats.org/officeDocument/2006/relationships/hyperlink" Target="http://www.timbanews.net" TargetMode="External"/><Relationship Id="rId259" Type="http://schemas.openxmlformats.org/officeDocument/2006/relationships/hyperlink" Target="http://www.noocultures.info" TargetMode="External"/><Relationship Id="rId23" Type="http://schemas.openxmlformats.org/officeDocument/2006/relationships/image" Target="media/image5.jpeg"/><Relationship Id="rId119" Type="http://schemas.openxmlformats.org/officeDocument/2006/relationships/image" Target="media/image28.emf"/><Relationship Id="rId270" Type="http://schemas.openxmlformats.org/officeDocument/2006/relationships/hyperlink" Target="http://www.poko.com" TargetMode="External"/><Relationship Id="rId44" Type="http://schemas.openxmlformats.org/officeDocument/2006/relationships/footer" Target="footer2.xml"/><Relationship Id="rId65" Type="http://schemas.openxmlformats.org/officeDocument/2006/relationships/hyperlink" Target="http://www.burkina24.com" TargetMode="External"/><Relationship Id="rId86" Type="http://schemas.openxmlformats.org/officeDocument/2006/relationships/image" Target="media/image21.emf"/><Relationship Id="rId130" Type="http://schemas.openxmlformats.org/officeDocument/2006/relationships/image" Target="media/image39.emf"/><Relationship Id="rId151" Type="http://schemas.openxmlformats.org/officeDocument/2006/relationships/hyperlink" Target="http://www.refleafrique.net" TargetMode="External"/><Relationship Id="rId172" Type="http://schemas.openxmlformats.org/officeDocument/2006/relationships/hyperlink" Target="http://www.fasoinfo.com" TargetMode="External"/><Relationship Id="rId193" Type="http://schemas.openxmlformats.org/officeDocument/2006/relationships/hyperlink" Target="http://www.integreburkina.net" TargetMode="External"/><Relationship Id="rId207" Type="http://schemas.openxmlformats.org/officeDocument/2006/relationships/hyperlink" Target="http://www.direct-infos.com" TargetMode="External"/><Relationship Id="rId228" Type="http://schemas.openxmlformats.org/officeDocument/2006/relationships/hyperlink" Target="http://www.lessentiels.net" TargetMode="External"/><Relationship Id="rId249" Type="http://schemas.openxmlformats.org/officeDocument/2006/relationships/hyperlink" Target="http://www.mediaplusinfo.net" TargetMode="External"/><Relationship Id="rId13" Type="http://schemas.openxmlformats.org/officeDocument/2006/relationships/hyperlink" Target="file:///D:\RP-DV\Projet%20rapport%20public%202022.docx" TargetMode="External"/><Relationship Id="rId109" Type="http://schemas.openxmlformats.org/officeDocument/2006/relationships/header" Target="header8.xml"/><Relationship Id="rId260" Type="http://schemas.openxmlformats.org/officeDocument/2006/relationships/hyperlink" Target="http://www.humanitaryinfo.net" TargetMode="External"/><Relationship Id="rId281" Type="http://schemas.openxmlformats.org/officeDocument/2006/relationships/hyperlink" Target="http://www.rcburkina.org" TargetMode="External"/><Relationship Id="rId34" Type="http://schemas.openxmlformats.org/officeDocument/2006/relationships/image" Target="media/image16.jpeg"/><Relationship Id="rId55" Type="http://schemas.openxmlformats.org/officeDocument/2006/relationships/hyperlink" Target="http://www.filinfos.net" TargetMode="External"/><Relationship Id="rId76" Type="http://schemas.openxmlformats.org/officeDocument/2006/relationships/chart" Target="charts/chart13.xml"/><Relationship Id="rId97" Type="http://schemas.openxmlformats.org/officeDocument/2006/relationships/image" Target="media/image24.jpeg"/><Relationship Id="rId120" Type="http://schemas.openxmlformats.org/officeDocument/2006/relationships/image" Target="media/image29.emf"/><Relationship Id="rId141" Type="http://schemas.openxmlformats.org/officeDocument/2006/relationships/hyperlink" Target="http://www.lestratege.net" TargetMode="External"/><Relationship Id="rId7" Type="http://schemas.openxmlformats.org/officeDocument/2006/relationships/footnotes" Target="footnotes.xml"/><Relationship Id="rId162" Type="http://schemas.openxmlformats.org/officeDocument/2006/relationships/hyperlink" Target="http://www.sant&#233;actu.bf" TargetMode="External"/><Relationship Id="rId183" Type="http://schemas.openxmlformats.org/officeDocument/2006/relationships/hyperlink" Target="http://www.letalon.net" TargetMode="External"/><Relationship Id="rId218" Type="http://schemas.openxmlformats.org/officeDocument/2006/relationships/hyperlink" Target="http://www.directinfoburkina.net" TargetMode="External"/><Relationship Id="rId239" Type="http://schemas.openxmlformats.org/officeDocument/2006/relationships/hyperlink" Target="http://www.mediaplusinfo.com" TargetMode="External"/><Relationship Id="rId250" Type="http://schemas.openxmlformats.org/officeDocument/2006/relationships/hyperlink" Target="http://www.ouest-info.net" TargetMode="External"/><Relationship Id="rId271" Type="http://schemas.openxmlformats.org/officeDocument/2006/relationships/hyperlink" Target="http://www.innovateurs" TargetMode="External"/><Relationship Id="rId292" Type="http://schemas.openxmlformats.org/officeDocument/2006/relationships/hyperlink" Target="http://www.youtube.com/channel/UCyEHOI" TargetMode="External"/><Relationship Id="rId306" Type="http://schemas.openxmlformats.org/officeDocument/2006/relationships/footer" Target="footer12.xml"/><Relationship Id="rId24" Type="http://schemas.openxmlformats.org/officeDocument/2006/relationships/image" Target="media/image6.jpeg"/><Relationship Id="rId45" Type="http://schemas.openxmlformats.org/officeDocument/2006/relationships/chart" Target="charts/chart4.xml"/><Relationship Id="rId66" Type="http://schemas.openxmlformats.org/officeDocument/2006/relationships/chart" Target="charts/chart8.xml"/><Relationship Id="rId87" Type="http://schemas.openxmlformats.org/officeDocument/2006/relationships/chart" Target="charts/chart19.xml"/><Relationship Id="rId110" Type="http://schemas.openxmlformats.org/officeDocument/2006/relationships/footer" Target="footer9.xml"/><Relationship Id="rId131" Type="http://schemas.openxmlformats.org/officeDocument/2006/relationships/image" Target="media/image40.emf"/><Relationship Id="rId152" Type="http://schemas.openxmlformats.org/officeDocument/2006/relationships/hyperlink" Target="http://www.kaceto.net" TargetMode="External"/><Relationship Id="rId173" Type="http://schemas.openxmlformats.org/officeDocument/2006/relationships/hyperlink" Target="http://www.aconews.net" TargetMode="External"/><Relationship Id="rId194" Type="http://schemas.openxmlformats.org/officeDocument/2006/relationships/hyperlink" Target="http://www.gulmuinfo" TargetMode="External"/><Relationship Id="rId208" Type="http://schemas.openxmlformats.org/officeDocument/2006/relationships/hyperlink" Target="http://www.faso7.com" TargetMode="External"/><Relationship Id="rId229" Type="http://schemas.openxmlformats.org/officeDocument/2006/relationships/hyperlink" Target="http://www.noorinfos.com" TargetMode="External"/><Relationship Id="rId240" Type="http://schemas.openxmlformats.org/officeDocument/2006/relationships/hyperlink" Target="http://www.webinfo.bf" TargetMode="External"/><Relationship Id="rId261" Type="http://schemas.openxmlformats.org/officeDocument/2006/relationships/hyperlink" Target="http://www.sciences-campus.info" TargetMode="External"/><Relationship Id="rId14" Type="http://schemas.openxmlformats.org/officeDocument/2006/relationships/hyperlink" Target="file:///D:\RP-DV\Projet%20rapport%20public%202022.docx" TargetMode="External"/><Relationship Id="rId35" Type="http://schemas.openxmlformats.org/officeDocument/2006/relationships/image" Target="media/image17.jpeg"/><Relationship Id="rId56" Type="http://schemas.openxmlformats.org/officeDocument/2006/relationships/hyperlink" Target="http://www.directinfoburkina.net" TargetMode="External"/><Relationship Id="rId77" Type="http://schemas.openxmlformats.org/officeDocument/2006/relationships/hyperlink" Target="http://www.faso-actu.net" TargetMode="External"/><Relationship Id="rId100" Type="http://schemas.openxmlformats.org/officeDocument/2006/relationships/header" Target="header6.xml"/><Relationship Id="rId282" Type="http://schemas.openxmlformats.org/officeDocument/2006/relationships/hyperlink" Target="http://www.ouagashowtime.com" TargetMode="External"/><Relationship Id="rId8" Type="http://schemas.openxmlformats.org/officeDocument/2006/relationships/endnotes" Target="endnotes.xml"/><Relationship Id="rId98" Type="http://schemas.openxmlformats.org/officeDocument/2006/relationships/header" Target="header5.xml"/><Relationship Id="rId121" Type="http://schemas.openxmlformats.org/officeDocument/2006/relationships/image" Target="media/image30.emf"/><Relationship Id="rId142" Type="http://schemas.openxmlformats.org/officeDocument/2006/relationships/hyperlink" Target="http://www.legerstic.com" TargetMode="External"/><Relationship Id="rId163" Type="http://schemas.openxmlformats.org/officeDocument/2006/relationships/hyperlink" Target="http://www.queenmafa.net" TargetMode="External"/><Relationship Id="rId184" Type="http://schemas.openxmlformats.org/officeDocument/2006/relationships/hyperlink" Target="http://www.libreinfo.net" TargetMode="External"/><Relationship Id="rId219" Type="http://schemas.openxmlformats.org/officeDocument/2006/relationships/hyperlink" Target="http://www.infoh24.info" TargetMode="External"/><Relationship Id="rId230" Type="http://schemas.openxmlformats.org/officeDocument/2006/relationships/hyperlink" Target="http://www.danfaniseduction.net" TargetMode="External"/><Relationship Id="rId251" Type="http://schemas.openxmlformats.org/officeDocument/2006/relationships/hyperlink" Target="http://www.parlcitoyen.com" TargetMode="External"/><Relationship Id="rId25" Type="http://schemas.openxmlformats.org/officeDocument/2006/relationships/image" Target="media/image7.jpeg"/><Relationship Id="rId46" Type="http://schemas.openxmlformats.org/officeDocument/2006/relationships/chart" Target="charts/chart5.xml"/><Relationship Id="rId67" Type="http://schemas.openxmlformats.org/officeDocument/2006/relationships/chart" Target="charts/chart9.xml"/><Relationship Id="rId272" Type="http://schemas.openxmlformats.org/officeDocument/2006/relationships/hyperlink" Target="http://www.culturosportinfo.net" TargetMode="External"/><Relationship Id="rId293" Type="http://schemas.openxmlformats.org/officeDocument/2006/relationships/hyperlink" Target="http://www.droitlibre.net" TargetMode="External"/><Relationship Id="rId307" Type="http://schemas.openxmlformats.org/officeDocument/2006/relationships/header" Target="header11.xml"/><Relationship Id="rId88" Type="http://schemas.openxmlformats.org/officeDocument/2006/relationships/chart" Target="charts/chart20.xml"/><Relationship Id="rId111" Type="http://schemas.openxmlformats.org/officeDocument/2006/relationships/hyperlink" Target="file:///F:\Rapports%20publics%20amend&#233;s\VF%20Projet%20rapport%20public%202022.docx" TargetMode="External"/><Relationship Id="rId132" Type="http://schemas.openxmlformats.org/officeDocument/2006/relationships/hyperlink" Target="http://www.fasozine.com" TargetMode="External"/><Relationship Id="rId153" Type="http://schemas.openxmlformats.org/officeDocument/2006/relationships/hyperlink" Target="http://www.iburkina.com" TargetMode="External"/><Relationship Id="rId174" Type="http://schemas.openxmlformats.org/officeDocument/2006/relationships/hyperlink" Target="http://www.emdiafaso" TargetMode="External"/><Relationship Id="rId195" Type="http://schemas.openxmlformats.org/officeDocument/2006/relationships/hyperlink" Target="http://www.hairidada.com" TargetMode="External"/><Relationship Id="rId209" Type="http://schemas.openxmlformats.org/officeDocument/2006/relationships/hyperlink" Target="http://www.africainfos.com" TargetMode="External"/><Relationship Id="rId220" Type="http://schemas.openxmlformats.org/officeDocument/2006/relationships/hyperlink" Target="http://www.wouninfo.net" TargetMode="External"/><Relationship Id="rId241" Type="http://schemas.openxmlformats.org/officeDocument/2006/relationships/hyperlink" Target="http://www.viimmagazine.com" TargetMode="External"/><Relationship Id="rId15" Type="http://schemas.openxmlformats.org/officeDocument/2006/relationships/hyperlink" Target="file:///D:\RP-DV\Projet%20rapport%20public%202022.docx" TargetMode="External"/><Relationship Id="rId36" Type="http://schemas.openxmlformats.org/officeDocument/2006/relationships/image" Target="media/image18.jpeg"/><Relationship Id="rId57" Type="http://schemas.openxmlformats.org/officeDocument/2006/relationships/hyperlink" Target="http://www.libreinfo.net" TargetMode="External"/><Relationship Id="rId262" Type="http://schemas.openxmlformats.org/officeDocument/2006/relationships/hyperlink" Target="http://www.Tankonnon.info" TargetMode="External"/><Relationship Id="rId283" Type="http://schemas.openxmlformats.org/officeDocument/2006/relationships/hyperlink" Target="http://www.zissaya" TargetMode="External"/><Relationship Id="rId78" Type="http://schemas.openxmlformats.org/officeDocument/2006/relationships/chart" Target="charts/chart14.xml"/><Relationship Id="rId99" Type="http://schemas.openxmlformats.org/officeDocument/2006/relationships/footer" Target="footer6.xml"/><Relationship Id="rId101" Type="http://schemas.openxmlformats.org/officeDocument/2006/relationships/footer" Target="footer7.xml"/><Relationship Id="rId122" Type="http://schemas.openxmlformats.org/officeDocument/2006/relationships/image" Target="media/image31.emf"/><Relationship Id="rId143" Type="http://schemas.openxmlformats.org/officeDocument/2006/relationships/hyperlink" Target="http://www.africa-voice.com" TargetMode="External"/><Relationship Id="rId164" Type="http://schemas.openxmlformats.org/officeDocument/2006/relationships/hyperlink" Target="http://www.infowakat.net" TargetMode="External"/><Relationship Id="rId185" Type="http://schemas.openxmlformats.org/officeDocument/2006/relationships/hyperlink" Target="http://www.sentinellebf.net" TargetMode="External"/><Relationship Id="rId9" Type="http://schemas.openxmlformats.org/officeDocument/2006/relationships/image" Target="media/image2.jpeg"/><Relationship Id="rId210" Type="http://schemas.openxmlformats.org/officeDocument/2006/relationships/hyperlink" Target="http://www.revuejuris.net" TargetMode="External"/><Relationship Id="rId26" Type="http://schemas.openxmlformats.org/officeDocument/2006/relationships/image" Target="media/image8.jpeg"/><Relationship Id="rId231" Type="http://schemas.openxmlformats.org/officeDocument/2006/relationships/hyperlink" Target="http://www.burkinahistory.com" TargetMode="External"/><Relationship Id="rId252" Type="http://schemas.openxmlformats.org/officeDocument/2006/relationships/hyperlink" Target="http://www.moussonews.com" TargetMode="External"/><Relationship Id="rId273" Type="http://schemas.openxmlformats.org/officeDocument/2006/relationships/hyperlink" Target="http://www.226infos.net" TargetMode="External"/><Relationship Id="rId294" Type="http://schemas.openxmlformats.org/officeDocument/2006/relationships/hyperlink" Target="http://www.focusgroup.africa" TargetMode="External"/><Relationship Id="rId308" Type="http://schemas.openxmlformats.org/officeDocument/2006/relationships/footer" Target="footer13.xml"/><Relationship Id="rId47" Type="http://schemas.openxmlformats.org/officeDocument/2006/relationships/hyperlink" Target="http://www.lefaso.net/" TargetMode="External"/><Relationship Id="rId68" Type="http://schemas.openxmlformats.org/officeDocument/2006/relationships/hyperlink" Target="http://www.kaceto.net" TargetMode="External"/><Relationship Id="rId89" Type="http://schemas.openxmlformats.org/officeDocument/2006/relationships/image" Target="media/image22.emf"/><Relationship Id="rId112" Type="http://schemas.openxmlformats.org/officeDocument/2006/relationships/hyperlink" Target="file:///F:\Rapports%20publics%20amend&#233;s\VF%20Projet%20rapport%20public%202022.docx" TargetMode="External"/><Relationship Id="rId133" Type="http://schemas.openxmlformats.org/officeDocument/2006/relationships/hyperlink" Target="http://www.lefaso.net" TargetMode="External"/><Relationship Id="rId154" Type="http://schemas.openxmlformats.org/officeDocument/2006/relationships/hyperlink" Target="http://www.touteinfo.com" TargetMode="External"/><Relationship Id="rId175" Type="http://schemas.openxmlformats.org/officeDocument/2006/relationships/hyperlink" Target="http://www.arc-en-ciel.net" TargetMode="External"/><Relationship Id="rId196" Type="http://schemas.openxmlformats.org/officeDocument/2006/relationships/hyperlink" Target="http://www.educbf.net" TargetMode="External"/><Relationship Id="rId200" Type="http://schemas.openxmlformats.org/officeDocument/2006/relationships/hyperlink" Target="http://www.droitinfo.bf" TargetMode="External"/><Relationship Id="rId16" Type="http://schemas.openxmlformats.org/officeDocument/2006/relationships/hyperlink" Target="file:///D:\RP-DV\Projet%20rapport%20public%202022.docx" TargetMode="External"/><Relationship Id="rId221" Type="http://schemas.openxmlformats.org/officeDocument/2006/relationships/hyperlink" Target="http://www.educmedias.com" TargetMode="External"/><Relationship Id="rId242" Type="http://schemas.openxmlformats.org/officeDocument/2006/relationships/hyperlink" Target="http://www.focusInfo.bf" TargetMode="External"/><Relationship Id="rId263" Type="http://schemas.openxmlformats.org/officeDocument/2006/relationships/hyperlink" Target="http://www.dikouafrica.com" TargetMode="External"/><Relationship Id="rId284" Type="http://schemas.openxmlformats.org/officeDocument/2006/relationships/hyperlink" Target="http://www.team-tv" TargetMode="External"/><Relationship Id="rId37" Type="http://schemas.openxmlformats.org/officeDocument/2006/relationships/hyperlink" Target="http://www.lemiroirdelinfo.com" TargetMode="External"/><Relationship Id="rId58" Type="http://schemas.openxmlformats.org/officeDocument/2006/relationships/hyperlink" Target="http://www.ouestinfo.net" TargetMode="External"/><Relationship Id="rId79" Type="http://schemas.openxmlformats.org/officeDocument/2006/relationships/hyperlink" Target="http://www.wakatsera.com" TargetMode="External"/><Relationship Id="rId102" Type="http://schemas.openxmlformats.org/officeDocument/2006/relationships/chart" Target="charts/chart23.xml"/><Relationship Id="rId123" Type="http://schemas.openxmlformats.org/officeDocument/2006/relationships/image" Target="media/image32.emf"/><Relationship Id="rId144" Type="http://schemas.openxmlformats.org/officeDocument/2006/relationships/hyperlink" Target="http://www.switch-maker.com" TargetMode="External"/><Relationship Id="rId90" Type="http://schemas.openxmlformats.org/officeDocument/2006/relationships/chart" Target="charts/chart21.xml"/><Relationship Id="rId165" Type="http://schemas.openxmlformats.org/officeDocument/2006/relationships/hyperlink" Target="http://www.ticmagazine.bf" TargetMode="External"/><Relationship Id="rId186" Type="http://schemas.openxmlformats.org/officeDocument/2006/relationships/hyperlink" Target="http://www.stars-actu.fr" TargetMode="External"/><Relationship Id="rId211" Type="http://schemas.openxmlformats.org/officeDocument/2006/relationships/hyperlink" Target="http://WWW.FEMININ" TargetMode="External"/><Relationship Id="rId232" Type="http://schemas.openxmlformats.org/officeDocument/2006/relationships/hyperlink" Target="http://www.oeildufaso.com" TargetMode="External"/><Relationship Id="rId253" Type="http://schemas.openxmlformats.org/officeDocument/2006/relationships/hyperlink" Target="http://www.afrikpress.com" TargetMode="External"/><Relationship Id="rId274" Type="http://schemas.openxmlformats.org/officeDocument/2006/relationships/hyperlink" Target="http://www.ouestactu.net" TargetMode="External"/><Relationship Id="rId295" Type="http://schemas.openxmlformats.org/officeDocument/2006/relationships/hyperlink" Target="http://www.digitaletvbam.net" TargetMode="External"/><Relationship Id="rId309" Type="http://schemas.openxmlformats.org/officeDocument/2006/relationships/fontTable" Target="fontTable.xml"/><Relationship Id="rId27" Type="http://schemas.openxmlformats.org/officeDocument/2006/relationships/image" Target="media/image9.jpeg"/><Relationship Id="rId48" Type="http://schemas.openxmlformats.org/officeDocument/2006/relationships/chart" Target="charts/chart6.xml"/><Relationship Id="rId69" Type="http://schemas.openxmlformats.org/officeDocument/2006/relationships/chart" Target="charts/chart10.xml"/><Relationship Id="rId113" Type="http://schemas.openxmlformats.org/officeDocument/2006/relationships/hyperlink" Target="file:///F:\Rapports%20publics%20amend&#233;s\VF%20Projet%20rapport%20public%202022.docx" TargetMode="External"/><Relationship Id="rId134" Type="http://schemas.openxmlformats.org/officeDocument/2006/relationships/hyperlink" Target="http://www.ouaga24.com" TargetMode="External"/><Relationship Id="rId80" Type="http://schemas.openxmlformats.org/officeDocument/2006/relationships/chart" Target="charts/chart15.xml"/><Relationship Id="rId155" Type="http://schemas.openxmlformats.org/officeDocument/2006/relationships/hyperlink" Target="http://www.wakatsera.bf" TargetMode="External"/><Relationship Id="rId176" Type="http://schemas.openxmlformats.org/officeDocument/2006/relationships/hyperlink" Target="http://www.tinganews.com" TargetMode="External"/><Relationship Id="rId197" Type="http://schemas.openxmlformats.org/officeDocument/2006/relationships/hyperlink" Target="http://www.dikouafrica.com" TargetMode="External"/><Relationship Id="rId201" Type="http://schemas.openxmlformats.org/officeDocument/2006/relationships/hyperlink" Target="http://www.geo-canal-info" TargetMode="External"/><Relationship Id="rId222" Type="http://schemas.openxmlformats.org/officeDocument/2006/relationships/hyperlink" Target="http://www.team2faso.com" TargetMode="External"/><Relationship Id="rId243" Type="http://schemas.openxmlformats.org/officeDocument/2006/relationships/hyperlink" Target="http://www.notreactu.net" TargetMode="External"/><Relationship Id="rId264" Type="http://schemas.openxmlformats.org/officeDocument/2006/relationships/hyperlink" Target="http://www.lobspaalga.com" TargetMode="External"/><Relationship Id="rId285" Type="http://schemas.openxmlformats.org/officeDocument/2006/relationships/hyperlink" Target="http://www.kiffradio.online" TargetMode="External"/><Relationship Id="rId17" Type="http://schemas.openxmlformats.org/officeDocument/2006/relationships/hyperlink" Target="file:///D:\RP-DV\Projet%20rapport%20public%202022.docx" TargetMode="External"/><Relationship Id="rId38" Type="http://schemas.openxmlformats.org/officeDocument/2006/relationships/hyperlink" Target="http://www.nelactu-burkina.com" TargetMode="External"/><Relationship Id="rId59" Type="http://schemas.openxmlformats.org/officeDocument/2006/relationships/hyperlink" Target="http://www.ouestactu.net" TargetMode="External"/><Relationship Id="rId103" Type="http://schemas.openxmlformats.org/officeDocument/2006/relationships/header" Target="header7.xml"/><Relationship Id="rId124" Type="http://schemas.openxmlformats.org/officeDocument/2006/relationships/image" Target="media/image33.emf"/><Relationship Id="rId310" Type="http://schemas.microsoft.com/office/2011/relationships/people" Target="people.xml"/><Relationship Id="rId70" Type="http://schemas.openxmlformats.org/officeDocument/2006/relationships/hyperlink" Target="http://www.minute.bf" TargetMode="External"/><Relationship Id="rId91" Type="http://schemas.openxmlformats.org/officeDocument/2006/relationships/chart" Target="charts/chart22.xml"/><Relationship Id="rId145" Type="http://schemas.openxmlformats.org/officeDocument/2006/relationships/hyperlink" Target="http://www.fasopo.info" TargetMode="External"/><Relationship Id="rId166" Type="http://schemas.openxmlformats.org/officeDocument/2006/relationships/hyperlink" Target="http://www.infobf.net" TargetMode="External"/><Relationship Id="rId187" Type="http://schemas.openxmlformats.org/officeDocument/2006/relationships/hyperlink" Target="http://www.owo.mag" TargetMode="External"/><Relationship Id="rId1" Type="http://schemas.openxmlformats.org/officeDocument/2006/relationships/customXml" Target="../customXml/item1.xml"/><Relationship Id="rId212" Type="http://schemas.openxmlformats.org/officeDocument/2006/relationships/hyperlink" Target="http://www.radarsburkina.net" TargetMode="External"/><Relationship Id="rId233" Type="http://schemas.openxmlformats.org/officeDocument/2006/relationships/hyperlink" Target="http://www.bulletinsante.net" TargetMode="External"/><Relationship Id="rId254" Type="http://schemas.openxmlformats.org/officeDocument/2006/relationships/hyperlink" Target="http://www.digitalmagazine.bf" TargetMode="External"/><Relationship Id="rId28" Type="http://schemas.openxmlformats.org/officeDocument/2006/relationships/image" Target="media/image10.jpeg"/><Relationship Id="rId49" Type="http://schemas.openxmlformats.org/officeDocument/2006/relationships/hyperlink" Target="http://www.lefaso.net/" TargetMode="External"/><Relationship Id="rId114" Type="http://schemas.openxmlformats.org/officeDocument/2006/relationships/hyperlink" Target="file:///F:\Rapports%20publics%20amend&#233;s\VF%20Projet%20rapport%20public%202022.docx" TargetMode="External"/><Relationship Id="rId275" Type="http://schemas.openxmlformats.org/officeDocument/2006/relationships/hyperlink" Target="http://www.agror&#233;silience.com" TargetMode="External"/><Relationship Id="rId296" Type="http://schemas.openxmlformats.org/officeDocument/2006/relationships/hyperlink" Target="http://www.radiocosmosouagawordpress.com" TargetMode="External"/><Relationship Id="rId300" Type="http://schemas.openxmlformats.org/officeDocument/2006/relationships/footer" Target="footer10.xml"/><Relationship Id="rId60" Type="http://schemas.openxmlformats.org/officeDocument/2006/relationships/hyperlink" Target="http://www.lefaso.net" TargetMode="External"/><Relationship Id="rId81" Type="http://schemas.openxmlformats.org/officeDocument/2006/relationships/chart" Target="charts/chart16.xml"/><Relationship Id="rId135" Type="http://schemas.openxmlformats.org/officeDocument/2006/relationships/hyperlink" Target="http://www.zoodomail.com" TargetMode="External"/><Relationship Id="rId156" Type="http://schemas.openxmlformats.org/officeDocument/2006/relationships/hyperlink" Target="http://www.vieconjugale.bf" TargetMode="External"/><Relationship Id="rId177" Type="http://schemas.openxmlformats.org/officeDocument/2006/relationships/hyperlink" Target="http://www.digicomfaso.info" TargetMode="External"/><Relationship Id="rId198" Type="http://schemas.openxmlformats.org/officeDocument/2006/relationships/hyperlink" Target="http://www.lecanarddufaso.net" TargetMode="External"/><Relationship Id="rId202" Type="http://schemas.openxmlformats.org/officeDocument/2006/relationships/hyperlink" Target="http://www.raamde-bf.com" TargetMode="External"/><Relationship Id="rId223" Type="http://schemas.openxmlformats.org/officeDocument/2006/relationships/hyperlink" Target="http://www.netafrique.net" TargetMode="External"/><Relationship Id="rId244" Type="http://schemas.openxmlformats.org/officeDocument/2006/relationships/hyperlink" Target="http://www.Burkina7.com" TargetMode="External"/><Relationship Id="rId18" Type="http://schemas.openxmlformats.org/officeDocument/2006/relationships/hyperlink" Target="file:///D:\RP-DV\Projet%20rapport%20public%202022.docx" TargetMode="External"/><Relationship Id="rId39" Type="http://schemas.openxmlformats.org/officeDocument/2006/relationships/hyperlink" Target="http://www.culturosportinfos.net" TargetMode="External"/><Relationship Id="rId265" Type="http://schemas.openxmlformats.org/officeDocument/2006/relationships/hyperlink" Target="http://www.rep&#232;remagazine.com" TargetMode="External"/><Relationship Id="rId286" Type="http://schemas.openxmlformats.org/officeDocument/2006/relationships/hyperlink" Target="http://www.larbatv.com" TargetMode="External"/><Relationship Id="rId50" Type="http://schemas.openxmlformats.org/officeDocument/2006/relationships/hyperlink" Target="http://www.lefaso.net" TargetMode="External"/><Relationship Id="rId104" Type="http://schemas.openxmlformats.org/officeDocument/2006/relationships/footer" Target="footer8.xml"/><Relationship Id="rId125" Type="http://schemas.openxmlformats.org/officeDocument/2006/relationships/image" Target="media/image34.emf"/><Relationship Id="rId146" Type="http://schemas.openxmlformats.org/officeDocument/2006/relationships/hyperlink" Target="http://www.initiativesmagazines.net" TargetMode="External"/><Relationship Id="rId167" Type="http://schemas.openxmlformats.org/officeDocument/2006/relationships/hyperlink" Target="http://www.bref24.com" TargetMode="External"/><Relationship Id="rId188" Type="http://schemas.openxmlformats.org/officeDocument/2006/relationships/hyperlink" Target="http://www.topinfoplus.com" TargetMode="External"/><Relationship Id="rId311" Type="http://schemas.openxmlformats.org/officeDocument/2006/relationships/theme" Target="theme/theme1.xml"/><Relationship Id="rId71" Type="http://schemas.openxmlformats.org/officeDocument/2006/relationships/chart" Target="charts/chart11.xml"/><Relationship Id="rId92" Type="http://schemas.openxmlformats.org/officeDocument/2006/relationships/header" Target="header3.xml"/><Relationship Id="rId213" Type="http://schemas.openxmlformats.org/officeDocument/2006/relationships/hyperlink" Target="http://www.ouaganews.net" TargetMode="External"/><Relationship Id="rId234" Type="http://schemas.openxmlformats.org/officeDocument/2006/relationships/hyperlink" Target="http://www.globinfo.com" TargetMode="External"/><Relationship Id="rId2" Type="http://schemas.openxmlformats.org/officeDocument/2006/relationships/customXml" Target="../customXml/item2.xml"/><Relationship Id="rId29" Type="http://schemas.openxmlformats.org/officeDocument/2006/relationships/image" Target="media/image11.jpeg"/><Relationship Id="rId255" Type="http://schemas.openxmlformats.org/officeDocument/2006/relationships/hyperlink" Target="http://www.burkinasoir.net" TargetMode="External"/><Relationship Id="rId276" Type="http://schemas.openxmlformats.org/officeDocument/2006/relationships/hyperlink" Target="http://www.lastinfo.bf" TargetMode="External"/><Relationship Id="rId297" Type="http://schemas.openxmlformats.org/officeDocument/2006/relationships/hyperlink" Target="http://www.burkinatvconnect.com" TargetMode="External"/><Relationship Id="rId40" Type="http://schemas.openxmlformats.org/officeDocument/2006/relationships/chart" Target="charts/chart1.xml"/><Relationship Id="rId115" Type="http://schemas.openxmlformats.org/officeDocument/2006/relationships/hyperlink" Target="file:///F:\Rapports%20publics%20amend&#233;s\VF%20Projet%20rapport%20public%202022.docx" TargetMode="External"/><Relationship Id="rId136" Type="http://schemas.openxmlformats.org/officeDocument/2006/relationships/hyperlink" Target="http://www.burkina24.com" TargetMode="External"/><Relationship Id="rId157" Type="http://schemas.openxmlformats.org/officeDocument/2006/relationships/hyperlink" Target="http://www.kamanews.net" TargetMode="External"/><Relationship Id="rId178" Type="http://schemas.openxmlformats.org/officeDocument/2006/relationships/hyperlink" Target="http://www.fasolangue.com" TargetMode="External"/><Relationship Id="rId301" Type="http://schemas.openxmlformats.org/officeDocument/2006/relationships/footer" Target="footer11.xml"/><Relationship Id="rId61" Type="http://schemas.openxmlformats.org/officeDocument/2006/relationships/header" Target="header2.xml"/><Relationship Id="rId82" Type="http://schemas.openxmlformats.org/officeDocument/2006/relationships/chart" Target="charts/chart17.xml"/><Relationship Id="rId199" Type="http://schemas.openxmlformats.org/officeDocument/2006/relationships/hyperlink" Target="http://www.notreavenir.com" TargetMode="External"/><Relationship Id="rId203" Type="http://schemas.openxmlformats.org/officeDocument/2006/relationships/hyperlink" Target="http://www.amas.com" TargetMode="External"/><Relationship Id="rId19" Type="http://schemas.openxmlformats.org/officeDocument/2006/relationships/hyperlink" Target="file:///D:\RP-DV\Projet%20rapport%20public%202022.docx" TargetMode="External"/><Relationship Id="rId224" Type="http://schemas.openxmlformats.org/officeDocument/2006/relationships/hyperlink" Target="http://www.fasomania.com" TargetMode="External"/><Relationship Id="rId245" Type="http://schemas.openxmlformats.org/officeDocument/2006/relationships/hyperlink" Target="http://www.libert&#233;.net" TargetMode="External"/><Relationship Id="rId266" Type="http://schemas.openxmlformats.org/officeDocument/2006/relationships/hyperlink" Target="http://www.afrikibaria.com" TargetMode="External"/><Relationship Id="rId287" Type="http://schemas.openxmlformats.org/officeDocument/2006/relationships/hyperlink" Target="http://www.burkina-ntic.net" TargetMode="External"/><Relationship Id="rId30" Type="http://schemas.openxmlformats.org/officeDocument/2006/relationships/image" Target="media/image12.jpeg"/><Relationship Id="rId105" Type="http://schemas.openxmlformats.org/officeDocument/2006/relationships/chart" Target="charts/chart24.xml"/><Relationship Id="rId126" Type="http://schemas.openxmlformats.org/officeDocument/2006/relationships/image" Target="media/image35.emf"/><Relationship Id="rId147" Type="http://schemas.openxmlformats.org/officeDocument/2006/relationships/hyperlink" Target="http://www.burkinaonline.com" TargetMode="External"/><Relationship Id="rId168" Type="http://schemas.openxmlformats.org/officeDocument/2006/relationships/hyperlink" Target="http://www.communeactu.net" TargetMode="External"/><Relationship Id="rId51" Type="http://schemas.openxmlformats.org/officeDocument/2006/relationships/hyperlink" Target="http://www.kaceto.net" TargetMode="External"/><Relationship Id="rId72" Type="http://schemas.openxmlformats.org/officeDocument/2006/relationships/hyperlink" Target="http://www.ouaga24.com" TargetMode="External"/><Relationship Id="rId93" Type="http://schemas.openxmlformats.org/officeDocument/2006/relationships/footer" Target="footer4.xml"/><Relationship Id="rId189" Type="http://schemas.openxmlformats.org/officeDocument/2006/relationships/hyperlink" Target="http://www.proximiteinfo.com" TargetMode="External"/><Relationship Id="rId3" Type="http://schemas.openxmlformats.org/officeDocument/2006/relationships/numbering" Target="numbering.xml"/><Relationship Id="rId214" Type="http://schemas.openxmlformats.org/officeDocument/2006/relationships/hyperlink" Target="http://www.nahourinews.bf" TargetMode="External"/><Relationship Id="rId235" Type="http://schemas.openxmlformats.org/officeDocument/2006/relationships/hyperlink" Target="http://www.100kara-agri-infos.com" TargetMode="External"/><Relationship Id="rId256" Type="http://schemas.openxmlformats.org/officeDocument/2006/relationships/hyperlink" Target="http://www.laafiinfos.bf" TargetMode="External"/><Relationship Id="rId277" Type="http://schemas.openxmlformats.org/officeDocument/2006/relationships/hyperlink" Target="http://www.24heures.bf" TargetMode="External"/><Relationship Id="rId298" Type="http://schemas.openxmlformats.org/officeDocument/2006/relationships/hyperlink" Target="https://www.richessmedia.com" TargetMode="External"/><Relationship Id="rId116" Type="http://schemas.openxmlformats.org/officeDocument/2006/relationships/hyperlink" Target="file:///F:\Rapports%20publics%20amend&#233;s\VF%20Projet%20rapport%20public%202022.docx" TargetMode="External"/><Relationship Id="rId137" Type="http://schemas.openxmlformats.org/officeDocument/2006/relationships/hyperlink" Target="http://www.fasoactu.com" TargetMode="External"/><Relationship Id="rId158" Type="http://schemas.openxmlformats.org/officeDocument/2006/relationships/hyperlink" Target="http://www.artistes.bf.org" TargetMode="External"/><Relationship Id="rId302" Type="http://schemas.openxmlformats.org/officeDocument/2006/relationships/hyperlink" Target="http://www.lefaso.net/" TargetMode="External"/><Relationship Id="rId20" Type="http://schemas.openxmlformats.org/officeDocument/2006/relationships/footer" Target="footer1.xml"/><Relationship Id="rId41" Type="http://schemas.openxmlformats.org/officeDocument/2006/relationships/chart" Target="charts/chart2.xml"/><Relationship Id="rId62" Type="http://schemas.openxmlformats.org/officeDocument/2006/relationships/footer" Target="footer3.xml"/><Relationship Id="rId83" Type="http://schemas.openxmlformats.org/officeDocument/2006/relationships/chart" Target="charts/chart18.xml"/><Relationship Id="rId179" Type="http://schemas.openxmlformats.org/officeDocument/2006/relationships/hyperlink" Target="http://www.Zanmazceleb.com" TargetMode="External"/><Relationship Id="rId190" Type="http://schemas.openxmlformats.org/officeDocument/2006/relationships/hyperlink" Target="http://www.bafujiinfos.com" TargetMode="External"/><Relationship Id="rId204" Type="http://schemas.openxmlformats.org/officeDocument/2006/relationships/hyperlink" Target="http://www.fasopost.com" TargetMode="External"/><Relationship Id="rId225" Type="http://schemas.openxmlformats.org/officeDocument/2006/relationships/hyperlink" Target="http://www.actuburkina.net" TargetMode="External"/><Relationship Id="rId246" Type="http://schemas.openxmlformats.org/officeDocument/2006/relationships/hyperlink" Target="http://www.nouvelles-infos.bf" TargetMode="External"/><Relationship Id="rId267" Type="http://schemas.openxmlformats.org/officeDocument/2006/relationships/hyperlink" Target="http://www.econouv.com" TargetMode="External"/><Relationship Id="rId288" Type="http://schemas.openxmlformats.org/officeDocument/2006/relationships/hyperlink" Target="http://www.laagandeTv.com" TargetMode="External"/><Relationship Id="rId106" Type="http://schemas.openxmlformats.org/officeDocument/2006/relationships/image" Target="media/image25.jpeg"/><Relationship Id="rId127" Type="http://schemas.openxmlformats.org/officeDocument/2006/relationships/image" Target="media/image36.emf"/><Relationship Id="rId10" Type="http://schemas.openxmlformats.org/officeDocument/2006/relationships/comments" Target="comments.xml"/><Relationship Id="rId31" Type="http://schemas.openxmlformats.org/officeDocument/2006/relationships/image" Target="media/image13.jpeg"/><Relationship Id="rId52" Type="http://schemas.openxmlformats.org/officeDocument/2006/relationships/hyperlink" Target="http://www.burkina24.com" TargetMode="External"/><Relationship Id="rId73" Type="http://schemas.openxmlformats.org/officeDocument/2006/relationships/hyperlink" Target="http://www.ouaga24.com" TargetMode="External"/><Relationship Id="rId94" Type="http://schemas.openxmlformats.org/officeDocument/2006/relationships/header" Target="header4.xml"/><Relationship Id="rId148" Type="http://schemas.openxmlformats.org/officeDocument/2006/relationships/hyperlink" Target="http://www.lavoixdujuriste.com" TargetMode="External"/><Relationship Id="rId169" Type="http://schemas.openxmlformats.org/officeDocument/2006/relationships/hyperlink" Target="http://www.fasopic.net" TargetMode="External"/><Relationship Id="rId4" Type="http://schemas.openxmlformats.org/officeDocument/2006/relationships/styles" Target="styles.xml"/><Relationship Id="rId180" Type="http://schemas.openxmlformats.org/officeDocument/2006/relationships/hyperlink" Target="http://www.rtsabel.com" TargetMode="External"/><Relationship Id="rId215" Type="http://schemas.openxmlformats.org/officeDocument/2006/relationships/hyperlink" Target="http://www.voxkultur.com" TargetMode="External"/><Relationship Id="rId236" Type="http://schemas.openxmlformats.org/officeDocument/2006/relationships/hyperlink" Target="http://www.interpubactu.net" TargetMode="External"/><Relationship Id="rId257" Type="http://schemas.openxmlformats.org/officeDocument/2006/relationships/hyperlink" Target="http://www.inforapide.net" TargetMode="External"/><Relationship Id="rId278" Type="http://schemas.openxmlformats.org/officeDocument/2006/relationships/hyperlink" Target="http://www.fairplay.bf" TargetMode="External"/><Relationship Id="rId303" Type="http://schemas.openxmlformats.org/officeDocument/2006/relationships/hyperlink" Target="http://www.lefaso.net/" TargetMode="External"/><Relationship Id="rId42" Type="http://schemas.openxmlformats.org/officeDocument/2006/relationships/chart" Target="charts/chart3.xml"/><Relationship Id="rId84" Type="http://schemas.openxmlformats.org/officeDocument/2006/relationships/image" Target="media/image19.png"/><Relationship Id="rId138" Type="http://schemas.openxmlformats.org/officeDocument/2006/relationships/hyperlink" Target="http://www.fasoactu.net" TargetMode="External"/><Relationship Id="rId191" Type="http://schemas.openxmlformats.org/officeDocument/2006/relationships/hyperlink" Target="http://www.fasoenvironnement.com" TargetMode="External"/><Relationship Id="rId205" Type="http://schemas.openxmlformats.org/officeDocument/2006/relationships/hyperlink" Target="http://www.ledossierbf.com" TargetMode="External"/><Relationship Id="rId247" Type="http://schemas.openxmlformats.org/officeDocument/2006/relationships/hyperlink" Target="http://www.Woun-info.net" TargetMode="External"/><Relationship Id="rId107" Type="http://schemas.openxmlformats.org/officeDocument/2006/relationships/image" Target="media/image26.jpeg"/><Relationship Id="rId289" Type="http://schemas.openxmlformats.org/officeDocument/2006/relationships/hyperlink" Target="http://www.boima.com" TargetMode="External"/><Relationship Id="rId11" Type="http://schemas.microsoft.com/office/2011/relationships/commentsExtended" Target="commentsExtended.xml"/><Relationship Id="rId53" Type="http://schemas.openxmlformats.org/officeDocument/2006/relationships/hyperlink" Target="http://www.actualite.bf" TargetMode="External"/><Relationship Id="rId149" Type="http://schemas.openxmlformats.org/officeDocument/2006/relationships/hyperlink" Target="http://www.burkinademain.com" TargetMode="External"/><Relationship Id="rId95" Type="http://schemas.openxmlformats.org/officeDocument/2006/relationships/footer" Target="footer5.xml"/><Relationship Id="rId160" Type="http://schemas.openxmlformats.org/officeDocument/2006/relationships/hyperlink" Target="http://www.contacts.bf" TargetMode="External"/><Relationship Id="rId216" Type="http://schemas.openxmlformats.org/officeDocument/2006/relationships/hyperlink" Target="http://www.fiinfos.net" TargetMode="External"/><Relationship Id="rId258" Type="http://schemas.openxmlformats.org/officeDocument/2006/relationships/hyperlink" Target="http://www.emergenceislam.net" TargetMode="External"/><Relationship Id="rId22" Type="http://schemas.openxmlformats.org/officeDocument/2006/relationships/image" Target="media/image4.jpeg"/><Relationship Id="rId64" Type="http://schemas.openxmlformats.org/officeDocument/2006/relationships/chart" Target="charts/chart7.xml"/><Relationship Id="rId118" Type="http://schemas.openxmlformats.org/officeDocument/2006/relationships/hyperlink" Target="file:///F:\Rapports%20publics%20amend&#233;s\VF%20Projet%20rapport%20public%202022.docx" TargetMode="External"/><Relationship Id="rId171" Type="http://schemas.openxmlformats.org/officeDocument/2006/relationships/hyperlink" Target="http://www.burkimbia.com" TargetMode="External"/><Relationship Id="rId227" Type="http://schemas.openxmlformats.org/officeDocument/2006/relationships/hyperlink" Target="http://www.Fasobreakingnews.com" TargetMode="External"/><Relationship Id="rId269" Type="http://schemas.openxmlformats.org/officeDocument/2006/relationships/hyperlink" Target="http://www.echomagazine.org" TargetMode="External"/><Relationship Id="rId33" Type="http://schemas.openxmlformats.org/officeDocument/2006/relationships/image" Target="media/image15.jpeg"/><Relationship Id="rId129" Type="http://schemas.openxmlformats.org/officeDocument/2006/relationships/image" Target="media/image38.emf"/><Relationship Id="rId280" Type="http://schemas.openxmlformats.org/officeDocument/2006/relationships/hyperlink" Target="http://www.groupebz.com" TargetMode="External"/><Relationship Id="rId75" Type="http://schemas.openxmlformats.org/officeDocument/2006/relationships/chart" Target="charts/chart12.xml"/><Relationship Id="rId140" Type="http://schemas.openxmlformats.org/officeDocument/2006/relationships/hyperlink" Target="http://www.laborpresse.net" TargetMode="External"/><Relationship Id="rId182" Type="http://schemas.openxmlformats.org/officeDocument/2006/relationships/hyperlink" Target="http://www.fasosportnews.net" TargetMode="External"/><Relationship Id="rId6" Type="http://schemas.openxmlformats.org/officeDocument/2006/relationships/webSettings" Target="webSettings.xml"/><Relationship Id="rId238" Type="http://schemas.openxmlformats.org/officeDocument/2006/relationships/hyperlink" Target="http://www.infonature.net" TargetMode="External"/><Relationship Id="rId291" Type="http://schemas.openxmlformats.org/officeDocument/2006/relationships/hyperlink" Target="http://www.saabatv.bf" TargetMode="External"/><Relationship Id="rId305" Type="http://schemas.openxmlformats.org/officeDocument/2006/relationships/header" Target="header10.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6.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10.xml.rels><?xml version="1.0" encoding="UTF-8" standalone="yes"?>
<Relationships xmlns="http://schemas.openxmlformats.org/package/2006/relationships"><Relationship Id="rId3" Type="http://schemas.openxmlformats.org/officeDocument/2006/relationships/oleObject" Target="file:///C:\Users\hp\Documents\Classeur1%20(R&#233;cup&#233;r&#233;)%202.xlsx" TargetMode="External"/><Relationship Id="rId2" Type="http://schemas.microsoft.com/office/2011/relationships/chartColorStyle" Target="colors1.xml"/><Relationship Id="rId1" Type="http://schemas.microsoft.com/office/2011/relationships/chartStyle" Target="style1.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hp\Documents\Classeur1%20(R&#233;cup&#233;r&#233;)%202.xlsx" TargetMode="External"/><Relationship Id="rId2" Type="http://schemas.microsoft.com/office/2011/relationships/chartColorStyle" Target="colors2.xml"/><Relationship Id="rId1" Type="http://schemas.microsoft.com/office/2011/relationships/chartStyle" Target="style2.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hp\Documents\Classeur1%20(R&#233;cup&#233;r&#233;)%202.xlsx" TargetMode="External"/><Relationship Id="rId2" Type="http://schemas.microsoft.com/office/2011/relationships/chartColorStyle" Target="colors3.xml"/><Relationship Id="rId1" Type="http://schemas.microsoft.com/office/2011/relationships/chartStyle" Target="style3.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hp\Documents\Classeur1%20(R&#233;cup&#233;r&#233;)%202.xlsx" TargetMode="External"/><Relationship Id="rId2" Type="http://schemas.microsoft.com/office/2011/relationships/chartColorStyle" Target="colors4.xml"/><Relationship Id="rId1" Type="http://schemas.microsoft.com/office/2011/relationships/chartStyle" Target="style4.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hp\Desktop\Classeur3.xlsx" TargetMode="External"/><Relationship Id="rId2" Type="http://schemas.microsoft.com/office/2011/relationships/chartColorStyle" Target="colors5.xml"/><Relationship Id="rId1" Type="http://schemas.microsoft.com/office/2011/relationships/chartStyle" Target="style5.xml"/></Relationships>
</file>

<file path=word/charts/_rels/chart15.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16.xml.rels><?xml version="1.0" encoding="UTF-8" standalone="yes"?>
<Relationships xmlns="http://schemas.openxmlformats.org/package/2006/relationships"><Relationship Id="rId3" Type="http://schemas.openxmlformats.org/officeDocument/2006/relationships/oleObject" Target="file:///C:\Users\hp\Documents\Classeur1%20(R&#233;cup&#233;r&#233;)%202.xlsx" TargetMode="External"/><Relationship Id="rId2" Type="http://schemas.microsoft.com/office/2011/relationships/chartColorStyle" Target="colors6.xml"/><Relationship Id="rId1" Type="http://schemas.microsoft.com/office/2011/relationships/chartStyle" Target="style6.xml"/></Relationships>
</file>

<file path=word/charts/_rels/chart17.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xlsx"/></Relationships>
</file>

<file path=word/charts/_rels/chart18.xml.rels><?xml version="1.0" encoding="UTF-8" standalone="yes"?>
<Relationships xmlns="http://schemas.openxmlformats.org/package/2006/relationships"><Relationship Id="rId3" Type="http://schemas.openxmlformats.org/officeDocument/2006/relationships/oleObject" Target="file:///C:\Users\hp\Desktop\Classeur3.xlsx" TargetMode="External"/><Relationship Id="rId2" Type="http://schemas.microsoft.com/office/2011/relationships/chartColorStyle" Target="colors8.xml"/><Relationship Id="rId1" Type="http://schemas.microsoft.com/office/2011/relationships/chartStyle" Target="style8.xml"/></Relationships>
</file>

<file path=word/charts/_rels/chart19.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9.xml"/><Relationship Id="rId1" Type="http://schemas.microsoft.com/office/2011/relationships/chartStyle" Target="style9.xml"/></Relationships>
</file>

<file path=word/charts/_rels/chart21.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10.xml"/><Relationship Id="rId1" Type="http://schemas.microsoft.com/office/2011/relationships/chartStyle" Target="style10.xml"/></Relationships>
</file>

<file path=word/charts/_rels/chart22.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3.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themeOverride" Target="../theme/themeOverride2.xml"/></Relationships>
</file>

<file path=word/charts/_rels/chart24.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lIns="0" tIns="0" rIns="0" bIns="0" anchor="ctr" anchorCtr="1"/>
          <a:lstStyle/>
          <a:p>
            <a:pPr marL="0" marR="0" indent="0" algn="ctr" defTabSz="914400" fontAlgn="auto" hangingPunct="1">
              <a:lnSpc>
                <a:spcPct val="100000"/>
              </a:lnSpc>
              <a:spcBef>
                <a:spcPts val="0"/>
              </a:spcBef>
              <a:spcAft>
                <a:spcPts val="0"/>
              </a:spcAft>
              <a:defRPr lang="fr-FR" sz="1400" b="1" i="0" u="none" strike="noStrike" kern="1200" spc="0" baseline="0">
                <a:solidFill>
                  <a:srgbClr val="595959"/>
                </a:solidFill>
                <a:latin typeface="Calibri" panose="020F0502020204030204"/>
                <a:ea typeface="+mn-ea"/>
                <a:cs typeface="+mn-cs"/>
              </a:defRPr>
            </a:pPr>
            <a:r>
              <a:rPr lang="fr-FR" sz="1400" b="1" i="0" u="none" strike="noStrike" kern="1200" cap="none" spc="0" baseline="0">
                <a:solidFill>
                  <a:srgbClr val="595959"/>
                </a:solidFill>
                <a:uFillTx/>
                <a:latin typeface="Calibri" panose="020F0502020204030204"/>
              </a:rPr>
              <a:t>SIDWAYA</a:t>
            </a:r>
          </a:p>
        </c:rich>
      </c:tx>
      <c:overlay val="0"/>
      <c:spPr>
        <a:noFill/>
        <a:ln>
          <a:noFill/>
        </a:ln>
      </c:spPr>
    </c:title>
    <c:autoTitleDeleted val="0"/>
    <c:plotArea>
      <c:layout/>
      <c:barChart>
        <c:barDir val="col"/>
        <c:grouping val="clustered"/>
        <c:varyColors val="0"/>
        <c:ser>
          <c:idx val="0"/>
          <c:order val="0"/>
          <c:tx>
            <c:strRef>
              <c:f>MPP</c:f>
              <c:strCache>
                <c:ptCount val="1"/>
                <c:pt idx="0">
                  <c:v>MPP</c:v>
                </c:pt>
              </c:strCache>
            </c:strRef>
          </c:tx>
          <c:spPr>
            <a:solidFill>
              <a:srgbClr val="5B9BD5"/>
            </a:solidFill>
            <a:ln>
              <a:noFill/>
            </a:ln>
          </c:spPr>
          <c:invertIfNegative val="0"/>
          <c:cat>
            <c:strRef>
              <c:f>{"% NP","% NI"}</c:f>
              <c:strCache>
                <c:ptCount val="2"/>
                <c:pt idx="0">
                  <c:v>% NP</c:v>
                </c:pt>
                <c:pt idx="1">
                  <c:v>% NI</c:v>
                </c:pt>
              </c:strCache>
            </c:strRef>
          </c:cat>
          <c:val>
            <c:numRef>
              <c:f>{0.2133,0.1935}</c:f>
              <c:numCache>
                <c:formatCode>General</c:formatCode>
                <c:ptCount val="2"/>
                <c:pt idx="0">
                  <c:v>0.21329999999999999</c:v>
                </c:pt>
                <c:pt idx="1">
                  <c:v>0.19350000000000001</c:v>
                </c:pt>
              </c:numCache>
            </c:numRef>
          </c:val>
          <c:extLst>
            <c:ext xmlns:c16="http://schemas.microsoft.com/office/drawing/2014/chart" uri="{C3380CC4-5D6E-409C-BE32-E72D297353CC}">
              <c16:uniqueId val="{00000000-78A1-4769-95E2-D1A7548BE654}"/>
            </c:ext>
          </c:extLst>
        </c:ser>
        <c:ser>
          <c:idx val="1"/>
          <c:order val="1"/>
          <c:tx>
            <c:strRef>
              <c:f>CDP</c:f>
              <c:strCache>
                <c:ptCount val="1"/>
                <c:pt idx="0">
                  <c:v>CDP</c:v>
                </c:pt>
              </c:strCache>
            </c:strRef>
          </c:tx>
          <c:spPr>
            <a:solidFill>
              <a:srgbClr val="ED7D31"/>
            </a:solidFill>
            <a:ln>
              <a:noFill/>
            </a:ln>
          </c:spPr>
          <c:invertIfNegative val="0"/>
          <c:cat>
            <c:strRef>
              <c:f>{"% NP","% NI"}</c:f>
              <c:strCache>
                <c:ptCount val="2"/>
                <c:pt idx="0">
                  <c:v>% NP</c:v>
                </c:pt>
                <c:pt idx="1">
                  <c:v>% NI</c:v>
                </c:pt>
              </c:strCache>
            </c:strRef>
          </c:cat>
          <c:val>
            <c:numRef>
              <c:f>{0.1527,0.129}</c:f>
              <c:numCache>
                <c:formatCode>General</c:formatCode>
                <c:ptCount val="2"/>
                <c:pt idx="0">
                  <c:v>0.1527</c:v>
                </c:pt>
                <c:pt idx="1">
                  <c:v>0.129</c:v>
                </c:pt>
              </c:numCache>
            </c:numRef>
          </c:val>
          <c:extLst>
            <c:ext xmlns:c16="http://schemas.microsoft.com/office/drawing/2014/chart" uri="{C3380CC4-5D6E-409C-BE32-E72D297353CC}">
              <c16:uniqueId val="{00000001-78A1-4769-95E2-D1A7548BE654}"/>
            </c:ext>
          </c:extLst>
        </c:ser>
        <c:ser>
          <c:idx val="2"/>
          <c:order val="2"/>
          <c:tx>
            <c:strRef>
              <c:f>PPS</c:f>
              <c:strCache>
                <c:ptCount val="1"/>
                <c:pt idx="0">
                  <c:v>PPS</c:v>
                </c:pt>
              </c:strCache>
            </c:strRef>
          </c:tx>
          <c:spPr>
            <a:solidFill>
              <a:srgbClr val="A5A5A5"/>
            </a:solidFill>
            <a:ln>
              <a:noFill/>
            </a:ln>
          </c:spPr>
          <c:invertIfNegative val="0"/>
          <c:cat>
            <c:strRef>
              <c:f>{"% NP","% NI"}</c:f>
              <c:strCache>
                <c:ptCount val="2"/>
                <c:pt idx="0">
                  <c:v>% NP</c:v>
                </c:pt>
                <c:pt idx="1">
                  <c:v>% NI</c:v>
                </c:pt>
              </c:strCache>
            </c:strRef>
          </c:cat>
          <c:val>
            <c:numRef>
              <c:f>{0.1395,0.1935}</c:f>
              <c:numCache>
                <c:formatCode>General</c:formatCode>
                <c:ptCount val="2"/>
                <c:pt idx="0">
                  <c:v>0.13950000000000001</c:v>
                </c:pt>
                <c:pt idx="1">
                  <c:v>0.19350000000000001</c:v>
                </c:pt>
              </c:numCache>
            </c:numRef>
          </c:val>
          <c:extLst>
            <c:ext xmlns:c16="http://schemas.microsoft.com/office/drawing/2014/chart" uri="{C3380CC4-5D6E-409C-BE32-E72D297353CC}">
              <c16:uniqueId val="{00000002-78A1-4769-95E2-D1A7548BE654}"/>
            </c:ext>
          </c:extLst>
        </c:ser>
        <c:ser>
          <c:idx val="3"/>
          <c:order val="3"/>
          <c:tx>
            <c:strRef>
              <c:f>PAREN</c:f>
              <c:strCache>
                <c:ptCount val="1"/>
                <c:pt idx="0">
                  <c:v>PAREN</c:v>
                </c:pt>
              </c:strCache>
            </c:strRef>
          </c:tx>
          <c:spPr>
            <a:solidFill>
              <a:srgbClr val="FFC000"/>
            </a:solidFill>
            <a:ln>
              <a:noFill/>
            </a:ln>
          </c:spPr>
          <c:invertIfNegative val="0"/>
          <c:cat>
            <c:strRef>
              <c:f>{"% NP","% NI"}</c:f>
              <c:strCache>
                <c:ptCount val="2"/>
                <c:pt idx="0">
                  <c:v>% NP</c:v>
                </c:pt>
                <c:pt idx="1">
                  <c:v>% NI</c:v>
                </c:pt>
              </c:strCache>
            </c:strRef>
          </c:cat>
          <c:val>
            <c:numRef>
              <c:f>{0.0632,0.0968}</c:f>
              <c:numCache>
                <c:formatCode>General</c:formatCode>
                <c:ptCount val="2"/>
                <c:pt idx="0">
                  <c:v>6.3200000000000006E-2</c:v>
                </c:pt>
                <c:pt idx="1">
                  <c:v>9.6799999999999997E-2</c:v>
                </c:pt>
              </c:numCache>
            </c:numRef>
          </c:val>
          <c:extLst>
            <c:ext xmlns:c16="http://schemas.microsoft.com/office/drawing/2014/chart" uri="{C3380CC4-5D6E-409C-BE32-E72D297353CC}">
              <c16:uniqueId val="{00000003-78A1-4769-95E2-D1A7548BE654}"/>
            </c:ext>
          </c:extLst>
        </c:ser>
        <c:ser>
          <c:idx val="4"/>
          <c:order val="4"/>
          <c:tx>
            <c:strRef>
              <c:f>UPC</c:f>
              <c:strCache>
                <c:ptCount val="1"/>
                <c:pt idx="0">
                  <c:v>UPC</c:v>
                </c:pt>
              </c:strCache>
            </c:strRef>
          </c:tx>
          <c:spPr>
            <a:solidFill>
              <a:srgbClr val="4472C4"/>
            </a:solidFill>
            <a:ln>
              <a:noFill/>
            </a:ln>
          </c:spPr>
          <c:invertIfNegative val="0"/>
          <c:cat>
            <c:strRef>
              <c:f>{"% NP","% NI"}</c:f>
              <c:strCache>
                <c:ptCount val="2"/>
                <c:pt idx="0">
                  <c:v>% NP</c:v>
                </c:pt>
                <c:pt idx="1">
                  <c:v>% NI</c:v>
                </c:pt>
              </c:strCache>
            </c:strRef>
          </c:cat>
          <c:val>
            <c:numRef>
              <c:f>{0.0579,0.0806}</c:f>
              <c:numCache>
                <c:formatCode>General</c:formatCode>
                <c:ptCount val="2"/>
                <c:pt idx="0">
                  <c:v>5.79E-2</c:v>
                </c:pt>
                <c:pt idx="1">
                  <c:v>8.0600000000000005E-2</c:v>
                </c:pt>
              </c:numCache>
            </c:numRef>
          </c:val>
          <c:extLst>
            <c:ext xmlns:c16="http://schemas.microsoft.com/office/drawing/2014/chart" uri="{C3380CC4-5D6E-409C-BE32-E72D297353CC}">
              <c16:uniqueId val="{00000004-78A1-4769-95E2-D1A7548BE654}"/>
            </c:ext>
          </c:extLst>
        </c:ser>
        <c:ser>
          <c:idx val="5"/>
          <c:order val="5"/>
          <c:tx>
            <c:strRef>
              <c:f>ADF/RDA</c:f>
              <c:strCache>
                <c:ptCount val="1"/>
                <c:pt idx="0">
                  <c:v>ADF/RDA</c:v>
                </c:pt>
              </c:strCache>
            </c:strRef>
          </c:tx>
          <c:spPr>
            <a:solidFill>
              <a:srgbClr val="70AD47"/>
            </a:solidFill>
            <a:ln>
              <a:noFill/>
            </a:ln>
          </c:spPr>
          <c:invertIfNegative val="0"/>
          <c:cat>
            <c:strRef>
              <c:f>{"% NP","% NI"}</c:f>
              <c:strCache>
                <c:ptCount val="2"/>
                <c:pt idx="0">
                  <c:v>% NP</c:v>
                </c:pt>
                <c:pt idx="1">
                  <c:v>% NI</c:v>
                </c:pt>
              </c:strCache>
            </c:strRef>
          </c:cat>
          <c:val>
            <c:numRef>
              <c:f>{0.0474,0.0484}</c:f>
              <c:numCache>
                <c:formatCode>General</c:formatCode>
                <c:ptCount val="2"/>
                <c:pt idx="0">
                  <c:v>4.7399999999999998E-2</c:v>
                </c:pt>
                <c:pt idx="1">
                  <c:v>4.8399999999999999E-2</c:v>
                </c:pt>
              </c:numCache>
            </c:numRef>
          </c:val>
          <c:extLst>
            <c:ext xmlns:c16="http://schemas.microsoft.com/office/drawing/2014/chart" uri="{C3380CC4-5D6E-409C-BE32-E72D297353CC}">
              <c16:uniqueId val="{00000005-78A1-4769-95E2-D1A7548BE654}"/>
            </c:ext>
          </c:extLst>
        </c:ser>
        <c:ser>
          <c:idx val="6"/>
          <c:order val="6"/>
          <c:tx>
            <c:strRef>
              <c:f>PDP-PS</c:f>
              <c:strCache>
                <c:ptCount val="1"/>
                <c:pt idx="0">
                  <c:v>PDP-PS</c:v>
                </c:pt>
              </c:strCache>
            </c:strRef>
          </c:tx>
          <c:spPr>
            <a:solidFill>
              <a:srgbClr val="255E91"/>
            </a:solidFill>
            <a:ln>
              <a:noFill/>
            </a:ln>
          </c:spPr>
          <c:invertIfNegative val="0"/>
          <c:cat>
            <c:strRef>
              <c:f>{"% NP","% NI"}</c:f>
              <c:strCache>
                <c:ptCount val="2"/>
                <c:pt idx="0">
                  <c:v>% NP</c:v>
                </c:pt>
                <c:pt idx="1">
                  <c:v>% NI</c:v>
                </c:pt>
              </c:strCache>
            </c:strRef>
          </c:cat>
          <c:val>
            <c:numRef>
              <c:f>{0.0442,0.0484}</c:f>
              <c:numCache>
                <c:formatCode>General</c:formatCode>
                <c:ptCount val="2"/>
                <c:pt idx="0">
                  <c:v>4.4200000000000003E-2</c:v>
                </c:pt>
                <c:pt idx="1">
                  <c:v>4.8399999999999999E-2</c:v>
                </c:pt>
              </c:numCache>
            </c:numRef>
          </c:val>
          <c:extLst>
            <c:ext xmlns:c16="http://schemas.microsoft.com/office/drawing/2014/chart" uri="{C3380CC4-5D6E-409C-BE32-E72D297353CC}">
              <c16:uniqueId val="{00000006-78A1-4769-95E2-D1A7548BE654}"/>
            </c:ext>
          </c:extLst>
        </c:ser>
        <c:ser>
          <c:idx val="7"/>
          <c:order val="7"/>
          <c:tx>
            <c:strRef>
              <c:f>CRP</c:f>
              <c:strCache>
                <c:ptCount val="1"/>
                <c:pt idx="0">
                  <c:v>CRP</c:v>
                </c:pt>
              </c:strCache>
            </c:strRef>
          </c:tx>
          <c:spPr>
            <a:solidFill>
              <a:srgbClr val="9E480E"/>
            </a:solidFill>
            <a:ln>
              <a:noFill/>
            </a:ln>
          </c:spPr>
          <c:invertIfNegative val="0"/>
          <c:cat>
            <c:strRef>
              <c:f>{"% NP","% NI"}</c:f>
              <c:strCache>
                <c:ptCount val="2"/>
                <c:pt idx="0">
                  <c:v>% NP</c:v>
                </c:pt>
                <c:pt idx="1">
                  <c:v>% NI</c:v>
                </c:pt>
              </c:strCache>
            </c:strRef>
          </c:cat>
          <c:val>
            <c:numRef>
              <c:f>{0.0395,0.0323}</c:f>
              <c:numCache>
                <c:formatCode>General</c:formatCode>
                <c:ptCount val="2"/>
                <c:pt idx="0">
                  <c:v>3.95E-2</c:v>
                </c:pt>
                <c:pt idx="1">
                  <c:v>3.2300000000000002E-2</c:v>
                </c:pt>
              </c:numCache>
            </c:numRef>
          </c:val>
          <c:extLst>
            <c:ext xmlns:c16="http://schemas.microsoft.com/office/drawing/2014/chart" uri="{C3380CC4-5D6E-409C-BE32-E72D297353CC}">
              <c16:uniqueId val="{00000007-78A1-4769-95E2-D1A7548BE654}"/>
            </c:ext>
          </c:extLst>
        </c:ser>
        <c:ser>
          <c:idx val="8"/>
          <c:order val="8"/>
          <c:tx>
            <c:strRef>
              <c:f>FP </c:f>
              <c:strCache>
                <c:ptCount val="1"/>
                <c:pt idx="0">
                  <c:v>FP </c:v>
                </c:pt>
              </c:strCache>
            </c:strRef>
          </c:tx>
          <c:spPr>
            <a:solidFill>
              <a:srgbClr val="636363"/>
            </a:solidFill>
            <a:ln>
              <a:noFill/>
            </a:ln>
          </c:spPr>
          <c:invertIfNegative val="0"/>
          <c:cat>
            <c:strRef>
              <c:f>{"% NP","% NI"}</c:f>
              <c:strCache>
                <c:ptCount val="2"/>
                <c:pt idx="0">
                  <c:v>% NP</c:v>
                </c:pt>
                <c:pt idx="1">
                  <c:v>% NI</c:v>
                </c:pt>
              </c:strCache>
            </c:strRef>
          </c:cat>
          <c:val>
            <c:numRef>
              <c:f>{0.0316,0.0161}</c:f>
              <c:numCache>
                <c:formatCode>General</c:formatCode>
                <c:ptCount val="2"/>
                <c:pt idx="0">
                  <c:v>3.1600000000000003E-2</c:v>
                </c:pt>
                <c:pt idx="1">
                  <c:v>1.61E-2</c:v>
                </c:pt>
              </c:numCache>
            </c:numRef>
          </c:val>
          <c:extLst>
            <c:ext xmlns:c16="http://schemas.microsoft.com/office/drawing/2014/chart" uri="{C3380CC4-5D6E-409C-BE32-E72D297353CC}">
              <c16:uniqueId val="{00000008-78A1-4769-95E2-D1A7548BE654}"/>
            </c:ext>
          </c:extLst>
        </c:ser>
        <c:ser>
          <c:idx val="9"/>
          <c:order val="9"/>
          <c:tx>
            <c:strRef>
              <c:f>RPD</c:f>
              <c:strCache>
                <c:ptCount val="1"/>
                <c:pt idx="0">
                  <c:v>RPD</c:v>
                </c:pt>
              </c:strCache>
            </c:strRef>
          </c:tx>
          <c:spPr>
            <a:solidFill>
              <a:srgbClr val="997300"/>
            </a:solidFill>
            <a:ln>
              <a:noFill/>
            </a:ln>
          </c:spPr>
          <c:invertIfNegative val="0"/>
          <c:cat>
            <c:strRef>
              <c:f>{"% NP","% NI"}</c:f>
              <c:strCache>
                <c:ptCount val="2"/>
                <c:pt idx="0">
                  <c:v>% NP</c:v>
                </c:pt>
                <c:pt idx="1">
                  <c:v>% NI</c:v>
                </c:pt>
              </c:strCache>
            </c:strRef>
          </c:cat>
          <c:val>
            <c:numRef>
              <c:f>{0.0316,0}</c:f>
              <c:numCache>
                <c:formatCode>General</c:formatCode>
                <c:ptCount val="2"/>
                <c:pt idx="0">
                  <c:v>3.1600000000000003E-2</c:v>
                </c:pt>
                <c:pt idx="1">
                  <c:v>0</c:v>
                </c:pt>
              </c:numCache>
            </c:numRef>
          </c:val>
          <c:extLst>
            <c:ext xmlns:c16="http://schemas.microsoft.com/office/drawing/2014/chart" uri="{C3380CC4-5D6E-409C-BE32-E72D297353CC}">
              <c16:uniqueId val="{00000009-78A1-4769-95E2-D1A7548BE654}"/>
            </c:ext>
          </c:extLst>
        </c:ser>
        <c:dLbls>
          <c:showLegendKey val="0"/>
          <c:showVal val="0"/>
          <c:showCatName val="0"/>
          <c:showSerName val="0"/>
          <c:showPercent val="0"/>
          <c:showBubbleSize val="0"/>
        </c:dLbls>
        <c:gapWidth val="219"/>
        <c:overlap val="-27"/>
        <c:axId val="166015983"/>
        <c:axId val="166017647"/>
      </c:barChart>
      <c:catAx>
        <c:axId val="166015983"/>
        <c:scaling>
          <c:orientation val="minMax"/>
        </c:scaling>
        <c:delete val="0"/>
        <c:axPos val="b"/>
        <c:numFmt formatCode="General" sourceLinked="0"/>
        <c:majorTickMark val="none"/>
        <c:minorTickMark val="none"/>
        <c:tickLblPos val="nextTo"/>
        <c:spPr>
          <a:noFill/>
          <a:ln w="9528" cap="flat" cmpd="sng" algn="ctr">
            <a:solidFill>
              <a:srgbClr val="D9D9D9"/>
            </a:solidFill>
            <a:prstDash val="solid"/>
            <a:round/>
          </a:ln>
        </c:spPr>
        <c:txPr>
          <a:bodyPr rot="-60000000" spcFirstLastPara="0" vertOverflow="ellipsis" vert="horz" wrap="square" lIns="0" tIns="0" rIns="0" bIns="0" anchor="ctr" anchorCtr="1"/>
          <a:lstStyle/>
          <a:p>
            <a:pPr>
              <a:defRPr lang="fr-FR" sz="900" b="0" i="0" u="none" strike="noStrike" kern="1200" baseline="0">
                <a:solidFill>
                  <a:srgbClr val="595959"/>
                </a:solidFill>
                <a:latin typeface="Calibri" panose="020F0502020204030204"/>
                <a:ea typeface="+mn-ea"/>
                <a:cs typeface="+mn-cs"/>
              </a:defRPr>
            </a:pPr>
            <a:endParaRPr lang="fr-FR"/>
          </a:p>
        </c:txPr>
        <c:crossAx val="166017647"/>
        <c:crosses val="autoZero"/>
        <c:auto val="1"/>
        <c:lblAlgn val="ctr"/>
        <c:lblOffset val="100"/>
        <c:noMultiLvlLbl val="0"/>
      </c:catAx>
      <c:valAx>
        <c:axId val="166017647"/>
        <c:scaling>
          <c:orientation val="minMax"/>
        </c:scaling>
        <c:delete val="0"/>
        <c:axPos val="l"/>
        <c:majorGridlines>
          <c:spPr>
            <a:ln w="9528" cap="flat" cmpd="sng" algn="ctr">
              <a:solidFill>
                <a:srgbClr val="D9D9D9"/>
              </a:solidFill>
              <a:prstDash val="solid"/>
              <a:round/>
            </a:ln>
          </c:spPr>
        </c:majorGridlines>
        <c:numFmt formatCode="0.00%" sourceLinked="0"/>
        <c:majorTickMark val="none"/>
        <c:minorTickMark val="none"/>
        <c:tickLblPos val="nextTo"/>
        <c:spPr>
          <a:noFill/>
          <a:ln w="6350" cap="flat" cmpd="sng" algn="ctr">
            <a:noFill/>
            <a:prstDash val="solid"/>
            <a:round/>
          </a:ln>
        </c:spPr>
        <c:txPr>
          <a:bodyPr rot="-60000000" spcFirstLastPara="0" vertOverflow="ellipsis" vert="horz" wrap="square" lIns="0" tIns="0" rIns="0" bIns="0" anchor="ctr" anchorCtr="1"/>
          <a:lstStyle/>
          <a:p>
            <a:pPr>
              <a:defRPr lang="fr-FR" sz="900" b="1" i="0" u="none" strike="noStrike" kern="1200" baseline="0">
                <a:solidFill>
                  <a:srgbClr val="595959"/>
                </a:solidFill>
                <a:latin typeface="Calibri" panose="020F0502020204030204"/>
                <a:ea typeface="+mn-ea"/>
                <a:cs typeface="+mn-cs"/>
              </a:defRPr>
            </a:pPr>
            <a:endParaRPr lang="fr-FR"/>
          </a:p>
        </c:txPr>
        <c:crossAx val="166015983"/>
        <c:crosses val="autoZero"/>
        <c:crossBetween val="between"/>
      </c:valAx>
      <c:spPr>
        <a:noFill/>
        <a:ln>
          <a:noFill/>
        </a:ln>
      </c:spPr>
    </c:plotArea>
    <c:legend>
      <c:legendPos val="b"/>
      <c:overlay val="0"/>
      <c:spPr>
        <a:noFill/>
        <a:ln>
          <a:noFill/>
        </a:ln>
      </c:spPr>
      <c:txPr>
        <a:bodyPr rot="0" spcFirstLastPara="0" vertOverflow="ellipsis" vert="horz" wrap="square" lIns="0" tIns="0" rIns="0" bIns="0" anchor="ctr" anchorCtr="1"/>
        <a:lstStyle/>
        <a:p>
          <a:pPr>
            <a:defRPr lang="fr-FR" sz="900" b="1" i="0" u="none" strike="noStrike" kern="1200" baseline="0">
              <a:solidFill>
                <a:srgbClr val="595959"/>
              </a:solidFill>
              <a:latin typeface="Calibri" panose="020F0502020204030204"/>
              <a:ea typeface="+mn-ea"/>
              <a:cs typeface="+mn-cs"/>
            </a:defRPr>
          </a:pPr>
          <a:endParaRPr lang="fr-FR"/>
        </a:p>
      </c:txPr>
    </c:legend>
    <c:plotVisOnly val="1"/>
    <c:dispBlanksAs val="gap"/>
    <c:showDLblsOverMax val="0"/>
  </c:chart>
  <c:spPr>
    <a:solidFill>
      <a:srgbClr val="FFFFFF"/>
    </a:solidFill>
    <a:ln w="9528" cap="flat" cmpd="sng" algn="ctr">
      <a:solidFill>
        <a:srgbClr val="D9D9D9"/>
      </a:solidFill>
      <a:prstDash val="solid"/>
      <a:round/>
    </a:ln>
  </c:spPr>
  <c:txPr>
    <a:bodyPr lIns="0" tIns="0" rIns="0" bIns="0"/>
    <a:lstStyle/>
    <a:p>
      <a:pPr>
        <a:defRPr lang="fr-FR" sz="1000" b="0" i="0" u="none" strike="noStrike" kern="1200" baseline="0">
          <a:solidFill>
            <a:srgbClr val="000000"/>
          </a:solidFill>
          <a:latin typeface="Calibri" panose="020F0502020204030204"/>
        </a:defRPr>
      </a:pPr>
      <a:endParaRPr lang="fr-F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lIns="0" tIns="0" rIns="0" bIns="0" anchor="ctr" anchorCtr="1"/>
          <a:lstStyle/>
          <a:p>
            <a:pPr marL="0" marR="0" indent="0" algn="ctr" defTabSz="914400" fontAlgn="auto" hangingPunct="1">
              <a:lnSpc>
                <a:spcPct val="100000"/>
              </a:lnSpc>
              <a:spcBef>
                <a:spcPts val="0"/>
              </a:spcBef>
              <a:spcAft>
                <a:spcPts val="0"/>
              </a:spcAft>
              <a:defRPr lang="fr-FR" sz="1400" b="1" i="0" u="none" strike="noStrike" kern="1200" spc="0" baseline="0">
                <a:solidFill>
                  <a:srgbClr val="595959"/>
                </a:solidFill>
                <a:latin typeface="Calibri" panose="020F0502020204030204"/>
                <a:ea typeface="+mn-ea"/>
                <a:cs typeface="+mn-cs"/>
              </a:defRPr>
            </a:pPr>
            <a:r>
              <a:rPr lang="fr-FR" sz="1400" b="1" i="0" u="none" strike="noStrike" kern="1200" cap="none" spc="0" baseline="0">
                <a:solidFill>
                  <a:srgbClr val="595959"/>
                </a:solidFill>
                <a:uFillTx/>
                <a:latin typeface="Calibri" panose="020F0502020204030204"/>
              </a:rPr>
              <a:t>L'OBSERVATEUR PAALGA</a:t>
            </a:r>
          </a:p>
        </c:rich>
      </c:tx>
      <c:overlay val="0"/>
      <c:spPr>
        <a:noFill/>
        <a:ln>
          <a:noFill/>
        </a:ln>
      </c:spPr>
    </c:title>
    <c:autoTitleDeleted val="0"/>
    <c:plotArea>
      <c:layout/>
      <c:barChart>
        <c:barDir val="col"/>
        <c:grouping val="clustered"/>
        <c:varyColors val="0"/>
        <c:ser>
          <c:idx val="0"/>
          <c:order val="0"/>
          <c:tx>
            <c:strRef>
              <c:f>CDP</c:f>
              <c:strCache>
                <c:ptCount val="1"/>
                <c:pt idx="0">
                  <c:v>CDP</c:v>
                </c:pt>
              </c:strCache>
            </c:strRef>
          </c:tx>
          <c:spPr>
            <a:solidFill>
              <a:srgbClr val="5B9BD5"/>
            </a:solidFill>
            <a:ln>
              <a:noFill/>
            </a:ln>
          </c:spPr>
          <c:invertIfNegative val="0"/>
          <c:cat>
            <c:strRef>
              <c:f>{"% NP","% NI"}</c:f>
              <c:strCache>
                <c:ptCount val="2"/>
                <c:pt idx="0">
                  <c:v>% NP</c:v>
                </c:pt>
                <c:pt idx="1">
                  <c:v>% NI</c:v>
                </c:pt>
              </c:strCache>
            </c:strRef>
          </c:cat>
          <c:val>
            <c:numRef>
              <c:f>{0.2532,0.181}</c:f>
              <c:numCache>
                <c:formatCode>General</c:formatCode>
                <c:ptCount val="2"/>
                <c:pt idx="0">
                  <c:v>0.25319999999999998</c:v>
                </c:pt>
                <c:pt idx="1">
                  <c:v>0.18099999999999999</c:v>
                </c:pt>
              </c:numCache>
            </c:numRef>
          </c:val>
          <c:extLst>
            <c:ext xmlns:c16="http://schemas.microsoft.com/office/drawing/2014/chart" uri="{C3380CC4-5D6E-409C-BE32-E72D297353CC}">
              <c16:uniqueId val="{00000000-2728-4D05-BF7A-1F9B9948E1E9}"/>
            </c:ext>
          </c:extLst>
        </c:ser>
        <c:ser>
          <c:idx val="1"/>
          <c:order val="1"/>
          <c:tx>
            <c:strRef>
              <c:f>MPP</c:f>
              <c:strCache>
                <c:ptCount val="1"/>
                <c:pt idx="0">
                  <c:v>MPP</c:v>
                </c:pt>
              </c:strCache>
            </c:strRef>
          </c:tx>
          <c:spPr>
            <a:solidFill>
              <a:srgbClr val="ED7D31"/>
            </a:solidFill>
            <a:ln>
              <a:noFill/>
            </a:ln>
          </c:spPr>
          <c:invertIfNegative val="0"/>
          <c:cat>
            <c:strRef>
              <c:f>{"% NP","% NI"}</c:f>
              <c:strCache>
                <c:ptCount val="2"/>
                <c:pt idx="0">
                  <c:v>% NP</c:v>
                </c:pt>
                <c:pt idx="1">
                  <c:v>% NI</c:v>
                </c:pt>
              </c:strCache>
            </c:strRef>
          </c:cat>
          <c:val>
            <c:numRef>
              <c:f>{0.2199,0.25}</c:f>
              <c:numCache>
                <c:formatCode>General</c:formatCode>
                <c:ptCount val="2"/>
                <c:pt idx="0">
                  <c:v>0.21990000000000001</c:v>
                </c:pt>
                <c:pt idx="1">
                  <c:v>0.25</c:v>
                </c:pt>
              </c:numCache>
            </c:numRef>
          </c:val>
          <c:extLst>
            <c:ext xmlns:c16="http://schemas.microsoft.com/office/drawing/2014/chart" uri="{C3380CC4-5D6E-409C-BE32-E72D297353CC}">
              <c16:uniqueId val="{00000001-2728-4D05-BF7A-1F9B9948E1E9}"/>
            </c:ext>
          </c:extLst>
        </c:ser>
        <c:ser>
          <c:idx val="2"/>
          <c:order val="2"/>
          <c:tx>
            <c:strRef>
              <c:f>UNIR/MPS</c:f>
              <c:strCache>
                <c:ptCount val="1"/>
                <c:pt idx="0">
                  <c:v>UNIR/MPS</c:v>
                </c:pt>
              </c:strCache>
            </c:strRef>
          </c:tx>
          <c:spPr>
            <a:solidFill>
              <a:srgbClr val="A5A5A5"/>
            </a:solidFill>
            <a:ln>
              <a:noFill/>
            </a:ln>
          </c:spPr>
          <c:invertIfNegative val="0"/>
          <c:cat>
            <c:strRef>
              <c:f>{"% NP","% NI"}</c:f>
              <c:strCache>
                <c:ptCount val="2"/>
                <c:pt idx="0">
                  <c:v>% NP</c:v>
                </c:pt>
                <c:pt idx="1">
                  <c:v>% NI</c:v>
                </c:pt>
              </c:strCache>
            </c:strRef>
          </c:cat>
          <c:val>
            <c:numRef>
              <c:f>{0.1215,0.069}</c:f>
              <c:numCache>
                <c:formatCode>General</c:formatCode>
                <c:ptCount val="2"/>
                <c:pt idx="0">
                  <c:v>0.1215</c:v>
                </c:pt>
                <c:pt idx="1">
                  <c:v>6.9000000000000006E-2</c:v>
                </c:pt>
              </c:numCache>
            </c:numRef>
          </c:val>
          <c:extLst>
            <c:ext xmlns:c16="http://schemas.microsoft.com/office/drawing/2014/chart" uri="{C3380CC4-5D6E-409C-BE32-E72D297353CC}">
              <c16:uniqueId val="{00000002-2728-4D05-BF7A-1F9B9948E1E9}"/>
            </c:ext>
          </c:extLst>
        </c:ser>
        <c:ser>
          <c:idx val="3"/>
          <c:order val="3"/>
          <c:tx>
            <c:strRef>
              <c:f>SA</c:f>
              <c:strCache>
                <c:ptCount val="1"/>
                <c:pt idx="0">
                  <c:v>SA</c:v>
                </c:pt>
              </c:strCache>
            </c:strRef>
          </c:tx>
          <c:spPr>
            <a:solidFill>
              <a:srgbClr val="FFC000"/>
            </a:solidFill>
            <a:ln>
              <a:noFill/>
            </a:ln>
          </c:spPr>
          <c:invertIfNegative val="0"/>
          <c:cat>
            <c:strRef>
              <c:f>{"% NP","% NI"}</c:f>
              <c:strCache>
                <c:ptCount val="2"/>
                <c:pt idx="0">
                  <c:v>% NP</c:v>
                </c:pt>
                <c:pt idx="1">
                  <c:v>% NI</c:v>
                </c:pt>
              </c:strCache>
            </c:strRef>
          </c:cat>
          <c:val>
            <c:numRef>
              <c:f>{0.0614,0.069}</c:f>
              <c:numCache>
                <c:formatCode>General</c:formatCode>
                <c:ptCount val="2"/>
                <c:pt idx="0">
                  <c:v>6.1400000000000003E-2</c:v>
                </c:pt>
                <c:pt idx="1">
                  <c:v>6.9000000000000006E-2</c:v>
                </c:pt>
              </c:numCache>
            </c:numRef>
          </c:val>
          <c:extLst>
            <c:ext xmlns:c16="http://schemas.microsoft.com/office/drawing/2014/chart" uri="{C3380CC4-5D6E-409C-BE32-E72D297353CC}">
              <c16:uniqueId val="{00000003-2728-4D05-BF7A-1F9B9948E1E9}"/>
            </c:ext>
          </c:extLst>
        </c:ser>
        <c:ser>
          <c:idx val="4"/>
          <c:order val="4"/>
          <c:tx>
            <c:strRef>
              <c:f>UPC</c:f>
              <c:strCache>
                <c:ptCount val="1"/>
                <c:pt idx="0">
                  <c:v>UPC</c:v>
                </c:pt>
              </c:strCache>
            </c:strRef>
          </c:tx>
          <c:spPr>
            <a:solidFill>
              <a:srgbClr val="4472C4"/>
            </a:solidFill>
            <a:ln>
              <a:noFill/>
            </a:ln>
          </c:spPr>
          <c:invertIfNegative val="0"/>
          <c:cat>
            <c:strRef>
              <c:f>{"% NP","% NI"}</c:f>
              <c:strCache>
                <c:ptCount val="2"/>
                <c:pt idx="0">
                  <c:v>% NP</c:v>
                </c:pt>
                <c:pt idx="1">
                  <c:v>% NI</c:v>
                </c:pt>
              </c:strCache>
            </c:strRef>
          </c:cat>
          <c:val>
            <c:numRef>
              <c:f>{0.055,0.0603}</c:f>
              <c:numCache>
                <c:formatCode>General</c:formatCode>
                <c:ptCount val="2"/>
                <c:pt idx="0">
                  <c:v>5.5E-2</c:v>
                </c:pt>
                <c:pt idx="1">
                  <c:v>6.0299999999999999E-2</c:v>
                </c:pt>
              </c:numCache>
            </c:numRef>
          </c:val>
          <c:extLst>
            <c:ext xmlns:c16="http://schemas.microsoft.com/office/drawing/2014/chart" uri="{C3380CC4-5D6E-409C-BE32-E72D297353CC}">
              <c16:uniqueId val="{00000004-2728-4D05-BF7A-1F9B9948E1E9}"/>
            </c:ext>
          </c:extLst>
        </c:ser>
        <c:ser>
          <c:idx val="5"/>
          <c:order val="5"/>
          <c:tx>
            <c:strRef>
              <c:f>BURK YIR</c:f>
              <c:strCache>
                <c:ptCount val="1"/>
                <c:pt idx="0">
                  <c:v>BURK YIR</c:v>
                </c:pt>
              </c:strCache>
            </c:strRef>
          </c:tx>
          <c:spPr>
            <a:solidFill>
              <a:srgbClr val="70AD47"/>
            </a:solidFill>
            <a:ln>
              <a:noFill/>
            </a:ln>
          </c:spPr>
          <c:invertIfNegative val="0"/>
          <c:cat>
            <c:strRef>
              <c:f>{"% NP","% NI"}</c:f>
              <c:strCache>
                <c:ptCount val="2"/>
                <c:pt idx="0">
                  <c:v>% NP</c:v>
                </c:pt>
                <c:pt idx="1">
                  <c:v>% NI</c:v>
                </c:pt>
              </c:strCache>
            </c:strRef>
          </c:cat>
          <c:val>
            <c:numRef>
              <c:f>{0.046,0.0603}</c:f>
              <c:numCache>
                <c:formatCode>General</c:formatCode>
                <c:ptCount val="2"/>
                <c:pt idx="0">
                  <c:v>4.5999999999999999E-2</c:v>
                </c:pt>
                <c:pt idx="1">
                  <c:v>6.0299999999999999E-2</c:v>
                </c:pt>
              </c:numCache>
            </c:numRef>
          </c:val>
          <c:extLst>
            <c:ext xmlns:c16="http://schemas.microsoft.com/office/drawing/2014/chart" uri="{C3380CC4-5D6E-409C-BE32-E72D297353CC}">
              <c16:uniqueId val="{00000005-2728-4D05-BF7A-1F9B9948E1E9}"/>
            </c:ext>
          </c:extLst>
        </c:ser>
        <c:ser>
          <c:idx val="6"/>
          <c:order val="6"/>
          <c:tx>
            <c:strRef>
              <c:f>PPS</c:f>
              <c:strCache>
                <c:ptCount val="1"/>
                <c:pt idx="0">
                  <c:v>PPS</c:v>
                </c:pt>
              </c:strCache>
            </c:strRef>
          </c:tx>
          <c:spPr>
            <a:solidFill>
              <a:srgbClr val="255E91"/>
            </a:solidFill>
            <a:ln>
              <a:noFill/>
            </a:ln>
          </c:spPr>
          <c:invertIfNegative val="0"/>
          <c:cat>
            <c:strRef>
              <c:f>{"% NP","% NI"}</c:f>
              <c:strCache>
                <c:ptCount val="2"/>
                <c:pt idx="0">
                  <c:v>% NP</c:v>
                </c:pt>
                <c:pt idx="1">
                  <c:v>% NI</c:v>
                </c:pt>
              </c:strCache>
            </c:strRef>
          </c:cat>
          <c:val>
            <c:numRef>
              <c:f>{0.0345,0.0259}</c:f>
              <c:numCache>
                <c:formatCode>General</c:formatCode>
                <c:ptCount val="2"/>
                <c:pt idx="0">
                  <c:v>3.4500000000000003E-2</c:v>
                </c:pt>
                <c:pt idx="1">
                  <c:v>2.5899999999999999E-2</c:v>
                </c:pt>
              </c:numCache>
            </c:numRef>
          </c:val>
          <c:extLst>
            <c:ext xmlns:c16="http://schemas.microsoft.com/office/drawing/2014/chart" uri="{C3380CC4-5D6E-409C-BE32-E72D297353CC}">
              <c16:uniqueId val="{00000006-2728-4D05-BF7A-1F9B9948E1E9}"/>
            </c:ext>
          </c:extLst>
        </c:ser>
        <c:ser>
          <c:idx val="7"/>
          <c:order val="7"/>
          <c:tx>
            <c:strRef>
              <c:f>UNDD</c:f>
              <c:strCache>
                <c:ptCount val="1"/>
                <c:pt idx="0">
                  <c:v>UNDD</c:v>
                </c:pt>
              </c:strCache>
            </c:strRef>
          </c:tx>
          <c:spPr>
            <a:solidFill>
              <a:srgbClr val="9E480E"/>
            </a:solidFill>
            <a:ln>
              <a:noFill/>
            </a:ln>
          </c:spPr>
          <c:invertIfNegative val="0"/>
          <c:cat>
            <c:strRef>
              <c:f>{"% NP","% NI"}</c:f>
              <c:strCache>
                <c:ptCount val="2"/>
                <c:pt idx="0">
                  <c:v>% NP</c:v>
                </c:pt>
                <c:pt idx="1">
                  <c:v>% NI</c:v>
                </c:pt>
              </c:strCache>
            </c:strRef>
          </c:cat>
          <c:val>
            <c:numRef>
              <c:f>{0.0307,0.0517}</c:f>
              <c:numCache>
                <c:formatCode>General</c:formatCode>
                <c:ptCount val="2"/>
                <c:pt idx="0">
                  <c:v>3.0700000000000002E-2</c:v>
                </c:pt>
                <c:pt idx="1">
                  <c:v>5.1700000000000003E-2</c:v>
                </c:pt>
              </c:numCache>
            </c:numRef>
          </c:val>
          <c:extLst>
            <c:ext xmlns:c16="http://schemas.microsoft.com/office/drawing/2014/chart" uri="{C3380CC4-5D6E-409C-BE32-E72D297353CC}">
              <c16:uniqueId val="{00000007-2728-4D05-BF7A-1F9B9948E1E9}"/>
            </c:ext>
          </c:extLst>
        </c:ser>
        <c:ser>
          <c:idx val="8"/>
          <c:order val="8"/>
          <c:tx>
            <c:strRef>
              <c:f>RDR</c:f>
              <c:strCache>
                <c:ptCount val="1"/>
                <c:pt idx="0">
                  <c:v>RDR</c:v>
                </c:pt>
              </c:strCache>
            </c:strRef>
          </c:tx>
          <c:spPr>
            <a:solidFill>
              <a:srgbClr val="636363"/>
            </a:solidFill>
            <a:ln>
              <a:noFill/>
            </a:ln>
          </c:spPr>
          <c:invertIfNegative val="0"/>
          <c:cat>
            <c:strRef>
              <c:f>{"% NP","% NI"}</c:f>
              <c:strCache>
                <c:ptCount val="2"/>
                <c:pt idx="0">
                  <c:v>% NP</c:v>
                </c:pt>
                <c:pt idx="1">
                  <c:v>% NI</c:v>
                </c:pt>
              </c:strCache>
            </c:strRef>
          </c:cat>
          <c:val>
            <c:numRef>
              <c:f>{0.0307,0.0259}</c:f>
              <c:numCache>
                <c:formatCode>General</c:formatCode>
                <c:ptCount val="2"/>
                <c:pt idx="0">
                  <c:v>3.0700000000000002E-2</c:v>
                </c:pt>
                <c:pt idx="1">
                  <c:v>2.5899999999999999E-2</c:v>
                </c:pt>
              </c:numCache>
            </c:numRef>
          </c:val>
          <c:extLst>
            <c:ext xmlns:c16="http://schemas.microsoft.com/office/drawing/2014/chart" uri="{C3380CC4-5D6E-409C-BE32-E72D297353CC}">
              <c16:uniqueId val="{00000008-2728-4D05-BF7A-1F9B9948E1E9}"/>
            </c:ext>
          </c:extLst>
        </c:ser>
        <c:ser>
          <c:idx val="9"/>
          <c:order val="9"/>
          <c:tx>
            <c:strRef>
              <c:f>LES DEMOC</c:f>
              <c:strCache>
                <c:ptCount val="1"/>
                <c:pt idx="0">
                  <c:v>LES DEMOC</c:v>
                </c:pt>
              </c:strCache>
            </c:strRef>
          </c:tx>
          <c:spPr>
            <a:solidFill>
              <a:srgbClr val="997300"/>
            </a:solidFill>
            <a:ln>
              <a:noFill/>
            </a:ln>
          </c:spPr>
          <c:invertIfNegative val="0"/>
          <c:cat>
            <c:strRef>
              <c:f>{"% NP","% NI"}</c:f>
              <c:strCache>
                <c:ptCount val="2"/>
                <c:pt idx="0">
                  <c:v>% NP</c:v>
                </c:pt>
                <c:pt idx="1">
                  <c:v>% NI</c:v>
                </c:pt>
              </c:strCache>
            </c:strRef>
          </c:cat>
          <c:val>
            <c:numRef>
              <c:f>{0.0153,0.0259}</c:f>
              <c:numCache>
                <c:formatCode>General</c:formatCode>
                <c:ptCount val="2"/>
                <c:pt idx="0">
                  <c:v>1.5299999999999999E-2</c:v>
                </c:pt>
                <c:pt idx="1">
                  <c:v>2.5899999999999999E-2</c:v>
                </c:pt>
              </c:numCache>
            </c:numRef>
          </c:val>
          <c:extLst>
            <c:ext xmlns:c16="http://schemas.microsoft.com/office/drawing/2014/chart" uri="{C3380CC4-5D6E-409C-BE32-E72D297353CC}">
              <c16:uniqueId val="{00000009-2728-4D05-BF7A-1F9B9948E1E9}"/>
            </c:ext>
          </c:extLst>
        </c:ser>
        <c:ser>
          <c:idx val="10"/>
          <c:order val="10"/>
          <c:spPr>
            <a:solidFill>
              <a:srgbClr val="264478"/>
            </a:solidFill>
            <a:ln>
              <a:noFill/>
            </a:ln>
          </c:spPr>
          <c:invertIfNegative val="0"/>
          <c:cat>
            <c:strRef>
              <c:f>{"% NP","% NI"}</c:f>
              <c:strCache>
                <c:ptCount val="2"/>
                <c:pt idx="0">
                  <c:v>% NP</c:v>
                </c:pt>
                <c:pt idx="1">
                  <c:v>% NI</c:v>
                </c:pt>
              </c:strCache>
            </c:strRef>
          </c:cat>
          <c:val>
            <c:numRef>
              <c:f>{0,0}</c:f>
              <c:numCache>
                <c:formatCode>General</c:formatCode>
                <c:ptCount val="2"/>
                <c:pt idx="0">
                  <c:v>0</c:v>
                </c:pt>
                <c:pt idx="1">
                  <c:v>0</c:v>
                </c:pt>
              </c:numCache>
            </c:numRef>
          </c:val>
          <c:extLst>
            <c:ext xmlns:c16="http://schemas.microsoft.com/office/drawing/2014/chart" uri="{C3380CC4-5D6E-409C-BE32-E72D297353CC}">
              <c16:uniqueId val="{0000000A-2728-4D05-BF7A-1F9B9948E1E9}"/>
            </c:ext>
          </c:extLst>
        </c:ser>
        <c:ser>
          <c:idx val="11"/>
          <c:order val="11"/>
          <c:spPr>
            <a:solidFill>
              <a:srgbClr val="43682B"/>
            </a:solidFill>
            <a:ln>
              <a:noFill/>
            </a:ln>
          </c:spPr>
          <c:invertIfNegative val="0"/>
          <c:cat>
            <c:strRef>
              <c:f>{"% NP","% NI"}</c:f>
              <c:strCache>
                <c:ptCount val="2"/>
                <c:pt idx="0">
                  <c:v>% NP</c:v>
                </c:pt>
                <c:pt idx="1">
                  <c:v>% NI</c:v>
                </c:pt>
              </c:strCache>
            </c:strRef>
          </c:cat>
          <c:val>
            <c:numRef>
              <c:f>{0,0}</c:f>
              <c:numCache>
                <c:formatCode>General</c:formatCode>
                <c:ptCount val="2"/>
                <c:pt idx="0">
                  <c:v>0</c:v>
                </c:pt>
                <c:pt idx="1">
                  <c:v>0</c:v>
                </c:pt>
              </c:numCache>
            </c:numRef>
          </c:val>
          <c:extLst>
            <c:ext xmlns:c16="http://schemas.microsoft.com/office/drawing/2014/chart" uri="{C3380CC4-5D6E-409C-BE32-E72D297353CC}">
              <c16:uniqueId val="{0000000B-2728-4D05-BF7A-1F9B9948E1E9}"/>
            </c:ext>
          </c:extLst>
        </c:ser>
        <c:ser>
          <c:idx val="12"/>
          <c:order val="12"/>
          <c:spPr>
            <a:solidFill>
              <a:srgbClr val="7CAFDD"/>
            </a:solidFill>
            <a:ln>
              <a:noFill/>
            </a:ln>
          </c:spPr>
          <c:invertIfNegative val="0"/>
          <c:cat>
            <c:strRef>
              <c:f>{"% NP","% NI"}</c:f>
              <c:strCache>
                <c:ptCount val="2"/>
                <c:pt idx="0">
                  <c:v>% NP</c:v>
                </c:pt>
                <c:pt idx="1">
                  <c:v>% NI</c:v>
                </c:pt>
              </c:strCache>
            </c:strRef>
          </c:cat>
          <c:val>
            <c:numRef>
              <c:f>{0,0}</c:f>
              <c:numCache>
                <c:formatCode>General</c:formatCode>
                <c:ptCount val="2"/>
                <c:pt idx="0">
                  <c:v>0</c:v>
                </c:pt>
                <c:pt idx="1">
                  <c:v>0</c:v>
                </c:pt>
              </c:numCache>
            </c:numRef>
          </c:val>
          <c:extLst>
            <c:ext xmlns:c16="http://schemas.microsoft.com/office/drawing/2014/chart" uri="{C3380CC4-5D6E-409C-BE32-E72D297353CC}">
              <c16:uniqueId val="{0000000C-2728-4D05-BF7A-1F9B9948E1E9}"/>
            </c:ext>
          </c:extLst>
        </c:ser>
        <c:dLbls>
          <c:showLegendKey val="0"/>
          <c:showVal val="0"/>
          <c:showCatName val="0"/>
          <c:showSerName val="0"/>
          <c:showPercent val="0"/>
          <c:showBubbleSize val="0"/>
        </c:dLbls>
        <c:gapWidth val="219"/>
        <c:overlap val="-27"/>
        <c:axId val="166015567"/>
        <c:axId val="166016399"/>
      </c:barChart>
      <c:catAx>
        <c:axId val="166015567"/>
        <c:scaling>
          <c:orientation val="minMax"/>
        </c:scaling>
        <c:delete val="0"/>
        <c:axPos val="b"/>
        <c:numFmt formatCode="General" sourceLinked="0"/>
        <c:majorTickMark val="none"/>
        <c:minorTickMark val="none"/>
        <c:tickLblPos val="nextTo"/>
        <c:spPr>
          <a:noFill/>
          <a:ln w="9528" cap="flat" cmpd="sng" algn="ctr">
            <a:solidFill>
              <a:srgbClr val="D9D9D9"/>
            </a:solidFill>
            <a:prstDash val="solid"/>
            <a:round/>
          </a:ln>
        </c:spPr>
        <c:txPr>
          <a:bodyPr rot="-60000000" spcFirstLastPara="0" vertOverflow="ellipsis" vert="horz" wrap="square" lIns="0" tIns="0" rIns="0" bIns="0" anchor="ctr" anchorCtr="1"/>
          <a:lstStyle/>
          <a:p>
            <a:pPr>
              <a:defRPr lang="fr-FR" sz="900" b="1" i="0" u="none" strike="noStrike" kern="1200" baseline="0">
                <a:solidFill>
                  <a:srgbClr val="595959"/>
                </a:solidFill>
                <a:latin typeface="Calibri" panose="020F0502020204030204"/>
                <a:ea typeface="+mn-ea"/>
                <a:cs typeface="+mn-cs"/>
              </a:defRPr>
            </a:pPr>
            <a:endParaRPr lang="fr-FR"/>
          </a:p>
        </c:txPr>
        <c:crossAx val="166016399"/>
        <c:crosses val="autoZero"/>
        <c:auto val="1"/>
        <c:lblAlgn val="ctr"/>
        <c:lblOffset val="100"/>
        <c:noMultiLvlLbl val="0"/>
      </c:catAx>
      <c:valAx>
        <c:axId val="166016399"/>
        <c:scaling>
          <c:orientation val="minMax"/>
        </c:scaling>
        <c:delete val="0"/>
        <c:axPos val="l"/>
        <c:majorGridlines>
          <c:spPr>
            <a:ln w="9528" cap="flat" cmpd="sng" algn="ctr">
              <a:solidFill>
                <a:srgbClr val="D9D9D9"/>
              </a:solidFill>
              <a:prstDash val="solid"/>
              <a:round/>
            </a:ln>
          </c:spPr>
        </c:majorGridlines>
        <c:numFmt formatCode="General" sourceLinked="0"/>
        <c:majorTickMark val="none"/>
        <c:minorTickMark val="none"/>
        <c:tickLblPos val="nextTo"/>
        <c:spPr>
          <a:noFill/>
          <a:ln w="6350" cap="flat" cmpd="sng" algn="ctr">
            <a:noFill/>
            <a:prstDash val="solid"/>
            <a:round/>
          </a:ln>
        </c:spPr>
        <c:txPr>
          <a:bodyPr rot="-60000000" spcFirstLastPara="0" vertOverflow="ellipsis" vert="horz" wrap="square" lIns="0" tIns="0" rIns="0" bIns="0" anchor="ctr" anchorCtr="1"/>
          <a:lstStyle/>
          <a:p>
            <a:pPr>
              <a:defRPr lang="fr-FR" sz="900" b="1" i="0" u="none" strike="noStrike" kern="1200" baseline="0">
                <a:solidFill>
                  <a:srgbClr val="595959"/>
                </a:solidFill>
                <a:latin typeface="Calibri" panose="020F0502020204030204"/>
                <a:ea typeface="+mn-ea"/>
                <a:cs typeface="+mn-cs"/>
              </a:defRPr>
            </a:pPr>
            <a:endParaRPr lang="fr-FR"/>
          </a:p>
        </c:txPr>
        <c:crossAx val="166015567"/>
        <c:crosses val="autoZero"/>
        <c:crossBetween val="between"/>
      </c:valAx>
      <c:spPr>
        <a:noFill/>
        <a:ln>
          <a:noFill/>
        </a:ln>
      </c:spPr>
    </c:plotArea>
    <c:legend>
      <c:legendPos val="r"/>
      <c:layout>
        <c:manualLayout>
          <c:xMode val="edge"/>
          <c:yMode val="edge"/>
          <c:x val="0.79481114311260503"/>
          <c:y val="0.21052079016438699"/>
          <c:w val="0.123812820100784"/>
          <c:h val="0.78947920983561304"/>
        </c:manualLayout>
      </c:layout>
      <c:overlay val="0"/>
      <c:spPr>
        <a:noFill/>
        <a:ln>
          <a:noFill/>
        </a:ln>
      </c:spPr>
      <c:txPr>
        <a:bodyPr rot="0" spcFirstLastPara="0" vertOverflow="ellipsis" vert="horz" wrap="square" lIns="0" tIns="0" rIns="0" bIns="0" anchor="ctr" anchorCtr="1"/>
        <a:lstStyle/>
        <a:p>
          <a:pPr>
            <a:defRPr lang="fr-FR" sz="900" b="1" i="0" u="none" strike="noStrike" kern="1200" baseline="0">
              <a:solidFill>
                <a:srgbClr val="595959"/>
              </a:solidFill>
              <a:latin typeface="Calibri" panose="020F0502020204030204"/>
              <a:ea typeface="+mn-ea"/>
              <a:cs typeface="+mn-cs"/>
            </a:defRPr>
          </a:pPr>
          <a:endParaRPr lang="fr-FR"/>
        </a:p>
      </c:txPr>
    </c:legend>
    <c:plotVisOnly val="1"/>
    <c:dispBlanksAs val="gap"/>
    <c:showDLblsOverMax val="0"/>
  </c:chart>
  <c:spPr>
    <a:solidFill>
      <a:srgbClr val="FFFFFF"/>
    </a:solidFill>
    <a:ln w="9528" cap="flat" cmpd="sng" algn="ctr">
      <a:solidFill>
        <a:srgbClr val="D9D9D9"/>
      </a:solidFill>
      <a:prstDash val="solid"/>
      <a:round/>
    </a:ln>
  </c:spPr>
  <c:txPr>
    <a:bodyPr lIns="0" tIns="0" rIns="0" bIns="0"/>
    <a:lstStyle/>
    <a:p>
      <a:pPr>
        <a:defRPr lang="fr-FR" sz="1000" b="0" i="0" u="none" strike="noStrike" kern="1200" baseline="0">
          <a:solidFill>
            <a:srgbClr val="000000"/>
          </a:solidFill>
          <a:latin typeface="Calibri" panose="020F0502020204030204"/>
        </a:defRPr>
      </a:pPr>
      <a:endParaRPr lang="fr-F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lIns="0" tIns="0" rIns="0" bIns="0" anchor="ctr" anchorCtr="1"/>
          <a:lstStyle/>
          <a:p>
            <a:pPr marL="0" marR="0" indent="0" algn="ctr" defTabSz="914400" fontAlgn="auto" hangingPunct="1">
              <a:lnSpc>
                <a:spcPct val="100000"/>
              </a:lnSpc>
              <a:spcBef>
                <a:spcPts val="0"/>
              </a:spcBef>
              <a:spcAft>
                <a:spcPts val="0"/>
              </a:spcAft>
              <a:defRPr lang="fr-FR" sz="1400" b="1" i="0" u="none" strike="noStrike" kern="1200" spc="0" baseline="0">
                <a:solidFill>
                  <a:srgbClr val="595959"/>
                </a:solidFill>
                <a:latin typeface="Calibri" panose="020F0502020204030204"/>
                <a:ea typeface="+mn-ea"/>
                <a:cs typeface="+mn-cs"/>
              </a:defRPr>
            </a:pPr>
            <a:r>
              <a:rPr lang="fr-FR" sz="1400" b="1" i="0" u="none" strike="noStrike" kern="1200" cap="none" spc="0" baseline="0">
                <a:solidFill>
                  <a:srgbClr val="595959"/>
                </a:solidFill>
                <a:uFillTx/>
                <a:latin typeface="Calibri" panose="020F0502020204030204"/>
              </a:rPr>
              <a:t>LE PAYS</a:t>
            </a:r>
          </a:p>
        </c:rich>
      </c:tx>
      <c:overlay val="0"/>
      <c:spPr>
        <a:noFill/>
        <a:ln>
          <a:noFill/>
        </a:ln>
      </c:spPr>
    </c:title>
    <c:autoTitleDeleted val="0"/>
    <c:plotArea>
      <c:layout/>
      <c:barChart>
        <c:barDir val="col"/>
        <c:grouping val="clustered"/>
        <c:varyColors val="0"/>
        <c:ser>
          <c:idx val="0"/>
          <c:order val="0"/>
          <c:tx>
            <c:strRef>
              <c:f>CDP</c:f>
              <c:strCache>
                <c:ptCount val="1"/>
                <c:pt idx="0">
                  <c:v>CDP</c:v>
                </c:pt>
              </c:strCache>
            </c:strRef>
          </c:tx>
          <c:spPr>
            <a:solidFill>
              <a:srgbClr val="5B9BD5"/>
            </a:solidFill>
            <a:ln>
              <a:noFill/>
            </a:ln>
          </c:spPr>
          <c:invertIfNegative val="0"/>
          <c:cat>
            <c:strRef>
              <c:f>{"% NP","% NI"}</c:f>
              <c:strCache>
                <c:ptCount val="2"/>
                <c:pt idx="0">
                  <c:v>% NP</c:v>
                </c:pt>
                <c:pt idx="1">
                  <c:v>% NI</c:v>
                </c:pt>
              </c:strCache>
            </c:strRef>
          </c:cat>
          <c:val>
            <c:numRef>
              <c:f>{0.2467,0.2658}</c:f>
              <c:numCache>
                <c:formatCode>General</c:formatCode>
                <c:ptCount val="2"/>
                <c:pt idx="0">
                  <c:v>0.2467</c:v>
                </c:pt>
                <c:pt idx="1">
                  <c:v>0.26579999999999998</c:v>
                </c:pt>
              </c:numCache>
            </c:numRef>
          </c:val>
          <c:extLst>
            <c:ext xmlns:c16="http://schemas.microsoft.com/office/drawing/2014/chart" uri="{C3380CC4-5D6E-409C-BE32-E72D297353CC}">
              <c16:uniqueId val="{00000000-53D2-44F9-9D66-E15568648B40}"/>
            </c:ext>
          </c:extLst>
        </c:ser>
        <c:ser>
          <c:idx val="1"/>
          <c:order val="1"/>
          <c:tx>
            <c:strRef>
              <c:f>MPP</c:f>
              <c:strCache>
                <c:ptCount val="1"/>
                <c:pt idx="0">
                  <c:v>MPP</c:v>
                </c:pt>
              </c:strCache>
            </c:strRef>
          </c:tx>
          <c:spPr>
            <a:solidFill>
              <a:srgbClr val="ED7D31"/>
            </a:solidFill>
            <a:ln>
              <a:noFill/>
            </a:ln>
          </c:spPr>
          <c:invertIfNegative val="0"/>
          <c:cat>
            <c:strRef>
              <c:f>{"% NP","% NI"}</c:f>
              <c:strCache>
                <c:ptCount val="2"/>
                <c:pt idx="0">
                  <c:v>% NP</c:v>
                </c:pt>
                <c:pt idx="1">
                  <c:v>% NI</c:v>
                </c:pt>
              </c:strCache>
            </c:strRef>
          </c:cat>
          <c:val>
            <c:numRef>
              <c:f>{0.1589,0.1857}</c:f>
              <c:numCache>
                <c:formatCode>General</c:formatCode>
                <c:ptCount val="2"/>
                <c:pt idx="0">
                  <c:v>0.15890000000000001</c:v>
                </c:pt>
                <c:pt idx="1">
                  <c:v>0.1857</c:v>
                </c:pt>
              </c:numCache>
            </c:numRef>
          </c:val>
          <c:extLst>
            <c:ext xmlns:c16="http://schemas.microsoft.com/office/drawing/2014/chart" uri="{C3380CC4-5D6E-409C-BE32-E72D297353CC}">
              <c16:uniqueId val="{00000001-53D2-44F9-9D66-E15568648B40}"/>
            </c:ext>
          </c:extLst>
        </c:ser>
        <c:ser>
          <c:idx val="2"/>
          <c:order val="2"/>
          <c:tx>
            <c:strRef>
              <c:f>UNIR/MPS</c:f>
              <c:strCache>
                <c:ptCount val="1"/>
                <c:pt idx="0">
                  <c:v>UNIR/MPS</c:v>
                </c:pt>
              </c:strCache>
            </c:strRef>
          </c:tx>
          <c:spPr>
            <a:solidFill>
              <a:srgbClr val="A5A5A5"/>
            </a:solidFill>
            <a:ln>
              <a:noFill/>
            </a:ln>
          </c:spPr>
          <c:invertIfNegative val="0"/>
          <c:cat>
            <c:strRef>
              <c:f>{"% NP","% NI"}</c:f>
              <c:strCache>
                <c:ptCount val="2"/>
                <c:pt idx="0">
                  <c:v>% NP</c:v>
                </c:pt>
                <c:pt idx="1">
                  <c:v>% NI</c:v>
                </c:pt>
              </c:strCache>
            </c:strRef>
          </c:cat>
          <c:val>
            <c:numRef>
              <c:f>{0.0897,0.0844}</c:f>
              <c:numCache>
                <c:formatCode>General</c:formatCode>
                <c:ptCount val="2"/>
                <c:pt idx="0">
                  <c:v>8.9700000000000002E-2</c:v>
                </c:pt>
                <c:pt idx="1">
                  <c:v>8.4400000000000003E-2</c:v>
                </c:pt>
              </c:numCache>
            </c:numRef>
          </c:val>
          <c:extLst>
            <c:ext xmlns:c16="http://schemas.microsoft.com/office/drawing/2014/chart" uri="{C3380CC4-5D6E-409C-BE32-E72D297353CC}">
              <c16:uniqueId val="{00000002-53D2-44F9-9D66-E15568648B40}"/>
            </c:ext>
          </c:extLst>
        </c:ser>
        <c:ser>
          <c:idx val="3"/>
          <c:order val="3"/>
          <c:tx>
            <c:strRef>
              <c:f>PPS</c:f>
              <c:strCache>
                <c:ptCount val="1"/>
                <c:pt idx="0">
                  <c:v>PPS</c:v>
                </c:pt>
              </c:strCache>
            </c:strRef>
          </c:tx>
          <c:spPr>
            <a:solidFill>
              <a:srgbClr val="FFC000"/>
            </a:solidFill>
            <a:ln>
              <a:noFill/>
            </a:ln>
          </c:spPr>
          <c:invertIfNegative val="0"/>
          <c:cat>
            <c:strRef>
              <c:f>{"% NP","% NI"}</c:f>
              <c:strCache>
                <c:ptCount val="2"/>
                <c:pt idx="0">
                  <c:v>% NP</c:v>
                </c:pt>
                <c:pt idx="1">
                  <c:v>% NI</c:v>
                </c:pt>
              </c:strCache>
            </c:strRef>
          </c:cat>
          <c:val>
            <c:numRef>
              <c:f>{0.0616,0.0506}</c:f>
              <c:numCache>
                <c:formatCode>General</c:formatCode>
                <c:ptCount val="2"/>
                <c:pt idx="0">
                  <c:v>6.1600000000000002E-2</c:v>
                </c:pt>
                <c:pt idx="1">
                  <c:v>5.0599999999999999E-2</c:v>
                </c:pt>
              </c:numCache>
            </c:numRef>
          </c:val>
          <c:extLst>
            <c:ext xmlns:c16="http://schemas.microsoft.com/office/drawing/2014/chart" uri="{C3380CC4-5D6E-409C-BE32-E72D297353CC}">
              <c16:uniqueId val="{00000003-53D2-44F9-9D66-E15568648B40}"/>
            </c:ext>
          </c:extLst>
        </c:ser>
        <c:ser>
          <c:idx val="4"/>
          <c:order val="4"/>
          <c:tx>
            <c:strRef>
              <c:f>MAE</c:f>
              <c:strCache>
                <c:ptCount val="1"/>
                <c:pt idx="0">
                  <c:v>MAE</c:v>
                </c:pt>
              </c:strCache>
            </c:strRef>
          </c:tx>
          <c:spPr>
            <a:solidFill>
              <a:srgbClr val="4472C4"/>
            </a:solidFill>
            <a:ln>
              <a:noFill/>
            </a:ln>
          </c:spPr>
          <c:invertIfNegative val="0"/>
          <c:cat>
            <c:strRef>
              <c:f>{"% NP","% NI"}</c:f>
              <c:strCache>
                <c:ptCount val="2"/>
                <c:pt idx="0">
                  <c:v>% NP</c:v>
                </c:pt>
                <c:pt idx="1">
                  <c:v>% NI</c:v>
                </c:pt>
              </c:strCache>
            </c:strRef>
          </c:cat>
          <c:val>
            <c:numRef>
              <c:f>{0.0361,0.0295}</c:f>
              <c:numCache>
                <c:formatCode>General</c:formatCode>
                <c:ptCount val="2"/>
                <c:pt idx="0">
                  <c:v>3.61E-2</c:v>
                </c:pt>
                <c:pt idx="1">
                  <c:v>2.9499999999999998E-2</c:v>
                </c:pt>
              </c:numCache>
            </c:numRef>
          </c:val>
          <c:extLst>
            <c:ext xmlns:c16="http://schemas.microsoft.com/office/drawing/2014/chart" uri="{C3380CC4-5D6E-409C-BE32-E72D297353CC}">
              <c16:uniqueId val="{00000004-53D2-44F9-9D66-E15568648B40}"/>
            </c:ext>
          </c:extLst>
        </c:ser>
        <c:ser>
          <c:idx val="5"/>
          <c:order val="5"/>
          <c:tx>
            <c:strRef>
              <c:f>APP/B</c:f>
              <c:strCache>
                <c:ptCount val="1"/>
                <c:pt idx="0">
                  <c:v>APP/B</c:v>
                </c:pt>
              </c:strCache>
            </c:strRef>
          </c:tx>
          <c:spPr>
            <a:solidFill>
              <a:srgbClr val="70AD47"/>
            </a:solidFill>
            <a:ln>
              <a:noFill/>
            </a:ln>
          </c:spPr>
          <c:invertIfNegative val="0"/>
          <c:cat>
            <c:strRef>
              <c:f>{"% NP","% NI"}</c:f>
              <c:strCache>
                <c:ptCount val="2"/>
                <c:pt idx="0">
                  <c:v>% NP</c:v>
                </c:pt>
                <c:pt idx="1">
                  <c:v>% NI</c:v>
                </c:pt>
              </c:strCache>
            </c:strRef>
          </c:cat>
          <c:val>
            <c:numRef>
              <c:f>{0.0317,0.0127}</c:f>
              <c:numCache>
                <c:formatCode>General</c:formatCode>
                <c:ptCount val="2"/>
                <c:pt idx="0">
                  <c:v>3.1699999999999999E-2</c:v>
                </c:pt>
                <c:pt idx="1">
                  <c:v>1.2699999999999999E-2</c:v>
                </c:pt>
              </c:numCache>
            </c:numRef>
          </c:val>
          <c:extLst>
            <c:ext xmlns:c16="http://schemas.microsoft.com/office/drawing/2014/chart" uri="{C3380CC4-5D6E-409C-BE32-E72D297353CC}">
              <c16:uniqueId val="{00000005-53D2-44F9-9D66-E15568648B40}"/>
            </c:ext>
          </c:extLst>
        </c:ser>
        <c:ser>
          <c:idx val="6"/>
          <c:order val="6"/>
          <c:tx>
            <c:strRef>
              <c:f>PUR</c:f>
              <c:strCache>
                <c:ptCount val="1"/>
                <c:pt idx="0">
                  <c:v>PUR</c:v>
                </c:pt>
              </c:strCache>
            </c:strRef>
          </c:tx>
          <c:spPr>
            <a:solidFill>
              <a:srgbClr val="255E91"/>
            </a:solidFill>
            <a:ln>
              <a:noFill/>
            </a:ln>
          </c:spPr>
          <c:invertIfNegative val="0"/>
          <c:cat>
            <c:strRef>
              <c:f>{"% NP","% NI"}</c:f>
              <c:strCache>
                <c:ptCount val="2"/>
                <c:pt idx="0">
                  <c:v>% NP</c:v>
                </c:pt>
                <c:pt idx="1">
                  <c:v>% NI</c:v>
                </c:pt>
              </c:strCache>
            </c:strRef>
          </c:cat>
          <c:val>
            <c:numRef>
              <c:f>{0.0305,0.0295}</c:f>
              <c:numCache>
                <c:formatCode>General</c:formatCode>
                <c:ptCount val="2"/>
                <c:pt idx="0">
                  <c:v>3.0499999999999999E-2</c:v>
                </c:pt>
                <c:pt idx="1">
                  <c:v>2.9499999999999998E-2</c:v>
                </c:pt>
              </c:numCache>
            </c:numRef>
          </c:val>
          <c:extLst>
            <c:ext xmlns:c16="http://schemas.microsoft.com/office/drawing/2014/chart" uri="{C3380CC4-5D6E-409C-BE32-E72D297353CC}">
              <c16:uniqueId val="{00000006-53D2-44F9-9D66-E15568648B40}"/>
            </c:ext>
          </c:extLst>
        </c:ser>
        <c:ser>
          <c:idx val="7"/>
          <c:order val="7"/>
          <c:tx>
            <c:strRef>
              <c:f>ADF/RDA</c:f>
              <c:strCache>
                <c:ptCount val="1"/>
                <c:pt idx="0">
                  <c:v>ADF/RDA</c:v>
                </c:pt>
              </c:strCache>
            </c:strRef>
          </c:tx>
          <c:spPr>
            <a:solidFill>
              <a:srgbClr val="9E480E"/>
            </a:solidFill>
            <a:ln>
              <a:noFill/>
            </a:ln>
          </c:spPr>
          <c:invertIfNegative val="0"/>
          <c:cat>
            <c:strRef>
              <c:f>{"% NP","% NI"}</c:f>
              <c:strCache>
                <c:ptCount val="2"/>
                <c:pt idx="0">
                  <c:v>% NP</c:v>
                </c:pt>
                <c:pt idx="1">
                  <c:v>% NI</c:v>
                </c:pt>
              </c:strCache>
            </c:strRef>
          </c:cat>
          <c:val>
            <c:numRef>
              <c:f>{0.0258,0.0211}</c:f>
              <c:numCache>
                <c:formatCode>General</c:formatCode>
                <c:ptCount val="2"/>
                <c:pt idx="0">
                  <c:v>2.58E-2</c:v>
                </c:pt>
                <c:pt idx="1">
                  <c:v>2.1100000000000001E-2</c:v>
                </c:pt>
              </c:numCache>
            </c:numRef>
          </c:val>
          <c:extLst>
            <c:ext xmlns:c16="http://schemas.microsoft.com/office/drawing/2014/chart" uri="{C3380CC4-5D6E-409C-BE32-E72D297353CC}">
              <c16:uniqueId val="{00000007-53D2-44F9-9D66-E15568648B40}"/>
            </c:ext>
          </c:extLst>
        </c:ser>
        <c:ser>
          <c:idx val="8"/>
          <c:order val="8"/>
          <c:tx>
            <c:strRef>
              <c:f>UPC</c:f>
              <c:strCache>
                <c:ptCount val="1"/>
                <c:pt idx="0">
                  <c:v>UPC</c:v>
                </c:pt>
              </c:strCache>
            </c:strRef>
          </c:tx>
          <c:spPr>
            <a:solidFill>
              <a:srgbClr val="636363"/>
            </a:solidFill>
            <a:ln>
              <a:noFill/>
            </a:ln>
          </c:spPr>
          <c:invertIfNegative val="0"/>
          <c:cat>
            <c:strRef>
              <c:f>{"% NP","% NI"}</c:f>
              <c:strCache>
                <c:ptCount val="2"/>
                <c:pt idx="0">
                  <c:v>% NP</c:v>
                </c:pt>
                <c:pt idx="1">
                  <c:v>% NI</c:v>
                </c:pt>
              </c:strCache>
            </c:strRef>
          </c:cat>
          <c:val>
            <c:numRef>
              <c:f>{0.0253,0.0211}</c:f>
              <c:numCache>
                <c:formatCode>General</c:formatCode>
                <c:ptCount val="2"/>
                <c:pt idx="0">
                  <c:v>2.53E-2</c:v>
                </c:pt>
                <c:pt idx="1">
                  <c:v>2.1100000000000001E-2</c:v>
                </c:pt>
              </c:numCache>
            </c:numRef>
          </c:val>
          <c:extLst>
            <c:ext xmlns:c16="http://schemas.microsoft.com/office/drawing/2014/chart" uri="{C3380CC4-5D6E-409C-BE32-E72D297353CC}">
              <c16:uniqueId val="{00000008-53D2-44F9-9D66-E15568648B40}"/>
            </c:ext>
          </c:extLst>
        </c:ser>
        <c:ser>
          <c:idx val="9"/>
          <c:order val="9"/>
          <c:tx>
            <c:strRef>
              <c:f>FP </c:f>
              <c:strCache>
                <c:ptCount val="1"/>
                <c:pt idx="0">
                  <c:v>FP </c:v>
                </c:pt>
              </c:strCache>
            </c:strRef>
          </c:tx>
          <c:spPr>
            <a:solidFill>
              <a:srgbClr val="997300"/>
            </a:solidFill>
            <a:ln>
              <a:noFill/>
            </a:ln>
          </c:spPr>
          <c:invertIfNegative val="0"/>
          <c:cat>
            <c:strRef>
              <c:f>{"% NP","% NI"}</c:f>
              <c:strCache>
                <c:ptCount val="2"/>
                <c:pt idx="0">
                  <c:v>% NP</c:v>
                </c:pt>
                <c:pt idx="1">
                  <c:v>% NI</c:v>
                </c:pt>
              </c:strCache>
            </c:strRef>
          </c:cat>
          <c:val>
            <c:numRef>
              <c:f>{0.0247,0.0169}</c:f>
              <c:numCache>
                <c:formatCode>General</c:formatCode>
                <c:ptCount val="2"/>
                <c:pt idx="0">
                  <c:v>2.47E-2</c:v>
                </c:pt>
                <c:pt idx="1">
                  <c:v>1.6899999999999998E-2</c:v>
                </c:pt>
              </c:numCache>
            </c:numRef>
          </c:val>
          <c:extLst>
            <c:ext xmlns:c16="http://schemas.microsoft.com/office/drawing/2014/chart" uri="{C3380CC4-5D6E-409C-BE32-E72D297353CC}">
              <c16:uniqueId val="{00000009-53D2-44F9-9D66-E15568648B40}"/>
            </c:ext>
          </c:extLst>
        </c:ser>
        <c:dLbls>
          <c:showLegendKey val="0"/>
          <c:showVal val="0"/>
          <c:showCatName val="0"/>
          <c:showSerName val="0"/>
          <c:showPercent val="0"/>
          <c:showBubbleSize val="0"/>
        </c:dLbls>
        <c:gapWidth val="219"/>
        <c:overlap val="-27"/>
        <c:axId val="166010575"/>
        <c:axId val="166010159"/>
      </c:barChart>
      <c:catAx>
        <c:axId val="166010575"/>
        <c:scaling>
          <c:orientation val="minMax"/>
        </c:scaling>
        <c:delete val="0"/>
        <c:axPos val="b"/>
        <c:numFmt formatCode="General" sourceLinked="0"/>
        <c:majorTickMark val="none"/>
        <c:minorTickMark val="none"/>
        <c:tickLblPos val="nextTo"/>
        <c:spPr>
          <a:noFill/>
          <a:ln w="9528" cap="flat" cmpd="sng" algn="ctr">
            <a:solidFill>
              <a:srgbClr val="D9D9D9"/>
            </a:solidFill>
            <a:prstDash val="solid"/>
            <a:round/>
          </a:ln>
        </c:spPr>
        <c:txPr>
          <a:bodyPr rot="-60000000" spcFirstLastPara="0" vertOverflow="ellipsis" vert="horz" wrap="square" lIns="0" tIns="0" rIns="0" bIns="0" anchor="ctr" anchorCtr="1"/>
          <a:lstStyle/>
          <a:p>
            <a:pPr>
              <a:defRPr lang="fr-FR" sz="900" b="1" i="0" u="none" strike="noStrike" kern="1200" baseline="0">
                <a:solidFill>
                  <a:srgbClr val="595959"/>
                </a:solidFill>
                <a:latin typeface="Calibri" panose="020F0502020204030204"/>
                <a:ea typeface="+mn-ea"/>
                <a:cs typeface="+mn-cs"/>
              </a:defRPr>
            </a:pPr>
            <a:endParaRPr lang="fr-FR"/>
          </a:p>
        </c:txPr>
        <c:crossAx val="166010159"/>
        <c:crosses val="autoZero"/>
        <c:auto val="1"/>
        <c:lblAlgn val="ctr"/>
        <c:lblOffset val="100"/>
        <c:noMultiLvlLbl val="0"/>
      </c:catAx>
      <c:valAx>
        <c:axId val="166010159"/>
        <c:scaling>
          <c:orientation val="minMax"/>
        </c:scaling>
        <c:delete val="0"/>
        <c:axPos val="l"/>
        <c:majorGridlines>
          <c:spPr>
            <a:ln w="9528" cap="flat" cmpd="sng" algn="ctr">
              <a:solidFill>
                <a:srgbClr val="D9D9D9"/>
              </a:solidFill>
              <a:prstDash val="solid"/>
              <a:round/>
            </a:ln>
          </c:spPr>
        </c:majorGridlines>
        <c:numFmt formatCode="General" sourceLinked="0"/>
        <c:majorTickMark val="none"/>
        <c:minorTickMark val="none"/>
        <c:tickLblPos val="nextTo"/>
        <c:spPr>
          <a:noFill/>
          <a:ln w="6350" cap="flat" cmpd="sng" algn="ctr">
            <a:noFill/>
            <a:prstDash val="solid"/>
            <a:round/>
          </a:ln>
        </c:spPr>
        <c:txPr>
          <a:bodyPr rot="-60000000" spcFirstLastPara="0" vertOverflow="ellipsis" vert="horz" wrap="square" lIns="0" tIns="0" rIns="0" bIns="0" anchor="ctr" anchorCtr="1"/>
          <a:lstStyle/>
          <a:p>
            <a:pPr>
              <a:defRPr lang="fr-FR" sz="900" b="1" i="0" u="none" strike="noStrike" kern="1200" baseline="0">
                <a:solidFill>
                  <a:srgbClr val="595959"/>
                </a:solidFill>
                <a:latin typeface="Calibri" panose="020F0502020204030204"/>
                <a:ea typeface="+mn-ea"/>
                <a:cs typeface="+mn-cs"/>
              </a:defRPr>
            </a:pPr>
            <a:endParaRPr lang="fr-FR"/>
          </a:p>
        </c:txPr>
        <c:crossAx val="166010575"/>
        <c:crosses val="autoZero"/>
        <c:crossBetween val="between"/>
      </c:valAx>
      <c:spPr>
        <a:noFill/>
        <a:ln>
          <a:noFill/>
        </a:ln>
      </c:spPr>
    </c:plotArea>
    <c:legend>
      <c:legendPos val="b"/>
      <c:overlay val="0"/>
      <c:spPr>
        <a:noFill/>
        <a:ln>
          <a:noFill/>
        </a:ln>
      </c:spPr>
      <c:txPr>
        <a:bodyPr rot="0" spcFirstLastPara="0" vertOverflow="ellipsis" vert="horz" wrap="square" lIns="0" tIns="0" rIns="0" bIns="0" anchor="ctr" anchorCtr="1"/>
        <a:lstStyle/>
        <a:p>
          <a:pPr>
            <a:defRPr lang="fr-FR" sz="900" b="1" i="0" u="none" strike="noStrike" kern="1200" baseline="0">
              <a:solidFill>
                <a:srgbClr val="595959"/>
              </a:solidFill>
              <a:latin typeface="Calibri" panose="020F0502020204030204"/>
              <a:ea typeface="+mn-ea"/>
              <a:cs typeface="+mn-cs"/>
            </a:defRPr>
          </a:pPr>
          <a:endParaRPr lang="fr-FR"/>
        </a:p>
      </c:txPr>
    </c:legend>
    <c:plotVisOnly val="1"/>
    <c:dispBlanksAs val="gap"/>
    <c:showDLblsOverMax val="0"/>
  </c:chart>
  <c:spPr>
    <a:solidFill>
      <a:srgbClr val="FFFFFF"/>
    </a:solidFill>
    <a:ln w="9528" cap="flat" cmpd="sng" algn="ctr">
      <a:solidFill>
        <a:srgbClr val="D9D9D9"/>
      </a:solidFill>
      <a:prstDash val="solid"/>
      <a:round/>
    </a:ln>
  </c:spPr>
  <c:txPr>
    <a:bodyPr lIns="0" tIns="0" rIns="0" bIns="0"/>
    <a:lstStyle/>
    <a:p>
      <a:pPr>
        <a:defRPr lang="fr-FR" sz="1000" b="0" i="0" u="none" strike="noStrike" kern="1200" baseline="0">
          <a:solidFill>
            <a:srgbClr val="000000"/>
          </a:solidFill>
          <a:latin typeface="Calibri" panose="020F0502020204030204"/>
        </a:defRPr>
      </a:pPr>
      <a:endParaRPr lang="fr-F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lIns="0" tIns="0" rIns="0" bIns="0" anchor="ctr" anchorCtr="1"/>
          <a:lstStyle/>
          <a:p>
            <a:pPr marL="0" marR="0" indent="0" algn="ctr" defTabSz="914400" fontAlgn="auto" hangingPunct="1">
              <a:lnSpc>
                <a:spcPct val="100000"/>
              </a:lnSpc>
              <a:spcBef>
                <a:spcPts val="0"/>
              </a:spcBef>
              <a:spcAft>
                <a:spcPts val="0"/>
              </a:spcAft>
              <a:defRPr lang="fr-FR" sz="1400" b="1" i="0" u="none" strike="noStrike" kern="1200" spc="0" baseline="0">
                <a:solidFill>
                  <a:srgbClr val="595959"/>
                </a:solidFill>
                <a:latin typeface="Calibri" panose="020F0502020204030204"/>
                <a:ea typeface="+mn-ea"/>
                <a:cs typeface="+mn-cs"/>
              </a:defRPr>
            </a:pPr>
            <a:r>
              <a:rPr lang="fr-FR" sz="1400" b="1" i="0" u="none" strike="noStrike" kern="1200" cap="none" spc="0" baseline="0">
                <a:solidFill>
                  <a:srgbClr val="595959"/>
                </a:solidFill>
                <a:uFillTx/>
                <a:latin typeface="Calibri" panose="020F0502020204030204"/>
              </a:rPr>
              <a:t>LE QUOTIDIEN</a:t>
            </a:r>
          </a:p>
        </c:rich>
      </c:tx>
      <c:overlay val="0"/>
      <c:spPr>
        <a:noFill/>
        <a:ln>
          <a:noFill/>
        </a:ln>
      </c:spPr>
    </c:title>
    <c:autoTitleDeleted val="0"/>
    <c:plotArea>
      <c:layout/>
      <c:barChart>
        <c:barDir val="col"/>
        <c:grouping val="clustered"/>
        <c:varyColors val="0"/>
        <c:ser>
          <c:idx val="0"/>
          <c:order val="0"/>
          <c:tx>
            <c:strRef>
              <c:f>CDP</c:f>
              <c:strCache>
                <c:ptCount val="1"/>
                <c:pt idx="0">
                  <c:v>CDP</c:v>
                </c:pt>
              </c:strCache>
            </c:strRef>
          </c:tx>
          <c:spPr>
            <a:solidFill>
              <a:srgbClr val="5B9BD5"/>
            </a:solidFill>
            <a:ln>
              <a:noFill/>
            </a:ln>
          </c:spPr>
          <c:invertIfNegative val="0"/>
          <c:cat>
            <c:strRef>
              <c:f>{"% NP","% NI"}</c:f>
              <c:strCache>
                <c:ptCount val="2"/>
                <c:pt idx="0">
                  <c:v>% NP</c:v>
                </c:pt>
                <c:pt idx="1">
                  <c:v>% NI</c:v>
                </c:pt>
              </c:strCache>
            </c:strRef>
          </c:cat>
          <c:val>
            <c:numRef>
              <c:f>{0.2476,0.2284}</c:f>
              <c:numCache>
                <c:formatCode>General</c:formatCode>
                <c:ptCount val="2"/>
                <c:pt idx="0">
                  <c:v>0.24759999999999999</c:v>
                </c:pt>
                <c:pt idx="1">
                  <c:v>0.22839999999999999</c:v>
                </c:pt>
              </c:numCache>
            </c:numRef>
          </c:val>
          <c:extLst>
            <c:ext xmlns:c16="http://schemas.microsoft.com/office/drawing/2014/chart" uri="{C3380CC4-5D6E-409C-BE32-E72D297353CC}">
              <c16:uniqueId val="{00000000-1597-47FB-829B-742A0CF15080}"/>
            </c:ext>
          </c:extLst>
        </c:ser>
        <c:ser>
          <c:idx val="1"/>
          <c:order val="1"/>
          <c:tx>
            <c:strRef>
              <c:f>UNDD</c:f>
              <c:strCache>
                <c:ptCount val="1"/>
                <c:pt idx="0">
                  <c:v>UNDD</c:v>
                </c:pt>
              </c:strCache>
            </c:strRef>
          </c:tx>
          <c:spPr>
            <a:solidFill>
              <a:srgbClr val="ED7D31"/>
            </a:solidFill>
            <a:ln>
              <a:noFill/>
            </a:ln>
          </c:spPr>
          <c:invertIfNegative val="0"/>
          <c:cat>
            <c:strRef>
              <c:f>{"% NP","% NI"}</c:f>
              <c:strCache>
                <c:ptCount val="2"/>
                <c:pt idx="0">
                  <c:v>% NP</c:v>
                </c:pt>
                <c:pt idx="1">
                  <c:v>% NI</c:v>
                </c:pt>
              </c:strCache>
            </c:strRef>
          </c:cat>
          <c:val>
            <c:numRef>
              <c:f>{0.1853,0.2407}</c:f>
              <c:numCache>
                <c:formatCode>General</c:formatCode>
                <c:ptCount val="2"/>
                <c:pt idx="0">
                  <c:v>0.18529999999999999</c:v>
                </c:pt>
                <c:pt idx="1">
                  <c:v>0.2407</c:v>
                </c:pt>
              </c:numCache>
            </c:numRef>
          </c:val>
          <c:extLst>
            <c:ext xmlns:c16="http://schemas.microsoft.com/office/drawing/2014/chart" uri="{C3380CC4-5D6E-409C-BE32-E72D297353CC}">
              <c16:uniqueId val="{00000001-1597-47FB-829B-742A0CF15080}"/>
            </c:ext>
          </c:extLst>
        </c:ser>
        <c:ser>
          <c:idx val="2"/>
          <c:order val="2"/>
          <c:tx>
            <c:strRef>
              <c:f>PPS</c:f>
              <c:strCache>
                <c:ptCount val="1"/>
                <c:pt idx="0">
                  <c:v>PPS</c:v>
                </c:pt>
              </c:strCache>
            </c:strRef>
          </c:tx>
          <c:spPr>
            <a:solidFill>
              <a:srgbClr val="A5A5A5"/>
            </a:solidFill>
            <a:ln>
              <a:noFill/>
            </a:ln>
          </c:spPr>
          <c:invertIfNegative val="0"/>
          <c:cat>
            <c:strRef>
              <c:f>{"% NP","% NI"}</c:f>
              <c:strCache>
                <c:ptCount val="2"/>
                <c:pt idx="0">
                  <c:v>% NP</c:v>
                </c:pt>
                <c:pt idx="1">
                  <c:v>% NI</c:v>
                </c:pt>
              </c:strCache>
            </c:strRef>
          </c:cat>
          <c:val>
            <c:numRef>
              <c:f>{0.0773,0.0802}</c:f>
              <c:numCache>
                <c:formatCode>General</c:formatCode>
                <c:ptCount val="2"/>
                <c:pt idx="0">
                  <c:v>7.7299999999999994E-2</c:v>
                </c:pt>
                <c:pt idx="1">
                  <c:v>8.0199999999999994E-2</c:v>
                </c:pt>
              </c:numCache>
            </c:numRef>
          </c:val>
          <c:extLst>
            <c:ext xmlns:c16="http://schemas.microsoft.com/office/drawing/2014/chart" uri="{C3380CC4-5D6E-409C-BE32-E72D297353CC}">
              <c16:uniqueId val="{00000002-1597-47FB-829B-742A0CF15080}"/>
            </c:ext>
          </c:extLst>
        </c:ser>
        <c:ser>
          <c:idx val="3"/>
          <c:order val="3"/>
          <c:tx>
            <c:strRef>
              <c:f>UNIR/MPS</c:f>
              <c:strCache>
                <c:ptCount val="1"/>
                <c:pt idx="0">
                  <c:v>UNIR/MPS</c:v>
                </c:pt>
              </c:strCache>
            </c:strRef>
          </c:tx>
          <c:spPr>
            <a:solidFill>
              <a:srgbClr val="FFC000"/>
            </a:solidFill>
            <a:ln>
              <a:noFill/>
            </a:ln>
          </c:spPr>
          <c:invertIfNegative val="0"/>
          <c:cat>
            <c:strRef>
              <c:f>{"% NP","% NI"}</c:f>
              <c:strCache>
                <c:ptCount val="2"/>
                <c:pt idx="0">
                  <c:v>% NP</c:v>
                </c:pt>
                <c:pt idx="1">
                  <c:v>% NI</c:v>
                </c:pt>
              </c:strCache>
            </c:strRef>
          </c:cat>
          <c:val>
            <c:numRef>
              <c:f>{0.0506,0.0309}</c:f>
              <c:numCache>
                <c:formatCode>General</c:formatCode>
                <c:ptCount val="2"/>
                <c:pt idx="0">
                  <c:v>5.0599999999999999E-2</c:v>
                </c:pt>
                <c:pt idx="1">
                  <c:v>3.09E-2</c:v>
                </c:pt>
              </c:numCache>
            </c:numRef>
          </c:val>
          <c:extLst>
            <c:ext xmlns:c16="http://schemas.microsoft.com/office/drawing/2014/chart" uri="{C3380CC4-5D6E-409C-BE32-E72D297353CC}">
              <c16:uniqueId val="{00000003-1597-47FB-829B-742A0CF15080}"/>
            </c:ext>
          </c:extLst>
        </c:ser>
        <c:ser>
          <c:idx val="4"/>
          <c:order val="4"/>
          <c:tx>
            <c:strRef>
              <c:f>UPC</c:f>
              <c:strCache>
                <c:ptCount val="1"/>
                <c:pt idx="0">
                  <c:v>UPC</c:v>
                </c:pt>
              </c:strCache>
            </c:strRef>
          </c:tx>
          <c:spPr>
            <a:solidFill>
              <a:srgbClr val="4472C4"/>
            </a:solidFill>
            <a:ln>
              <a:noFill/>
            </a:ln>
          </c:spPr>
          <c:invertIfNegative val="0"/>
          <c:cat>
            <c:strRef>
              <c:f>{"% NP","% NI"}</c:f>
              <c:strCache>
                <c:ptCount val="2"/>
                <c:pt idx="0">
                  <c:v>% NP</c:v>
                </c:pt>
                <c:pt idx="1">
                  <c:v>% NI</c:v>
                </c:pt>
              </c:strCache>
            </c:strRef>
          </c:cat>
          <c:val>
            <c:numRef>
              <c:f>{0.0497,0.0802}</c:f>
              <c:numCache>
                <c:formatCode>General</c:formatCode>
                <c:ptCount val="2"/>
                <c:pt idx="0">
                  <c:v>4.9700000000000001E-2</c:v>
                </c:pt>
                <c:pt idx="1">
                  <c:v>8.0199999999999994E-2</c:v>
                </c:pt>
              </c:numCache>
            </c:numRef>
          </c:val>
          <c:extLst>
            <c:ext xmlns:c16="http://schemas.microsoft.com/office/drawing/2014/chart" uri="{C3380CC4-5D6E-409C-BE32-E72D297353CC}">
              <c16:uniqueId val="{00000004-1597-47FB-829B-742A0CF15080}"/>
            </c:ext>
          </c:extLst>
        </c:ser>
        <c:ser>
          <c:idx val="5"/>
          <c:order val="5"/>
          <c:tx>
            <c:strRef>
              <c:f>RPI</c:f>
              <c:strCache>
                <c:ptCount val="1"/>
                <c:pt idx="0">
                  <c:v>RPI</c:v>
                </c:pt>
              </c:strCache>
            </c:strRef>
          </c:tx>
          <c:spPr>
            <a:solidFill>
              <a:srgbClr val="70AD47"/>
            </a:solidFill>
            <a:ln>
              <a:noFill/>
            </a:ln>
          </c:spPr>
          <c:invertIfNegative val="0"/>
          <c:cat>
            <c:strRef>
              <c:f>{"% NP","% NI"}</c:f>
              <c:strCache>
                <c:ptCount val="2"/>
                <c:pt idx="0">
                  <c:v>% NP</c:v>
                </c:pt>
                <c:pt idx="1">
                  <c:v>% NI</c:v>
                </c:pt>
              </c:strCache>
            </c:strRef>
          </c:cat>
          <c:val>
            <c:numRef>
              <c:f>{0.0497,0.0185}</c:f>
              <c:numCache>
                <c:formatCode>General</c:formatCode>
                <c:ptCount val="2"/>
                <c:pt idx="0">
                  <c:v>4.9700000000000001E-2</c:v>
                </c:pt>
                <c:pt idx="1">
                  <c:v>1.8499999999999999E-2</c:v>
                </c:pt>
              </c:numCache>
            </c:numRef>
          </c:val>
          <c:extLst>
            <c:ext xmlns:c16="http://schemas.microsoft.com/office/drawing/2014/chart" uri="{C3380CC4-5D6E-409C-BE32-E72D297353CC}">
              <c16:uniqueId val="{00000005-1597-47FB-829B-742A0CF15080}"/>
            </c:ext>
          </c:extLst>
        </c:ser>
        <c:ser>
          <c:idx val="6"/>
          <c:order val="6"/>
          <c:tx>
            <c:strRef>
              <c:f>MPP</c:f>
              <c:strCache>
                <c:ptCount val="1"/>
                <c:pt idx="0">
                  <c:v>MPP</c:v>
                </c:pt>
              </c:strCache>
            </c:strRef>
          </c:tx>
          <c:spPr>
            <a:solidFill>
              <a:srgbClr val="255E91"/>
            </a:solidFill>
            <a:ln>
              <a:noFill/>
            </a:ln>
          </c:spPr>
          <c:invertIfNegative val="0"/>
          <c:cat>
            <c:strRef>
              <c:f>{"% NP","% NI"}</c:f>
              <c:strCache>
                <c:ptCount val="2"/>
                <c:pt idx="0">
                  <c:v>% NP</c:v>
                </c:pt>
                <c:pt idx="1">
                  <c:v>% NI</c:v>
                </c:pt>
              </c:strCache>
            </c:strRef>
          </c:cat>
          <c:val>
            <c:numRef>
              <c:f>{0.0414,0.0247}</c:f>
              <c:numCache>
                <c:formatCode>General</c:formatCode>
                <c:ptCount val="2"/>
                <c:pt idx="0">
                  <c:v>4.1399999999999999E-2</c:v>
                </c:pt>
                <c:pt idx="1">
                  <c:v>2.47E-2</c:v>
                </c:pt>
              </c:numCache>
            </c:numRef>
          </c:val>
          <c:extLst>
            <c:ext xmlns:c16="http://schemas.microsoft.com/office/drawing/2014/chart" uri="{C3380CC4-5D6E-409C-BE32-E72D297353CC}">
              <c16:uniqueId val="{00000006-1597-47FB-829B-742A0CF15080}"/>
            </c:ext>
          </c:extLst>
        </c:ser>
        <c:ser>
          <c:idx val="7"/>
          <c:order val="7"/>
          <c:tx>
            <c:strRef>
              <c:f>ADF/RDA</c:f>
              <c:strCache>
                <c:ptCount val="1"/>
                <c:pt idx="0">
                  <c:v>ADF/RDA</c:v>
                </c:pt>
              </c:strCache>
            </c:strRef>
          </c:tx>
          <c:spPr>
            <a:solidFill>
              <a:srgbClr val="9E480E"/>
            </a:solidFill>
            <a:ln>
              <a:noFill/>
            </a:ln>
          </c:spPr>
          <c:invertIfNegative val="0"/>
          <c:cat>
            <c:strRef>
              <c:f>{"% NP","% NI"}</c:f>
              <c:strCache>
                <c:ptCount val="2"/>
                <c:pt idx="0">
                  <c:v>% NP</c:v>
                </c:pt>
                <c:pt idx="1">
                  <c:v>% NI</c:v>
                </c:pt>
              </c:strCache>
            </c:strRef>
          </c:cat>
          <c:val>
            <c:numRef>
              <c:f>{0.0387,0.0247}</c:f>
              <c:numCache>
                <c:formatCode>General</c:formatCode>
                <c:ptCount val="2"/>
                <c:pt idx="0">
                  <c:v>3.8699999999999998E-2</c:v>
                </c:pt>
                <c:pt idx="1">
                  <c:v>2.47E-2</c:v>
                </c:pt>
              </c:numCache>
            </c:numRef>
          </c:val>
          <c:extLst>
            <c:ext xmlns:c16="http://schemas.microsoft.com/office/drawing/2014/chart" uri="{C3380CC4-5D6E-409C-BE32-E72D297353CC}">
              <c16:uniqueId val="{00000007-1597-47FB-829B-742A0CF15080}"/>
            </c:ext>
          </c:extLst>
        </c:ser>
        <c:ser>
          <c:idx val="8"/>
          <c:order val="8"/>
          <c:tx>
            <c:strRef>
              <c:f>PPR</c:f>
              <c:strCache>
                <c:ptCount val="1"/>
                <c:pt idx="0">
                  <c:v>PPR</c:v>
                </c:pt>
              </c:strCache>
            </c:strRef>
          </c:tx>
          <c:spPr>
            <a:solidFill>
              <a:srgbClr val="636363"/>
            </a:solidFill>
            <a:ln>
              <a:noFill/>
            </a:ln>
          </c:spPr>
          <c:invertIfNegative val="0"/>
          <c:cat>
            <c:strRef>
              <c:f>{"% NP","% NI"}</c:f>
              <c:strCache>
                <c:ptCount val="2"/>
                <c:pt idx="0">
                  <c:v>% NP</c:v>
                </c:pt>
                <c:pt idx="1">
                  <c:v>% NI</c:v>
                </c:pt>
              </c:strCache>
            </c:strRef>
          </c:cat>
          <c:val>
            <c:numRef>
              <c:f>{0.0387,0.0123}</c:f>
              <c:numCache>
                <c:formatCode>General</c:formatCode>
                <c:ptCount val="2"/>
                <c:pt idx="0">
                  <c:v>3.8699999999999998E-2</c:v>
                </c:pt>
                <c:pt idx="1">
                  <c:v>1.23E-2</c:v>
                </c:pt>
              </c:numCache>
            </c:numRef>
          </c:val>
          <c:extLst>
            <c:ext xmlns:c16="http://schemas.microsoft.com/office/drawing/2014/chart" uri="{C3380CC4-5D6E-409C-BE32-E72D297353CC}">
              <c16:uniqueId val="{00000008-1597-47FB-829B-742A0CF15080}"/>
            </c:ext>
          </c:extLst>
        </c:ser>
        <c:ser>
          <c:idx val="9"/>
          <c:order val="9"/>
          <c:tx>
            <c:strRef>
              <c:f>L'AB/PSR</c:f>
              <c:strCache>
                <c:ptCount val="1"/>
                <c:pt idx="0">
                  <c:v>L'AB/PSR</c:v>
                </c:pt>
              </c:strCache>
            </c:strRef>
          </c:tx>
          <c:spPr>
            <a:solidFill>
              <a:srgbClr val="997300"/>
            </a:solidFill>
            <a:ln>
              <a:noFill/>
            </a:ln>
          </c:spPr>
          <c:invertIfNegative val="0"/>
          <c:cat>
            <c:strRef>
              <c:f>{"% NP","% NI"}</c:f>
              <c:strCache>
                <c:ptCount val="2"/>
                <c:pt idx="0">
                  <c:v>% NP</c:v>
                </c:pt>
                <c:pt idx="1">
                  <c:v>% NI</c:v>
                </c:pt>
              </c:strCache>
            </c:strRef>
          </c:cat>
          <c:val>
            <c:numRef>
              <c:f>{0.0267,0.0185}</c:f>
              <c:numCache>
                <c:formatCode>General</c:formatCode>
                <c:ptCount val="2"/>
                <c:pt idx="0">
                  <c:v>2.6700000000000002E-2</c:v>
                </c:pt>
                <c:pt idx="1">
                  <c:v>1.8499999999999999E-2</c:v>
                </c:pt>
              </c:numCache>
            </c:numRef>
          </c:val>
          <c:extLst>
            <c:ext xmlns:c16="http://schemas.microsoft.com/office/drawing/2014/chart" uri="{C3380CC4-5D6E-409C-BE32-E72D297353CC}">
              <c16:uniqueId val="{00000009-1597-47FB-829B-742A0CF15080}"/>
            </c:ext>
          </c:extLst>
        </c:ser>
        <c:dLbls>
          <c:showLegendKey val="0"/>
          <c:showVal val="0"/>
          <c:showCatName val="0"/>
          <c:showSerName val="0"/>
          <c:showPercent val="0"/>
          <c:showBubbleSize val="0"/>
        </c:dLbls>
        <c:gapWidth val="219"/>
        <c:overlap val="-27"/>
        <c:axId val="166014319"/>
        <c:axId val="166017231"/>
      </c:barChart>
      <c:catAx>
        <c:axId val="166014319"/>
        <c:scaling>
          <c:orientation val="minMax"/>
        </c:scaling>
        <c:delete val="0"/>
        <c:axPos val="b"/>
        <c:numFmt formatCode="General" sourceLinked="0"/>
        <c:majorTickMark val="none"/>
        <c:minorTickMark val="none"/>
        <c:tickLblPos val="nextTo"/>
        <c:spPr>
          <a:noFill/>
          <a:ln w="9528" cap="flat" cmpd="sng" algn="ctr">
            <a:solidFill>
              <a:srgbClr val="D9D9D9"/>
            </a:solidFill>
            <a:prstDash val="solid"/>
            <a:round/>
          </a:ln>
        </c:spPr>
        <c:txPr>
          <a:bodyPr rot="-60000000" spcFirstLastPara="0" vertOverflow="ellipsis" vert="horz" wrap="square" lIns="0" tIns="0" rIns="0" bIns="0" anchor="ctr" anchorCtr="1"/>
          <a:lstStyle/>
          <a:p>
            <a:pPr>
              <a:defRPr lang="fr-FR" sz="900" b="1" i="0" u="none" strike="noStrike" kern="1200" baseline="0">
                <a:solidFill>
                  <a:srgbClr val="595959"/>
                </a:solidFill>
                <a:latin typeface="Calibri" panose="020F0502020204030204"/>
                <a:ea typeface="+mn-ea"/>
                <a:cs typeface="+mn-cs"/>
              </a:defRPr>
            </a:pPr>
            <a:endParaRPr lang="fr-FR"/>
          </a:p>
        </c:txPr>
        <c:crossAx val="166017231"/>
        <c:crosses val="autoZero"/>
        <c:auto val="1"/>
        <c:lblAlgn val="ctr"/>
        <c:lblOffset val="100"/>
        <c:noMultiLvlLbl val="0"/>
      </c:catAx>
      <c:valAx>
        <c:axId val="166017231"/>
        <c:scaling>
          <c:orientation val="minMax"/>
        </c:scaling>
        <c:delete val="0"/>
        <c:axPos val="l"/>
        <c:majorGridlines>
          <c:spPr>
            <a:ln w="9528" cap="flat" cmpd="sng" algn="ctr">
              <a:solidFill>
                <a:srgbClr val="D9D9D9"/>
              </a:solidFill>
              <a:prstDash val="solid"/>
              <a:round/>
            </a:ln>
          </c:spPr>
        </c:majorGridlines>
        <c:numFmt formatCode="General" sourceLinked="0"/>
        <c:majorTickMark val="none"/>
        <c:minorTickMark val="none"/>
        <c:tickLblPos val="nextTo"/>
        <c:spPr>
          <a:noFill/>
          <a:ln w="6350" cap="flat" cmpd="sng" algn="ctr">
            <a:noFill/>
            <a:prstDash val="solid"/>
            <a:round/>
          </a:ln>
        </c:spPr>
        <c:txPr>
          <a:bodyPr rot="-60000000" spcFirstLastPara="0" vertOverflow="ellipsis" vert="horz" wrap="square" lIns="0" tIns="0" rIns="0" bIns="0" anchor="ctr" anchorCtr="1"/>
          <a:lstStyle/>
          <a:p>
            <a:pPr>
              <a:defRPr lang="fr-FR" sz="900" b="1" i="0" u="none" strike="noStrike" kern="1200" baseline="0">
                <a:solidFill>
                  <a:srgbClr val="595959"/>
                </a:solidFill>
                <a:latin typeface="Calibri" panose="020F0502020204030204"/>
                <a:ea typeface="+mn-ea"/>
                <a:cs typeface="+mn-cs"/>
              </a:defRPr>
            </a:pPr>
            <a:endParaRPr lang="fr-FR"/>
          </a:p>
        </c:txPr>
        <c:crossAx val="166014319"/>
        <c:crosses val="autoZero"/>
        <c:crossBetween val="between"/>
      </c:valAx>
      <c:spPr>
        <a:noFill/>
        <a:ln>
          <a:noFill/>
        </a:ln>
      </c:spPr>
    </c:plotArea>
    <c:legend>
      <c:legendPos val="b"/>
      <c:overlay val="0"/>
      <c:spPr>
        <a:noFill/>
        <a:ln>
          <a:noFill/>
        </a:ln>
      </c:spPr>
      <c:txPr>
        <a:bodyPr rot="0" spcFirstLastPara="0" vertOverflow="ellipsis" vert="horz" wrap="square" lIns="0" tIns="0" rIns="0" bIns="0" anchor="ctr" anchorCtr="1"/>
        <a:lstStyle/>
        <a:p>
          <a:pPr>
            <a:defRPr lang="fr-FR" sz="900" b="1" i="0" u="none" strike="noStrike" kern="1200" baseline="0">
              <a:solidFill>
                <a:srgbClr val="595959"/>
              </a:solidFill>
              <a:latin typeface="Calibri" panose="020F0502020204030204"/>
              <a:ea typeface="+mn-ea"/>
              <a:cs typeface="+mn-cs"/>
            </a:defRPr>
          </a:pPr>
          <a:endParaRPr lang="fr-FR"/>
        </a:p>
      </c:txPr>
    </c:legend>
    <c:plotVisOnly val="1"/>
    <c:dispBlanksAs val="gap"/>
    <c:showDLblsOverMax val="0"/>
  </c:chart>
  <c:spPr>
    <a:solidFill>
      <a:srgbClr val="FFFFFF"/>
    </a:solidFill>
    <a:ln w="9528" cap="flat" cmpd="sng" algn="ctr">
      <a:solidFill>
        <a:srgbClr val="D9D9D9"/>
      </a:solidFill>
      <a:prstDash val="solid"/>
      <a:round/>
    </a:ln>
  </c:spPr>
  <c:txPr>
    <a:bodyPr lIns="0" tIns="0" rIns="0" bIns="0"/>
    <a:lstStyle/>
    <a:p>
      <a:pPr>
        <a:defRPr lang="fr-FR" sz="1000" b="0" i="0" u="none" strike="noStrike" kern="1200" baseline="0">
          <a:solidFill>
            <a:srgbClr val="000000"/>
          </a:solidFill>
          <a:latin typeface="Calibri" panose="020F0502020204030204"/>
        </a:defRPr>
      </a:pPr>
      <a:endParaRPr lang="fr-F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lIns="0" tIns="0" rIns="0" bIns="0" anchor="ctr" anchorCtr="1"/>
          <a:lstStyle/>
          <a:p>
            <a:pPr marL="0" marR="0" indent="0" algn="ctr" defTabSz="914400" fontAlgn="auto" hangingPunct="1">
              <a:lnSpc>
                <a:spcPct val="100000"/>
              </a:lnSpc>
              <a:spcBef>
                <a:spcPts val="0"/>
              </a:spcBef>
              <a:spcAft>
                <a:spcPts val="0"/>
              </a:spcAft>
              <a:defRPr lang="fr-FR" sz="1400" b="1" i="0" u="none" strike="noStrike" kern="1200" spc="0" baseline="0">
                <a:solidFill>
                  <a:srgbClr val="595959"/>
                </a:solidFill>
                <a:latin typeface="Calibri" panose="020F0502020204030204"/>
                <a:ea typeface="+mn-ea"/>
                <a:cs typeface="+mn-cs"/>
              </a:defRPr>
            </a:pPr>
            <a:r>
              <a:rPr lang="fr-FR" sz="1400" b="1" i="0" u="none" strike="noStrike" kern="1200" cap="none" spc="0" baseline="0">
                <a:solidFill>
                  <a:srgbClr val="595959"/>
                </a:solidFill>
                <a:uFillTx/>
                <a:latin typeface="Calibri" panose="020F0502020204030204"/>
              </a:rPr>
              <a:t>L'EXPRESS DU FASO</a:t>
            </a:r>
          </a:p>
        </c:rich>
      </c:tx>
      <c:overlay val="0"/>
      <c:spPr>
        <a:noFill/>
        <a:ln>
          <a:noFill/>
        </a:ln>
      </c:spPr>
    </c:title>
    <c:autoTitleDeleted val="0"/>
    <c:plotArea>
      <c:layout/>
      <c:barChart>
        <c:barDir val="col"/>
        <c:grouping val="clustered"/>
        <c:varyColors val="0"/>
        <c:ser>
          <c:idx val="0"/>
          <c:order val="0"/>
          <c:tx>
            <c:strRef>
              <c:f>CDP</c:f>
              <c:strCache>
                <c:ptCount val="1"/>
                <c:pt idx="0">
                  <c:v>CDP</c:v>
                </c:pt>
              </c:strCache>
            </c:strRef>
          </c:tx>
          <c:spPr>
            <a:solidFill>
              <a:srgbClr val="5B9BD5"/>
            </a:solidFill>
            <a:ln>
              <a:noFill/>
            </a:ln>
          </c:spPr>
          <c:invertIfNegative val="0"/>
          <c:cat>
            <c:strRef>
              <c:f>{"% NP","% NI"}</c:f>
              <c:strCache>
                <c:ptCount val="2"/>
                <c:pt idx="0">
                  <c:v>% NP</c:v>
                </c:pt>
                <c:pt idx="1">
                  <c:v>% NI</c:v>
                </c:pt>
              </c:strCache>
            </c:strRef>
          </c:cat>
          <c:val>
            <c:numRef>
              <c:f>{0.2725,0.2588}</c:f>
              <c:numCache>
                <c:formatCode>General</c:formatCode>
                <c:ptCount val="2"/>
                <c:pt idx="0">
                  <c:v>0.27250000000000002</c:v>
                </c:pt>
                <c:pt idx="1">
                  <c:v>0.25879999999999997</c:v>
                </c:pt>
              </c:numCache>
            </c:numRef>
          </c:val>
          <c:extLst>
            <c:ext xmlns:c16="http://schemas.microsoft.com/office/drawing/2014/chart" uri="{C3380CC4-5D6E-409C-BE32-E72D297353CC}">
              <c16:uniqueId val="{00000000-8157-4383-A025-F1CC904963E7}"/>
            </c:ext>
          </c:extLst>
        </c:ser>
        <c:ser>
          <c:idx val="1"/>
          <c:order val="1"/>
          <c:tx>
            <c:strRef>
              <c:f>FA</c:f>
              <c:strCache>
                <c:ptCount val="1"/>
                <c:pt idx="0">
                  <c:v>FA</c:v>
                </c:pt>
              </c:strCache>
            </c:strRef>
          </c:tx>
          <c:spPr>
            <a:solidFill>
              <a:srgbClr val="ED7D31"/>
            </a:solidFill>
            <a:ln>
              <a:noFill/>
            </a:ln>
          </c:spPr>
          <c:invertIfNegative val="0"/>
          <c:cat>
            <c:strRef>
              <c:f>{"% NP","% NI"}</c:f>
              <c:strCache>
                <c:ptCount val="2"/>
                <c:pt idx="0">
                  <c:v>% NP</c:v>
                </c:pt>
                <c:pt idx="1">
                  <c:v>% NI</c:v>
                </c:pt>
              </c:strCache>
            </c:strRef>
          </c:cat>
          <c:val>
            <c:numRef>
              <c:f>{0.1348,0.0941}</c:f>
              <c:numCache>
                <c:formatCode>General</c:formatCode>
                <c:ptCount val="2"/>
                <c:pt idx="0">
                  <c:v>0.1348</c:v>
                </c:pt>
                <c:pt idx="1">
                  <c:v>9.4100000000000003E-2</c:v>
                </c:pt>
              </c:numCache>
            </c:numRef>
          </c:val>
          <c:extLst>
            <c:ext xmlns:c16="http://schemas.microsoft.com/office/drawing/2014/chart" uri="{C3380CC4-5D6E-409C-BE32-E72D297353CC}">
              <c16:uniqueId val="{00000001-8157-4383-A025-F1CC904963E7}"/>
            </c:ext>
          </c:extLst>
        </c:ser>
        <c:ser>
          <c:idx val="2"/>
          <c:order val="2"/>
          <c:tx>
            <c:strRef>
              <c:f>PPS</c:f>
              <c:strCache>
                <c:ptCount val="1"/>
                <c:pt idx="0">
                  <c:v>PPS</c:v>
                </c:pt>
              </c:strCache>
            </c:strRef>
          </c:tx>
          <c:spPr>
            <a:solidFill>
              <a:srgbClr val="A5A5A5"/>
            </a:solidFill>
            <a:ln>
              <a:noFill/>
            </a:ln>
          </c:spPr>
          <c:invertIfNegative val="0"/>
          <c:cat>
            <c:strRef>
              <c:f>{"% NP","% NI"}</c:f>
              <c:strCache>
                <c:ptCount val="2"/>
                <c:pt idx="0">
                  <c:v>% NP</c:v>
                </c:pt>
                <c:pt idx="1">
                  <c:v>% NI</c:v>
                </c:pt>
              </c:strCache>
            </c:strRef>
          </c:cat>
          <c:val>
            <c:numRef>
              <c:f>{0.1236,0.1294}</c:f>
              <c:numCache>
                <c:formatCode>General</c:formatCode>
                <c:ptCount val="2"/>
                <c:pt idx="0">
                  <c:v>0.1236</c:v>
                </c:pt>
                <c:pt idx="1">
                  <c:v>0.12939999999999999</c:v>
                </c:pt>
              </c:numCache>
            </c:numRef>
          </c:val>
          <c:extLst>
            <c:ext xmlns:c16="http://schemas.microsoft.com/office/drawing/2014/chart" uri="{C3380CC4-5D6E-409C-BE32-E72D297353CC}">
              <c16:uniqueId val="{00000002-8157-4383-A025-F1CC904963E7}"/>
            </c:ext>
          </c:extLst>
        </c:ser>
        <c:ser>
          <c:idx val="3"/>
          <c:order val="3"/>
          <c:tx>
            <c:strRef>
              <c:f>MPP</c:f>
              <c:strCache>
                <c:ptCount val="1"/>
                <c:pt idx="0">
                  <c:v>MPP</c:v>
                </c:pt>
              </c:strCache>
            </c:strRef>
          </c:tx>
          <c:spPr>
            <a:solidFill>
              <a:srgbClr val="FFC000"/>
            </a:solidFill>
            <a:ln>
              <a:noFill/>
            </a:ln>
          </c:spPr>
          <c:invertIfNegative val="0"/>
          <c:cat>
            <c:strRef>
              <c:f>{"% NP","% NI"}</c:f>
              <c:strCache>
                <c:ptCount val="2"/>
                <c:pt idx="0">
                  <c:v>% NP</c:v>
                </c:pt>
                <c:pt idx="1">
                  <c:v>% NI</c:v>
                </c:pt>
              </c:strCache>
            </c:strRef>
          </c:cat>
          <c:val>
            <c:numRef>
              <c:f>{0.0964,0.1294}</c:f>
              <c:numCache>
                <c:formatCode>General</c:formatCode>
                <c:ptCount val="2"/>
                <c:pt idx="0">
                  <c:v>9.64E-2</c:v>
                </c:pt>
                <c:pt idx="1">
                  <c:v>0.12939999999999999</c:v>
                </c:pt>
              </c:numCache>
            </c:numRef>
          </c:val>
          <c:extLst>
            <c:ext xmlns:c16="http://schemas.microsoft.com/office/drawing/2014/chart" uri="{C3380CC4-5D6E-409C-BE32-E72D297353CC}">
              <c16:uniqueId val="{00000003-8157-4383-A025-F1CC904963E7}"/>
            </c:ext>
          </c:extLst>
        </c:ser>
        <c:ser>
          <c:idx val="4"/>
          <c:order val="4"/>
          <c:tx>
            <c:strRef>
              <c:f>NTD</c:f>
              <c:strCache>
                <c:ptCount val="1"/>
                <c:pt idx="0">
                  <c:v>NTD</c:v>
                </c:pt>
              </c:strCache>
            </c:strRef>
          </c:tx>
          <c:spPr>
            <a:solidFill>
              <a:srgbClr val="4472C4"/>
            </a:solidFill>
            <a:ln>
              <a:noFill/>
            </a:ln>
          </c:spPr>
          <c:invertIfNegative val="0"/>
          <c:cat>
            <c:strRef>
              <c:f>{"% NP","% NI"}</c:f>
              <c:strCache>
                <c:ptCount val="2"/>
                <c:pt idx="0">
                  <c:v>% NP</c:v>
                </c:pt>
                <c:pt idx="1">
                  <c:v>% NI</c:v>
                </c:pt>
              </c:strCache>
            </c:strRef>
          </c:cat>
          <c:val>
            <c:numRef>
              <c:f>{0.0524,0.0118}</c:f>
              <c:numCache>
                <c:formatCode>General</c:formatCode>
                <c:ptCount val="2"/>
                <c:pt idx="0">
                  <c:v>5.2400000000000002E-2</c:v>
                </c:pt>
                <c:pt idx="1">
                  <c:v>1.18E-2</c:v>
                </c:pt>
              </c:numCache>
            </c:numRef>
          </c:val>
          <c:extLst>
            <c:ext xmlns:c16="http://schemas.microsoft.com/office/drawing/2014/chart" uri="{C3380CC4-5D6E-409C-BE32-E72D297353CC}">
              <c16:uniqueId val="{00000004-8157-4383-A025-F1CC904963E7}"/>
            </c:ext>
          </c:extLst>
        </c:ser>
        <c:ser>
          <c:idx val="5"/>
          <c:order val="5"/>
          <c:tx>
            <c:strRef>
              <c:f>RPI</c:f>
              <c:strCache>
                <c:ptCount val="1"/>
                <c:pt idx="0">
                  <c:v>RPI</c:v>
                </c:pt>
              </c:strCache>
            </c:strRef>
          </c:tx>
          <c:spPr>
            <a:solidFill>
              <a:srgbClr val="70AD47"/>
            </a:solidFill>
            <a:ln>
              <a:noFill/>
            </a:ln>
          </c:spPr>
          <c:invertIfNegative val="0"/>
          <c:cat>
            <c:strRef>
              <c:f>{"% NP","% NI"}</c:f>
              <c:strCache>
                <c:ptCount val="2"/>
                <c:pt idx="0">
                  <c:v>% NP</c:v>
                </c:pt>
                <c:pt idx="1">
                  <c:v>% NI</c:v>
                </c:pt>
              </c:strCache>
            </c:strRef>
          </c:cat>
          <c:val>
            <c:numRef>
              <c:f>{0.0487,0.0588}</c:f>
              <c:numCache>
                <c:formatCode>General</c:formatCode>
                <c:ptCount val="2"/>
                <c:pt idx="0">
                  <c:v>4.87E-2</c:v>
                </c:pt>
                <c:pt idx="1">
                  <c:v>5.8799999999999998E-2</c:v>
                </c:pt>
              </c:numCache>
            </c:numRef>
          </c:val>
          <c:extLst>
            <c:ext xmlns:c16="http://schemas.microsoft.com/office/drawing/2014/chart" uri="{C3380CC4-5D6E-409C-BE32-E72D297353CC}">
              <c16:uniqueId val="{00000005-8157-4383-A025-F1CC904963E7}"/>
            </c:ext>
          </c:extLst>
        </c:ser>
        <c:ser>
          <c:idx val="6"/>
          <c:order val="6"/>
          <c:tx>
            <c:strRef>
              <c:f>UNDD</c:f>
              <c:strCache>
                <c:ptCount val="1"/>
                <c:pt idx="0">
                  <c:v>UNDD</c:v>
                </c:pt>
              </c:strCache>
            </c:strRef>
          </c:tx>
          <c:spPr>
            <a:solidFill>
              <a:srgbClr val="255E91"/>
            </a:solidFill>
            <a:ln>
              <a:noFill/>
            </a:ln>
          </c:spPr>
          <c:invertIfNegative val="0"/>
          <c:cat>
            <c:strRef>
              <c:f>{"% NP","% NI"}</c:f>
              <c:strCache>
                <c:ptCount val="2"/>
                <c:pt idx="0">
                  <c:v>% NP</c:v>
                </c:pt>
                <c:pt idx="1">
                  <c:v>% NI</c:v>
                </c:pt>
              </c:strCache>
            </c:strRef>
          </c:cat>
          <c:val>
            <c:numRef>
              <c:f>{0.0337,0.0353}</c:f>
              <c:numCache>
                <c:formatCode>General</c:formatCode>
                <c:ptCount val="2"/>
                <c:pt idx="0">
                  <c:v>3.3700000000000001E-2</c:v>
                </c:pt>
                <c:pt idx="1">
                  <c:v>3.5299999999999998E-2</c:v>
                </c:pt>
              </c:numCache>
            </c:numRef>
          </c:val>
          <c:extLst>
            <c:ext xmlns:c16="http://schemas.microsoft.com/office/drawing/2014/chart" uri="{C3380CC4-5D6E-409C-BE32-E72D297353CC}">
              <c16:uniqueId val="{00000006-8157-4383-A025-F1CC904963E7}"/>
            </c:ext>
          </c:extLst>
        </c:ser>
        <c:ser>
          <c:idx val="8"/>
          <c:order val="7"/>
          <c:tx>
            <c:strRef>
              <c:f>PDIS LAFIA</c:f>
              <c:strCache>
                <c:ptCount val="1"/>
                <c:pt idx="0">
                  <c:v>PDIS LAFIA</c:v>
                </c:pt>
              </c:strCache>
            </c:strRef>
          </c:tx>
          <c:spPr>
            <a:solidFill>
              <a:srgbClr val="636363"/>
            </a:solidFill>
            <a:ln>
              <a:noFill/>
            </a:ln>
          </c:spPr>
          <c:invertIfNegative val="0"/>
          <c:cat>
            <c:strRef>
              <c:f>{"% NP","% NI"}</c:f>
              <c:strCache>
                <c:ptCount val="2"/>
                <c:pt idx="0">
                  <c:v>% NP</c:v>
                </c:pt>
                <c:pt idx="1">
                  <c:v>% NI</c:v>
                </c:pt>
              </c:strCache>
            </c:strRef>
          </c:cat>
          <c:val>
            <c:numRef>
              <c:f>{0.0281,0.0235}</c:f>
              <c:numCache>
                <c:formatCode>General</c:formatCode>
                <c:ptCount val="2"/>
                <c:pt idx="0">
                  <c:v>2.81E-2</c:v>
                </c:pt>
                <c:pt idx="1">
                  <c:v>2.35E-2</c:v>
                </c:pt>
              </c:numCache>
            </c:numRef>
          </c:val>
          <c:extLst>
            <c:ext xmlns:c16="http://schemas.microsoft.com/office/drawing/2014/chart" uri="{C3380CC4-5D6E-409C-BE32-E72D297353CC}">
              <c16:uniqueId val="{00000007-8157-4383-A025-F1CC904963E7}"/>
            </c:ext>
          </c:extLst>
        </c:ser>
        <c:ser>
          <c:idx val="9"/>
          <c:order val="8"/>
          <c:tx>
            <c:strRef>
              <c:f>ADF/RDA</c:f>
              <c:strCache>
                <c:ptCount val="1"/>
                <c:pt idx="0">
                  <c:v>ADF/RDA</c:v>
                </c:pt>
              </c:strCache>
            </c:strRef>
          </c:tx>
          <c:spPr>
            <a:solidFill>
              <a:srgbClr val="997300"/>
            </a:solidFill>
            <a:ln>
              <a:noFill/>
            </a:ln>
          </c:spPr>
          <c:invertIfNegative val="0"/>
          <c:cat>
            <c:strRef>
              <c:f>{"% NP","% NI"}</c:f>
              <c:strCache>
                <c:ptCount val="2"/>
                <c:pt idx="0">
                  <c:v>% NP</c:v>
                </c:pt>
                <c:pt idx="1">
                  <c:v>% NI</c:v>
                </c:pt>
              </c:strCache>
            </c:strRef>
          </c:cat>
          <c:val>
            <c:numRef>
              <c:f>{0.0262,0.0471}</c:f>
              <c:numCache>
                <c:formatCode>General</c:formatCode>
                <c:ptCount val="2"/>
                <c:pt idx="0">
                  <c:v>2.6200000000000001E-2</c:v>
                </c:pt>
                <c:pt idx="1">
                  <c:v>4.7100000000000003E-2</c:v>
                </c:pt>
              </c:numCache>
            </c:numRef>
          </c:val>
          <c:extLst>
            <c:ext xmlns:c16="http://schemas.microsoft.com/office/drawing/2014/chart" uri="{C3380CC4-5D6E-409C-BE32-E72D297353CC}">
              <c16:uniqueId val="{00000008-8157-4383-A025-F1CC904963E7}"/>
            </c:ext>
          </c:extLst>
        </c:ser>
        <c:dLbls>
          <c:showLegendKey val="0"/>
          <c:showVal val="0"/>
          <c:showCatName val="0"/>
          <c:showSerName val="0"/>
          <c:showPercent val="0"/>
          <c:showBubbleSize val="0"/>
        </c:dLbls>
        <c:gapWidth val="219"/>
        <c:overlap val="-27"/>
        <c:axId val="166011407"/>
        <c:axId val="166010991"/>
      </c:barChart>
      <c:catAx>
        <c:axId val="166011407"/>
        <c:scaling>
          <c:orientation val="minMax"/>
        </c:scaling>
        <c:delete val="0"/>
        <c:axPos val="b"/>
        <c:numFmt formatCode="General" sourceLinked="0"/>
        <c:majorTickMark val="none"/>
        <c:minorTickMark val="none"/>
        <c:tickLblPos val="nextTo"/>
        <c:spPr>
          <a:noFill/>
          <a:ln w="9528" cap="flat" cmpd="sng" algn="ctr">
            <a:solidFill>
              <a:srgbClr val="D9D9D9"/>
            </a:solidFill>
            <a:prstDash val="solid"/>
            <a:round/>
          </a:ln>
        </c:spPr>
        <c:txPr>
          <a:bodyPr rot="-60000000" spcFirstLastPara="0" vertOverflow="ellipsis" vert="horz" wrap="square" lIns="0" tIns="0" rIns="0" bIns="0" anchor="ctr" anchorCtr="1"/>
          <a:lstStyle/>
          <a:p>
            <a:pPr>
              <a:defRPr lang="fr-FR" sz="900" b="1" i="0" u="none" strike="noStrike" kern="1200" baseline="0">
                <a:solidFill>
                  <a:srgbClr val="595959"/>
                </a:solidFill>
                <a:latin typeface="Calibri" panose="020F0502020204030204"/>
                <a:ea typeface="+mn-ea"/>
                <a:cs typeface="+mn-cs"/>
              </a:defRPr>
            </a:pPr>
            <a:endParaRPr lang="fr-FR"/>
          </a:p>
        </c:txPr>
        <c:crossAx val="166010991"/>
        <c:crosses val="autoZero"/>
        <c:auto val="1"/>
        <c:lblAlgn val="ctr"/>
        <c:lblOffset val="100"/>
        <c:noMultiLvlLbl val="0"/>
      </c:catAx>
      <c:valAx>
        <c:axId val="166010991"/>
        <c:scaling>
          <c:orientation val="minMax"/>
        </c:scaling>
        <c:delete val="0"/>
        <c:axPos val="l"/>
        <c:majorGridlines>
          <c:spPr>
            <a:ln w="9528" cap="flat" cmpd="sng" algn="ctr">
              <a:solidFill>
                <a:srgbClr val="D9D9D9"/>
              </a:solidFill>
              <a:prstDash val="solid"/>
              <a:round/>
            </a:ln>
          </c:spPr>
        </c:majorGridlines>
        <c:numFmt formatCode="General" sourceLinked="0"/>
        <c:majorTickMark val="none"/>
        <c:minorTickMark val="none"/>
        <c:tickLblPos val="nextTo"/>
        <c:spPr>
          <a:noFill/>
          <a:ln w="6350" cap="flat" cmpd="sng" algn="ctr">
            <a:noFill/>
            <a:prstDash val="solid"/>
            <a:round/>
          </a:ln>
        </c:spPr>
        <c:txPr>
          <a:bodyPr rot="-60000000" spcFirstLastPara="0" vertOverflow="ellipsis" vert="horz" wrap="square" lIns="0" tIns="0" rIns="0" bIns="0" anchor="ctr" anchorCtr="1"/>
          <a:lstStyle/>
          <a:p>
            <a:pPr>
              <a:defRPr lang="fr-FR" sz="900" b="1" i="0" u="none" strike="noStrike" kern="1200" baseline="0">
                <a:solidFill>
                  <a:srgbClr val="595959"/>
                </a:solidFill>
                <a:latin typeface="Calibri" panose="020F0502020204030204"/>
                <a:ea typeface="+mn-ea"/>
                <a:cs typeface="+mn-cs"/>
              </a:defRPr>
            </a:pPr>
            <a:endParaRPr lang="fr-FR"/>
          </a:p>
        </c:txPr>
        <c:crossAx val="166011407"/>
        <c:crosses val="autoZero"/>
        <c:crossBetween val="between"/>
      </c:valAx>
      <c:spPr>
        <a:noFill/>
        <a:ln>
          <a:noFill/>
        </a:ln>
      </c:spPr>
    </c:plotArea>
    <c:legend>
      <c:legendPos val="r"/>
      <c:layout>
        <c:manualLayout>
          <c:xMode val="edge"/>
          <c:yMode val="edge"/>
          <c:x val="0.78455962927377199"/>
          <c:y val="0.26750217286926198"/>
          <c:w val="0.119137549863628"/>
          <c:h val="0.52470569352954199"/>
        </c:manualLayout>
      </c:layout>
      <c:overlay val="0"/>
      <c:spPr>
        <a:noFill/>
        <a:ln>
          <a:noFill/>
        </a:ln>
      </c:spPr>
      <c:txPr>
        <a:bodyPr rot="0" spcFirstLastPara="0" vertOverflow="ellipsis" vert="horz" wrap="square" lIns="0" tIns="0" rIns="0" bIns="0" anchor="ctr" anchorCtr="1"/>
        <a:lstStyle/>
        <a:p>
          <a:pPr>
            <a:defRPr lang="fr-FR" sz="900" b="1" i="0" u="none" strike="noStrike" kern="1200" baseline="0">
              <a:solidFill>
                <a:srgbClr val="595959"/>
              </a:solidFill>
              <a:latin typeface="Calibri" panose="020F0502020204030204"/>
              <a:ea typeface="+mn-ea"/>
              <a:cs typeface="+mn-cs"/>
            </a:defRPr>
          </a:pPr>
          <a:endParaRPr lang="fr-FR"/>
        </a:p>
      </c:txPr>
    </c:legend>
    <c:plotVisOnly val="1"/>
    <c:dispBlanksAs val="gap"/>
    <c:showDLblsOverMax val="0"/>
  </c:chart>
  <c:spPr>
    <a:solidFill>
      <a:srgbClr val="FFFFFF"/>
    </a:solidFill>
    <a:ln w="9528" cap="flat" cmpd="sng" algn="ctr">
      <a:solidFill>
        <a:srgbClr val="D9D9D9"/>
      </a:solidFill>
      <a:prstDash val="solid"/>
      <a:round/>
    </a:ln>
  </c:spPr>
  <c:txPr>
    <a:bodyPr lIns="0" tIns="0" rIns="0" bIns="0"/>
    <a:lstStyle/>
    <a:p>
      <a:pPr>
        <a:defRPr lang="fr-FR" sz="1000" b="0" i="0" u="none" strike="noStrike" kern="1200" baseline="0">
          <a:solidFill>
            <a:srgbClr val="000000"/>
          </a:solidFill>
          <a:latin typeface="Calibri" panose="020F0502020204030204"/>
        </a:defRPr>
      </a:pPr>
      <a:endParaRPr lang="fr-F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lIns="0" tIns="0" rIns="0" bIns="0" anchor="ctr" anchorCtr="1"/>
          <a:lstStyle/>
          <a:p>
            <a:pPr marL="0" marR="0" indent="0" algn="ctr" defTabSz="914400" fontAlgn="auto" hangingPunct="1">
              <a:lnSpc>
                <a:spcPct val="100000"/>
              </a:lnSpc>
              <a:spcBef>
                <a:spcPts val="0"/>
              </a:spcBef>
              <a:spcAft>
                <a:spcPts val="0"/>
              </a:spcAft>
              <a:defRPr lang="fr-FR" sz="1400" b="1" i="0" u="none" strike="noStrike" kern="1200" spc="0" baseline="0">
                <a:solidFill>
                  <a:srgbClr val="595959"/>
                </a:solidFill>
                <a:latin typeface="Calibri" panose="020F0502020204030204"/>
                <a:ea typeface="+mn-ea"/>
                <a:cs typeface="+mn-cs"/>
              </a:defRPr>
            </a:pPr>
            <a:r>
              <a:rPr lang="fr-FR" sz="1400" b="1" i="0" u="none" strike="noStrike" kern="1200" cap="none" spc="0" baseline="0">
                <a:solidFill>
                  <a:srgbClr val="595959"/>
                </a:solidFill>
                <a:uFillTx/>
                <a:latin typeface="Calibri" panose="020F0502020204030204"/>
              </a:rPr>
              <a:t>AUJOURD'HUI AU FASO</a:t>
            </a:r>
          </a:p>
        </c:rich>
      </c:tx>
      <c:overlay val="0"/>
      <c:spPr>
        <a:noFill/>
        <a:ln>
          <a:noFill/>
        </a:ln>
      </c:spPr>
    </c:title>
    <c:autoTitleDeleted val="0"/>
    <c:plotArea>
      <c:layout/>
      <c:barChart>
        <c:barDir val="col"/>
        <c:grouping val="clustered"/>
        <c:varyColors val="0"/>
        <c:ser>
          <c:idx val="0"/>
          <c:order val="0"/>
          <c:tx>
            <c:strRef>
              <c:f>CDP</c:f>
              <c:strCache>
                <c:ptCount val="1"/>
                <c:pt idx="0">
                  <c:v>CDP</c:v>
                </c:pt>
              </c:strCache>
            </c:strRef>
          </c:tx>
          <c:spPr>
            <a:solidFill>
              <a:srgbClr val="5B9BD5"/>
            </a:solidFill>
            <a:ln>
              <a:noFill/>
            </a:ln>
          </c:spPr>
          <c:invertIfNegative val="0"/>
          <c:cat>
            <c:strRef>
              <c:f>{"% NP","% NI"}</c:f>
              <c:strCache>
                <c:ptCount val="2"/>
                <c:pt idx="0">
                  <c:v>% NP</c:v>
                </c:pt>
                <c:pt idx="1">
                  <c:v>% NI</c:v>
                </c:pt>
              </c:strCache>
            </c:strRef>
          </c:cat>
          <c:val>
            <c:numRef>
              <c:f>{0.2833,0.3258}</c:f>
              <c:numCache>
                <c:formatCode>General</c:formatCode>
                <c:ptCount val="2"/>
                <c:pt idx="0">
                  <c:v>0.2833</c:v>
                </c:pt>
                <c:pt idx="1">
                  <c:v>0.32579999999999998</c:v>
                </c:pt>
              </c:numCache>
            </c:numRef>
          </c:val>
          <c:extLst>
            <c:ext xmlns:c16="http://schemas.microsoft.com/office/drawing/2014/chart" uri="{C3380CC4-5D6E-409C-BE32-E72D297353CC}">
              <c16:uniqueId val="{00000000-FB7C-4BEB-BB41-DFB170AA55A9}"/>
            </c:ext>
          </c:extLst>
        </c:ser>
        <c:ser>
          <c:idx val="1"/>
          <c:order val="1"/>
          <c:tx>
            <c:strRef>
              <c:f>MPP</c:f>
              <c:strCache>
                <c:ptCount val="1"/>
                <c:pt idx="0">
                  <c:v>MPP</c:v>
                </c:pt>
              </c:strCache>
            </c:strRef>
          </c:tx>
          <c:spPr>
            <a:solidFill>
              <a:srgbClr val="ED7D31"/>
            </a:solidFill>
            <a:ln>
              <a:noFill/>
            </a:ln>
          </c:spPr>
          <c:invertIfNegative val="0"/>
          <c:cat>
            <c:strRef>
              <c:f>{"% NP","% NI"}</c:f>
              <c:strCache>
                <c:ptCount val="2"/>
                <c:pt idx="0">
                  <c:v>% NP</c:v>
                </c:pt>
                <c:pt idx="1">
                  <c:v>% NI</c:v>
                </c:pt>
              </c:strCache>
            </c:strRef>
          </c:cat>
          <c:val>
            <c:numRef>
              <c:f>{0.1959,0.1348}</c:f>
              <c:numCache>
                <c:formatCode>General</c:formatCode>
                <c:ptCount val="2"/>
                <c:pt idx="0">
                  <c:v>0.19589999999999999</c:v>
                </c:pt>
                <c:pt idx="1">
                  <c:v>0.1348</c:v>
                </c:pt>
              </c:numCache>
            </c:numRef>
          </c:val>
          <c:extLst>
            <c:ext xmlns:c16="http://schemas.microsoft.com/office/drawing/2014/chart" uri="{C3380CC4-5D6E-409C-BE32-E72D297353CC}">
              <c16:uniqueId val="{00000001-FB7C-4BEB-BB41-DFB170AA55A9}"/>
            </c:ext>
          </c:extLst>
        </c:ser>
        <c:ser>
          <c:idx val="2"/>
          <c:order val="2"/>
          <c:tx>
            <c:strRef>
              <c:f>PPS</c:f>
              <c:strCache>
                <c:ptCount val="1"/>
                <c:pt idx="0">
                  <c:v>PPS</c:v>
                </c:pt>
              </c:strCache>
            </c:strRef>
          </c:tx>
          <c:spPr>
            <a:solidFill>
              <a:srgbClr val="A5A5A5"/>
            </a:solidFill>
            <a:ln>
              <a:noFill/>
            </a:ln>
          </c:spPr>
          <c:invertIfNegative val="0"/>
          <c:cat>
            <c:strRef>
              <c:f>{"% NP","% NI"}</c:f>
              <c:strCache>
                <c:ptCount val="2"/>
                <c:pt idx="0">
                  <c:v>% NP</c:v>
                </c:pt>
                <c:pt idx="1">
                  <c:v>% NI</c:v>
                </c:pt>
              </c:strCache>
            </c:strRef>
          </c:cat>
          <c:val>
            <c:numRef>
              <c:f>{0.0856,0.1011}</c:f>
              <c:numCache>
                <c:formatCode>General</c:formatCode>
                <c:ptCount val="2"/>
                <c:pt idx="0">
                  <c:v>8.5599999999999996E-2</c:v>
                </c:pt>
                <c:pt idx="1">
                  <c:v>0.1011</c:v>
                </c:pt>
              </c:numCache>
            </c:numRef>
          </c:val>
          <c:extLst>
            <c:ext xmlns:c16="http://schemas.microsoft.com/office/drawing/2014/chart" uri="{C3380CC4-5D6E-409C-BE32-E72D297353CC}">
              <c16:uniqueId val="{00000002-FB7C-4BEB-BB41-DFB170AA55A9}"/>
            </c:ext>
          </c:extLst>
        </c:ser>
        <c:ser>
          <c:idx val="3"/>
          <c:order val="3"/>
          <c:tx>
            <c:strRef>
              <c:f>UPC</c:f>
              <c:strCache>
                <c:ptCount val="1"/>
                <c:pt idx="0">
                  <c:v>UPC</c:v>
                </c:pt>
              </c:strCache>
            </c:strRef>
          </c:tx>
          <c:spPr>
            <a:solidFill>
              <a:srgbClr val="FFC000"/>
            </a:solidFill>
            <a:ln>
              <a:noFill/>
            </a:ln>
          </c:spPr>
          <c:invertIfNegative val="0"/>
          <c:cat>
            <c:strRef>
              <c:f>{"% NP","% NI"}</c:f>
              <c:strCache>
                <c:ptCount val="2"/>
                <c:pt idx="0">
                  <c:v>% NP</c:v>
                </c:pt>
                <c:pt idx="1">
                  <c:v>% NI</c:v>
                </c:pt>
              </c:strCache>
            </c:strRef>
          </c:cat>
          <c:val>
            <c:numRef>
              <c:f>{0.062,0.0562}</c:f>
              <c:numCache>
                <c:formatCode>General</c:formatCode>
                <c:ptCount val="2"/>
                <c:pt idx="0">
                  <c:v>6.2E-2</c:v>
                </c:pt>
                <c:pt idx="1">
                  <c:v>5.62E-2</c:v>
                </c:pt>
              </c:numCache>
            </c:numRef>
          </c:val>
          <c:extLst>
            <c:ext xmlns:c16="http://schemas.microsoft.com/office/drawing/2014/chart" uri="{C3380CC4-5D6E-409C-BE32-E72D297353CC}">
              <c16:uniqueId val="{00000003-FB7C-4BEB-BB41-DFB170AA55A9}"/>
            </c:ext>
          </c:extLst>
        </c:ser>
        <c:ser>
          <c:idx val="4"/>
          <c:order val="4"/>
          <c:tx>
            <c:strRef>
              <c:f>UNIR/MPS</c:f>
              <c:strCache>
                <c:ptCount val="1"/>
                <c:pt idx="0">
                  <c:v>UNIR/MPS</c:v>
                </c:pt>
              </c:strCache>
            </c:strRef>
          </c:tx>
          <c:spPr>
            <a:solidFill>
              <a:srgbClr val="4472C4"/>
            </a:solidFill>
            <a:ln>
              <a:noFill/>
            </a:ln>
          </c:spPr>
          <c:invertIfNegative val="0"/>
          <c:cat>
            <c:strRef>
              <c:f>{"% NP","% NI"}</c:f>
              <c:strCache>
                <c:ptCount val="2"/>
                <c:pt idx="0">
                  <c:v>% NP</c:v>
                </c:pt>
                <c:pt idx="1">
                  <c:v>% NI</c:v>
                </c:pt>
              </c:strCache>
            </c:strRef>
          </c:cat>
          <c:val>
            <c:numRef>
              <c:f>{0.0413,0.0674}</c:f>
              <c:numCache>
                <c:formatCode>General</c:formatCode>
                <c:ptCount val="2"/>
                <c:pt idx="0">
                  <c:v>4.1300000000000003E-2</c:v>
                </c:pt>
                <c:pt idx="1">
                  <c:v>6.7400000000000002E-2</c:v>
                </c:pt>
              </c:numCache>
            </c:numRef>
          </c:val>
          <c:extLst>
            <c:ext xmlns:c16="http://schemas.microsoft.com/office/drawing/2014/chart" uri="{C3380CC4-5D6E-409C-BE32-E72D297353CC}">
              <c16:uniqueId val="{00000004-FB7C-4BEB-BB41-DFB170AA55A9}"/>
            </c:ext>
          </c:extLst>
        </c:ser>
        <c:ser>
          <c:idx val="5"/>
          <c:order val="5"/>
          <c:tx>
            <c:strRef>
              <c:f>MRB</c:f>
              <c:strCache>
                <c:ptCount val="1"/>
                <c:pt idx="0">
                  <c:v>MRB</c:v>
                </c:pt>
              </c:strCache>
            </c:strRef>
          </c:tx>
          <c:spPr>
            <a:solidFill>
              <a:srgbClr val="70AD47"/>
            </a:solidFill>
            <a:ln>
              <a:noFill/>
            </a:ln>
          </c:spPr>
          <c:invertIfNegative val="0"/>
          <c:cat>
            <c:strRef>
              <c:f>{"% NP","% NI"}</c:f>
              <c:strCache>
                <c:ptCount val="2"/>
                <c:pt idx="0">
                  <c:v>% NP</c:v>
                </c:pt>
                <c:pt idx="1">
                  <c:v>% NI</c:v>
                </c:pt>
              </c:strCache>
            </c:strRef>
          </c:cat>
          <c:val>
            <c:numRef>
              <c:f>{0.0384,0.0562}</c:f>
              <c:numCache>
                <c:formatCode>General</c:formatCode>
                <c:ptCount val="2"/>
                <c:pt idx="0">
                  <c:v>3.8399999999999997E-2</c:v>
                </c:pt>
                <c:pt idx="1">
                  <c:v>5.62E-2</c:v>
                </c:pt>
              </c:numCache>
            </c:numRef>
          </c:val>
          <c:extLst>
            <c:ext xmlns:c16="http://schemas.microsoft.com/office/drawing/2014/chart" uri="{C3380CC4-5D6E-409C-BE32-E72D297353CC}">
              <c16:uniqueId val="{00000005-FB7C-4BEB-BB41-DFB170AA55A9}"/>
            </c:ext>
          </c:extLst>
        </c:ser>
        <c:ser>
          <c:idx val="6"/>
          <c:order val="6"/>
          <c:tx>
            <c:strRef>
              <c:f>ADF/RDA</c:f>
              <c:strCache>
                <c:ptCount val="1"/>
                <c:pt idx="0">
                  <c:v>ADF/RDA</c:v>
                </c:pt>
              </c:strCache>
            </c:strRef>
          </c:tx>
          <c:spPr>
            <a:solidFill>
              <a:srgbClr val="255E91"/>
            </a:solidFill>
            <a:ln>
              <a:noFill/>
            </a:ln>
          </c:spPr>
          <c:invertIfNegative val="0"/>
          <c:cat>
            <c:strRef>
              <c:f>{"% NP","% NI"}</c:f>
              <c:strCache>
                <c:ptCount val="2"/>
                <c:pt idx="0">
                  <c:v>% NP</c:v>
                </c:pt>
                <c:pt idx="1">
                  <c:v>% NI</c:v>
                </c:pt>
              </c:strCache>
            </c:strRef>
          </c:cat>
          <c:val>
            <c:numRef>
              <c:f>{0.0354,0.0225}</c:f>
              <c:numCache>
                <c:formatCode>General</c:formatCode>
                <c:ptCount val="2"/>
                <c:pt idx="0">
                  <c:v>3.5400000000000001E-2</c:v>
                </c:pt>
                <c:pt idx="1">
                  <c:v>2.2499999999999999E-2</c:v>
                </c:pt>
              </c:numCache>
            </c:numRef>
          </c:val>
          <c:extLst>
            <c:ext xmlns:c16="http://schemas.microsoft.com/office/drawing/2014/chart" uri="{C3380CC4-5D6E-409C-BE32-E72D297353CC}">
              <c16:uniqueId val="{00000006-FB7C-4BEB-BB41-DFB170AA55A9}"/>
            </c:ext>
          </c:extLst>
        </c:ser>
        <c:ser>
          <c:idx val="7"/>
          <c:order val="7"/>
          <c:tx>
            <c:strRef>
              <c:f>RPD</c:f>
              <c:strCache>
                <c:ptCount val="1"/>
                <c:pt idx="0">
                  <c:v>RPD</c:v>
                </c:pt>
              </c:strCache>
            </c:strRef>
          </c:tx>
          <c:spPr>
            <a:solidFill>
              <a:srgbClr val="9E480E"/>
            </a:solidFill>
            <a:ln>
              <a:noFill/>
            </a:ln>
          </c:spPr>
          <c:invertIfNegative val="0"/>
          <c:cat>
            <c:strRef>
              <c:f>{"% NP","% NI"}</c:f>
              <c:strCache>
                <c:ptCount val="2"/>
                <c:pt idx="0">
                  <c:v>% NP</c:v>
                </c:pt>
                <c:pt idx="1">
                  <c:v>% NI</c:v>
                </c:pt>
              </c:strCache>
            </c:strRef>
          </c:cat>
          <c:val>
            <c:numRef>
              <c:f>{0.0354,0.0225}</c:f>
              <c:numCache>
                <c:formatCode>General</c:formatCode>
                <c:ptCount val="2"/>
                <c:pt idx="0">
                  <c:v>3.5400000000000001E-2</c:v>
                </c:pt>
                <c:pt idx="1">
                  <c:v>2.2499999999999999E-2</c:v>
                </c:pt>
              </c:numCache>
            </c:numRef>
          </c:val>
          <c:extLst>
            <c:ext xmlns:c16="http://schemas.microsoft.com/office/drawing/2014/chart" uri="{C3380CC4-5D6E-409C-BE32-E72D297353CC}">
              <c16:uniqueId val="{00000007-FB7C-4BEB-BB41-DFB170AA55A9}"/>
            </c:ext>
          </c:extLst>
        </c:ser>
        <c:ser>
          <c:idx val="8"/>
          <c:order val="8"/>
          <c:tx>
            <c:strRef>
              <c:f>UNDD</c:f>
              <c:strCache>
                <c:ptCount val="1"/>
                <c:pt idx="0">
                  <c:v>UNDD</c:v>
                </c:pt>
              </c:strCache>
            </c:strRef>
          </c:tx>
          <c:spPr>
            <a:solidFill>
              <a:srgbClr val="636363"/>
            </a:solidFill>
            <a:ln>
              <a:noFill/>
            </a:ln>
          </c:spPr>
          <c:invertIfNegative val="0"/>
          <c:cat>
            <c:strRef>
              <c:f>{"% NP","% NI"}</c:f>
              <c:strCache>
                <c:ptCount val="2"/>
                <c:pt idx="0">
                  <c:v>% NP</c:v>
                </c:pt>
                <c:pt idx="1">
                  <c:v>% NI</c:v>
                </c:pt>
              </c:strCache>
            </c:strRef>
          </c:cat>
          <c:val>
            <c:numRef>
              <c:f>{0.0354,0.0225}</c:f>
              <c:numCache>
                <c:formatCode>General</c:formatCode>
                <c:ptCount val="2"/>
                <c:pt idx="0">
                  <c:v>3.5400000000000001E-2</c:v>
                </c:pt>
                <c:pt idx="1">
                  <c:v>2.2499999999999999E-2</c:v>
                </c:pt>
              </c:numCache>
            </c:numRef>
          </c:val>
          <c:extLst>
            <c:ext xmlns:c16="http://schemas.microsoft.com/office/drawing/2014/chart" uri="{C3380CC4-5D6E-409C-BE32-E72D297353CC}">
              <c16:uniqueId val="{00000008-FB7C-4BEB-BB41-DFB170AA55A9}"/>
            </c:ext>
          </c:extLst>
        </c:ser>
        <c:ser>
          <c:idx val="9"/>
          <c:order val="9"/>
          <c:tx>
            <c:strRef>
              <c:f>APP/B</c:f>
              <c:strCache>
                <c:ptCount val="1"/>
                <c:pt idx="0">
                  <c:v>APP/B</c:v>
                </c:pt>
              </c:strCache>
            </c:strRef>
          </c:tx>
          <c:spPr>
            <a:solidFill>
              <a:srgbClr val="997300"/>
            </a:solidFill>
            <a:ln>
              <a:noFill/>
            </a:ln>
          </c:spPr>
          <c:invertIfNegative val="0"/>
          <c:cat>
            <c:strRef>
              <c:f>{"% NP","% NI"}</c:f>
              <c:strCache>
                <c:ptCount val="2"/>
                <c:pt idx="0">
                  <c:v>% NP</c:v>
                </c:pt>
                <c:pt idx="1">
                  <c:v>% NI</c:v>
                </c:pt>
              </c:strCache>
            </c:strRef>
          </c:cat>
          <c:val>
            <c:numRef>
              <c:f>{0.0266,0}</c:f>
              <c:numCache>
                <c:formatCode>General</c:formatCode>
                <c:ptCount val="2"/>
                <c:pt idx="0">
                  <c:v>2.6599999999999999E-2</c:v>
                </c:pt>
                <c:pt idx="1">
                  <c:v>0</c:v>
                </c:pt>
              </c:numCache>
            </c:numRef>
          </c:val>
          <c:extLst>
            <c:ext xmlns:c16="http://schemas.microsoft.com/office/drawing/2014/chart" uri="{C3380CC4-5D6E-409C-BE32-E72D297353CC}">
              <c16:uniqueId val="{00000009-FB7C-4BEB-BB41-DFB170AA55A9}"/>
            </c:ext>
          </c:extLst>
        </c:ser>
        <c:dLbls>
          <c:showLegendKey val="0"/>
          <c:showVal val="0"/>
          <c:showCatName val="0"/>
          <c:showSerName val="0"/>
          <c:showPercent val="0"/>
          <c:showBubbleSize val="0"/>
        </c:dLbls>
        <c:gapWidth val="219"/>
        <c:overlap val="-27"/>
        <c:axId val="166013903"/>
        <c:axId val="166012655"/>
      </c:barChart>
      <c:catAx>
        <c:axId val="166013903"/>
        <c:scaling>
          <c:orientation val="minMax"/>
        </c:scaling>
        <c:delete val="0"/>
        <c:axPos val="b"/>
        <c:numFmt formatCode="General" sourceLinked="0"/>
        <c:majorTickMark val="none"/>
        <c:minorTickMark val="none"/>
        <c:tickLblPos val="nextTo"/>
        <c:spPr>
          <a:noFill/>
          <a:ln w="9528" cap="flat" cmpd="sng" algn="ctr">
            <a:solidFill>
              <a:srgbClr val="D9D9D9"/>
            </a:solidFill>
            <a:prstDash val="solid"/>
            <a:round/>
          </a:ln>
        </c:spPr>
        <c:txPr>
          <a:bodyPr rot="-60000000" spcFirstLastPara="0" vertOverflow="ellipsis" vert="horz" wrap="square" lIns="0" tIns="0" rIns="0" bIns="0" anchor="ctr" anchorCtr="1"/>
          <a:lstStyle/>
          <a:p>
            <a:pPr>
              <a:defRPr lang="fr-FR" sz="900" b="1" i="0" u="none" strike="noStrike" kern="1200" baseline="0">
                <a:solidFill>
                  <a:srgbClr val="595959"/>
                </a:solidFill>
                <a:latin typeface="Calibri" panose="020F0502020204030204"/>
                <a:ea typeface="+mn-ea"/>
                <a:cs typeface="+mn-cs"/>
              </a:defRPr>
            </a:pPr>
            <a:endParaRPr lang="fr-FR"/>
          </a:p>
        </c:txPr>
        <c:crossAx val="166012655"/>
        <c:crosses val="autoZero"/>
        <c:auto val="1"/>
        <c:lblAlgn val="ctr"/>
        <c:lblOffset val="100"/>
        <c:noMultiLvlLbl val="0"/>
      </c:catAx>
      <c:valAx>
        <c:axId val="166012655"/>
        <c:scaling>
          <c:orientation val="minMax"/>
        </c:scaling>
        <c:delete val="0"/>
        <c:axPos val="l"/>
        <c:majorGridlines>
          <c:spPr>
            <a:ln w="9528" cap="flat" cmpd="sng" algn="ctr">
              <a:solidFill>
                <a:srgbClr val="D9D9D9"/>
              </a:solidFill>
              <a:prstDash val="solid"/>
              <a:round/>
            </a:ln>
          </c:spPr>
        </c:majorGridlines>
        <c:numFmt formatCode="General" sourceLinked="0"/>
        <c:majorTickMark val="none"/>
        <c:minorTickMark val="none"/>
        <c:tickLblPos val="nextTo"/>
        <c:spPr>
          <a:noFill/>
          <a:ln w="6350" cap="flat" cmpd="sng" algn="ctr">
            <a:noFill/>
            <a:prstDash val="solid"/>
            <a:round/>
          </a:ln>
        </c:spPr>
        <c:txPr>
          <a:bodyPr rot="-60000000" spcFirstLastPara="0" vertOverflow="ellipsis" vert="horz" wrap="square" lIns="0" tIns="0" rIns="0" bIns="0" anchor="ctr" anchorCtr="1"/>
          <a:lstStyle/>
          <a:p>
            <a:pPr>
              <a:defRPr lang="fr-FR" sz="900" b="1" i="0" u="none" strike="noStrike" kern="1200" baseline="0">
                <a:solidFill>
                  <a:srgbClr val="595959"/>
                </a:solidFill>
                <a:latin typeface="Calibri" panose="020F0502020204030204"/>
                <a:ea typeface="+mn-ea"/>
                <a:cs typeface="+mn-cs"/>
              </a:defRPr>
            </a:pPr>
            <a:endParaRPr lang="fr-FR"/>
          </a:p>
        </c:txPr>
        <c:crossAx val="166013903"/>
        <c:crosses val="autoZero"/>
        <c:crossBetween val="between"/>
      </c:valAx>
      <c:spPr>
        <a:noFill/>
        <a:ln>
          <a:noFill/>
        </a:ln>
      </c:spPr>
    </c:plotArea>
    <c:legend>
      <c:legendPos val="r"/>
      <c:overlay val="0"/>
      <c:spPr>
        <a:noFill/>
        <a:ln>
          <a:noFill/>
        </a:ln>
      </c:spPr>
      <c:txPr>
        <a:bodyPr rot="0" spcFirstLastPara="0" vertOverflow="ellipsis" vert="horz" wrap="square" lIns="0" tIns="0" rIns="0" bIns="0" anchor="ctr" anchorCtr="1"/>
        <a:lstStyle/>
        <a:p>
          <a:pPr>
            <a:defRPr lang="fr-FR" sz="900" b="1" i="0" u="none" strike="noStrike" kern="1200" baseline="0">
              <a:solidFill>
                <a:srgbClr val="595959"/>
              </a:solidFill>
              <a:latin typeface="Calibri" panose="020F0502020204030204"/>
              <a:ea typeface="+mn-ea"/>
              <a:cs typeface="+mn-cs"/>
            </a:defRPr>
          </a:pPr>
          <a:endParaRPr lang="fr-FR"/>
        </a:p>
      </c:txPr>
    </c:legend>
    <c:plotVisOnly val="1"/>
    <c:dispBlanksAs val="gap"/>
    <c:showDLblsOverMax val="0"/>
  </c:chart>
  <c:spPr>
    <a:solidFill>
      <a:srgbClr val="FFFFFF"/>
    </a:solidFill>
    <a:ln w="9528" cap="flat" cmpd="sng" algn="ctr">
      <a:solidFill>
        <a:srgbClr val="D9D9D9"/>
      </a:solidFill>
      <a:prstDash val="solid"/>
      <a:round/>
    </a:ln>
  </c:spPr>
  <c:txPr>
    <a:bodyPr lIns="0" tIns="0" rIns="0" bIns="0"/>
    <a:lstStyle/>
    <a:p>
      <a:pPr>
        <a:defRPr lang="fr-FR" sz="1000" b="0" i="0" u="none" strike="noStrike" kern="1200" baseline="0">
          <a:solidFill>
            <a:srgbClr val="000000"/>
          </a:solidFill>
          <a:latin typeface="Calibri" panose="020F0502020204030204"/>
        </a:defRPr>
      </a:pPr>
      <a:endParaRPr lang="fr-F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lIns="0" tIns="0" rIns="0" bIns="0" anchor="ctr" anchorCtr="1"/>
          <a:lstStyle/>
          <a:p>
            <a:pPr marL="0" marR="0" indent="0" algn="ctr" defTabSz="914400" fontAlgn="auto" hangingPunct="1">
              <a:lnSpc>
                <a:spcPct val="100000"/>
              </a:lnSpc>
              <a:spcBef>
                <a:spcPts val="0"/>
              </a:spcBef>
              <a:spcAft>
                <a:spcPts val="0"/>
              </a:spcAft>
              <a:defRPr lang="fr-FR" sz="1400" b="1" i="0" u="none" strike="noStrike" kern="1200" spc="0" baseline="0">
                <a:solidFill>
                  <a:srgbClr val="595959"/>
                </a:solidFill>
                <a:latin typeface="Calibri" panose="020F0502020204030204"/>
                <a:ea typeface="+mn-ea"/>
                <a:cs typeface="+mn-cs"/>
              </a:defRPr>
            </a:pPr>
            <a:r>
              <a:rPr lang="fr-FR" sz="1400" b="1" i="0" u="none" strike="noStrike" kern="1200" cap="none" spc="0" baseline="0">
                <a:solidFill>
                  <a:srgbClr val="595959"/>
                </a:solidFill>
                <a:uFillTx/>
                <a:latin typeface="Calibri" panose="020F0502020204030204"/>
              </a:rPr>
              <a:t>LEFASO.NET</a:t>
            </a:r>
          </a:p>
        </c:rich>
      </c:tx>
      <c:overlay val="0"/>
      <c:spPr>
        <a:noFill/>
        <a:ln>
          <a:noFill/>
        </a:ln>
      </c:spPr>
    </c:title>
    <c:autoTitleDeleted val="0"/>
    <c:plotArea>
      <c:layout/>
      <c:barChart>
        <c:barDir val="col"/>
        <c:grouping val="clustered"/>
        <c:varyColors val="0"/>
        <c:ser>
          <c:idx val="0"/>
          <c:order val="0"/>
          <c:tx>
            <c:strRef>
              <c:f>CDP</c:f>
              <c:strCache>
                <c:ptCount val="1"/>
                <c:pt idx="0">
                  <c:v>CDP</c:v>
                </c:pt>
              </c:strCache>
            </c:strRef>
          </c:tx>
          <c:spPr>
            <a:solidFill>
              <a:srgbClr val="5B9BD5"/>
            </a:solidFill>
            <a:ln>
              <a:noFill/>
            </a:ln>
          </c:spPr>
          <c:invertIfNegative val="0"/>
          <c:cat>
            <c:strRef>
              <c:f>{"% NA","% NI"}</c:f>
              <c:strCache>
                <c:ptCount val="2"/>
                <c:pt idx="0">
                  <c:v>% NA</c:v>
                </c:pt>
                <c:pt idx="1">
                  <c:v>% NI</c:v>
                </c:pt>
              </c:strCache>
            </c:strRef>
          </c:cat>
          <c:val>
            <c:numRef>
              <c:f>{0.2166,0.2091}</c:f>
              <c:numCache>
                <c:formatCode>General</c:formatCode>
                <c:ptCount val="2"/>
                <c:pt idx="0">
                  <c:v>0.21659999999999999</c:v>
                </c:pt>
                <c:pt idx="1">
                  <c:v>0.20910000000000001</c:v>
                </c:pt>
              </c:numCache>
            </c:numRef>
          </c:val>
          <c:extLst>
            <c:ext xmlns:c16="http://schemas.microsoft.com/office/drawing/2014/chart" uri="{C3380CC4-5D6E-409C-BE32-E72D297353CC}">
              <c16:uniqueId val="{00000000-5B7B-47A5-AC08-B523A3FA173B}"/>
            </c:ext>
          </c:extLst>
        </c:ser>
        <c:ser>
          <c:idx val="1"/>
          <c:order val="1"/>
          <c:tx>
            <c:strRef>
              <c:f>MPP</c:f>
              <c:strCache>
                <c:ptCount val="1"/>
                <c:pt idx="0">
                  <c:v>MPP</c:v>
                </c:pt>
              </c:strCache>
            </c:strRef>
          </c:tx>
          <c:spPr>
            <a:solidFill>
              <a:srgbClr val="ED7D31"/>
            </a:solidFill>
            <a:ln>
              <a:noFill/>
            </a:ln>
          </c:spPr>
          <c:invertIfNegative val="0"/>
          <c:cat>
            <c:strRef>
              <c:f>{"% NA","% NI"}</c:f>
              <c:strCache>
                <c:ptCount val="2"/>
                <c:pt idx="0">
                  <c:v>% NA</c:v>
                </c:pt>
                <c:pt idx="1">
                  <c:v>% NI</c:v>
                </c:pt>
              </c:strCache>
            </c:strRef>
          </c:cat>
          <c:val>
            <c:numRef>
              <c:f>{0.1975,0.2091}</c:f>
              <c:numCache>
                <c:formatCode>General</c:formatCode>
                <c:ptCount val="2"/>
                <c:pt idx="0">
                  <c:v>0.19750000000000001</c:v>
                </c:pt>
                <c:pt idx="1">
                  <c:v>0.20910000000000001</c:v>
                </c:pt>
              </c:numCache>
            </c:numRef>
          </c:val>
          <c:extLst>
            <c:ext xmlns:c16="http://schemas.microsoft.com/office/drawing/2014/chart" uri="{C3380CC4-5D6E-409C-BE32-E72D297353CC}">
              <c16:uniqueId val="{00000001-5B7B-47A5-AC08-B523A3FA173B}"/>
            </c:ext>
          </c:extLst>
        </c:ser>
        <c:ser>
          <c:idx val="2"/>
          <c:order val="2"/>
          <c:tx>
            <c:strRef>
              <c:f>UPC</c:f>
              <c:strCache>
                <c:ptCount val="1"/>
                <c:pt idx="0">
                  <c:v>UPC</c:v>
                </c:pt>
              </c:strCache>
            </c:strRef>
          </c:tx>
          <c:spPr>
            <a:solidFill>
              <a:srgbClr val="A5A5A5"/>
            </a:solidFill>
            <a:ln>
              <a:noFill/>
            </a:ln>
          </c:spPr>
          <c:invertIfNegative val="0"/>
          <c:cat>
            <c:strRef>
              <c:f>{"% NA","% NI"}</c:f>
              <c:strCache>
                <c:ptCount val="2"/>
                <c:pt idx="0">
                  <c:v>% NA</c:v>
                </c:pt>
                <c:pt idx="1">
                  <c:v>% NI</c:v>
                </c:pt>
              </c:strCache>
            </c:strRef>
          </c:cat>
          <c:val>
            <c:numRef>
              <c:f>{0.1019,0.1455}</c:f>
              <c:numCache>
                <c:formatCode>General</c:formatCode>
                <c:ptCount val="2"/>
                <c:pt idx="0">
                  <c:v>0.1019</c:v>
                </c:pt>
                <c:pt idx="1">
                  <c:v>0.14549999999999999</c:v>
                </c:pt>
              </c:numCache>
            </c:numRef>
          </c:val>
          <c:extLst>
            <c:ext xmlns:c16="http://schemas.microsoft.com/office/drawing/2014/chart" uri="{C3380CC4-5D6E-409C-BE32-E72D297353CC}">
              <c16:uniqueId val="{00000002-5B7B-47A5-AC08-B523A3FA173B}"/>
            </c:ext>
          </c:extLst>
        </c:ser>
        <c:ser>
          <c:idx val="3"/>
          <c:order val="3"/>
          <c:tx>
            <c:strRef>
              <c:f>PPS</c:f>
              <c:strCache>
                <c:ptCount val="1"/>
                <c:pt idx="0">
                  <c:v>PPS</c:v>
                </c:pt>
              </c:strCache>
            </c:strRef>
          </c:tx>
          <c:spPr>
            <a:solidFill>
              <a:srgbClr val="FFC000"/>
            </a:solidFill>
            <a:ln>
              <a:noFill/>
            </a:ln>
          </c:spPr>
          <c:invertIfNegative val="0"/>
          <c:cat>
            <c:strRef>
              <c:f>{"% NA","% NI"}</c:f>
              <c:strCache>
                <c:ptCount val="2"/>
                <c:pt idx="0">
                  <c:v>% NA</c:v>
                </c:pt>
                <c:pt idx="1">
                  <c:v>% NI</c:v>
                </c:pt>
              </c:strCache>
            </c:strRef>
          </c:cat>
          <c:val>
            <c:numRef>
              <c:f>{0.1019,0.1061}</c:f>
              <c:numCache>
                <c:formatCode>General</c:formatCode>
                <c:ptCount val="2"/>
                <c:pt idx="0">
                  <c:v>0.1019</c:v>
                </c:pt>
                <c:pt idx="1">
                  <c:v>0.1061</c:v>
                </c:pt>
              </c:numCache>
            </c:numRef>
          </c:val>
          <c:extLst>
            <c:ext xmlns:c16="http://schemas.microsoft.com/office/drawing/2014/chart" uri="{C3380CC4-5D6E-409C-BE32-E72D297353CC}">
              <c16:uniqueId val="{00000003-5B7B-47A5-AC08-B523A3FA173B}"/>
            </c:ext>
          </c:extLst>
        </c:ser>
        <c:ser>
          <c:idx val="4"/>
          <c:order val="4"/>
          <c:tx>
            <c:strRef>
              <c:f>UNIR/MPS</c:f>
              <c:strCache>
                <c:ptCount val="1"/>
                <c:pt idx="0">
                  <c:v>UNIR/MPS</c:v>
                </c:pt>
              </c:strCache>
            </c:strRef>
          </c:tx>
          <c:spPr>
            <a:solidFill>
              <a:srgbClr val="4472C4"/>
            </a:solidFill>
            <a:ln>
              <a:noFill/>
            </a:ln>
          </c:spPr>
          <c:invertIfNegative val="0"/>
          <c:cat>
            <c:strRef>
              <c:f>{"% NA","% NI"}</c:f>
              <c:strCache>
                <c:ptCount val="2"/>
                <c:pt idx="0">
                  <c:v>% NA</c:v>
                </c:pt>
                <c:pt idx="1">
                  <c:v>% NI</c:v>
                </c:pt>
              </c:strCache>
            </c:strRef>
          </c:cat>
          <c:val>
            <c:numRef>
              <c:f>{0.0637,0.0576}</c:f>
              <c:numCache>
                <c:formatCode>General</c:formatCode>
                <c:ptCount val="2"/>
                <c:pt idx="0">
                  <c:v>6.3700000000000007E-2</c:v>
                </c:pt>
                <c:pt idx="1">
                  <c:v>5.7599999999999998E-2</c:v>
                </c:pt>
              </c:numCache>
            </c:numRef>
          </c:val>
          <c:extLst>
            <c:ext xmlns:c16="http://schemas.microsoft.com/office/drawing/2014/chart" uri="{C3380CC4-5D6E-409C-BE32-E72D297353CC}">
              <c16:uniqueId val="{00000004-5B7B-47A5-AC08-B523A3FA173B}"/>
            </c:ext>
          </c:extLst>
        </c:ser>
        <c:ser>
          <c:idx val="5"/>
          <c:order val="5"/>
          <c:tx>
            <c:strRef>
              <c:f>FA</c:f>
              <c:strCache>
                <c:ptCount val="1"/>
                <c:pt idx="0">
                  <c:v>FA</c:v>
                </c:pt>
              </c:strCache>
            </c:strRef>
          </c:tx>
          <c:spPr>
            <a:solidFill>
              <a:srgbClr val="70AD47"/>
            </a:solidFill>
            <a:ln>
              <a:noFill/>
            </a:ln>
          </c:spPr>
          <c:invertIfNegative val="0"/>
          <c:cat>
            <c:strRef>
              <c:f>{"% NA","% NI"}</c:f>
              <c:strCache>
                <c:ptCount val="2"/>
                <c:pt idx="0">
                  <c:v>% NA</c:v>
                </c:pt>
                <c:pt idx="1">
                  <c:v>% NI</c:v>
                </c:pt>
              </c:strCache>
            </c:strRef>
          </c:cat>
          <c:val>
            <c:numRef>
              <c:f>{0.0382,0.0212}</c:f>
              <c:numCache>
                <c:formatCode>General</c:formatCode>
                <c:ptCount val="2"/>
                <c:pt idx="0">
                  <c:v>3.8199999999999998E-2</c:v>
                </c:pt>
                <c:pt idx="1">
                  <c:v>2.12E-2</c:v>
                </c:pt>
              </c:numCache>
            </c:numRef>
          </c:val>
          <c:extLst>
            <c:ext xmlns:c16="http://schemas.microsoft.com/office/drawing/2014/chart" uri="{C3380CC4-5D6E-409C-BE32-E72D297353CC}">
              <c16:uniqueId val="{00000005-5B7B-47A5-AC08-B523A3FA173B}"/>
            </c:ext>
          </c:extLst>
        </c:ser>
        <c:ser>
          <c:idx val="6"/>
          <c:order val="6"/>
          <c:tx>
            <c:strRef>
              <c:f>NTD</c:f>
              <c:strCache>
                <c:ptCount val="1"/>
                <c:pt idx="0">
                  <c:v>NTD</c:v>
                </c:pt>
              </c:strCache>
            </c:strRef>
          </c:tx>
          <c:spPr>
            <a:solidFill>
              <a:srgbClr val="255E91"/>
            </a:solidFill>
            <a:ln>
              <a:noFill/>
            </a:ln>
          </c:spPr>
          <c:invertIfNegative val="0"/>
          <c:cat>
            <c:strRef>
              <c:f>{"% NA","% NI"}</c:f>
              <c:strCache>
                <c:ptCount val="2"/>
                <c:pt idx="0">
                  <c:v>% NA</c:v>
                </c:pt>
                <c:pt idx="1">
                  <c:v>% NI</c:v>
                </c:pt>
              </c:strCache>
            </c:strRef>
          </c:cat>
          <c:val>
            <c:numRef>
              <c:f>{0.0255,0.0242}</c:f>
              <c:numCache>
                <c:formatCode>General</c:formatCode>
                <c:ptCount val="2"/>
                <c:pt idx="0">
                  <c:v>2.5499999999999998E-2</c:v>
                </c:pt>
                <c:pt idx="1">
                  <c:v>2.4199999999999999E-2</c:v>
                </c:pt>
              </c:numCache>
            </c:numRef>
          </c:val>
          <c:extLst>
            <c:ext xmlns:c16="http://schemas.microsoft.com/office/drawing/2014/chart" uri="{C3380CC4-5D6E-409C-BE32-E72D297353CC}">
              <c16:uniqueId val="{00000006-5B7B-47A5-AC08-B523A3FA173B}"/>
            </c:ext>
          </c:extLst>
        </c:ser>
        <c:ser>
          <c:idx val="7"/>
          <c:order val="7"/>
          <c:tx>
            <c:strRef>
              <c:f>MRB</c:f>
              <c:strCache>
                <c:ptCount val="1"/>
                <c:pt idx="0">
                  <c:v>MRB</c:v>
                </c:pt>
              </c:strCache>
            </c:strRef>
          </c:tx>
          <c:spPr>
            <a:solidFill>
              <a:srgbClr val="9E480E"/>
            </a:solidFill>
            <a:ln>
              <a:noFill/>
            </a:ln>
          </c:spPr>
          <c:invertIfNegative val="0"/>
          <c:cat>
            <c:strRef>
              <c:f>{"% NA","% NI"}</c:f>
              <c:strCache>
                <c:ptCount val="2"/>
                <c:pt idx="0">
                  <c:v>% NA</c:v>
                </c:pt>
                <c:pt idx="1">
                  <c:v>% NI</c:v>
                </c:pt>
              </c:strCache>
            </c:strRef>
          </c:cat>
          <c:val>
            <c:numRef>
              <c:f>{0.0191,0.0364}</c:f>
              <c:numCache>
                <c:formatCode>General</c:formatCode>
                <c:ptCount val="2"/>
                <c:pt idx="0">
                  <c:v>1.9099999999999999E-2</c:v>
                </c:pt>
                <c:pt idx="1">
                  <c:v>3.6400000000000002E-2</c:v>
                </c:pt>
              </c:numCache>
            </c:numRef>
          </c:val>
          <c:extLst>
            <c:ext xmlns:c16="http://schemas.microsoft.com/office/drawing/2014/chart" uri="{C3380CC4-5D6E-409C-BE32-E72D297353CC}">
              <c16:uniqueId val="{00000007-5B7B-47A5-AC08-B523A3FA173B}"/>
            </c:ext>
          </c:extLst>
        </c:ser>
        <c:ser>
          <c:idx val="8"/>
          <c:order val="8"/>
          <c:tx>
            <c:strRef>
              <c:f>SENS</c:f>
              <c:strCache>
                <c:ptCount val="1"/>
                <c:pt idx="0">
                  <c:v>SENS</c:v>
                </c:pt>
              </c:strCache>
            </c:strRef>
          </c:tx>
          <c:spPr>
            <a:solidFill>
              <a:srgbClr val="636363"/>
            </a:solidFill>
            <a:ln>
              <a:noFill/>
            </a:ln>
          </c:spPr>
          <c:invertIfNegative val="0"/>
          <c:cat>
            <c:strRef>
              <c:f>{"% NA","% NI"}</c:f>
              <c:strCache>
                <c:ptCount val="2"/>
                <c:pt idx="0">
                  <c:v>% NA</c:v>
                </c:pt>
                <c:pt idx="1">
                  <c:v>% NI</c:v>
                </c:pt>
              </c:strCache>
            </c:strRef>
          </c:cat>
          <c:val>
            <c:numRef>
              <c:f>{0.0191,0.0212}</c:f>
              <c:numCache>
                <c:formatCode>General</c:formatCode>
                <c:ptCount val="2"/>
                <c:pt idx="0">
                  <c:v>1.9099999999999999E-2</c:v>
                </c:pt>
                <c:pt idx="1">
                  <c:v>2.12E-2</c:v>
                </c:pt>
              </c:numCache>
            </c:numRef>
          </c:val>
          <c:extLst>
            <c:ext xmlns:c16="http://schemas.microsoft.com/office/drawing/2014/chart" uri="{C3380CC4-5D6E-409C-BE32-E72D297353CC}">
              <c16:uniqueId val="{00000008-5B7B-47A5-AC08-B523A3FA173B}"/>
            </c:ext>
          </c:extLst>
        </c:ser>
        <c:ser>
          <c:idx val="9"/>
          <c:order val="9"/>
          <c:tx>
            <c:strRef>
              <c:f>RMB</c:f>
              <c:strCache>
                <c:ptCount val="1"/>
                <c:pt idx="0">
                  <c:v>RMB</c:v>
                </c:pt>
              </c:strCache>
            </c:strRef>
          </c:tx>
          <c:spPr>
            <a:solidFill>
              <a:srgbClr val="997300"/>
            </a:solidFill>
            <a:ln>
              <a:noFill/>
            </a:ln>
          </c:spPr>
          <c:invertIfNegative val="0"/>
          <c:cat>
            <c:strRef>
              <c:f>{"% NA","% NI"}</c:f>
              <c:strCache>
                <c:ptCount val="2"/>
                <c:pt idx="0">
                  <c:v>% NA</c:v>
                </c:pt>
                <c:pt idx="1">
                  <c:v>% NI</c:v>
                </c:pt>
              </c:strCache>
            </c:strRef>
          </c:cat>
          <c:val>
            <c:numRef>
              <c:f>{0.0191,0.0182}</c:f>
              <c:numCache>
                <c:formatCode>General</c:formatCode>
                <c:ptCount val="2"/>
                <c:pt idx="0">
                  <c:v>1.9099999999999999E-2</c:v>
                </c:pt>
                <c:pt idx="1">
                  <c:v>1.8200000000000001E-2</c:v>
                </c:pt>
              </c:numCache>
            </c:numRef>
          </c:val>
          <c:extLst>
            <c:ext xmlns:c16="http://schemas.microsoft.com/office/drawing/2014/chart" uri="{C3380CC4-5D6E-409C-BE32-E72D297353CC}">
              <c16:uniqueId val="{00000009-5B7B-47A5-AC08-B523A3FA173B}"/>
            </c:ext>
          </c:extLst>
        </c:ser>
        <c:ser>
          <c:idx val="10"/>
          <c:order val="10"/>
          <c:tx>
            <c:strRef>
              <c:f>PDP/PS</c:f>
              <c:strCache>
                <c:ptCount val="1"/>
                <c:pt idx="0">
                  <c:v>PDP/PS</c:v>
                </c:pt>
              </c:strCache>
            </c:strRef>
          </c:tx>
          <c:spPr>
            <a:solidFill>
              <a:srgbClr val="264478"/>
            </a:solidFill>
            <a:ln>
              <a:noFill/>
            </a:ln>
          </c:spPr>
          <c:invertIfNegative val="0"/>
          <c:cat>
            <c:strRef>
              <c:f>{"% NA","% NI"}</c:f>
              <c:strCache>
                <c:ptCount val="2"/>
                <c:pt idx="0">
                  <c:v>% NA</c:v>
                </c:pt>
                <c:pt idx="1">
                  <c:v>% NI</c:v>
                </c:pt>
              </c:strCache>
            </c:strRef>
          </c:cat>
          <c:val>
            <c:numRef>
              <c:f>{0.0191,0.0091}</c:f>
              <c:numCache>
                <c:formatCode>General</c:formatCode>
                <c:ptCount val="2"/>
                <c:pt idx="0">
                  <c:v>1.9099999999999999E-2</c:v>
                </c:pt>
                <c:pt idx="1">
                  <c:v>9.1000000000000004E-3</c:v>
                </c:pt>
              </c:numCache>
            </c:numRef>
          </c:val>
          <c:extLst>
            <c:ext xmlns:c16="http://schemas.microsoft.com/office/drawing/2014/chart" uri="{C3380CC4-5D6E-409C-BE32-E72D297353CC}">
              <c16:uniqueId val="{0000000A-5B7B-47A5-AC08-B523A3FA173B}"/>
            </c:ext>
          </c:extLst>
        </c:ser>
        <c:ser>
          <c:idx val="11"/>
          <c:order val="11"/>
          <c:tx>
            <c:strRef>
              <c:f>VB</c:f>
              <c:strCache>
                <c:ptCount val="1"/>
                <c:pt idx="0">
                  <c:v>VB</c:v>
                </c:pt>
              </c:strCache>
            </c:strRef>
          </c:tx>
          <c:spPr>
            <a:solidFill>
              <a:srgbClr val="43682B"/>
            </a:solidFill>
            <a:ln>
              <a:noFill/>
            </a:ln>
          </c:spPr>
          <c:invertIfNegative val="0"/>
          <c:cat>
            <c:strRef>
              <c:f>{"% NA","% NI"}</c:f>
              <c:strCache>
                <c:ptCount val="2"/>
                <c:pt idx="0">
                  <c:v>% NA</c:v>
                </c:pt>
                <c:pt idx="1">
                  <c:v>% NI</c:v>
                </c:pt>
              </c:strCache>
            </c:strRef>
          </c:cat>
          <c:val>
            <c:numRef>
              <c:f>{0.0191,0.0091}</c:f>
              <c:numCache>
                <c:formatCode>General</c:formatCode>
                <c:ptCount val="2"/>
                <c:pt idx="0">
                  <c:v>1.9099999999999999E-2</c:v>
                </c:pt>
                <c:pt idx="1">
                  <c:v>9.1000000000000004E-3</c:v>
                </c:pt>
              </c:numCache>
            </c:numRef>
          </c:val>
          <c:extLst>
            <c:ext xmlns:c16="http://schemas.microsoft.com/office/drawing/2014/chart" uri="{C3380CC4-5D6E-409C-BE32-E72D297353CC}">
              <c16:uniqueId val="{0000000B-5B7B-47A5-AC08-B523A3FA173B}"/>
            </c:ext>
          </c:extLst>
        </c:ser>
        <c:dLbls>
          <c:showLegendKey val="0"/>
          <c:showVal val="0"/>
          <c:showCatName val="0"/>
          <c:showSerName val="0"/>
          <c:showPercent val="0"/>
          <c:showBubbleSize val="0"/>
        </c:dLbls>
        <c:gapWidth val="219"/>
        <c:overlap val="-27"/>
        <c:axId val="191691871"/>
        <c:axId val="191686047"/>
      </c:barChart>
      <c:catAx>
        <c:axId val="191691871"/>
        <c:scaling>
          <c:orientation val="minMax"/>
        </c:scaling>
        <c:delete val="0"/>
        <c:axPos val="b"/>
        <c:numFmt formatCode="General" sourceLinked="0"/>
        <c:majorTickMark val="none"/>
        <c:minorTickMark val="none"/>
        <c:tickLblPos val="nextTo"/>
        <c:spPr>
          <a:noFill/>
          <a:ln w="9528" cap="flat" cmpd="sng" algn="ctr">
            <a:solidFill>
              <a:srgbClr val="D9D9D9"/>
            </a:solidFill>
            <a:prstDash val="solid"/>
            <a:round/>
          </a:ln>
        </c:spPr>
        <c:txPr>
          <a:bodyPr rot="-60000000" spcFirstLastPara="0" vertOverflow="ellipsis" vert="horz" wrap="square" lIns="0" tIns="0" rIns="0" bIns="0" anchor="ctr" anchorCtr="1"/>
          <a:lstStyle/>
          <a:p>
            <a:pPr>
              <a:defRPr lang="fr-FR" sz="900" b="0" i="0" u="none" strike="noStrike" kern="1200" baseline="0">
                <a:solidFill>
                  <a:srgbClr val="595959"/>
                </a:solidFill>
                <a:latin typeface="Calibri" panose="020F0502020204030204"/>
                <a:ea typeface="+mn-ea"/>
                <a:cs typeface="+mn-cs"/>
              </a:defRPr>
            </a:pPr>
            <a:endParaRPr lang="fr-FR"/>
          </a:p>
        </c:txPr>
        <c:crossAx val="191686047"/>
        <c:crosses val="autoZero"/>
        <c:auto val="1"/>
        <c:lblAlgn val="ctr"/>
        <c:lblOffset val="100"/>
        <c:noMultiLvlLbl val="0"/>
      </c:catAx>
      <c:valAx>
        <c:axId val="191686047"/>
        <c:scaling>
          <c:orientation val="minMax"/>
        </c:scaling>
        <c:delete val="0"/>
        <c:axPos val="l"/>
        <c:majorGridlines>
          <c:spPr>
            <a:ln w="9528" cap="flat" cmpd="sng" algn="ctr">
              <a:solidFill>
                <a:srgbClr val="D9D9D9"/>
              </a:solidFill>
              <a:prstDash val="solid"/>
              <a:round/>
            </a:ln>
          </c:spPr>
        </c:majorGridlines>
        <c:numFmt formatCode="General" sourceLinked="0"/>
        <c:majorTickMark val="none"/>
        <c:minorTickMark val="none"/>
        <c:tickLblPos val="nextTo"/>
        <c:spPr>
          <a:noFill/>
          <a:ln w="6350" cap="flat" cmpd="sng" algn="ctr">
            <a:noFill/>
            <a:prstDash val="solid"/>
            <a:round/>
          </a:ln>
        </c:spPr>
        <c:txPr>
          <a:bodyPr rot="-60000000" spcFirstLastPara="0" vertOverflow="ellipsis" vert="horz" wrap="square" lIns="0" tIns="0" rIns="0" bIns="0" anchor="ctr" anchorCtr="1"/>
          <a:lstStyle/>
          <a:p>
            <a:pPr>
              <a:defRPr lang="fr-FR" sz="900" b="1" i="0" u="none" strike="noStrike" kern="1200" baseline="0">
                <a:solidFill>
                  <a:srgbClr val="595959"/>
                </a:solidFill>
                <a:latin typeface="Calibri" panose="020F0502020204030204"/>
                <a:ea typeface="+mn-ea"/>
                <a:cs typeface="+mn-cs"/>
              </a:defRPr>
            </a:pPr>
            <a:endParaRPr lang="fr-FR"/>
          </a:p>
        </c:txPr>
        <c:crossAx val="191691871"/>
        <c:crosses val="autoZero"/>
        <c:crossBetween val="between"/>
      </c:valAx>
      <c:spPr>
        <a:noFill/>
        <a:ln>
          <a:noFill/>
        </a:ln>
      </c:spPr>
    </c:plotArea>
    <c:legend>
      <c:legendPos val="b"/>
      <c:overlay val="0"/>
      <c:spPr>
        <a:noFill/>
        <a:ln>
          <a:noFill/>
        </a:ln>
      </c:spPr>
      <c:txPr>
        <a:bodyPr rot="0" spcFirstLastPara="0" vertOverflow="ellipsis" vert="horz" wrap="square" lIns="0" tIns="0" rIns="0" bIns="0" anchor="ctr" anchorCtr="1"/>
        <a:lstStyle/>
        <a:p>
          <a:pPr>
            <a:defRPr lang="fr-FR" sz="900" b="1" i="0" u="none" strike="noStrike" kern="1200" baseline="0">
              <a:solidFill>
                <a:srgbClr val="595959"/>
              </a:solidFill>
              <a:latin typeface="Calibri" panose="020F0502020204030204"/>
              <a:ea typeface="+mn-ea"/>
              <a:cs typeface="+mn-cs"/>
            </a:defRPr>
          </a:pPr>
          <a:endParaRPr lang="fr-FR"/>
        </a:p>
      </c:txPr>
    </c:legend>
    <c:plotVisOnly val="1"/>
    <c:dispBlanksAs val="gap"/>
    <c:showDLblsOverMax val="0"/>
  </c:chart>
  <c:spPr>
    <a:solidFill>
      <a:srgbClr val="FFFFFF"/>
    </a:solidFill>
    <a:ln w="9528" cap="flat" cmpd="sng" algn="ctr">
      <a:solidFill>
        <a:srgbClr val="D9D9D9"/>
      </a:solidFill>
      <a:prstDash val="solid"/>
      <a:round/>
    </a:ln>
  </c:spPr>
  <c:txPr>
    <a:bodyPr lIns="0" tIns="0" rIns="0" bIns="0"/>
    <a:lstStyle/>
    <a:p>
      <a:pPr>
        <a:defRPr lang="fr-FR" sz="1000" b="0" i="0" u="none" strike="noStrike" kern="1200" baseline="0">
          <a:solidFill>
            <a:srgbClr val="000000"/>
          </a:solidFill>
          <a:latin typeface="Calibri" panose="020F0502020204030204"/>
        </a:defRPr>
      </a:pPr>
      <a:endParaRPr lang="fr-F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lIns="0" tIns="0" rIns="0" bIns="0" anchor="ctr" anchorCtr="1"/>
          <a:lstStyle/>
          <a:p>
            <a:pPr marL="0" marR="0" indent="0" algn="ctr" defTabSz="914400" fontAlgn="auto" hangingPunct="1">
              <a:lnSpc>
                <a:spcPct val="100000"/>
              </a:lnSpc>
              <a:spcBef>
                <a:spcPts val="0"/>
              </a:spcBef>
              <a:spcAft>
                <a:spcPts val="0"/>
              </a:spcAft>
              <a:defRPr lang="fr-FR" sz="1400" b="1" i="0" u="none" strike="noStrike" kern="1200" spc="0" baseline="0">
                <a:solidFill>
                  <a:srgbClr val="595959"/>
                </a:solidFill>
                <a:latin typeface="Calibri" panose="020F0502020204030204"/>
                <a:ea typeface="+mn-ea"/>
                <a:cs typeface="+mn-cs"/>
              </a:defRPr>
            </a:pPr>
            <a:r>
              <a:rPr lang="fr-FR" sz="1400" b="1" i="0" u="none" strike="noStrike" kern="1200" cap="none" spc="0" baseline="0">
                <a:solidFill>
                  <a:srgbClr val="595959"/>
                </a:solidFill>
                <a:uFillTx/>
                <a:latin typeface="Calibri" panose="020F0502020204030204"/>
              </a:rPr>
              <a:t>BURKINA24.COM</a:t>
            </a:r>
          </a:p>
        </c:rich>
      </c:tx>
      <c:overlay val="0"/>
      <c:spPr>
        <a:noFill/>
        <a:ln>
          <a:noFill/>
        </a:ln>
      </c:spPr>
    </c:title>
    <c:autoTitleDeleted val="0"/>
    <c:plotArea>
      <c:layout/>
      <c:barChart>
        <c:barDir val="col"/>
        <c:grouping val="clustered"/>
        <c:varyColors val="0"/>
        <c:ser>
          <c:idx val="0"/>
          <c:order val="0"/>
          <c:tx>
            <c:strRef>
              <c:f>CDP</c:f>
              <c:strCache>
                <c:ptCount val="1"/>
                <c:pt idx="0">
                  <c:v>CDP</c:v>
                </c:pt>
              </c:strCache>
            </c:strRef>
          </c:tx>
          <c:spPr>
            <a:solidFill>
              <a:srgbClr val="5B9BD5"/>
            </a:solidFill>
            <a:ln>
              <a:noFill/>
            </a:ln>
          </c:spPr>
          <c:invertIfNegative val="0"/>
          <c:cat>
            <c:strRef>
              <c:f>{"% NA","% NI"}</c:f>
              <c:strCache>
                <c:ptCount val="2"/>
                <c:pt idx="0">
                  <c:v>% NA</c:v>
                </c:pt>
                <c:pt idx="1">
                  <c:v>% NI</c:v>
                </c:pt>
              </c:strCache>
            </c:strRef>
          </c:cat>
          <c:val>
            <c:numRef>
              <c:f>{0.2466,0.277}</c:f>
              <c:numCache>
                <c:formatCode>General</c:formatCode>
                <c:ptCount val="2"/>
                <c:pt idx="0">
                  <c:v>0.24660000000000001</c:v>
                </c:pt>
                <c:pt idx="1">
                  <c:v>0.27700000000000002</c:v>
                </c:pt>
              </c:numCache>
            </c:numRef>
          </c:val>
          <c:extLst>
            <c:ext xmlns:c16="http://schemas.microsoft.com/office/drawing/2014/chart" uri="{C3380CC4-5D6E-409C-BE32-E72D297353CC}">
              <c16:uniqueId val="{00000000-AD75-41DF-8850-47C2B872423E}"/>
            </c:ext>
          </c:extLst>
        </c:ser>
        <c:ser>
          <c:idx val="1"/>
          <c:order val="1"/>
          <c:tx>
            <c:strRef>
              <c:f>UPC</c:f>
              <c:strCache>
                <c:ptCount val="1"/>
                <c:pt idx="0">
                  <c:v>UPC</c:v>
                </c:pt>
              </c:strCache>
            </c:strRef>
          </c:tx>
          <c:spPr>
            <a:solidFill>
              <a:srgbClr val="ED7D31"/>
            </a:solidFill>
            <a:ln>
              <a:noFill/>
            </a:ln>
          </c:spPr>
          <c:invertIfNegative val="0"/>
          <c:cat>
            <c:strRef>
              <c:f>{"% NA","% NI"}</c:f>
              <c:strCache>
                <c:ptCount val="2"/>
                <c:pt idx="0">
                  <c:v>% NA</c:v>
                </c:pt>
                <c:pt idx="1">
                  <c:v>% NI</c:v>
                </c:pt>
              </c:strCache>
            </c:strRef>
          </c:cat>
          <c:val>
            <c:numRef>
              <c:f>{0.1507,0.1757}</c:f>
              <c:numCache>
                <c:formatCode>General</c:formatCode>
                <c:ptCount val="2"/>
                <c:pt idx="0">
                  <c:v>0.1507</c:v>
                </c:pt>
                <c:pt idx="1">
                  <c:v>0.1757</c:v>
                </c:pt>
              </c:numCache>
            </c:numRef>
          </c:val>
          <c:extLst>
            <c:ext xmlns:c16="http://schemas.microsoft.com/office/drawing/2014/chart" uri="{C3380CC4-5D6E-409C-BE32-E72D297353CC}">
              <c16:uniqueId val="{00000001-AD75-41DF-8850-47C2B872423E}"/>
            </c:ext>
          </c:extLst>
        </c:ser>
        <c:ser>
          <c:idx val="2"/>
          <c:order val="2"/>
          <c:tx>
            <c:strRef>
              <c:f>MPP</c:f>
              <c:strCache>
                <c:ptCount val="1"/>
                <c:pt idx="0">
                  <c:v>MPP</c:v>
                </c:pt>
              </c:strCache>
            </c:strRef>
          </c:tx>
          <c:spPr>
            <a:solidFill>
              <a:srgbClr val="A5A5A5"/>
            </a:solidFill>
            <a:ln>
              <a:noFill/>
            </a:ln>
          </c:spPr>
          <c:invertIfNegative val="0"/>
          <c:cat>
            <c:strRef>
              <c:f>{"% NA","% NI"}</c:f>
              <c:strCache>
                <c:ptCount val="2"/>
                <c:pt idx="0">
                  <c:v>% NA</c:v>
                </c:pt>
                <c:pt idx="1">
                  <c:v>% NI</c:v>
                </c:pt>
              </c:strCache>
            </c:strRef>
          </c:cat>
          <c:val>
            <c:numRef>
              <c:f>{0.137,0.1149}</c:f>
              <c:numCache>
                <c:formatCode>General</c:formatCode>
                <c:ptCount val="2"/>
                <c:pt idx="0">
                  <c:v>0.13700000000000001</c:v>
                </c:pt>
                <c:pt idx="1">
                  <c:v>0.1149</c:v>
                </c:pt>
              </c:numCache>
            </c:numRef>
          </c:val>
          <c:extLst>
            <c:ext xmlns:c16="http://schemas.microsoft.com/office/drawing/2014/chart" uri="{C3380CC4-5D6E-409C-BE32-E72D297353CC}">
              <c16:uniqueId val="{00000002-AD75-41DF-8850-47C2B872423E}"/>
            </c:ext>
          </c:extLst>
        </c:ser>
        <c:ser>
          <c:idx val="3"/>
          <c:order val="3"/>
          <c:tx>
            <c:strRef>
              <c:f>PPS</c:f>
              <c:strCache>
                <c:ptCount val="1"/>
                <c:pt idx="0">
                  <c:v>PPS</c:v>
                </c:pt>
              </c:strCache>
            </c:strRef>
          </c:tx>
          <c:spPr>
            <a:solidFill>
              <a:srgbClr val="FFC000"/>
            </a:solidFill>
            <a:ln>
              <a:noFill/>
            </a:ln>
          </c:spPr>
          <c:invertIfNegative val="0"/>
          <c:cat>
            <c:strRef>
              <c:f>{"% NA","% NI"}</c:f>
              <c:strCache>
                <c:ptCount val="2"/>
                <c:pt idx="0">
                  <c:v>% NA</c:v>
                </c:pt>
                <c:pt idx="1">
                  <c:v>% NI</c:v>
                </c:pt>
              </c:strCache>
            </c:strRef>
          </c:cat>
          <c:val>
            <c:numRef>
              <c:f>{0.1096,0.1014}</c:f>
              <c:numCache>
                <c:formatCode>General</c:formatCode>
                <c:ptCount val="2"/>
                <c:pt idx="0">
                  <c:v>0.1096</c:v>
                </c:pt>
                <c:pt idx="1">
                  <c:v>0.1014</c:v>
                </c:pt>
              </c:numCache>
            </c:numRef>
          </c:val>
          <c:extLst>
            <c:ext xmlns:c16="http://schemas.microsoft.com/office/drawing/2014/chart" uri="{C3380CC4-5D6E-409C-BE32-E72D297353CC}">
              <c16:uniqueId val="{00000003-AD75-41DF-8850-47C2B872423E}"/>
            </c:ext>
          </c:extLst>
        </c:ser>
        <c:ser>
          <c:idx val="4"/>
          <c:order val="4"/>
          <c:tx>
            <c:strRef>
              <c:f>UNIR/MPS</c:f>
              <c:strCache>
                <c:ptCount val="1"/>
                <c:pt idx="0">
                  <c:v>UNIR/MPS</c:v>
                </c:pt>
              </c:strCache>
            </c:strRef>
          </c:tx>
          <c:spPr>
            <a:solidFill>
              <a:srgbClr val="4472C4"/>
            </a:solidFill>
            <a:ln>
              <a:noFill/>
            </a:ln>
          </c:spPr>
          <c:invertIfNegative val="0"/>
          <c:cat>
            <c:strRef>
              <c:f>{"% NA","% NI"}</c:f>
              <c:strCache>
                <c:ptCount val="2"/>
                <c:pt idx="0">
                  <c:v>% NA</c:v>
                </c:pt>
                <c:pt idx="1">
                  <c:v>% NI</c:v>
                </c:pt>
              </c:strCache>
            </c:strRef>
          </c:cat>
          <c:val>
            <c:numRef>
              <c:f>{0.0685,0.0473}</c:f>
              <c:numCache>
                <c:formatCode>General</c:formatCode>
                <c:ptCount val="2"/>
                <c:pt idx="0">
                  <c:v>6.8500000000000005E-2</c:v>
                </c:pt>
                <c:pt idx="1">
                  <c:v>4.7300000000000002E-2</c:v>
                </c:pt>
              </c:numCache>
            </c:numRef>
          </c:val>
          <c:extLst>
            <c:ext xmlns:c16="http://schemas.microsoft.com/office/drawing/2014/chart" uri="{C3380CC4-5D6E-409C-BE32-E72D297353CC}">
              <c16:uniqueId val="{00000004-AD75-41DF-8850-47C2B872423E}"/>
            </c:ext>
          </c:extLst>
        </c:ser>
        <c:ser>
          <c:idx val="5"/>
          <c:order val="5"/>
          <c:tx>
            <c:strRef>
              <c:f>UNDD</c:f>
              <c:strCache>
                <c:ptCount val="1"/>
                <c:pt idx="0">
                  <c:v>UNDD</c:v>
                </c:pt>
              </c:strCache>
            </c:strRef>
          </c:tx>
          <c:spPr>
            <a:solidFill>
              <a:srgbClr val="70AD47"/>
            </a:solidFill>
            <a:ln>
              <a:noFill/>
            </a:ln>
          </c:spPr>
          <c:invertIfNegative val="0"/>
          <c:cat>
            <c:strRef>
              <c:f>{"% NA","% NI"}</c:f>
              <c:strCache>
                <c:ptCount val="2"/>
                <c:pt idx="0">
                  <c:v>% NA</c:v>
                </c:pt>
                <c:pt idx="1">
                  <c:v>% NI</c:v>
                </c:pt>
              </c:strCache>
            </c:strRef>
          </c:cat>
          <c:val>
            <c:numRef>
              <c:f>{0.0548,0.0676}</c:f>
              <c:numCache>
                <c:formatCode>General</c:formatCode>
                <c:ptCount val="2"/>
                <c:pt idx="0">
                  <c:v>5.4800000000000001E-2</c:v>
                </c:pt>
                <c:pt idx="1">
                  <c:v>6.7599999999999993E-2</c:v>
                </c:pt>
              </c:numCache>
            </c:numRef>
          </c:val>
          <c:extLst>
            <c:ext xmlns:c16="http://schemas.microsoft.com/office/drawing/2014/chart" uri="{C3380CC4-5D6E-409C-BE32-E72D297353CC}">
              <c16:uniqueId val="{00000005-AD75-41DF-8850-47C2B872423E}"/>
            </c:ext>
          </c:extLst>
        </c:ser>
        <c:ser>
          <c:idx val="6"/>
          <c:order val="6"/>
          <c:tx>
            <c:strRef>
              <c:f>ADF/RDA</c:f>
              <c:strCache>
                <c:ptCount val="1"/>
                <c:pt idx="0">
                  <c:v>ADF/RDA</c:v>
                </c:pt>
              </c:strCache>
            </c:strRef>
          </c:tx>
          <c:spPr>
            <a:solidFill>
              <a:srgbClr val="255E91"/>
            </a:solidFill>
            <a:ln>
              <a:noFill/>
            </a:ln>
          </c:spPr>
          <c:invertIfNegative val="0"/>
          <c:cat>
            <c:strRef>
              <c:f>{"% NA","% NI"}</c:f>
              <c:strCache>
                <c:ptCount val="2"/>
                <c:pt idx="0">
                  <c:v>% NA</c:v>
                </c:pt>
                <c:pt idx="1">
                  <c:v>% NI</c:v>
                </c:pt>
              </c:strCache>
            </c:strRef>
          </c:cat>
          <c:val>
            <c:numRef>
              <c:f>{0.0274,0.0338}</c:f>
              <c:numCache>
                <c:formatCode>General</c:formatCode>
                <c:ptCount val="2"/>
                <c:pt idx="0">
                  <c:v>2.7400000000000001E-2</c:v>
                </c:pt>
                <c:pt idx="1">
                  <c:v>3.3799999999999997E-2</c:v>
                </c:pt>
              </c:numCache>
            </c:numRef>
          </c:val>
          <c:extLst>
            <c:ext xmlns:c16="http://schemas.microsoft.com/office/drawing/2014/chart" uri="{C3380CC4-5D6E-409C-BE32-E72D297353CC}">
              <c16:uniqueId val="{00000006-AD75-41DF-8850-47C2B872423E}"/>
            </c:ext>
          </c:extLst>
        </c:ser>
        <c:ser>
          <c:idx val="7"/>
          <c:order val="7"/>
          <c:tx>
            <c:strRef>
              <c:f>LES DEMOC</c:f>
              <c:strCache>
                <c:ptCount val="1"/>
                <c:pt idx="0">
                  <c:v>LES DEMOC</c:v>
                </c:pt>
              </c:strCache>
            </c:strRef>
          </c:tx>
          <c:spPr>
            <a:solidFill>
              <a:srgbClr val="9E480E"/>
            </a:solidFill>
            <a:ln>
              <a:noFill/>
            </a:ln>
          </c:spPr>
          <c:invertIfNegative val="0"/>
          <c:cat>
            <c:strRef>
              <c:f>{"% NA","% NI"}</c:f>
              <c:strCache>
                <c:ptCount val="2"/>
                <c:pt idx="0">
                  <c:v>% NA</c:v>
                </c:pt>
                <c:pt idx="1">
                  <c:v>% NI</c:v>
                </c:pt>
              </c:strCache>
            </c:strRef>
          </c:cat>
          <c:val>
            <c:numRef>
              <c:f>{0.0274,0.0338}</c:f>
              <c:numCache>
                <c:formatCode>General</c:formatCode>
                <c:ptCount val="2"/>
                <c:pt idx="0">
                  <c:v>2.7400000000000001E-2</c:v>
                </c:pt>
                <c:pt idx="1">
                  <c:v>3.3799999999999997E-2</c:v>
                </c:pt>
              </c:numCache>
            </c:numRef>
          </c:val>
          <c:extLst>
            <c:ext xmlns:c16="http://schemas.microsoft.com/office/drawing/2014/chart" uri="{C3380CC4-5D6E-409C-BE32-E72D297353CC}">
              <c16:uniqueId val="{00000007-AD75-41DF-8850-47C2B872423E}"/>
            </c:ext>
          </c:extLst>
        </c:ser>
        <c:ser>
          <c:idx val="8"/>
          <c:order val="8"/>
          <c:tx>
            <c:strRef>
              <c:f>NOVI</c:f>
              <c:strCache>
                <c:ptCount val="1"/>
                <c:pt idx="0">
                  <c:v>NOVI</c:v>
                </c:pt>
              </c:strCache>
            </c:strRef>
          </c:tx>
          <c:spPr>
            <a:solidFill>
              <a:srgbClr val="636363"/>
            </a:solidFill>
            <a:ln>
              <a:noFill/>
            </a:ln>
          </c:spPr>
          <c:invertIfNegative val="0"/>
          <c:cat>
            <c:strRef>
              <c:f>{"% NA","% NI"}</c:f>
              <c:strCache>
                <c:ptCount val="2"/>
                <c:pt idx="0">
                  <c:v>% NA</c:v>
                </c:pt>
                <c:pt idx="1">
                  <c:v>% NI</c:v>
                </c:pt>
              </c:strCache>
            </c:strRef>
          </c:cat>
          <c:val>
            <c:numRef>
              <c:f>{0.0274,0.027}</c:f>
              <c:numCache>
                <c:formatCode>General</c:formatCode>
                <c:ptCount val="2"/>
                <c:pt idx="0">
                  <c:v>2.7400000000000001E-2</c:v>
                </c:pt>
                <c:pt idx="1">
                  <c:v>2.7E-2</c:v>
                </c:pt>
              </c:numCache>
            </c:numRef>
          </c:val>
          <c:extLst>
            <c:ext xmlns:c16="http://schemas.microsoft.com/office/drawing/2014/chart" uri="{C3380CC4-5D6E-409C-BE32-E72D297353CC}">
              <c16:uniqueId val="{00000008-AD75-41DF-8850-47C2B872423E}"/>
            </c:ext>
          </c:extLst>
        </c:ser>
        <c:ser>
          <c:idx val="9"/>
          <c:order val="9"/>
          <c:tx>
            <c:strRef>
              <c:f>SOCL</c:f>
              <c:strCache>
                <c:ptCount val="1"/>
                <c:pt idx="0">
                  <c:v>SOCL</c:v>
                </c:pt>
              </c:strCache>
            </c:strRef>
          </c:tx>
          <c:spPr>
            <a:solidFill>
              <a:srgbClr val="997300"/>
            </a:solidFill>
            <a:ln>
              <a:noFill/>
            </a:ln>
          </c:spPr>
          <c:invertIfNegative val="0"/>
          <c:cat>
            <c:strRef>
              <c:f>{"% NA","% NI"}</c:f>
              <c:strCache>
                <c:ptCount val="2"/>
                <c:pt idx="0">
                  <c:v>% NA</c:v>
                </c:pt>
                <c:pt idx="1">
                  <c:v>% NI</c:v>
                </c:pt>
              </c:strCache>
            </c:strRef>
          </c:cat>
          <c:val>
            <c:numRef>
              <c:f>{0.0274,0.0203}</c:f>
              <c:numCache>
                <c:formatCode>General</c:formatCode>
                <c:ptCount val="2"/>
                <c:pt idx="0">
                  <c:v>2.7400000000000001E-2</c:v>
                </c:pt>
                <c:pt idx="1">
                  <c:v>2.0299999999999999E-2</c:v>
                </c:pt>
              </c:numCache>
            </c:numRef>
          </c:val>
          <c:extLst>
            <c:ext xmlns:c16="http://schemas.microsoft.com/office/drawing/2014/chart" uri="{C3380CC4-5D6E-409C-BE32-E72D297353CC}">
              <c16:uniqueId val="{00000009-AD75-41DF-8850-47C2B872423E}"/>
            </c:ext>
          </c:extLst>
        </c:ser>
        <c:ser>
          <c:idx val="10"/>
          <c:order val="10"/>
          <c:tx>
            <c:strRef>
              <c:f>MRB</c:f>
              <c:strCache>
                <c:ptCount val="1"/>
                <c:pt idx="0">
                  <c:v>MRB</c:v>
                </c:pt>
              </c:strCache>
            </c:strRef>
          </c:tx>
          <c:spPr>
            <a:solidFill>
              <a:srgbClr val="264478"/>
            </a:solidFill>
            <a:ln>
              <a:noFill/>
            </a:ln>
          </c:spPr>
          <c:invertIfNegative val="0"/>
          <c:cat>
            <c:strRef>
              <c:f>{"% NA","% NI"}</c:f>
              <c:strCache>
                <c:ptCount val="2"/>
                <c:pt idx="0">
                  <c:v>% NA</c:v>
                </c:pt>
                <c:pt idx="1">
                  <c:v>% NI</c:v>
                </c:pt>
              </c:strCache>
            </c:strRef>
          </c:cat>
          <c:val>
            <c:numRef>
              <c:f>{0.0274,0.0135}</c:f>
              <c:numCache>
                <c:formatCode>General</c:formatCode>
                <c:ptCount val="2"/>
                <c:pt idx="0">
                  <c:v>2.7400000000000001E-2</c:v>
                </c:pt>
                <c:pt idx="1">
                  <c:v>1.35E-2</c:v>
                </c:pt>
              </c:numCache>
            </c:numRef>
          </c:val>
          <c:extLst>
            <c:ext xmlns:c16="http://schemas.microsoft.com/office/drawing/2014/chart" uri="{C3380CC4-5D6E-409C-BE32-E72D297353CC}">
              <c16:uniqueId val="{0000000A-AD75-41DF-8850-47C2B872423E}"/>
            </c:ext>
          </c:extLst>
        </c:ser>
        <c:dLbls>
          <c:showLegendKey val="0"/>
          <c:showVal val="0"/>
          <c:showCatName val="0"/>
          <c:showSerName val="0"/>
          <c:showPercent val="0"/>
          <c:showBubbleSize val="0"/>
        </c:dLbls>
        <c:gapWidth val="219"/>
        <c:overlap val="-27"/>
        <c:axId val="191684799"/>
        <c:axId val="191692287"/>
      </c:barChart>
      <c:catAx>
        <c:axId val="191684799"/>
        <c:scaling>
          <c:orientation val="minMax"/>
        </c:scaling>
        <c:delete val="0"/>
        <c:axPos val="b"/>
        <c:numFmt formatCode="General" sourceLinked="0"/>
        <c:majorTickMark val="none"/>
        <c:minorTickMark val="none"/>
        <c:tickLblPos val="nextTo"/>
        <c:spPr>
          <a:noFill/>
          <a:ln w="9528" cap="flat" cmpd="sng" algn="ctr">
            <a:solidFill>
              <a:srgbClr val="D9D9D9"/>
            </a:solidFill>
            <a:prstDash val="solid"/>
            <a:round/>
          </a:ln>
        </c:spPr>
        <c:txPr>
          <a:bodyPr rot="-60000000" spcFirstLastPara="0" vertOverflow="ellipsis" vert="horz" wrap="square" lIns="0" tIns="0" rIns="0" bIns="0" anchor="ctr" anchorCtr="1"/>
          <a:lstStyle/>
          <a:p>
            <a:pPr>
              <a:defRPr lang="fr-FR" sz="900" b="1" i="0" u="none" strike="noStrike" kern="1200" baseline="0">
                <a:solidFill>
                  <a:srgbClr val="595959"/>
                </a:solidFill>
                <a:latin typeface="Calibri" panose="020F0502020204030204"/>
                <a:ea typeface="+mn-ea"/>
                <a:cs typeface="+mn-cs"/>
              </a:defRPr>
            </a:pPr>
            <a:endParaRPr lang="fr-FR"/>
          </a:p>
        </c:txPr>
        <c:crossAx val="191692287"/>
        <c:crosses val="autoZero"/>
        <c:auto val="1"/>
        <c:lblAlgn val="ctr"/>
        <c:lblOffset val="100"/>
        <c:noMultiLvlLbl val="0"/>
      </c:catAx>
      <c:valAx>
        <c:axId val="191692287"/>
        <c:scaling>
          <c:orientation val="minMax"/>
        </c:scaling>
        <c:delete val="0"/>
        <c:axPos val="l"/>
        <c:majorGridlines>
          <c:spPr>
            <a:ln w="9528" cap="flat" cmpd="sng" algn="ctr">
              <a:solidFill>
                <a:srgbClr val="D9D9D9"/>
              </a:solidFill>
              <a:prstDash val="solid"/>
              <a:round/>
            </a:ln>
          </c:spPr>
        </c:majorGridlines>
        <c:numFmt formatCode="General" sourceLinked="0"/>
        <c:majorTickMark val="none"/>
        <c:minorTickMark val="none"/>
        <c:tickLblPos val="nextTo"/>
        <c:spPr>
          <a:noFill/>
          <a:ln w="6350" cap="flat" cmpd="sng" algn="ctr">
            <a:noFill/>
            <a:prstDash val="solid"/>
            <a:round/>
          </a:ln>
        </c:spPr>
        <c:txPr>
          <a:bodyPr rot="-60000000" spcFirstLastPara="0" vertOverflow="ellipsis" vert="horz" wrap="square" lIns="0" tIns="0" rIns="0" bIns="0" anchor="ctr" anchorCtr="1"/>
          <a:lstStyle/>
          <a:p>
            <a:pPr>
              <a:defRPr lang="fr-FR" sz="900" b="1" i="0" u="none" strike="noStrike" kern="1200" baseline="0">
                <a:solidFill>
                  <a:srgbClr val="595959"/>
                </a:solidFill>
                <a:latin typeface="Calibri" panose="020F0502020204030204"/>
                <a:ea typeface="+mn-ea"/>
                <a:cs typeface="+mn-cs"/>
              </a:defRPr>
            </a:pPr>
            <a:endParaRPr lang="fr-FR"/>
          </a:p>
        </c:txPr>
        <c:crossAx val="191684799"/>
        <c:crosses val="autoZero"/>
        <c:crossBetween val="between"/>
      </c:valAx>
      <c:spPr>
        <a:noFill/>
        <a:ln>
          <a:noFill/>
        </a:ln>
      </c:spPr>
    </c:plotArea>
    <c:legend>
      <c:legendPos val="b"/>
      <c:overlay val="0"/>
      <c:spPr>
        <a:noFill/>
        <a:ln>
          <a:noFill/>
        </a:ln>
      </c:spPr>
      <c:txPr>
        <a:bodyPr rot="0" spcFirstLastPara="0" vertOverflow="ellipsis" vert="horz" wrap="square" lIns="0" tIns="0" rIns="0" bIns="0" anchor="ctr" anchorCtr="1"/>
        <a:lstStyle/>
        <a:p>
          <a:pPr>
            <a:defRPr lang="fr-FR" sz="900" b="1" i="0" u="none" strike="noStrike" kern="1200" baseline="0">
              <a:solidFill>
                <a:srgbClr val="595959"/>
              </a:solidFill>
              <a:latin typeface="Calibri" panose="020F0502020204030204"/>
              <a:ea typeface="+mn-ea"/>
              <a:cs typeface="+mn-cs"/>
            </a:defRPr>
          </a:pPr>
          <a:endParaRPr lang="fr-FR"/>
        </a:p>
      </c:txPr>
    </c:legend>
    <c:plotVisOnly val="1"/>
    <c:dispBlanksAs val="gap"/>
    <c:showDLblsOverMax val="0"/>
  </c:chart>
  <c:spPr>
    <a:solidFill>
      <a:srgbClr val="FFFFFF"/>
    </a:solidFill>
    <a:ln w="9528" cap="flat" cmpd="sng" algn="ctr">
      <a:solidFill>
        <a:srgbClr val="D9D9D9"/>
      </a:solidFill>
      <a:prstDash val="solid"/>
      <a:round/>
    </a:ln>
  </c:spPr>
  <c:txPr>
    <a:bodyPr lIns="0" tIns="0" rIns="0" bIns="0"/>
    <a:lstStyle/>
    <a:p>
      <a:pPr>
        <a:defRPr lang="fr-FR" sz="1000" b="0" i="0" u="none" strike="noStrike" kern="1200" baseline="0">
          <a:solidFill>
            <a:srgbClr val="000000"/>
          </a:solidFill>
          <a:latin typeface="Calibri" panose="020F0502020204030204"/>
        </a:defRPr>
      </a:pPr>
      <a:endParaRPr lang="fr-F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lIns="0" tIns="0" rIns="0" bIns="0" anchor="ctr" anchorCtr="1"/>
          <a:lstStyle/>
          <a:p>
            <a:pPr marL="0" marR="0" indent="0" algn="ctr" defTabSz="914400" fontAlgn="auto" hangingPunct="1">
              <a:lnSpc>
                <a:spcPct val="100000"/>
              </a:lnSpc>
              <a:spcBef>
                <a:spcPts val="0"/>
              </a:spcBef>
              <a:spcAft>
                <a:spcPts val="0"/>
              </a:spcAft>
              <a:defRPr lang="fr-FR" sz="1400" b="1" i="0" u="none" strike="noStrike" kern="1200" spc="0" baseline="0">
                <a:solidFill>
                  <a:srgbClr val="595959"/>
                </a:solidFill>
                <a:latin typeface="Calibri" panose="020F0502020204030204"/>
                <a:ea typeface="+mn-ea"/>
                <a:cs typeface="+mn-cs"/>
              </a:defRPr>
            </a:pPr>
            <a:r>
              <a:rPr lang="fr-FR" sz="1400" b="1" i="0" u="none" strike="noStrike" kern="1200" cap="none" spc="0" baseline="0">
                <a:solidFill>
                  <a:srgbClr val="595959"/>
                </a:solidFill>
                <a:uFillTx/>
                <a:latin typeface="Calibri" panose="020F0502020204030204"/>
              </a:rPr>
              <a:t>INFOWAKAT</a:t>
            </a:r>
          </a:p>
        </c:rich>
      </c:tx>
      <c:overlay val="0"/>
      <c:spPr>
        <a:noFill/>
        <a:ln>
          <a:noFill/>
        </a:ln>
      </c:spPr>
    </c:title>
    <c:autoTitleDeleted val="0"/>
    <c:plotArea>
      <c:layout/>
      <c:barChart>
        <c:barDir val="col"/>
        <c:grouping val="clustered"/>
        <c:varyColors val="0"/>
        <c:ser>
          <c:idx val="0"/>
          <c:order val="0"/>
          <c:tx>
            <c:strRef>
              <c:f>MPP</c:f>
              <c:strCache>
                <c:ptCount val="1"/>
                <c:pt idx="0">
                  <c:v>MPP</c:v>
                </c:pt>
              </c:strCache>
            </c:strRef>
          </c:tx>
          <c:spPr>
            <a:solidFill>
              <a:srgbClr val="5B9BD5"/>
            </a:solidFill>
            <a:ln>
              <a:noFill/>
            </a:ln>
          </c:spPr>
          <c:invertIfNegative val="0"/>
          <c:cat>
            <c:strRef>
              <c:f>{"% NA","% NI"}</c:f>
              <c:strCache>
                <c:ptCount val="2"/>
                <c:pt idx="0">
                  <c:v>% NA</c:v>
                </c:pt>
                <c:pt idx="1">
                  <c:v>% NI</c:v>
                </c:pt>
              </c:strCache>
            </c:strRef>
          </c:cat>
          <c:val>
            <c:numRef>
              <c:f>{0.2794,0.3889}</c:f>
              <c:numCache>
                <c:formatCode>General</c:formatCode>
                <c:ptCount val="2"/>
                <c:pt idx="0">
                  <c:v>0.27939999999999998</c:v>
                </c:pt>
                <c:pt idx="1">
                  <c:v>0.38890000000000002</c:v>
                </c:pt>
              </c:numCache>
            </c:numRef>
          </c:val>
          <c:extLst>
            <c:ext xmlns:c16="http://schemas.microsoft.com/office/drawing/2014/chart" uri="{C3380CC4-5D6E-409C-BE32-E72D297353CC}">
              <c16:uniqueId val="{00000000-C804-4DBA-859E-97EDEE06E337}"/>
            </c:ext>
          </c:extLst>
        </c:ser>
        <c:ser>
          <c:idx val="1"/>
          <c:order val="1"/>
          <c:tx>
            <c:strRef>
              <c:f>CDP</c:f>
              <c:strCache>
                <c:ptCount val="1"/>
                <c:pt idx="0">
                  <c:v>CDP</c:v>
                </c:pt>
              </c:strCache>
            </c:strRef>
          </c:tx>
          <c:spPr>
            <a:solidFill>
              <a:srgbClr val="ED7D31"/>
            </a:solidFill>
            <a:ln>
              <a:noFill/>
            </a:ln>
          </c:spPr>
          <c:invertIfNegative val="0"/>
          <c:cat>
            <c:strRef>
              <c:f>{"% NA","% NI"}</c:f>
              <c:strCache>
                <c:ptCount val="2"/>
                <c:pt idx="0">
                  <c:v>% NA</c:v>
                </c:pt>
                <c:pt idx="1">
                  <c:v>% NI</c:v>
                </c:pt>
              </c:strCache>
            </c:strRef>
          </c:cat>
          <c:val>
            <c:numRef>
              <c:f>{0.1765,0.1574}</c:f>
              <c:numCache>
                <c:formatCode>General</c:formatCode>
                <c:ptCount val="2"/>
                <c:pt idx="0">
                  <c:v>0.17649999999999999</c:v>
                </c:pt>
                <c:pt idx="1">
                  <c:v>0.15740000000000001</c:v>
                </c:pt>
              </c:numCache>
            </c:numRef>
          </c:val>
          <c:extLst>
            <c:ext xmlns:c16="http://schemas.microsoft.com/office/drawing/2014/chart" uri="{C3380CC4-5D6E-409C-BE32-E72D297353CC}">
              <c16:uniqueId val="{00000001-C804-4DBA-859E-97EDEE06E337}"/>
            </c:ext>
          </c:extLst>
        </c:ser>
        <c:ser>
          <c:idx val="2"/>
          <c:order val="2"/>
          <c:tx>
            <c:strRef>
              <c:f>UNIR/MPS</c:f>
              <c:strCache>
                <c:ptCount val="1"/>
                <c:pt idx="0">
                  <c:v>UNIR/MPS</c:v>
                </c:pt>
              </c:strCache>
            </c:strRef>
          </c:tx>
          <c:spPr>
            <a:solidFill>
              <a:srgbClr val="A5A5A5"/>
            </a:solidFill>
            <a:ln>
              <a:noFill/>
            </a:ln>
          </c:spPr>
          <c:invertIfNegative val="0"/>
          <c:cat>
            <c:strRef>
              <c:f>{"% NA","% NI"}</c:f>
              <c:strCache>
                <c:ptCount val="2"/>
                <c:pt idx="0">
                  <c:v>% NA</c:v>
                </c:pt>
                <c:pt idx="1">
                  <c:v>% NI</c:v>
                </c:pt>
              </c:strCache>
            </c:strRef>
          </c:cat>
          <c:val>
            <c:numRef>
              <c:f>{0.1471,0.1019}</c:f>
              <c:numCache>
                <c:formatCode>General</c:formatCode>
                <c:ptCount val="2"/>
                <c:pt idx="0">
                  <c:v>0.14710000000000001</c:v>
                </c:pt>
                <c:pt idx="1">
                  <c:v>0.1019</c:v>
                </c:pt>
              </c:numCache>
            </c:numRef>
          </c:val>
          <c:extLst>
            <c:ext xmlns:c16="http://schemas.microsoft.com/office/drawing/2014/chart" uri="{C3380CC4-5D6E-409C-BE32-E72D297353CC}">
              <c16:uniqueId val="{00000002-C804-4DBA-859E-97EDEE06E337}"/>
            </c:ext>
          </c:extLst>
        </c:ser>
        <c:ser>
          <c:idx val="3"/>
          <c:order val="3"/>
          <c:tx>
            <c:strRef>
              <c:f>UPC</c:f>
              <c:strCache>
                <c:ptCount val="1"/>
                <c:pt idx="0">
                  <c:v>UPC</c:v>
                </c:pt>
              </c:strCache>
            </c:strRef>
          </c:tx>
          <c:spPr>
            <a:solidFill>
              <a:srgbClr val="FFC000"/>
            </a:solidFill>
            <a:ln>
              <a:noFill/>
            </a:ln>
          </c:spPr>
          <c:invertIfNegative val="0"/>
          <c:cat>
            <c:strRef>
              <c:f>{"% NA","% NI"}</c:f>
              <c:strCache>
                <c:ptCount val="2"/>
                <c:pt idx="0">
                  <c:v>% NA</c:v>
                </c:pt>
                <c:pt idx="1">
                  <c:v>% NI</c:v>
                </c:pt>
              </c:strCache>
            </c:strRef>
          </c:cat>
          <c:val>
            <c:numRef>
              <c:f>{0.0882,0.1111}</c:f>
              <c:numCache>
                <c:formatCode>General</c:formatCode>
                <c:ptCount val="2"/>
                <c:pt idx="0">
                  <c:v>8.8200000000000001E-2</c:v>
                </c:pt>
                <c:pt idx="1">
                  <c:v>0.1111</c:v>
                </c:pt>
              </c:numCache>
            </c:numRef>
          </c:val>
          <c:extLst>
            <c:ext xmlns:c16="http://schemas.microsoft.com/office/drawing/2014/chart" uri="{C3380CC4-5D6E-409C-BE32-E72D297353CC}">
              <c16:uniqueId val="{00000003-C804-4DBA-859E-97EDEE06E337}"/>
            </c:ext>
          </c:extLst>
        </c:ser>
        <c:ser>
          <c:idx val="4"/>
          <c:order val="4"/>
          <c:tx>
            <c:strRef>
              <c:f>MCR</c:f>
              <c:strCache>
                <c:ptCount val="1"/>
                <c:pt idx="0">
                  <c:v>MCR</c:v>
                </c:pt>
              </c:strCache>
            </c:strRef>
          </c:tx>
          <c:spPr>
            <a:solidFill>
              <a:srgbClr val="4472C4"/>
            </a:solidFill>
            <a:ln>
              <a:noFill/>
            </a:ln>
          </c:spPr>
          <c:invertIfNegative val="0"/>
          <c:cat>
            <c:strRef>
              <c:f>{"% NA","% NI"}</c:f>
              <c:strCache>
                <c:ptCount val="2"/>
                <c:pt idx="0">
                  <c:v>% NA</c:v>
                </c:pt>
                <c:pt idx="1">
                  <c:v>% NI</c:v>
                </c:pt>
              </c:strCache>
            </c:strRef>
          </c:cat>
          <c:val>
            <c:numRef>
              <c:f>{0.0441,0.0556}</c:f>
              <c:numCache>
                <c:formatCode>General</c:formatCode>
                <c:ptCount val="2"/>
                <c:pt idx="0">
                  <c:v>4.41E-2</c:v>
                </c:pt>
                <c:pt idx="1">
                  <c:v>5.5599999999999997E-2</c:v>
                </c:pt>
              </c:numCache>
            </c:numRef>
          </c:val>
          <c:extLst>
            <c:ext xmlns:c16="http://schemas.microsoft.com/office/drawing/2014/chart" uri="{C3380CC4-5D6E-409C-BE32-E72D297353CC}">
              <c16:uniqueId val="{00000004-C804-4DBA-859E-97EDEE06E337}"/>
            </c:ext>
          </c:extLst>
        </c:ser>
        <c:ser>
          <c:idx val="5"/>
          <c:order val="5"/>
          <c:tx>
            <c:strRef>
              <c:f>MRB</c:f>
              <c:strCache>
                <c:ptCount val="1"/>
                <c:pt idx="0">
                  <c:v>MRB</c:v>
                </c:pt>
              </c:strCache>
            </c:strRef>
          </c:tx>
          <c:spPr>
            <a:solidFill>
              <a:srgbClr val="70AD47"/>
            </a:solidFill>
            <a:ln>
              <a:noFill/>
            </a:ln>
          </c:spPr>
          <c:invertIfNegative val="0"/>
          <c:cat>
            <c:strRef>
              <c:f>{"% NA","% NI"}</c:f>
              <c:strCache>
                <c:ptCount val="2"/>
                <c:pt idx="0">
                  <c:v>% NA</c:v>
                </c:pt>
                <c:pt idx="1">
                  <c:v>% NI</c:v>
                </c:pt>
              </c:strCache>
            </c:strRef>
          </c:cat>
          <c:val>
            <c:numRef>
              <c:f>{0.0441,0.037}</c:f>
              <c:numCache>
                <c:formatCode>General</c:formatCode>
                <c:ptCount val="2"/>
                <c:pt idx="0">
                  <c:v>4.41E-2</c:v>
                </c:pt>
                <c:pt idx="1">
                  <c:v>3.6999999999999998E-2</c:v>
                </c:pt>
              </c:numCache>
            </c:numRef>
          </c:val>
          <c:extLst>
            <c:ext xmlns:c16="http://schemas.microsoft.com/office/drawing/2014/chart" uri="{C3380CC4-5D6E-409C-BE32-E72D297353CC}">
              <c16:uniqueId val="{00000005-C804-4DBA-859E-97EDEE06E337}"/>
            </c:ext>
          </c:extLst>
        </c:ser>
        <c:ser>
          <c:idx val="6"/>
          <c:order val="6"/>
          <c:tx>
            <c:strRef>
              <c:f>L'AB/PSR</c:f>
              <c:strCache>
                <c:ptCount val="1"/>
                <c:pt idx="0">
                  <c:v>L'AB/PSR</c:v>
                </c:pt>
              </c:strCache>
            </c:strRef>
          </c:tx>
          <c:spPr>
            <a:solidFill>
              <a:srgbClr val="255E91"/>
            </a:solidFill>
            <a:ln>
              <a:noFill/>
            </a:ln>
          </c:spPr>
          <c:invertIfNegative val="0"/>
          <c:cat>
            <c:strRef>
              <c:f>{"% NA","% NI"}</c:f>
              <c:strCache>
                <c:ptCount val="2"/>
                <c:pt idx="0">
                  <c:v>% NA</c:v>
                </c:pt>
                <c:pt idx="1">
                  <c:v>% NI</c:v>
                </c:pt>
              </c:strCache>
            </c:strRef>
          </c:cat>
          <c:val>
            <c:numRef>
              <c:f>{0.0441,0.0278}</c:f>
              <c:numCache>
                <c:formatCode>General</c:formatCode>
                <c:ptCount val="2"/>
                <c:pt idx="0">
                  <c:v>4.41E-2</c:v>
                </c:pt>
                <c:pt idx="1">
                  <c:v>2.7799999999999998E-2</c:v>
                </c:pt>
              </c:numCache>
            </c:numRef>
          </c:val>
          <c:extLst>
            <c:ext xmlns:c16="http://schemas.microsoft.com/office/drawing/2014/chart" uri="{C3380CC4-5D6E-409C-BE32-E72D297353CC}">
              <c16:uniqueId val="{00000006-C804-4DBA-859E-97EDEE06E337}"/>
            </c:ext>
          </c:extLst>
        </c:ser>
        <c:ser>
          <c:idx val="7"/>
          <c:order val="7"/>
          <c:tx>
            <c:strRef>
              <c:f>FA</c:f>
              <c:strCache>
                <c:ptCount val="1"/>
                <c:pt idx="0">
                  <c:v>FA</c:v>
                </c:pt>
              </c:strCache>
            </c:strRef>
          </c:tx>
          <c:spPr>
            <a:solidFill>
              <a:srgbClr val="9E480E"/>
            </a:solidFill>
            <a:ln>
              <a:noFill/>
            </a:ln>
          </c:spPr>
          <c:invertIfNegative val="0"/>
          <c:cat>
            <c:strRef>
              <c:f>{"% NA","% NI"}</c:f>
              <c:strCache>
                <c:ptCount val="2"/>
                <c:pt idx="0">
                  <c:v>% NA</c:v>
                </c:pt>
                <c:pt idx="1">
                  <c:v>% NI</c:v>
                </c:pt>
              </c:strCache>
            </c:strRef>
          </c:cat>
          <c:val>
            <c:numRef>
              <c:f>{0.0294,0.0185}</c:f>
              <c:numCache>
                <c:formatCode>General</c:formatCode>
                <c:ptCount val="2"/>
                <c:pt idx="0">
                  <c:v>2.9399999999999999E-2</c:v>
                </c:pt>
                <c:pt idx="1">
                  <c:v>1.8499999999999999E-2</c:v>
                </c:pt>
              </c:numCache>
            </c:numRef>
          </c:val>
          <c:extLst>
            <c:ext xmlns:c16="http://schemas.microsoft.com/office/drawing/2014/chart" uri="{C3380CC4-5D6E-409C-BE32-E72D297353CC}">
              <c16:uniqueId val="{00000007-C804-4DBA-859E-97EDEE06E337}"/>
            </c:ext>
          </c:extLst>
        </c:ser>
        <c:ser>
          <c:idx val="8"/>
          <c:order val="8"/>
          <c:tx>
            <c:strRef>
              <c:f>FPC/Y</c:f>
              <c:strCache>
                <c:ptCount val="1"/>
                <c:pt idx="0">
                  <c:v>FPC/Y</c:v>
                </c:pt>
              </c:strCache>
            </c:strRef>
          </c:tx>
          <c:spPr>
            <a:solidFill>
              <a:srgbClr val="636363"/>
            </a:solidFill>
            <a:ln>
              <a:noFill/>
            </a:ln>
          </c:spPr>
          <c:invertIfNegative val="0"/>
          <c:cat>
            <c:strRef>
              <c:f>{"% NA","% NI"}</c:f>
              <c:strCache>
                <c:ptCount val="2"/>
                <c:pt idx="0">
                  <c:v>% NA</c:v>
                </c:pt>
                <c:pt idx="1">
                  <c:v>% NI</c:v>
                </c:pt>
              </c:strCache>
            </c:strRef>
          </c:cat>
          <c:val>
            <c:numRef>
              <c:f>{0.0294,0.0185}</c:f>
              <c:numCache>
                <c:formatCode>General</c:formatCode>
                <c:ptCount val="2"/>
                <c:pt idx="0">
                  <c:v>2.9399999999999999E-2</c:v>
                </c:pt>
                <c:pt idx="1">
                  <c:v>1.8499999999999999E-2</c:v>
                </c:pt>
              </c:numCache>
            </c:numRef>
          </c:val>
          <c:extLst>
            <c:ext xmlns:c16="http://schemas.microsoft.com/office/drawing/2014/chart" uri="{C3380CC4-5D6E-409C-BE32-E72D297353CC}">
              <c16:uniqueId val="{00000008-C804-4DBA-859E-97EDEE06E337}"/>
            </c:ext>
          </c:extLst>
        </c:ser>
        <c:ser>
          <c:idx val="9"/>
          <c:order val="9"/>
          <c:tx>
            <c:strRef>
              <c:f>FPR</c:f>
              <c:strCache>
                <c:ptCount val="1"/>
                <c:pt idx="0">
                  <c:v>FPR</c:v>
                </c:pt>
              </c:strCache>
            </c:strRef>
          </c:tx>
          <c:spPr>
            <a:solidFill>
              <a:srgbClr val="997300"/>
            </a:solidFill>
            <a:ln>
              <a:noFill/>
            </a:ln>
          </c:spPr>
          <c:invertIfNegative val="0"/>
          <c:cat>
            <c:strRef>
              <c:f>{"% NA","% NI"}</c:f>
              <c:strCache>
                <c:ptCount val="2"/>
                <c:pt idx="0">
                  <c:v>% NA</c:v>
                </c:pt>
                <c:pt idx="1">
                  <c:v>% NI</c:v>
                </c:pt>
              </c:strCache>
            </c:strRef>
          </c:cat>
          <c:val>
            <c:numRef>
              <c:f>{0.0294,0.0185}</c:f>
              <c:numCache>
                <c:formatCode>General</c:formatCode>
                <c:ptCount val="2"/>
                <c:pt idx="0">
                  <c:v>2.9399999999999999E-2</c:v>
                </c:pt>
                <c:pt idx="1">
                  <c:v>1.8499999999999999E-2</c:v>
                </c:pt>
              </c:numCache>
            </c:numRef>
          </c:val>
          <c:extLst>
            <c:ext xmlns:c16="http://schemas.microsoft.com/office/drawing/2014/chart" uri="{C3380CC4-5D6E-409C-BE32-E72D297353CC}">
              <c16:uniqueId val="{00000009-C804-4DBA-859E-97EDEE06E337}"/>
            </c:ext>
          </c:extLst>
        </c:ser>
        <c:dLbls>
          <c:showLegendKey val="0"/>
          <c:showVal val="0"/>
          <c:showCatName val="0"/>
          <c:showSerName val="0"/>
          <c:showPercent val="0"/>
          <c:showBubbleSize val="0"/>
        </c:dLbls>
        <c:gapWidth val="219"/>
        <c:overlap val="-27"/>
        <c:axId val="191685215"/>
        <c:axId val="191691455"/>
      </c:barChart>
      <c:catAx>
        <c:axId val="191685215"/>
        <c:scaling>
          <c:orientation val="minMax"/>
        </c:scaling>
        <c:delete val="0"/>
        <c:axPos val="b"/>
        <c:numFmt formatCode="General" sourceLinked="0"/>
        <c:majorTickMark val="none"/>
        <c:minorTickMark val="none"/>
        <c:tickLblPos val="nextTo"/>
        <c:spPr>
          <a:noFill/>
          <a:ln w="9528" cap="flat" cmpd="sng" algn="ctr">
            <a:solidFill>
              <a:srgbClr val="D9D9D9"/>
            </a:solidFill>
            <a:prstDash val="solid"/>
            <a:round/>
          </a:ln>
        </c:spPr>
        <c:txPr>
          <a:bodyPr rot="-60000000" spcFirstLastPara="0" vertOverflow="ellipsis" vert="horz" wrap="square" lIns="0" tIns="0" rIns="0" bIns="0" anchor="ctr" anchorCtr="1"/>
          <a:lstStyle/>
          <a:p>
            <a:pPr>
              <a:defRPr lang="fr-FR" sz="900" b="1" i="0" u="none" strike="noStrike" kern="1200" baseline="0">
                <a:solidFill>
                  <a:srgbClr val="595959"/>
                </a:solidFill>
                <a:latin typeface="Calibri" panose="020F0502020204030204"/>
                <a:ea typeface="+mn-ea"/>
                <a:cs typeface="+mn-cs"/>
              </a:defRPr>
            </a:pPr>
            <a:endParaRPr lang="fr-FR"/>
          </a:p>
        </c:txPr>
        <c:crossAx val="191691455"/>
        <c:crosses val="autoZero"/>
        <c:auto val="1"/>
        <c:lblAlgn val="ctr"/>
        <c:lblOffset val="100"/>
        <c:noMultiLvlLbl val="0"/>
      </c:catAx>
      <c:valAx>
        <c:axId val="191691455"/>
        <c:scaling>
          <c:orientation val="minMax"/>
        </c:scaling>
        <c:delete val="0"/>
        <c:axPos val="l"/>
        <c:majorGridlines>
          <c:spPr>
            <a:ln w="9528" cap="flat" cmpd="sng" algn="ctr">
              <a:solidFill>
                <a:srgbClr val="D9D9D9"/>
              </a:solidFill>
              <a:prstDash val="solid"/>
              <a:round/>
            </a:ln>
          </c:spPr>
        </c:majorGridlines>
        <c:numFmt formatCode="General" sourceLinked="0"/>
        <c:majorTickMark val="none"/>
        <c:minorTickMark val="none"/>
        <c:tickLblPos val="nextTo"/>
        <c:spPr>
          <a:noFill/>
          <a:ln w="6350" cap="flat" cmpd="sng" algn="ctr">
            <a:noFill/>
            <a:prstDash val="solid"/>
            <a:round/>
          </a:ln>
        </c:spPr>
        <c:txPr>
          <a:bodyPr rot="-60000000" spcFirstLastPara="0" vertOverflow="ellipsis" vert="horz" wrap="square" lIns="0" tIns="0" rIns="0" bIns="0" anchor="ctr" anchorCtr="1"/>
          <a:lstStyle/>
          <a:p>
            <a:pPr>
              <a:defRPr lang="fr-FR" sz="900" b="1" i="0" u="none" strike="noStrike" kern="1200" baseline="0">
                <a:solidFill>
                  <a:srgbClr val="595959"/>
                </a:solidFill>
                <a:latin typeface="Calibri" panose="020F0502020204030204"/>
                <a:ea typeface="+mn-ea"/>
                <a:cs typeface="+mn-cs"/>
              </a:defRPr>
            </a:pPr>
            <a:endParaRPr lang="fr-FR"/>
          </a:p>
        </c:txPr>
        <c:crossAx val="191685215"/>
        <c:crosses val="autoZero"/>
        <c:crossBetween val="between"/>
      </c:valAx>
      <c:spPr>
        <a:noFill/>
        <a:ln>
          <a:noFill/>
        </a:ln>
      </c:spPr>
    </c:plotArea>
    <c:legend>
      <c:legendPos val="b"/>
      <c:overlay val="0"/>
      <c:spPr>
        <a:noFill/>
        <a:ln>
          <a:noFill/>
        </a:ln>
      </c:spPr>
      <c:txPr>
        <a:bodyPr rot="0" spcFirstLastPara="0" vertOverflow="ellipsis" vert="horz" wrap="square" lIns="0" tIns="0" rIns="0" bIns="0" anchor="ctr" anchorCtr="1"/>
        <a:lstStyle/>
        <a:p>
          <a:pPr>
            <a:defRPr lang="fr-FR" sz="900" b="1" i="0" u="none" strike="noStrike" kern="1200" baseline="0">
              <a:solidFill>
                <a:srgbClr val="595959"/>
              </a:solidFill>
              <a:latin typeface="Calibri" panose="020F0502020204030204"/>
              <a:ea typeface="+mn-ea"/>
              <a:cs typeface="+mn-cs"/>
            </a:defRPr>
          </a:pPr>
          <a:endParaRPr lang="fr-FR"/>
        </a:p>
      </c:txPr>
    </c:legend>
    <c:plotVisOnly val="1"/>
    <c:dispBlanksAs val="gap"/>
    <c:showDLblsOverMax val="0"/>
  </c:chart>
  <c:spPr>
    <a:solidFill>
      <a:srgbClr val="FFFFFF"/>
    </a:solidFill>
    <a:ln w="9528" cap="flat" cmpd="sng" algn="ctr">
      <a:solidFill>
        <a:srgbClr val="D9D9D9"/>
      </a:solidFill>
      <a:prstDash val="solid"/>
      <a:round/>
    </a:ln>
  </c:spPr>
  <c:txPr>
    <a:bodyPr lIns="0" tIns="0" rIns="0" bIns="0"/>
    <a:lstStyle/>
    <a:p>
      <a:pPr>
        <a:defRPr lang="fr-FR" sz="1000" b="0" i="0" u="none" strike="noStrike" kern="1200" baseline="0">
          <a:solidFill>
            <a:srgbClr val="000000"/>
          </a:solidFill>
          <a:latin typeface="Calibri" panose="020F0502020204030204"/>
        </a:defRPr>
      </a:pPr>
      <a:endParaRPr lang="fr-FR"/>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fr-FR" sz="1400" b="0" i="0" u="none" strike="noStrike" kern="1200" spc="0" baseline="0">
                <a:solidFill>
                  <a:schemeClr val="tx1">
                    <a:lumMod val="65000"/>
                    <a:lumOff val="35000"/>
                  </a:schemeClr>
                </a:solidFill>
                <a:latin typeface="+mn-lt"/>
                <a:ea typeface="+mn-ea"/>
                <a:cs typeface="+mn-cs"/>
              </a:defRPr>
            </a:pPr>
            <a:r>
              <a:rPr lang="en-US" b="1"/>
              <a:t>KACETO.NET</a:t>
            </a:r>
          </a:p>
        </c:rich>
      </c:tx>
      <c:overlay val="0"/>
      <c:spPr>
        <a:noFill/>
        <a:ln>
          <a:noFill/>
        </a:ln>
        <a:effectLst/>
      </c:spPr>
      <c:txPr>
        <a:bodyPr rot="0" spcFirstLastPara="1" vertOverflow="ellipsis" vert="horz" wrap="square" anchor="ctr" anchorCtr="1"/>
        <a:lstStyle/>
        <a:p>
          <a:pPr>
            <a:defRPr lang="fr-F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manualLayout>
          <c:layoutTarget val="inner"/>
          <c:xMode val="edge"/>
          <c:yMode val="edge"/>
          <c:x val="0.12991447944007001"/>
          <c:y val="0.119779874213837"/>
          <c:w val="0.853418853893263"/>
          <c:h val="0.73847991878373698"/>
        </c:manualLayout>
      </c:layout>
      <c:barChart>
        <c:barDir val="col"/>
        <c:grouping val="clustered"/>
        <c:varyColors val="0"/>
        <c:ser>
          <c:idx val="0"/>
          <c:order val="0"/>
          <c:tx>
            <c:strRef>
              <c:f>Feuil1!$B$27</c:f>
              <c:strCache>
                <c:ptCount val="1"/>
                <c:pt idx="0">
                  <c:v>MPP</c:v>
                </c:pt>
              </c:strCache>
            </c:strRef>
          </c:tx>
          <c:spPr>
            <a:solidFill>
              <a:schemeClr val="accent1"/>
            </a:solidFill>
            <a:ln>
              <a:noFill/>
            </a:ln>
            <a:effectLst/>
          </c:spPr>
          <c:invertIfNegative val="0"/>
          <c:cat>
            <c:strRef>
              <c:f>(Feuil1!$D$26,Feuil1!$F$26)</c:f>
              <c:strCache>
                <c:ptCount val="2"/>
                <c:pt idx="0">
                  <c:v>% NA</c:v>
                </c:pt>
                <c:pt idx="1">
                  <c:v>% NI</c:v>
                </c:pt>
              </c:strCache>
            </c:strRef>
          </c:cat>
          <c:val>
            <c:numRef>
              <c:f>(Feuil1!$D$27,Feuil1!$F$27)</c:f>
              <c:numCache>
                <c:formatCode>0.00%</c:formatCode>
                <c:ptCount val="2"/>
                <c:pt idx="0">
                  <c:v>0.32650000000000001</c:v>
                </c:pt>
                <c:pt idx="1">
                  <c:v>0.45069999999999999</c:v>
                </c:pt>
              </c:numCache>
            </c:numRef>
          </c:val>
          <c:extLst>
            <c:ext xmlns:c16="http://schemas.microsoft.com/office/drawing/2014/chart" uri="{C3380CC4-5D6E-409C-BE32-E72D297353CC}">
              <c16:uniqueId val="{00000000-4D3B-42F0-9F60-536615903562}"/>
            </c:ext>
          </c:extLst>
        </c:ser>
        <c:ser>
          <c:idx val="1"/>
          <c:order val="1"/>
          <c:tx>
            <c:strRef>
              <c:f>Feuil1!$B$28</c:f>
              <c:strCache>
                <c:ptCount val="1"/>
                <c:pt idx="0">
                  <c:v>CDP</c:v>
                </c:pt>
              </c:strCache>
            </c:strRef>
          </c:tx>
          <c:spPr>
            <a:solidFill>
              <a:schemeClr val="accent2"/>
            </a:solidFill>
            <a:ln>
              <a:noFill/>
            </a:ln>
            <a:effectLst/>
          </c:spPr>
          <c:invertIfNegative val="0"/>
          <c:cat>
            <c:strRef>
              <c:f>(Feuil1!$D$26,Feuil1!$F$26)</c:f>
              <c:strCache>
                <c:ptCount val="2"/>
                <c:pt idx="0">
                  <c:v>% NA</c:v>
                </c:pt>
                <c:pt idx="1">
                  <c:v>% NI</c:v>
                </c:pt>
              </c:strCache>
            </c:strRef>
          </c:cat>
          <c:val>
            <c:numRef>
              <c:f>(Feuil1!$D$28,Feuil1!$F$28)</c:f>
              <c:numCache>
                <c:formatCode>0.00%</c:formatCode>
                <c:ptCount val="2"/>
                <c:pt idx="0">
                  <c:v>0.2041</c:v>
                </c:pt>
                <c:pt idx="1">
                  <c:v>0.19719999999999999</c:v>
                </c:pt>
              </c:numCache>
            </c:numRef>
          </c:val>
          <c:extLst>
            <c:ext xmlns:c16="http://schemas.microsoft.com/office/drawing/2014/chart" uri="{C3380CC4-5D6E-409C-BE32-E72D297353CC}">
              <c16:uniqueId val="{00000001-4D3B-42F0-9F60-536615903562}"/>
            </c:ext>
          </c:extLst>
        </c:ser>
        <c:ser>
          <c:idx val="2"/>
          <c:order val="2"/>
          <c:tx>
            <c:strRef>
              <c:f>Feuil1!$B$29</c:f>
              <c:strCache>
                <c:ptCount val="1"/>
                <c:pt idx="0">
                  <c:v>UNIR/MPS</c:v>
                </c:pt>
              </c:strCache>
            </c:strRef>
          </c:tx>
          <c:spPr>
            <a:solidFill>
              <a:schemeClr val="accent3"/>
            </a:solidFill>
            <a:ln>
              <a:noFill/>
            </a:ln>
            <a:effectLst/>
          </c:spPr>
          <c:invertIfNegative val="0"/>
          <c:cat>
            <c:strRef>
              <c:f>(Feuil1!$D$26,Feuil1!$F$26)</c:f>
              <c:strCache>
                <c:ptCount val="2"/>
                <c:pt idx="0">
                  <c:v>% NA</c:v>
                </c:pt>
                <c:pt idx="1">
                  <c:v>% NI</c:v>
                </c:pt>
              </c:strCache>
            </c:strRef>
          </c:cat>
          <c:val>
            <c:numRef>
              <c:f>(Feuil1!$D$29,Feuil1!$F$29)</c:f>
              <c:numCache>
                <c:formatCode>0.00%</c:formatCode>
                <c:ptCount val="2"/>
                <c:pt idx="0">
                  <c:v>0.12239999999999999</c:v>
                </c:pt>
                <c:pt idx="1">
                  <c:v>9.8599999999999993E-2</c:v>
                </c:pt>
              </c:numCache>
            </c:numRef>
          </c:val>
          <c:extLst>
            <c:ext xmlns:c16="http://schemas.microsoft.com/office/drawing/2014/chart" uri="{C3380CC4-5D6E-409C-BE32-E72D297353CC}">
              <c16:uniqueId val="{00000002-4D3B-42F0-9F60-536615903562}"/>
            </c:ext>
          </c:extLst>
        </c:ser>
        <c:ser>
          <c:idx val="3"/>
          <c:order val="3"/>
          <c:tx>
            <c:strRef>
              <c:f>Feuil1!$B$30</c:f>
              <c:strCache>
                <c:ptCount val="1"/>
                <c:pt idx="0">
                  <c:v>UPC</c:v>
                </c:pt>
              </c:strCache>
            </c:strRef>
          </c:tx>
          <c:spPr>
            <a:solidFill>
              <a:schemeClr val="accent4"/>
            </a:solidFill>
            <a:ln>
              <a:noFill/>
            </a:ln>
            <a:effectLst/>
          </c:spPr>
          <c:invertIfNegative val="0"/>
          <c:cat>
            <c:strRef>
              <c:f>(Feuil1!$D$26,Feuil1!$F$26)</c:f>
              <c:strCache>
                <c:ptCount val="2"/>
                <c:pt idx="0">
                  <c:v>% NA</c:v>
                </c:pt>
                <c:pt idx="1">
                  <c:v>% NI</c:v>
                </c:pt>
              </c:strCache>
            </c:strRef>
          </c:cat>
          <c:val>
            <c:numRef>
              <c:f>(Feuil1!$D$30,Feuil1!$F$30)</c:f>
              <c:numCache>
                <c:formatCode>0.00%</c:formatCode>
                <c:ptCount val="2"/>
                <c:pt idx="0">
                  <c:v>8.1600000000000006E-2</c:v>
                </c:pt>
                <c:pt idx="1">
                  <c:v>5.6300000000000003E-2</c:v>
                </c:pt>
              </c:numCache>
            </c:numRef>
          </c:val>
          <c:extLst>
            <c:ext xmlns:c16="http://schemas.microsoft.com/office/drawing/2014/chart" uri="{C3380CC4-5D6E-409C-BE32-E72D297353CC}">
              <c16:uniqueId val="{00000003-4D3B-42F0-9F60-536615903562}"/>
            </c:ext>
          </c:extLst>
        </c:ser>
        <c:ser>
          <c:idx val="4"/>
          <c:order val="4"/>
          <c:tx>
            <c:strRef>
              <c:f>Feuil1!$B$31</c:f>
              <c:strCache>
                <c:ptCount val="1"/>
                <c:pt idx="0">
                  <c:v>PPS</c:v>
                </c:pt>
              </c:strCache>
            </c:strRef>
          </c:tx>
          <c:spPr>
            <a:solidFill>
              <a:schemeClr val="accent5"/>
            </a:solidFill>
            <a:ln>
              <a:noFill/>
            </a:ln>
            <a:effectLst/>
          </c:spPr>
          <c:invertIfNegative val="0"/>
          <c:cat>
            <c:strRef>
              <c:f>(Feuil1!$D$26,Feuil1!$F$26)</c:f>
              <c:strCache>
                <c:ptCount val="2"/>
                <c:pt idx="0">
                  <c:v>% NA</c:v>
                </c:pt>
                <c:pt idx="1">
                  <c:v>% NI</c:v>
                </c:pt>
              </c:strCache>
            </c:strRef>
          </c:cat>
          <c:val>
            <c:numRef>
              <c:f>(Feuil1!$D$31,Feuil1!$F$31)</c:f>
              <c:numCache>
                <c:formatCode>0.00%</c:formatCode>
                <c:ptCount val="2"/>
                <c:pt idx="0">
                  <c:v>6.1199999999999997E-2</c:v>
                </c:pt>
                <c:pt idx="1">
                  <c:v>4.2299999999999997E-2</c:v>
                </c:pt>
              </c:numCache>
            </c:numRef>
          </c:val>
          <c:extLst>
            <c:ext xmlns:c16="http://schemas.microsoft.com/office/drawing/2014/chart" uri="{C3380CC4-5D6E-409C-BE32-E72D297353CC}">
              <c16:uniqueId val="{00000004-4D3B-42F0-9F60-536615903562}"/>
            </c:ext>
          </c:extLst>
        </c:ser>
        <c:ser>
          <c:idx val="5"/>
          <c:order val="5"/>
          <c:tx>
            <c:strRef>
              <c:f>Feuil1!$B$32</c:f>
              <c:strCache>
                <c:ptCount val="1"/>
                <c:pt idx="0">
                  <c:v>LES DEMOC</c:v>
                </c:pt>
              </c:strCache>
            </c:strRef>
          </c:tx>
          <c:spPr>
            <a:solidFill>
              <a:schemeClr val="accent6"/>
            </a:solidFill>
            <a:ln>
              <a:noFill/>
            </a:ln>
            <a:effectLst/>
          </c:spPr>
          <c:invertIfNegative val="0"/>
          <c:cat>
            <c:strRef>
              <c:f>(Feuil1!$D$26,Feuil1!$F$26)</c:f>
              <c:strCache>
                <c:ptCount val="2"/>
                <c:pt idx="0">
                  <c:v>% NA</c:v>
                </c:pt>
                <c:pt idx="1">
                  <c:v>% NI</c:v>
                </c:pt>
              </c:strCache>
            </c:strRef>
          </c:cat>
          <c:val>
            <c:numRef>
              <c:f>(Feuil1!$D$32,Feuil1!$F$32)</c:f>
              <c:numCache>
                <c:formatCode>0.00%</c:formatCode>
                <c:ptCount val="2"/>
                <c:pt idx="0">
                  <c:v>2.0400000000000001E-2</c:v>
                </c:pt>
                <c:pt idx="1">
                  <c:v>2.8199999999999999E-2</c:v>
                </c:pt>
              </c:numCache>
            </c:numRef>
          </c:val>
          <c:extLst>
            <c:ext xmlns:c16="http://schemas.microsoft.com/office/drawing/2014/chart" uri="{C3380CC4-5D6E-409C-BE32-E72D297353CC}">
              <c16:uniqueId val="{00000005-4D3B-42F0-9F60-536615903562}"/>
            </c:ext>
          </c:extLst>
        </c:ser>
        <c:ser>
          <c:idx val="6"/>
          <c:order val="6"/>
          <c:tx>
            <c:strRef>
              <c:f>Feuil1!$B$33</c:f>
              <c:strCache>
                <c:ptCount val="1"/>
                <c:pt idx="0">
                  <c:v>FA</c:v>
                </c:pt>
              </c:strCache>
            </c:strRef>
          </c:tx>
          <c:spPr>
            <a:solidFill>
              <a:schemeClr val="accent1">
                <a:lumMod val="60000"/>
              </a:schemeClr>
            </a:solidFill>
            <a:ln>
              <a:noFill/>
            </a:ln>
            <a:effectLst/>
          </c:spPr>
          <c:invertIfNegative val="0"/>
          <c:cat>
            <c:strRef>
              <c:f>(Feuil1!$D$26,Feuil1!$F$26)</c:f>
              <c:strCache>
                <c:ptCount val="2"/>
                <c:pt idx="0">
                  <c:v>% NA</c:v>
                </c:pt>
                <c:pt idx="1">
                  <c:v>% NI</c:v>
                </c:pt>
              </c:strCache>
            </c:strRef>
          </c:cat>
          <c:val>
            <c:numRef>
              <c:f>(Feuil1!$D$33,Feuil1!$F$33)</c:f>
              <c:numCache>
                <c:formatCode>0.00%</c:formatCode>
                <c:ptCount val="2"/>
                <c:pt idx="0">
                  <c:v>2.0400000000000001E-2</c:v>
                </c:pt>
                <c:pt idx="1">
                  <c:v>1.41E-2</c:v>
                </c:pt>
              </c:numCache>
            </c:numRef>
          </c:val>
          <c:extLst>
            <c:ext xmlns:c16="http://schemas.microsoft.com/office/drawing/2014/chart" uri="{C3380CC4-5D6E-409C-BE32-E72D297353CC}">
              <c16:uniqueId val="{00000006-4D3B-42F0-9F60-536615903562}"/>
            </c:ext>
          </c:extLst>
        </c:ser>
        <c:ser>
          <c:idx val="7"/>
          <c:order val="7"/>
          <c:tx>
            <c:strRef>
              <c:f>Feuil1!$B$34</c:f>
              <c:strCache>
                <c:ptCount val="1"/>
                <c:pt idx="0">
                  <c:v>FPR</c:v>
                </c:pt>
              </c:strCache>
            </c:strRef>
          </c:tx>
          <c:spPr>
            <a:solidFill>
              <a:schemeClr val="accent2">
                <a:lumMod val="60000"/>
              </a:schemeClr>
            </a:solidFill>
            <a:ln>
              <a:noFill/>
            </a:ln>
            <a:effectLst/>
          </c:spPr>
          <c:invertIfNegative val="0"/>
          <c:cat>
            <c:strRef>
              <c:f>(Feuil1!$D$26,Feuil1!$F$26)</c:f>
              <c:strCache>
                <c:ptCount val="2"/>
                <c:pt idx="0">
                  <c:v>% NA</c:v>
                </c:pt>
                <c:pt idx="1">
                  <c:v>% NI</c:v>
                </c:pt>
              </c:strCache>
            </c:strRef>
          </c:cat>
          <c:val>
            <c:numRef>
              <c:f>(Feuil1!$D$34,Feuil1!$F$34)</c:f>
              <c:numCache>
                <c:formatCode>0.00%</c:formatCode>
                <c:ptCount val="2"/>
                <c:pt idx="0">
                  <c:v>2.0400000000000001E-2</c:v>
                </c:pt>
                <c:pt idx="1">
                  <c:v>1.41E-2</c:v>
                </c:pt>
              </c:numCache>
            </c:numRef>
          </c:val>
          <c:extLst>
            <c:ext xmlns:c16="http://schemas.microsoft.com/office/drawing/2014/chart" uri="{C3380CC4-5D6E-409C-BE32-E72D297353CC}">
              <c16:uniqueId val="{00000007-4D3B-42F0-9F60-536615903562}"/>
            </c:ext>
          </c:extLst>
        </c:ser>
        <c:ser>
          <c:idx val="8"/>
          <c:order val="8"/>
          <c:tx>
            <c:strRef>
              <c:f>Feuil1!$B$35</c:f>
              <c:strCache>
                <c:ptCount val="1"/>
                <c:pt idx="0">
                  <c:v>MAE</c:v>
                </c:pt>
              </c:strCache>
            </c:strRef>
          </c:tx>
          <c:spPr>
            <a:solidFill>
              <a:schemeClr val="accent3">
                <a:lumMod val="60000"/>
              </a:schemeClr>
            </a:solidFill>
            <a:ln>
              <a:noFill/>
            </a:ln>
            <a:effectLst/>
          </c:spPr>
          <c:invertIfNegative val="0"/>
          <c:cat>
            <c:strRef>
              <c:f>(Feuil1!$D$26,Feuil1!$F$26)</c:f>
              <c:strCache>
                <c:ptCount val="2"/>
                <c:pt idx="0">
                  <c:v>% NA</c:v>
                </c:pt>
                <c:pt idx="1">
                  <c:v>% NI</c:v>
                </c:pt>
              </c:strCache>
            </c:strRef>
          </c:cat>
          <c:val>
            <c:numRef>
              <c:f>(Feuil1!$D$35,Feuil1!$F$35)</c:f>
              <c:numCache>
                <c:formatCode>0.00%</c:formatCode>
                <c:ptCount val="2"/>
                <c:pt idx="0">
                  <c:v>2.0400000000000001E-2</c:v>
                </c:pt>
                <c:pt idx="1">
                  <c:v>1.41E-2</c:v>
                </c:pt>
              </c:numCache>
            </c:numRef>
          </c:val>
          <c:extLst>
            <c:ext xmlns:c16="http://schemas.microsoft.com/office/drawing/2014/chart" uri="{C3380CC4-5D6E-409C-BE32-E72D297353CC}">
              <c16:uniqueId val="{00000008-4D3B-42F0-9F60-536615903562}"/>
            </c:ext>
          </c:extLst>
        </c:ser>
        <c:ser>
          <c:idx val="9"/>
          <c:order val="9"/>
          <c:tx>
            <c:strRef>
              <c:f>Feuil1!$B$36</c:f>
              <c:strCache>
                <c:ptCount val="1"/>
                <c:pt idx="0">
                  <c:v>MRB</c:v>
                </c:pt>
              </c:strCache>
            </c:strRef>
          </c:tx>
          <c:spPr>
            <a:solidFill>
              <a:schemeClr val="accent4">
                <a:lumMod val="60000"/>
              </a:schemeClr>
            </a:solidFill>
            <a:ln>
              <a:noFill/>
            </a:ln>
            <a:effectLst/>
          </c:spPr>
          <c:invertIfNegative val="0"/>
          <c:cat>
            <c:strRef>
              <c:f>(Feuil1!$D$26,Feuil1!$F$26)</c:f>
              <c:strCache>
                <c:ptCount val="2"/>
                <c:pt idx="0">
                  <c:v>% NA</c:v>
                </c:pt>
                <c:pt idx="1">
                  <c:v>% NI</c:v>
                </c:pt>
              </c:strCache>
            </c:strRef>
          </c:cat>
          <c:val>
            <c:numRef>
              <c:f>(Feuil1!$D$36,Feuil1!$F$36)</c:f>
              <c:numCache>
                <c:formatCode>0.00%</c:formatCode>
                <c:ptCount val="2"/>
                <c:pt idx="0">
                  <c:v>2.0400000000000001E-2</c:v>
                </c:pt>
                <c:pt idx="1">
                  <c:v>1.41E-2</c:v>
                </c:pt>
              </c:numCache>
            </c:numRef>
          </c:val>
          <c:extLst>
            <c:ext xmlns:c16="http://schemas.microsoft.com/office/drawing/2014/chart" uri="{C3380CC4-5D6E-409C-BE32-E72D297353CC}">
              <c16:uniqueId val="{00000009-4D3B-42F0-9F60-536615903562}"/>
            </c:ext>
          </c:extLst>
        </c:ser>
        <c:dLbls>
          <c:showLegendKey val="0"/>
          <c:showVal val="0"/>
          <c:showCatName val="0"/>
          <c:showSerName val="0"/>
          <c:showPercent val="0"/>
          <c:showBubbleSize val="0"/>
        </c:dLbls>
        <c:gapWidth val="219"/>
        <c:overlap val="-27"/>
        <c:axId val="1677270111"/>
        <c:axId val="1677269695"/>
      </c:barChart>
      <c:catAx>
        <c:axId val="16772701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1677269695"/>
        <c:crosses val="autoZero"/>
        <c:auto val="1"/>
        <c:lblAlgn val="ctr"/>
        <c:lblOffset val="100"/>
        <c:noMultiLvlLbl val="0"/>
      </c:catAx>
      <c:valAx>
        <c:axId val="167726969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167727011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fr-FR"/>
      </a:pPr>
      <a:endParaRPr lang="fr-FR"/>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fr-FR" sz="1400" b="1" i="0" u="none" strike="noStrike" kern="1200" spc="0" baseline="0">
                <a:solidFill>
                  <a:schemeClr val="tx1">
                    <a:lumMod val="65000"/>
                    <a:lumOff val="35000"/>
                  </a:schemeClr>
                </a:solidFill>
                <a:latin typeface="+mn-lt"/>
                <a:ea typeface="+mn-ea"/>
                <a:cs typeface="+mn-cs"/>
              </a:defRPr>
            </a:pPr>
            <a:r>
              <a:rPr lang="en-US" b="1" i="1"/>
              <a:t>MINUTE.BF</a:t>
            </a:r>
          </a:p>
        </c:rich>
      </c:tx>
      <c:overlay val="0"/>
      <c:spPr>
        <a:noFill/>
        <a:ln>
          <a:noFill/>
        </a:ln>
        <a:effectLst/>
      </c:spPr>
      <c:txPr>
        <a:bodyPr rot="0" spcFirstLastPara="1" vertOverflow="ellipsis" vert="horz" wrap="square" anchor="ctr" anchorCtr="1"/>
        <a:lstStyle/>
        <a:p>
          <a:pPr>
            <a:defRPr lang="fr-FR" sz="1400" b="1"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Feuil1!$B$41</c:f>
              <c:strCache>
                <c:ptCount val="1"/>
                <c:pt idx="0">
                  <c:v>MPP</c:v>
                </c:pt>
              </c:strCache>
            </c:strRef>
          </c:tx>
          <c:spPr>
            <a:solidFill>
              <a:schemeClr val="accent1"/>
            </a:solidFill>
            <a:ln>
              <a:noFill/>
            </a:ln>
            <a:effectLst/>
          </c:spPr>
          <c:invertIfNegative val="0"/>
          <c:cat>
            <c:strRef>
              <c:f>(Feuil1!$D$40,Feuil1!$F$40)</c:f>
              <c:strCache>
                <c:ptCount val="2"/>
                <c:pt idx="0">
                  <c:v>% NA</c:v>
                </c:pt>
                <c:pt idx="1">
                  <c:v>% NI</c:v>
                </c:pt>
              </c:strCache>
            </c:strRef>
          </c:cat>
          <c:val>
            <c:numRef>
              <c:f>(Feuil1!$D$41,Feuil1!$F$41)</c:f>
              <c:numCache>
                <c:formatCode>0.00%</c:formatCode>
                <c:ptCount val="2"/>
                <c:pt idx="0">
                  <c:v>0.24679999999999999</c:v>
                </c:pt>
                <c:pt idx="1">
                  <c:v>0.2727</c:v>
                </c:pt>
              </c:numCache>
            </c:numRef>
          </c:val>
          <c:extLst>
            <c:ext xmlns:c16="http://schemas.microsoft.com/office/drawing/2014/chart" uri="{C3380CC4-5D6E-409C-BE32-E72D297353CC}">
              <c16:uniqueId val="{00000000-7B96-4FDC-AA4F-1F7537BC9C0E}"/>
            </c:ext>
          </c:extLst>
        </c:ser>
        <c:ser>
          <c:idx val="1"/>
          <c:order val="1"/>
          <c:tx>
            <c:strRef>
              <c:f>Feuil1!$B$42</c:f>
              <c:strCache>
                <c:ptCount val="1"/>
                <c:pt idx="0">
                  <c:v>PPS</c:v>
                </c:pt>
              </c:strCache>
            </c:strRef>
          </c:tx>
          <c:spPr>
            <a:solidFill>
              <a:schemeClr val="accent2"/>
            </a:solidFill>
            <a:ln>
              <a:noFill/>
            </a:ln>
            <a:effectLst/>
          </c:spPr>
          <c:invertIfNegative val="0"/>
          <c:cat>
            <c:strRef>
              <c:f>(Feuil1!$D$40,Feuil1!$F$40)</c:f>
              <c:strCache>
                <c:ptCount val="2"/>
                <c:pt idx="0">
                  <c:v>% NA</c:v>
                </c:pt>
                <c:pt idx="1">
                  <c:v>% NI</c:v>
                </c:pt>
              </c:strCache>
            </c:strRef>
          </c:cat>
          <c:val>
            <c:numRef>
              <c:f>(Feuil1!$D$42,Feuil1!$F$42)</c:f>
              <c:numCache>
                <c:formatCode>0.00%</c:formatCode>
                <c:ptCount val="2"/>
                <c:pt idx="0">
                  <c:v>0.1203</c:v>
                </c:pt>
                <c:pt idx="1">
                  <c:v>0.17680000000000001</c:v>
                </c:pt>
              </c:numCache>
            </c:numRef>
          </c:val>
          <c:extLst>
            <c:ext xmlns:c16="http://schemas.microsoft.com/office/drawing/2014/chart" uri="{C3380CC4-5D6E-409C-BE32-E72D297353CC}">
              <c16:uniqueId val="{00000001-7B96-4FDC-AA4F-1F7537BC9C0E}"/>
            </c:ext>
          </c:extLst>
        </c:ser>
        <c:ser>
          <c:idx val="2"/>
          <c:order val="2"/>
          <c:tx>
            <c:strRef>
              <c:f>Feuil1!$B$43</c:f>
              <c:strCache>
                <c:ptCount val="1"/>
                <c:pt idx="0">
                  <c:v>CDP</c:v>
                </c:pt>
              </c:strCache>
            </c:strRef>
          </c:tx>
          <c:spPr>
            <a:solidFill>
              <a:schemeClr val="accent3"/>
            </a:solidFill>
            <a:ln>
              <a:noFill/>
            </a:ln>
            <a:effectLst/>
          </c:spPr>
          <c:invertIfNegative val="0"/>
          <c:cat>
            <c:strRef>
              <c:f>(Feuil1!$D$40,Feuil1!$F$40)</c:f>
              <c:strCache>
                <c:ptCount val="2"/>
                <c:pt idx="0">
                  <c:v>% NA</c:v>
                </c:pt>
                <c:pt idx="1">
                  <c:v>% NI</c:v>
                </c:pt>
              </c:strCache>
            </c:strRef>
          </c:cat>
          <c:val>
            <c:numRef>
              <c:f>(Feuil1!$D$43,Feuil1!$F$43)</c:f>
              <c:numCache>
                <c:formatCode>0.00%</c:formatCode>
                <c:ptCount val="2"/>
                <c:pt idx="0">
                  <c:v>0.1076</c:v>
                </c:pt>
                <c:pt idx="1">
                  <c:v>0.13</c:v>
                </c:pt>
              </c:numCache>
            </c:numRef>
          </c:val>
          <c:extLst>
            <c:ext xmlns:c16="http://schemas.microsoft.com/office/drawing/2014/chart" uri="{C3380CC4-5D6E-409C-BE32-E72D297353CC}">
              <c16:uniqueId val="{00000002-7B96-4FDC-AA4F-1F7537BC9C0E}"/>
            </c:ext>
          </c:extLst>
        </c:ser>
        <c:ser>
          <c:idx val="3"/>
          <c:order val="3"/>
          <c:tx>
            <c:strRef>
              <c:f>Feuil1!$B$44</c:f>
              <c:strCache>
                <c:ptCount val="1"/>
                <c:pt idx="0">
                  <c:v>UPC</c:v>
                </c:pt>
              </c:strCache>
            </c:strRef>
          </c:tx>
          <c:spPr>
            <a:solidFill>
              <a:schemeClr val="accent4"/>
            </a:solidFill>
            <a:ln>
              <a:noFill/>
            </a:ln>
            <a:effectLst/>
          </c:spPr>
          <c:invertIfNegative val="0"/>
          <c:cat>
            <c:strRef>
              <c:f>(Feuil1!$D$40,Feuil1!$F$40)</c:f>
              <c:strCache>
                <c:ptCount val="2"/>
                <c:pt idx="0">
                  <c:v>% NA</c:v>
                </c:pt>
                <c:pt idx="1">
                  <c:v>% NI</c:v>
                </c:pt>
              </c:strCache>
            </c:strRef>
          </c:cat>
          <c:val>
            <c:numRef>
              <c:f>(Feuil1!$D$44,Feuil1!$F$44)</c:f>
              <c:numCache>
                <c:formatCode>0.00%</c:formatCode>
                <c:ptCount val="2"/>
                <c:pt idx="0">
                  <c:v>8.8599999999999998E-2</c:v>
                </c:pt>
                <c:pt idx="1">
                  <c:v>8.5900000000000004E-2</c:v>
                </c:pt>
              </c:numCache>
            </c:numRef>
          </c:val>
          <c:extLst>
            <c:ext xmlns:c16="http://schemas.microsoft.com/office/drawing/2014/chart" uri="{C3380CC4-5D6E-409C-BE32-E72D297353CC}">
              <c16:uniqueId val="{00000003-7B96-4FDC-AA4F-1F7537BC9C0E}"/>
            </c:ext>
          </c:extLst>
        </c:ser>
        <c:ser>
          <c:idx val="4"/>
          <c:order val="4"/>
          <c:tx>
            <c:strRef>
              <c:f>Feuil1!$B$45</c:f>
              <c:strCache>
                <c:ptCount val="1"/>
                <c:pt idx="0">
                  <c:v>UNIR/MPS</c:v>
                </c:pt>
              </c:strCache>
            </c:strRef>
          </c:tx>
          <c:spPr>
            <a:solidFill>
              <a:schemeClr val="accent5"/>
            </a:solidFill>
            <a:ln>
              <a:noFill/>
            </a:ln>
            <a:effectLst/>
          </c:spPr>
          <c:invertIfNegative val="0"/>
          <c:cat>
            <c:strRef>
              <c:f>(Feuil1!$D$40,Feuil1!$F$40)</c:f>
              <c:strCache>
                <c:ptCount val="2"/>
                <c:pt idx="0">
                  <c:v>% NA</c:v>
                </c:pt>
                <c:pt idx="1">
                  <c:v>% NI</c:v>
                </c:pt>
              </c:strCache>
            </c:strRef>
          </c:cat>
          <c:val>
            <c:numRef>
              <c:f>(Feuil1!$D$45,Feuil1!$F$45)</c:f>
              <c:numCache>
                <c:formatCode>0.00%</c:formatCode>
                <c:ptCount val="2"/>
                <c:pt idx="0">
                  <c:v>8.8599999999999998E-2</c:v>
                </c:pt>
                <c:pt idx="1">
                  <c:v>8.0799999999999997E-2</c:v>
                </c:pt>
              </c:numCache>
            </c:numRef>
          </c:val>
          <c:extLst>
            <c:ext xmlns:c16="http://schemas.microsoft.com/office/drawing/2014/chart" uri="{C3380CC4-5D6E-409C-BE32-E72D297353CC}">
              <c16:uniqueId val="{00000004-7B96-4FDC-AA4F-1F7537BC9C0E}"/>
            </c:ext>
          </c:extLst>
        </c:ser>
        <c:ser>
          <c:idx val="5"/>
          <c:order val="5"/>
          <c:tx>
            <c:strRef>
              <c:f>Feuil1!$B$46</c:f>
              <c:strCache>
                <c:ptCount val="1"/>
                <c:pt idx="0">
                  <c:v>MRB</c:v>
                </c:pt>
              </c:strCache>
            </c:strRef>
          </c:tx>
          <c:spPr>
            <a:solidFill>
              <a:schemeClr val="accent6"/>
            </a:solidFill>
            <a:ln>
              <a:noFill/>
            </a:ln>
            <a:effectLst/>
          </c:spPr>
          <c:invertIfNegative val="0"/>
          <c:cat>
            <c:strRef>
              <c:f>(Feuil1!$D$40,Feuil1!$F$40)</c:f>
              <c:strCache>
                <c:ptCount val="2"/>
                <c:pt idx="0">
                  <c:v>% NA</c:v>
                </c:pt>
                <c:pt idx="1">
                  <c:v>% NI</c:v>
                </c:pt>
              </c:strCache>
            </c:strRef>
          </c:cat>
          <c:val>
            <c:numRef>
              <c:f>(Feuil1!$D$46,Feuil1!$F$46)</c:f>
              <c:numCache>
                <c:formatCode>0.00%</c:formatCode>
                <c:ptCount val="2"/>
                <c:pt idx="0">
                  <c:v>7.5899999999999995E-2</c:v>
                </c:pt>
                <c:pt idx="1">
                  <c:v>6.5699999999999995E-2</c:v>
                </c:pt>
              </c:numCache>
            </c:numRef>
          </c:val>
          <c:extLst>
            <c:ext xmlns:c16="http://schemas.microsoft.com/office/drawing/2014/chart" uri="{C3380CC4-5D6E-409C-BE32-E72D297353CC}">
              <c16:uniqueId val="{00000005-7B96-4FDC-AA4F-1F7537BC9C0E}"/>
            </c:ext>
          </c:extLst>
        </c:ser>
        <c:ser>
          <c:idx val="6"/>
          <c:order val="6"/>
          <c:tx>
            <c:strRef>
              <c:f>Feuil1!$B$47</c:f>
              <c:strCache>
                <c:ptCount val="1"/>
                <c:pt idx="0">
                  <c:v>FA</c:v>
                </c:pt>
              </c:strCache>
            </c:strRef>
          </c:tx>
          <c:spPr>
            <a:solidFill>
              <a:schemeClr val="accent1">
                <a:lumMod val="60000"/>
              </a:schemeClr>
            </a:solidFill>
            <a:ln>
              <a:noFill/>
            </a:ln>
            <a:effectLst/>
          </c:spPr>
          <c:invertIfNegative val="0"/>
          <c:cat>
            <c:strRef>
              <c:f>(Feuil1!$D$40,Feuil1!$F$40)</c:f>
              <c:strCache>
                <c:ptCount val="2"/>
                <c:pt idx="0">
                  <c:v>% NA</c:v>
                </c:pt>
                <c:pt idx="1">
                  <c:v>% NI</c:v>
                </c:pt>
              </c:strCache>
            </c:strRef>
          </c:cat>
          <c:val>
            <c:numRef>
              <c:f>(Feuil1!$D$47,Feuil1!$F$47)</c:f>
              <c:numCache>
                <c:formatCode>0.00%</c:formatCode>
                <c:ptCount val="2"/>
                <c:pt idx="0">
                  <c:v>5.7000000000000002E-2</c:v>
                </c:pt>
                <c:pt idx="1">
                  <c:v>5.0500000000000003E-2</c:v>
                </c:pt>
              </c:numCache>
            </c:numRef>
          </c:val>
          <c:extLst>
            <c:ext xmlns:c16="http://schemas.microsoft.com/office/drawing/2014/chart" uri="{C3380CC4-5D6E-409C-BE32-E72D297353CC}">
              <c16:uniqueId val="{00000006-7B96-4FDC-AA4F-1F7537BC9C0E}"/>
            </c:ext>
          </c:extLst>
        </c:ser>
        <c:ser>
          <c:idx val="7"/>
          <c:order val="7"/>
          <c:tx>
            <c:strRef>
              <c:f>Feuil1!$B$48</c:f>
              <c:strCache>
                <c:ptCount val="1"/>
                <c:pt idx="0">
                  <c:v>ADF/RDA</c:v>
                </c:pt>
              </c:strCache>
            </c:strRef>
          </c:tx>
          <c:spPr>
            <a:solidFill>
              <a:schemeClr val="accent2">
                <a:lumMod val="60000"/>
              </a:schemeClr>
            </a:solidFill>
            <a:ln>
              <a:noFill/>
            </a:ln>
            <a:effectLst/>
          </c:spPr>
          <c:invertIfNegative val="0"/>
          <c:cat>
            <c:strRef>
              <c:f>(Feuil1!$D$40,Feuil1!$F$40)</c:f>
              <c:strCache>
                <c:ptCount val="2"/>
                <c:pt idx="0">
                  <c:v>% NA</c:v>
                </c:pt>
                <c:pt idx="1">
                  <c:v>% NI</c:v>
                </c:pt>
              </c:strCache>
            </c:strRef>
          </c:cat>
          <c:val>
            <c:numRef>
              <c:f>(Feuil1!$D$48,Feuil1!$F$48)</c:f>
              <c:numCache>
                <c:formatCode>0.00%</c:formatCode>
                <c:ptCount val="2"/>
                <c:pt idx="0">
                  <c:v>3.7999999999999999E-2</c:v>
                </c:pt>
                <c:pt idx="1">
                  <c:v>4.0399999999999998E-2</c:v>
                </c:pt>
              </c:numCache>
            </c:numRef>
          </c:val>
          <c:extLst>
            <c:ext xmlns:c16="http://schemas.microsoft.com/office/drawing/2014/chart" uri="{C3380CC4-5D6E-409C-BE32-E72D297353CC}">
              <c16:uniqueId val="{00000007-7B96-4FDC-AA4F-1F7537BC9C0E}"/>
            </c:ext>
          </c:extLst>
        </c:ser>
        <c:ser>
          <c:idx val="8"/>
          <c:order val="8"/>
          <c:tx>
            <c:strRef>
              <c:f>Feuil1!$B$49</c:f>
              <c:strCache>
                <c:ptCount val="1"/>
                <c:pt idx="0">
                  <c:v>NTD</c:v>
                </c:pt>
              </c:strCache>
            </c:strRef>
          </c:tx>
          <c:spPr>
            <a:solidFill>
              <a:schemeClr val="accent3">
                <a:lumMod val="60000"/>
              </a:schemeClr>
            </a:solidFill>
            <a:ln>
              <a:noFill/>
            </a:ln>
            <a:effectLst/>
          </c:spPr>
          <c:invertIfNegative val="0"/>
          <c:cat>
            <c:strRef>
              <c:f>(Feuil1!$D$40,Feuil1!$F$40)</c:f>
              <c:strCache>
                <c:ptCount val="2"/>
                <c:pt idx="0">
                  <c:v>% NA</c:v>
                </c:pt>
                <c:pt idx="1">
                  <c:v>% NI</c:v>
                </c:pt>
              </c:strCache>
            </c:strRef>
          </c:cat>
          <c:val>
            <c:numRef>
              <c:f>(Feuil1!$D$49,Feuil1!$F$49)</c:f>
              <c:numCache>
                <c:formatCode>0.00%</c:formatCode>
                <c:ptCount val="2"/>
                <c:pt idx="0">
                  <c:v>3.1600000000000003E-2</c:v>
                </c:pt>
                <c:pt idx="1">
                  <c:v>2.53E-2</c:v>
                </c:pt>
              </c:numCache>
            </c:numRef>
          </c:val>
          <c:extLst>
            <c:ext xmlns:c16="http://schemas.microsoft.com/office/drawing/2014/chart" uri="{C3380CC4-5D6E-409C-BE32-E72D297353CC}">
              <c16:uniqueId val="{00000008-7B96-4FDC-AA4F-1F7537BC9C0E}"/>
            </c:ext>
          </c:extLst>
        </c:ser>
        <c:ser>
          <c:idx val="9"/>
          <c:order val="9"/>
          <c:tx>
            <c:strRef>
              <c:f>Feuil1!$B$50</c:f>
              <c:strCache>
                <c:ptCount val="1"/>
                <c:pt idx="0">
                  <c:v>PDP/PS</c:v>
                </c:pt>
              </c:strCache>
            </c:strRef>
          </c:tx>
          <c:spPr>
            <a:solidFill>
              <a:schemeClr val="accent4">
                <a:lumMod val="60000"/>
              </a:schemeClr>
            </a:solidFill>
            <a:ln>
              <a:noFill/>
            </a:ln>
            <a:effectLst/>
          </c:spPr>
          <c:invertIfNegative val="0"/>
          <c:cat>
            <c:strRef>
              <c:f>(Feuil1!$D$40,Feuil1!$F$40)</c:f>
              <c:strCache>
                <c:ptCount val="2"/>
                <c:pt idx="0">
                  <c:v>% NA</c:v>
                </c:pt>
                <c:pt idx="1">
                  <c:v>% NI</c:v>
                </c:pt>
              </c:strCache>
            </c:strRef>
          </c:cat>
          <c:val>
            <c:numRef>
              <c:f>(Feuil1!$D$50,Feuil1!$F$50)</c:f>
              <c:numCache>
                <c:formatCode>0.00%</c:formatCode>
                <c:ptCount val="2"/>
                <c:pt idx="0">
                  <c:v>1.9E-2</c:v>
                </c:pt>
                <c:pt idx="1">
                  <c:v>2.0199999999999999E-2</c:v>
                </c:pt>
              </c:numCache>
            </c:numRef>
          </c:val>
          <c:extLst>
            <c:ext xmlns:c16="http://schemas.microsoft.com/office/drawing/2014/chart" uri="{C3380CC4-5D6E-409C-BE32-E72D297353CC}">
              <c16:uniqueId val="{00000009-7B96-4FDC-AA4F-1F7537BC9C0E}"/>
            </c:ext>
          </c:extLst>
        </c:ser>
        <c:dLbls>
          <c:showLegendKey val="0"/>
          <c:showVal val="0"/>
          <c:showCatName val="0"/>
          <c:showSerName val="0"/>
          <c:showPercent val="0"/>
          <c:showBubbleSize val="0"/>
        </c:dLbls>
        <c:gapWidth val="219"/>
        <c:overlap val="-27"/>
        <c:axId val="1668952351"/>
        <c:axId val="1668951103"/>
      </c:barChart>
      <c:catAx>
        <c:axId val="16689523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1668951103"/>
        <c:crosses val="autoZero"/>
        <c:auto val="1"/>
        <c:lblAlgn val="ctr"/>
        <c:lblOffset val="100"/>
        <c:noMultiLvlLbl val="0"/>
      </c:catAx>
      <c:valAx>
        <c:axId val="1668951103"/>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166895235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fr-FR"/>
      </a:pPr>
      <a:endParaRPr lang="fr-F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fr-FR" sz="1400" b="1" i="0" u="none" strike="noStrike" kern="1200" spc="0" baseline="0">
                <a:solidFill>
                  <a:srgbClr val="0070C0"/>
                </a:solidFill>
                <a:latin typeface="+mn-lt"/>
                <a:ea typeface="+mn-ea"/>
                <a:cs typeface="+mn-cs"/>
              </a:defRPr>
            </a:pPr>
            <a:r>
              <a:rPr lang="en-US" b="1">
                <a:solidFill>
                  <a:sysClr val="windowText" lastClr="000000"/>
                </a:solidFill>
              </a:rPr>
              <a:t>Actualité.Bf</a:t>
            </a:r>
          </a:p>
        </c:rich>
      </c:tx>
      <c:overlay val="0"/>
      <c:spPr>
        <a:noFill/>
        <a:ln>
          <a:noFill/>
        </a:ln>
        <a:effectLst/>
      </c:spPr>
      <c:txPr>
        <a:bodyPr rot="0" spcFirstLastPara="1" vertOverflow="ellipsis" vert="horz" wrap="square" anchor="ctr" anchorCtr="1"/>
        <a:lstStyle/>
        <a:p>
          <a:pPr>
            <a:defRPr lang="fr-FR" sz="1400" b="1" i="0" u="none" strike="noStrike" kern="1200" spc="0" baseline="0">
              <a:solidFill>
                <a:srgbClr val="0070C0"/>
              </a:solidFill>
              <a:latin typeface="+mn-lt"/>
              <a:ea typeface="+mn-ea"/>
              <a:cs typeface="+mn-cs"/>
            </a:defRPr>
          </a:pPr>
          <a:endParaRPr lang="fr-FR"/>
        </a:p>
      </c:txPr>
    </c:title>
    <c:autoTitleDeleted val="0"/>
    <c:plotArea>
      <c:layout/>
      <c:barChart>
        <c:barDir val="col"/>
        <c:grouping val="clustered"/>
        <c:varyColors val="0"/>
        <c:ser>
          <c:idx val="0"/>
          <c:order val="0"/>
          <c:tx>
            <c:strRef>
              <c:f>Feuil1!$B$9</c:f>
              <c:strCache>
                <c:ptCount val="1"/>
                <c:pt idx="0">
                  <c:v>CDP</c:v>
                </c:pt>
              </c:strCache>
            </c:strRef>
          </c:tx>
          <c:spPr>
            <a:solidFill>
              <a:schemeClr val="accent1"/>
            </a:solidFill>
            <a:ln>
              <a:noFill/>
            </a:ln>
            <a:effectLst/>
          </c:spPr>
          <c:invertIfNegative val="0"/>
          <c:cat>
            <c:strRef>
              <c:f>(Feuil1!$D$8,Feuil1!$F$8)</c:f>
              <c:strCache>
                <c:ptCount val="2"/>
                <c:pt idx="0">
                  <c:v>% NA</c:v>
                </c:pt>
                <c:pt idx="1">
                  <c:v>% NI</c:v>
                </c:pt>
              </c:strCache>
            </c:strRef>
          </c:cat>
          <c:val>
            <c:numRef>
              <c:f>(Feuil1!$D$9,Feuil1!$F$9)</c:f>
              <c:numCache>
                <c:formatCode>0.00%</c:formatCode>
                <c:ptCount val="2"/>
                <c:pt idx="0">
                  <c:v>0.2389</c:v>
                </c:pt>
                <c:pt idx="1">
                  <c:v>0.2429</c:v>
                </c:pt>
              </c:numCache>
            </c:numRef>
          </c:val>
          <c:extLst>
            <c:ext xmlns:c16="http://schemas.microsoft.com/office/drawing/2014/chart" uri="{C3380CC4-5D6E-409C-BE32-E72D297353CC}">
              <c16:uniqueId val="{00000000-5DCA-4F0B-8009-AFDFB8F1AD76}"/>
            </c:ext>
          </c:extLst>
        </c:ser>
        <c:ser>
          <c:idx val="1"/>
          <c:order val="1"/>
          <c:tx>
            <c:strRef>
              <c:f>Feuil1!$B$10</c:f>
              <c:strCache>
                <c:ptCount val="1"/>
                <c:pt idx="0">
                  <c:v>MPP</c:v>
                </c:pt>
              </c:strCache>
            </c:strRef>
          </c:tx>
          <c:spPr>
            <a:solidFill>
              <a:schemeClr val="accent2"/>
            </a:solidFill>
            <a:ln>
              <a:noFill/>
            </a:ln>
            <a:effectLst/>
          </c:spPr>
          <c:invertIfNegative val="0"/>
          <c:cat>
            <c:strRef>
              <c:f>(Feuil1!$D$8,Feuil1!$F$8)</c:f>
              <c:strCache>
                <c:ptCount val="2"/>
                <c:pt idx="0">
                  <c:v>% NA</c:v>
                </c:pt>
                <c:pt idx="1">
                  <c:v>% NI</c:v>
                </c:pt>
              </c:strCache>
            </c:strRef>
          </c:cat>
          <c:val>
            <c:numRef>
              <c:f>(Feuil1!$D$10,Feuil1!$F$10)</c:f>
              <c:numCache>
                <c:formatCode>0.00%</c:formatCode>
                <c:ptCount val="2"/>
                <c:pt idx="0">
                  <c:v>0.22120000000000001</c:v>
                </c:pt>
                <c:pt idx="1">
                  <c:v>0.34460000000000002</c:v>
                </c:pt>
              </c:numCache>
            </c:numRef>
          </c:val>
          <c:extLst>
            <c:ext xmlns:c16="http://schemas.microsoft.com/office/drawing/2014/chart" uri="{C3380CC4-5D6E-409C-BE32-E72D297353CC}">
              <c16:uniqueId val="{00000001-5DCA-4F0B-8009-AFDFB8F1AD76}"/>
            </c:ext>
          </c:extLst>
        </c:ser>
        <c:ser>
          <c:idx val="2"/>
          <c:order val="2"/>
          <c:tx>
            <c:strRef>
              <c:f>Feuil1!$B$11</c:f>
              <c:strCache>
                <c:ptCount val="1"/>
                <c:pt idx="0">
                  <c:v>UNIR/MPS</c:v>
                </c:pt>
              </c:strCache>
            </c:strRef>
          </c:tx>
          <c:spPr>
            <a:solidFill>
              <a:schemeClr val="accent3"/>
            </a:solidFill>
            <a:ln>
              <a:noFill/>
            </a:ln>
            <a:effectLst/>
          </c:spPr>
          <c:invertIfNegative val="0"/>
          <c:cat>
            <c:strRef>
              <c:f>(Feuil1!$D$8,Feuil1!$F$8)</c:f>
              <c:strCache>
                <c:ptCount val="2"/>
                <c:pt idx="0">
                  <c:v>% NA</c:v>
                </c:pt>
                <c:pt idx="1">
                  <c:v>% NI</c:v>
                </c:pt>
              </c:strCache>
            </c:strRef>
          </c:cat>
          <c:val>
            <c:numRef>
              <c:f>(Feuil1!$D$11,Feuil1!$F$11)</c:f>
              <c:numCache>
                <c:formatCode>0.00%</c:formatCode>
                <c:ptCount val="2"/>
                <c:pt idx="0">
                  <c:v>0.1062</c:v>
                </c:pt>
                <c:pt idx="1">
                  <c:v>7.3400000000000007E-2</c:v>
                </c:pt>
              </c:numCache>
            </c:numRef>
          </c:val>
          <c:extLst>
            <c:ext xmlns:c16="http://schemas.microsoft.com/office/drawing/2014/chart" uri="{C3380CC4-5D6E-409C-BE32-E72D297353CC}">
              <c16:uniqueId val="{00000002-5DCA-4F0B-8009-AFDFB8F1AD76}"/>
            </c:ext>
          </c:extLst>
        </c:ser>
        <c:ser>
          <c:idx val="3"/>
          <c:order val="3"/>
          <c:tx>
            <c:strRef>
              <c:f>Feuil1!$B$12</c:f>
              <c:strCache>
                <c:ptCount val="1"/>
                <c:pt idx="0">
                  <c:v>UPC</c:v>
                </c:pt>
              </c:strCache>
            </c:strRef>
          </c:tx>
          <c:spPr>
            <a:solidFill>
              <a:schemeClr val="accent4"/>
            </a:solidFill>
            <a:ln>
              <a:noFill/>
            </a:ln>
            <a:effectLst/>
          </c:spPr>
          <c:invertIfNegative val="0"/>
          <c:cat>
            <c:strRef>
              <c:f>(Feuil1!$D$8,Feuil1!$F$8)</c:f>
              <c:strCache>
                <c:ptCount val="2"/>
                <c:pt idx="0">
                  <c:v>% NA</c:v>
                </c:pt>
                <c:pt idx="1">
                  <c:v>% NI</c:v>
                </c:pt>
              </c:strCache>
            </c:strRef>
          </c:cat>
          <c:val>
            <c:numRef>
              <c:f>(Feuil1!$D$12,Feuil1!$F$12)</c:f>
              <c:numCache>
                <c:formatCode>0.00%</c:formatCode>
                <c:ptCount val="2"/>
                <c:pt idx="0">
                  <c:v>0.1062</c:v>
                </c:pt>
                <c:pt idx="1">
                  <c:v>7.3400000000000007E-2</c:v>
                </c:pt>
              </c:numCache>
            </c:numRef>
          </c:val>
          <c:extLst>
            <c:ext xmlns:c16="http://schemas.microsoft.com/office/drawing/2014/chart" uri="{C3380CC4-5D6E-409C-BE32-E72D297353CC}">
              <c16:uniqueId val="{00000003-5DCA-4F0B-8009-AFDFB8F1AD76}"/>
            </c:ext>
          </c:extLst>
        </c:ser>
        <c:ser>
          <c:idx val="4"/>
          <c:order val="4"/>
          <c:tx>
            <c:strRef>
              <c:f>Feuil1!$B$13</c:f>
              <c:strCache>
                <c:ptCount val="1"/>
                <c:pt idx="0">
                  <c:v>PPS</c:v>
                </c:pt>
              </c:strCache>
            </c:strRef>
          </c:tx>
          <c:spPr>
            <a:solidFill>
              <a:schemeClr val="accent5"/>
            </a:solidFill>
            <a:ln>
              <a:noFill/>
            </a:ln>
            <a:effectLst/>
          </c:spPr>
          <c:invertIfNegative val="0"/>
          <c:cat>
            <c:strRef>
              <c:f>(Feuil1!$D$8,Feuil1!$F$8)</c:f>
              <c:strCache>
                <c:ptCount val="2"/>
                <c:pt idx="0">
                  <c:v>% NA</c:v>
                </c:pt>
                <c:pt idx="1">
                  <c:v>% NI</c:v>
                </c:pt>
              </c:strCache>
            </c:strRef>
          </c:cat>
          <c:val>
            <c:numRef>
              <c:f>(Feuil1!$D$13,Feuil1!$F$13)</c:f>
              <c:numCache>
                <c:formatCode>0.00%</c:formatCode>
                <c:ptCount val="2"/>
                <c:pt idx="0">
                  <c:v>6.1899999999999997E-2</c:v>
                </c:pt>
                <c:pt idx="1">
                  <c:v>5.6500000000000002E-2</c:v>
                </c:pt>
              </c:numCache>
            </c:numRef>
          </c:val>
          <c:extLst>
            <c:ext xmlns:c16="http://schemas.microsoft.com/office/drawing/2014/chart" uri="{C3380CC4-5D6E-409C-BE32-E72D297353CC}">
              <c16:uniqueId val="{00000004-5DCA-4F0B-8009-AFDFB8F1AD76}"/>
            </c:ext>
          </c:extLst>
        </c:ser>
        <c:ser>
          <c:idx val="5"/>
          <c:order val="5"/>
          <c:tx>
            <c:strRef>
              <c:f>Feuil1!$B$14</c:f>
              <c:strCache>
                <c:ptCount val="1"/>
                <c:pt idx="0">
                  <c:v>FA</c:v>
                </c:pt>
              </c:strCache>
            </c:strRef>
          </c:tx>
          <c:spPr>
            <a:solidFill>
              <a:schemeClr val="accent6"/>
            </a:solidFill>
            <a:ln>
              <a:noFill/>
            </a:ln>
            <a:effectLst/>
          </c:spPr>
          <c:invertIfNegative val="0"/>
          <c:cat>
            <c:strRef>
              <c:f>(Feuil1!$D$8,Feuil1!$F$8)</c:f>
              <c:strCache>
                <c:ptCount val="2"/>
                <c:pt idx="0">
                  <c:v>% NA</c:v>
                </c:pt>
                <c:pt idx="1">
                  <c:v>% NI</c:v>
                </c:pt>
              </c:strCache>
            </c:strRef>
          </c:cat>
          <c:val>
            <c:numRef>
              <c:f>(Feuil1!$D$14,Feuil1!$F$14)</c:f>
              <c:numCache>
                <c:formatCode>0.00%</c:formatCode>
                <c:ptCount val="2"/>
                <c:pt idx="0">
                  <c:v>4.4200000000000003E-2</c:v>
                </c:pt>
                <c:pt idx="1">
                  <c:v>3.39E-2</c:v>
                </c:pt>
              </c:numCache>
            </c:numRef>
          </c:val>
          <c:extLst>
            <c:ext xmlns:c16="http://schemas.microsoft.com/office/drawing/2014/chart" uri="{C3380CC4-5D6E-409C-BE32-E72D297353CC}">
              <c16:uniqueId val="{00000005-5DCA-4F0B-8009-AFDFB8F1AD76}"/>
            </c:ext>
          </c:extLst>
        </c:ser>
        <c:ser>
          <c:idx val="6"/>
          <c:order val="6"/>
          <c:tx>
            <c:strRef>
              <c:f>Feuil1!$B$15</c:f>
              <c:strCache>
                <c:ptCount val="1"/>
                <c:pt idx="0">
                  <c:v>MRB</c:v>
                </c:pt>
              </c:strCache>
            </c:strRef>
          </c:tx>
          <c:spPr>
            <a:solidFill>
              <a:schemeClr val="accent1">
                <a:lumMod val="60000"/>
              </a:schemeClr>
            </a:solidFill>
            <a:ln>
              <a:noFill/>
            </a:ln>
            <a:effectLst/>
          </c:spPr>
          <c:invertIfNegative val="0"/>
          <c:cat>
            <c:strRef>
              <c:f>(Feuil1!$D$8,Feuil1!$F$8)</c:f>
              <c:strCache>
                <c:ptCount val="2"/>
                <c:pt idx="0">
                  <c:v>% NA</c:v>
                </c:pt>
                <c:pt idx="1">
                  <c:v>% NI</c:v>
                </c:pt>
              </c:strCache>
            </c:strRef>
          </c:cat>
          <c:val>
            <c:numRef>
              <c:f>(Feuil1!$D$15,Feuil1!$F$15)</c:f>
              <c:numCache>
                <c:formatCode>0.00%</c:formatCode>
                <c:ptCount val="2"/>
                <c:pt idx="0">
                  <c:v>4.4200000000000003E-2</c:v>
                </c:pt>
                <c:pt idx="1">
                  <c:v>3.39E-2</c:v>
                </c:pt>
              </c:numCache>
            </c:numRef>
          </c:val>
          <c:extLst>
            <c:ext xmlns:c16="http://schemas.microsoft.com/office/drawing/2014/chart" uri="{C3380CC4-5D6E-409C-BE32-E72D297353CC}">
              <c16:uniqueId val="{00000006-5DCA-4F0B-8009-AFDFB8F1AD76}"/>
            </c:ext>
          </c:extLst>
        </c:ser>
        <c:ser>
          <c:idx val="7"/>
          <c:order val="7"/>
          <c:tx>
            <c:strRef>
              <c:f>Feuil1!$B$16</c:f>
              <c:strCache>
                <c:ptCount val="1"/>
                <c:pt idx="0">
                  <c:v>ADF/RDA</c:v>
                </c:pt>
              </c:strCache>
            </c:strRef>
          </c:tx>
          <c:spPr>
            <a:solidFill>
              <a:schemeClr val="accent2">
                <a:lumMod val="60000"/>
              </a:schemeClr>
            </a:solidFill>
            <a:ln>
              <a:noFill/>
            </a:ln>
            <a:effectLst/>
          </c:spPr>
          <c:invertIfNegative val="0"/>
          <c:cat>
            <c:strRef>
              <c:f>(Feuil1!$D$8,Feuil1!$F$8)</c:f>
              <c:strCache>
                <c:ptCount val="2"/>
                <c:pt idx="0">
                  <c:v>% NA</c:v>
                </c:pt>
                <c:pt idx="1">
                  <c:v>% NI</c:v>
                </c:pt>
              </c:strCache>
            </c:strRef>
          </c:cat>
          <c:val>
            <c:numRef>
              <c:f>(Feuil1!$D$16,Feuil1!$F$16)</c:f>
              <c:numCache>
                <c:formatCode>0.00%</c:formatCode>
                <c:ptCount val="2"/>
                <c:pt idx="0">
                  <c:v>2.6499999999999999E-2</c:v>
                </c:pt>
                <c:pt idx="1">
                  <c:v>1.6899999999999998E-2</c:v>
                </c:pt>
              </c:numCache>
            </c:numRef>
          </c:val>
          <c:extLst>
            <c:ext xmlns:c16="http://schemas.microsoft.com/office/drawing/2014/chart" uri="{C3380CC4-5D6E-409C-BE32-E72D297353CC}">
              <c16:uniqueId val="{00000007-5DCA-4F0B-8009-AFDFB8F1AD76}"/>
            </c:ext>
          </c:extLst>
        </c:ser>
        <c:ser>
          <c:idx val="8"/>
          <c:order val="8"/>
          <c:tx>
            <c:strRef>
              <c:f>Feuil1!$B$17</c:f>
              <c:strCache>
                <c:ptCount val="1"/>
                <c:pt idx="0">
                  <c:v>LES DEMOC</c:v>
                </c:pt>
              </c:strCache>
            </c:strRef>
          </c:tx>
          <c:spPr>
            <a:solidFill>
              <a:schemeClr val="accent3">
                <a:lumMod val="60000"/>
              </a:schemeClr>
            </a:solidFill>
            <a:ln>
              <a:noFill/>
            </a:ln>
            <a:effectLst/>
          </c:spPr>
          <c:invertIfNegative val="0"/>
          <c:cat>
            <c:strRef>
              <c:f>(Feuil1!$D$8,Feuil1!$F$8)</c:f>
              <c:strCache>
                <c:ptCount val="2"/>
                <c:pt idx="0">
                  <c:v>% NA</c:v>
                </c:pt>
                <c:pt idx="1">
                  <c:v>% NI</c:v>
                </c:pt>
              </c:strCache>
            </c:strRef>
          </c:cat>
          <c:val>
            <c:numRef>
              <c:f>(Feuil1!$D$17,Feuil1!$F$17)</c:f>
              <c:numCache>
                <c:formatCode>0.00%</c:formatCode>
                <c:ptCount val="2"/>
                <c:pt idx="0">
                  <c:v>1.77E-2</c:v>
                </c:pt>
                <c:pt idx="1">
                  <c:v>2.8199999999999999E-2</c:v>
                </c:pt>
              </c:numCache>
            </c:numRef>
          </c:val>
          <c:extLst>
            <c:ext xmlns:c16="http://schemas.microsoft.com/office/drawing/2014/chart" uri="{C3380CC4-5D6E-409C-BE32-E72D297353CC}">
              <c16:uniqueId val="{00000008-5DCA-4F0B-8009-AFDFB8F1AD76}"/>
            </c:ext>
          </c:extLst>
        </c:ser>
        <c:ser>
          <c:idx val="9"/>
          <c:order val="9"/>
          <c:tx>
            <c:strRef>
              <c:f>Feuil1!$B$18</c:f>
              <c:strCache>
                <c:ptCount val="1"/>
                <c:pt idx="0">
                  <c:v>MCR</c:v>
                </c:pt>
              </c:strCache>
            </c:strRef>
          </c:tx>
          <c:spPr>
            <a:solidFill>
              <a:schemeClr val="accent4">
                <a:lumMod val="60000"/>
              </a:schemeClr>
            </a:solidFill>
            <a:ln>
              <a:noFill/>
            </a:ln>
            <a:effectLst/>
          </c:spPr>
          <c:invertIfNegative val="0"/>
          <c:cat>
            <c:strRef>
              <c:f>(Feuil1!$D$8,Feuil1!$F$8)</c:f>
              <c:strCache>
                <c:ptCount val="2"/>
                <c:pt idx="0">
                  <c:v>% NA</c:v>
                </c:pt>
                <c:pt idx="1">
                  <c:v>% NI</c:v>
                </c:pt>
              </c:strCache>
            </c:strRef>
          </c:cat>
          <c:val>
            <c:numRef>
              <c:f>(Feuil1!$D$18,Feuil1!$F$18)</c:f>
              <c:numCache>
                <c:formatCode>0.00%</c:formatCode>
                <c:ptCount val="2"/>
                <c:pt idx="0">
                  <c:v>1.77E-2</c:v>
                </c:pt>
                <c:pt idx="1">
                  <c:v>1.1299999999999999E-2</c:v>
                </c:pt>
              </c:numCache>
            </c:numRef>
          </c:val>
          <c:extLst>
            <c:ext xmlns:c16="http://schemas.microsoft.com/office/drawing/2014/chart" uri="{C3380CC4-5D6E-409C-BE32-E72D297353CC}">
              <c16:uniqueId val="{00000009-5DCA-4F0B-8009-AFDFB8F1AD76}"/>
            </c:ext>
          </c:extLst>
        </c:ser>
        <c:dLbls>
          <c:showLegendKey val="0"/>
          <c:showVal val="0"/>
          <c:showCatName val="0"/>
          <c:showSerName val="0"/>
          <c:showPercent val="0"/>
          <c:showBubbleSize val="0"/>
        </c:dLbls>
        <c:gapWidth val="219"/>
        <c:overlap val="-27"/>
        <c:axId val="1503095567"/>
        <c:axId val="1503095983"/>
      </c:barChart>
      <c:catAx>
        <c:axId val="15030955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1503095983"/>
        <c:crosses val="autoZero"/>
        <c:auto val="1"/>
        <c:lblAlgn val="ctr"/>
        <c:lblOffset val="100"/>
        <c:noMultiLvlLbl val="0"/>
      </c:catAx>
      <c:valAx>
        <c:axId val="1503095983"/>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1503095567"/>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fr-FR"/>
      </a:pPr>
      <a:endParaRPr lang="fr-F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fr-FR" sz="1400" b="1" i="0" u="none" strike="noStrike" kern="1200" spc="0" baseline="0">
                <a:solidFill>
                  <a:srgbClr val="0070C0"/>
                </a:solidFill>
                <a:latin typeface="+mn-lt"/>
                <a:ea typeface="+mn-ea"/>
                <a:cs typeface="+mn-cs"/>
              </a:defRPr>
            </a:pPr>
            <a:r>
              <a:rPr lang="fr-FR" b="1">
                <a:solidFill>
                  <a:sysClr val="windowText" lastClr="000000"/>
                </a:solidFill>
              </a:rPr>
              <a:t>Infoh 24</a:t>
            </a:r>
          </a:p>
        </c:rich>
      </c:tx>
      <c:overlay val="0"/>
      <c:spPr>
        <a:noFill/>
        <a:ln>
          <a:noFill/>
        </a:ln>
        <a:effectLst/>
      </c:spPr>
      <c:txPr>
        <a:bodyPr rot="0" spcFirstLastPara="1" vertOverflow="ellipsis" vert="horz" wrap="square" anchor="ctr" anchorCtr="1"/>
        <a:lstStyle/>
        <a:p>
          <a:pPr>
            <a:defRPr lang="fr-FR" sz="1400" b="1" i="0" u="none" strike="noStrike" kern="1200" spc="0" baseline="0">
              <a:solidFill>
                <a:srgbClr val="0070C0"/>
              </a:solidFill>
              <a:latin typeface="+mn-lt"/>
              <a:ea typeface="+mn-ea"/>
              <a:cs typeface="+mn-cs"/>
            </a:defRPr>
          </a:pPr>
          <a:endParaRPr lang="fr-FR"/>
        </a:p>
      </c:txPr>
    </c:title>
    <c:autoTitleDeleted val="0"/>
    <c:plotArea>
      <c:layout/>
      <c:barChart>
        <c:barDir val="col"/>
        <c:grouping val="clustered"/>
        <c:varyColors val="0"/>
        <c:ser>
          <c:idx val="0"/>
          <c:order val="0"/>
          <c:tx>
            <c:strRef>
              <c:f>Feuil1!$B$57</c:f>
              <c:strCache>
                <c:ptCount val="1"/>
                <c:pt idx="0">
                  <c:v>MPP</c:v>
                </c:pt>
              </c:strCache>
            </c:strRef>
          </c:tx>
          <c:spPr>
            <a:solidFill>
              <a:schemeClr val="accent1"/>
            </a:solidFill>
            <a:ln>
              <a:noFill/>
            </a:ln>
            <a:effectLst/>
          </c:spPr>
          <c:invertIfNegative val="0"/>
          <c:cat>
            <c:strRef>
              <c:f>(Feuil1!$D$56,Feuil1!$F$56)</c:f>
              <c:strCache>
                <c:ptCount val="2"/>
                <c:pt idx="0">
                  <c:v>% NA</c:v>
                </c:pt>
                <c:pt idx="1">
                  <c:v>% NI</c:v>
                </c:pt>
              </c:strCache>
            </c:strRef>
          </c:cat>
          <c:val>
            <c:numRef>
              <c:f>(Feuil1!$D$57,Feuil1!$F$57)</c:f>
              <c:numCache>
                <c:formatCode>0.00%</c:formatCode>
                <c:ptCount val="2"/>
                <c:pt idx="0">
                  <c:v>0.2424</c:v>
                </c:pt>
                <c:pt idx="1">
                  <c:v>0.2581</c:v>
                </c:pt>
              </c:numCache>
            </c:numRef>
          </c:val>
          <c:extLst>
            <c:ext xmlns:c16="http://schemas.microsoft.com/office/drawing/2014/chart" uri="{C3380CC4-5D6E-409C-BE32-E72D297353CC}">
              <c16:uniqueId val="{00000000-4F85-490E-AD75-5F300DC24D6C}"/>
            </c:ext>
          </c:extLst>
        </c:ser>
        <c:ser>
          <c:idx val="1"/>
          <c:order val="1"/>
          <c:tx>
            <c:strRef>
              <c:f>Feuil1!$B$58</c:f>
              <c:strCache>
                <c:ptCount val="1"/>
                <c:pt idx="0">
                  <c:v>UNIR/MPS</c:v>
                </c:pt>
              </c:strCache>
            </c:strRef>
          </c:tx>
          <c:spPr>
            <a:solidFill>
              <a:schemeClr val="accent2"/>
            </a:solidFill>
            <a:ln>
              <a:noFill/>
            </a:ln>
            <a:effectLst/>
          </c:spPr>
          <c:invertIfNegative val="0"/>
          <c:cat>
            <c:strRef>
              <c:f>(Feuil1!$D$56,Feuil1!$F$56)</c:f>
              <c:strCache>
                <c:ptCount val="2"/>
                <c:pt idx="0">
                  <c:v>% NA</c:v>
                </c:pt>
                <c:pt idx="1">
                  <c:v>% NI</c:v>
                </c:pt>
              </c:strCache>
            </c:strRef>
          </c:cat>
          <c:val>
            <c:numRef>
              <c:f>(Feuil1!$D$58,Feuil1!$F$58)</c:f>
              <c:numCache>
                <c:formatCode>0.00%</c:formatCode>
                <c:ptCount val="2"/>
                <c:pt idx="0">
                  <c:v>0.21210000000000001</c:v>
                </c:pt>
                <c:pt idx="1">
                  <c:v>0.129</c:v>
                </c:pt>
              </c:numCache>
            </c:numRef>
          </c:val>
          <c:extLst>
            <c:ext xmlns:c16="http://schemas.microsoft.com/office/drawing/2014/chart" uri="{C3380CC4-5D6E-409C-BE32-E72D297353CC}">
              <c16:uniqueId val="{00000001-4F85-490E-AD75-5F300DC24D6C}"/>
            </c:ext>
          </c:extLst>
        </c:ser>
        <c:ser>
          <c:idx val="2"/>
          <c:order val="2"/>
          <c:tx>
            <c:strRef>
              <c:f>Feuil1!$B$59</c:f>
              <c:strCache>
                <c:ptCount val="1"/>
                <c:pt idx="0">
                  <c:v>CDP</c:v>
                </c:pt>
              </c:strCache>
            </c:strRef>
          </c:tx>
          <c:spPr>
            <a:solidFill>
              <a:schemeClr val="accent3"/>
            </a:solidFill>
            <a:ln>
              <a:noFill/>
            </a:ln>
            <a:effectLst/>
          </c:spPr>
          <c:invertIfNegative val="0"/>
          <c:cat>
            <c:strRef>
              <c:f>(Feuil1!$D$56,Feuil1!$F$56)</c:f>
              <c:strCache>
                <c:ptCount val="2"/>
                <c:pt idx="0">
                  <c:v>% NA</c:v>
                </c:pt>
                <c:pt idx="1">
                  <c:v>% NI</c:v>
                </c:pt>
              </c:strCache>
            </c:strRef>
          </c:cat>
          <c:val>
            <c:numRef>
              <c:f>(Feuil1!$D$59,Feuil1!$F$59)</c:f>
              <c:numCache>
                <c:formatCode>0.00%</c:formatCode>
                <c:ptCount val="2"/>
                <c:pt idx="0">
                  <c:v>9.0899999999999995E-2</c:v>
                </c:pt>
                <c:pt idx="1">
                  <c:v>0.1129</c:v>
                </c:pt>
              </c:numCache>
            </c:numRef>
          </c:val>
          <c:extLst>
            <c:ext xmlns:c16="http://schemas.microsoft.com/office/drawing/2014/chart" uri="{C3380CC4-5D6E-409C-BE32-E72D297353CC}">
              <c16:uniqueId val="{00000002-4F85-490E-AD75-5F300DC24D6C}"/>
            </c:ext>
          </c:extLst>
        </c:ser>
        <c:ser>
          <c:idx val="3"/>
          <c:order val="3"/>
          <c:tx>
            <c:strRef>
              <c:f>Feuil1!$B$60</c:f>
              <c:strCache>
                <c:ptCount val="1"/>
                <c:pt idx="0">
                  <c:v>SENS</c:v>
                </c:pt>
              </c:strCache>
            </c:strRef>
          </c:tx>
          <c:spPr>
            <a:solidFill>
              <a:schemeClr val="accent4"/>
            </a:solidFill>
            <a:ln>
              <a:noFill/>
            </a:ln>
            <a:effectLst/>
          </c:spPr>
          <c:invertIfNegative val="0"/>
          <c:cat>
            <c:strRef>
              <c:f>(Feuil1!$D$56,Feuil1!$F$56)</c:f>
              <c:strCache>
                <c:ptCount val="2"/>
                <c:pt idx="0">
                  <c:v>% NA</c:v>
                </c:pt>
                <c:pt idx="1">
                  <c:v>% NI</c:v>
                </c:pt>
              </c:strCache>
            </c:strRef>
          </c:cat>
          <c:val>
            <c:numRef>
              <c:f>(Feuil1!$D$60,Feuil1!$F$60)</c:f>
              <c:numCache>
                <c:formatCode>0.00%</c:formatCode>
                <c:ptCount val="2"/>
                <c:pt idx="0">
                  <c:v>9.0899999999999995E-2</c:v>
                </c:pt>
                <c:pt idx="1">
                  <c:v>8.0600000000000005E-2</c:v>
                </c:pt>
              </c:numCache>
            </c:numRef>
          </c:val>
          <c:extLst>
            <c:ext xmlns:c16="http://schemas.microsoft.com/office/drawing/2014/chart" uri="{C3380CC4-5D6E-409C-BE32-E72D297353CC}">
              <c16:uniqueId val="{00000003-4F85-490E-AD75-5F300DC24D6C}"/>
            </c:ext>
          </c:extLst>
        </c:ser>
        <c:ser>
          <c:idx val="4"/>
          <c:order val="4"/>
          <c:tx>
            <c:strRef>
              <c:f>Feuil1!$B$61</c:f>
              <c:strCache>
                <c:ptCount val="1"/>
                <c:pt idx="0">
                  <c:v>PPS</c:v>
                </c:pt>
              </c:strCache>
            </c:strRef>
          </c:tx>
          <c:spPr>
            <a:solidFill>
              <a:schemeClr val="accent5"/>
            </a:solidFill>
            <a:ln>
              <a:noFill/>
            </a:ln>
            <a:effectLst/>
          </c:spPr>
          <c:invertIfNegative val="0"/>
          <c:cat>
            <c:strRef>
              <c:f>(Feuil1!$D$56,Feuil1!$F$56)</c:f>
              <c:strCache>
                <c:ptCount val="2"/>
                <c:pt idx="0">
                  <c:v>% NA</c:v>
                </c:pt>
                <c:pt idx="1">
                  <c:v>% NI</c:v>
                </c:pt>
              </c:strCache>
            </c:strRef>
          </c:cat>
          <c:val>
            <c:numRef>
              <c:f>(Feuil1!$D$61,Feuil1!$F$61)</c:f>
              <c:numCache>
                <c:formatCode>0.00%</c:formatCode>
                <c:ptCount val="2"/>
                <c:pt idx="0">
                  <c:v>6.0600000000000001E-2</c:v>
                </c:pt>
                <c:pt idx="1">
                  <c:v>0.1613</c:v>
                </c:pt>
              </c:numCache>
            </c:numRef>
          </c:val>
          <c:extLst>
            <c:ext xmlns:c16="http://schemas.microsoft.com/office/drawing/2014/chart" uri="{C3380CC4-5D6E-409C-BE32-E72D297353CC}">
              <c16:uniqueId val="{00000004-4F85-490E-AD75-5F300DC24D6C}"/>
            </c:ext>
          </c:extLst>
        </c:ser>
        <c:ser>
          <c:idx val="5"/>
          <c:order val="5"/>
          <c:tx>
            <c:strRef>
              <c:f>Feuil1!$B$62</c:f>
              <c:strCache>
                <c:ptCount val="1"/>
                <c:pt idx="0">
                  <c:v>LES DEMOC</c:v>
                </c:pt>
              </c:strCache>
            </c:strRef>
          </c:tx>
          <c:spPr>
            <a:solidFill>
              <a:schemeClr val="accent6"/>
            </a:solidFill>
            <a:ln>
              <a:noFill/>
            </a:ln>
            <a:effectLst/>
          </c:spPr>
          <c:invertIfNegative val="0"/>
          <c:cat>
            <c:strRef>
              <c:f>(Feuil1!$D$56,Feuil1!$F$56)</c:f>
              <c:strCache>
                <c:ptCount val="2"/>
                <c:pt idx="0">
                  <c:v>% NA</c:v>
                </c:pt>
                <c:pt idx="1">
                  <c:v>% NI</c:v>
                </c:pt>
              </c:strCache>
            </c:strRef>
          </c:cat>
          <c:val>
            <c:numRef>
              <c:f>(Feuil1!$D$62,Feuil1!$F$62)</c:f>
              <c:numCache>
                <c:formatCode>0.00%</c:formatCode>
                <c:ptCount val="2"/>
                <c:pt idx="0">
                  <c:v>6.0600000000000001E-2</c:v>
                </c:pt>
                <c:pt idx="1">
                  <c:v>9.6799999999999997E-2</c:v>
                </c:pt>
              </c:numCache>
            </c:numRef>
          </c:val>
          <c:extLst>
            <c:ext xmlns:c16="http://schemas.microsoft.com/office/drawing/2014/chart" uri="{C3380CC4-5D6E-409C-BE32-E72D297353CC}">
              <c16:uniqueId val="{00000005-4F85-490E-AD75-5F300DC24D6C}"/>
            </c:ext>
          </c:extLst>
        </c:ser>
        <c:ser>
          <c:idx val="6"/>
          <c:order val="6"/>
          <c:tx>
            <c:strRef>
              <c:f>Feuil1!$B$63</c:f>
              <c:strCache>
                <c:ptCount val="1"/>
                <c:pt idx="0">
                  <c:v>MRB</c:v>
                </c:pt>
              </c:strCache>
            </c:strRef>
          </c:tx>
          <c:spPr>
            <a:solidFill>
              <a:schemeClr val="accent1">
                <a:lumMod val="60000"/>
              </a:schemeClr>
            </a:solidFill>
            <a:ln>
              <a:noFill/>
            </a:ln>
            <a:effectLst/>
          </c:spPr>
          <c:invertIfNegative val="0"/>
          <c:cat>
            <c:strRef>
              <c:f>(Feuil1!$D$56,Feuil1!$F$56)</c:f>
              <c:strCache>
                <c:ptCount val="2"/>
                <c:pt idx="0">
                  <c:v>% NA</c:v>
                </c:pt>
                <c:pt idx="1">
                  <c:v>% NI</c:v>
                </c:pt>
              </c:strCache>
            </c:strRef>
          </c:cat>
          <c:val>
            <c:numRef>
              <c:f>(Feuil1!$D$63,Feuil1!$F$63)</c:f>
              <c:numCache>
                <c:formatCode>0.00%</c:formatCode>
                <c:ptCount val="2"/>
                <c:pt idx="0">
                  <c:v>6.0600000000000001E-2</c:v>
                </c:pt>
                <c:pt idx="1">
                  <c:v>3.2300000000000002E-2</c:v>
                </c:pt>
              </c:numCache>
            </c:numRef>
          </c:val>
          <c:extLst>
            <c:ext xmlns:c16="http://schemas.microsoft.com/office/drawing/2014/chart" uri="{C3380CC4-5D6E-409C-BE32-E72D297353CC}">
              <c16:uniqueId val="{00000006-4F85-490E-AD75-5F300DC24D6C}"/>
            </c:ext>
          </c:extLst>
        </c:ser>
        <c:ser>
          <c:idx val="7"/>
          <c:order val="7"/>
          <c:tx>
            <c:strRef>
              <c:f>Feuil1!$B$64</c:f>
              <c:strCache>
                <c:ptCount val="1"/>
                <c:pt idx="0">
                  <c:v>PDP/PS</c:v>
                </c:pt>
              </c:strCache>
            </c:strRef>
          </c:tx>
          <c:spPr>
            <a:solidFill>
              <a:schemeClr val="accent2">
                <a:lumMod val="60000"/>
              </a:schemeClr>
            </a:solidFill>
            <a:ln>
              <a:noFill/>
            </a:ln>
            <a:effectLst/>
          </c:spPr>
          <c:invertIfNegative val="0"/>
          <c:cat>
            <c:strRef>
              <c:f>(Feuil1!$D$56,Feuil1!$F$56)</c:f>
              <c:strCache>
                <c:ptCount val="2"/>
                <c:pt idx="0">
                  <c:v>% NA</c:v>
                </c:pt>
                <c:pt idx="1">
                  <c:v>% NI</c:v>
                </c:pt>
              </c:strCache>
            </c:strRef>
          </c:cat>
          <c:val>
            <c:numRef>
              <c:f>(Feuil1!$D$64,Feuil1!$F$64)</c:f>
              <c:numCache>
                <c:formatCode>0.00%</c:formatCode>
                <c:ptCount val="2"/>
                <c:pt idx="0">
                  <c:v>3.0300000000000001E-2</c:v>
                </c:pt>
                <c:pt idx="1">
                  <c:v>4.8399999999999999E-2</c:v>
                </c:pt>
              </c:numCache>
            </c:numRef>
          </c:val>
          <c:extLst>
            <c:ext xmlns:c16="http://schemas.microsoft.com/office/drawing/2014/chart" uri="{C3380CC4-5D6E-409C-BE32-E72D297353CC}">
              <c16:uniqueId val="{00000007-4F85-490E-AD75-5F300DC24D6C}"/>
            </c:ext>
          </c:extLst>
        </c:ser>
        <c:ser>
          <c:idx val="8"/>
          <c:order val="8"/>
          <c:tx>
            <c:strRef>
              <c:f>Feuil1!$B$65</c:f>
              <c:strCache>
                <c:ptCount val="1"/>
                <c:pt idx="0">
                  <c:v>ADF/RDA</c:v>
                </c:pt>
              </c:strCache>
            </c:strRef>
          </c:tx>
          <c:spPr>
            <a:solidFill>
              <a:schemeClr val="accent3">
                <a:lumMod val="60000"/>
              </a:schemeClr>
            </a:solidFill>
            <a:ln>
              <a:noFill/>
            </a:ln>
            <a:effectLst/>
          </c:spPr>
          <c:invertIfNegative val="0"/>
          <c:cat>
            <c:strRef>
              <c:f>(Feuil1!$D$56,Feuil1!$F$56)</c:f>
              <c:strCache>
                <c:ptCount val="2"/>
                <c:pt idx="0">
                  <c:v>% NA</c:v>
                </c:pt>
                <c:pt idx="1">
                  <c:v>% NI</c:v>
                </c:pt>
              </c:strCache>
            </c:strRef>
          </c:cat>
          <c:val>
            <c:numRef>
              <c:f>(Feuil1!$D$65,Feuil1!$F$65)</c:f>
              <c:numCache>
                <c:formatCode>0.00%</c:formatCode>
                <c:ptCount val="2"/>
                <c:pt idx="0">
                  <c:v>3.0300000000000001E-2</c:v>
                </c:pt>
                <c:pt idx="1">
                  <c:v>1.61E-2</c:v>
                </c:pt>
              </c:numCache>
            </c:numRef>
          </c:val>
          <c:extLst>
            <c:ext xmlns:c16="http://schemas.microsoft.com/office/drawing/2014/chart" uri="{C3380CC4-5D6E-409C-BE32-E72D297353CC}">
              <c16:uniqueId val="{00000008-4F85-490E-AD75-5F300DC24D6C}"/>
            </c:ext>
          </c:extLst>
        </c:ser>
        <c:ser>
          <c:idx val="9"/>
          <c:order val="9"/>
          <c:tx>
            <c:strRef>
              <c:f>Feuil1!$B$66</c:f>
              <c:strCache>
                <c:ptCount val="1"/>
                <c:pt idx="0">
                  <c:v>FA</c:v>
                </c:pt>
              </c:strCache>
            </c:strRef>
          </c:tx>
          <c:spPr>
            <a:solidFill>
              <a:schemeClr val="accent4">
                <a:lumMod val="60000"/>
              </a:schemeClr>
            </a:solidFill>
            <a:ln>
              <a:noFill/>
            </a:ln>
            <a:effectLst/>
          </c:spPr>
          <c:invertIfNegative val="0"/>
          <c:cat>
            <c:strRef>
              <c:f>(Feuil1!$D$56,Feuil1!$F$56)</c:f>
              <c:strCache>
                <c:ptCount val="2"/>
                <c:pt idx="0">
                  <c:v>% NA</c:v>
                </c:pt>
                <c:pt idx="1">
                  <c:v>% NI</c:v>
                </c:pt>
              </c:strCache>
            </c:strRef>
          </c:cat>
          <c:val>
            <c:numRef>
              <c:f>(Feuil1!$D$66,Feuil1!$F$66)</c:f>
              <c:numCache>
                <c:formatCode>0.00%</c:formatCode>
                <c:ptCount val="2"/>
                <c:pt idx="0">
                  <c:v>3.0300000000000001E-2</c:v>
                </c:pt>
                <c:pt idx="1">
                  <c:v>1.61E-2</c:v>
                </c:pt>
              </c:numCache>
            </c:numRef>
          </c:val>
          <c:extLst>
            <c:ext xmlns:c16="http://schemas.microsoft.com/office/drawing/2014/chart" uri="{C3380CC4-5D6E-409C-BE32-E72D297353CC}">
              <c16:uniqueId val="{00000009-4F85-490E-AD75-5F300DC24D6C}"/>
            </c:ext>
          </c:extLst>
        </c:ser>
        <c:dLbls>
          <c:showLegendKey val="0"/>
          <c:showVal val="0"/>
          <c:showCatName val="0"/>
          <c:showSerName val="0"/>
          <c:showPercent val="0"/>
          <c:showBubbleSize val="0"/>
        </c:dLbls>
        <c:gapWidth val="219"/>
        <c:overlap val="-27"/>
        <c:axId val="1811991327"/>
        <c:axId val="1432990319"/>
      </c:barChart>
      <c:catAx>
        <c:axId val="18119913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1432990319"/>
        <c:crosses val="autoZero"/>
        <c:auto val="1"/>
        <c:lblAlgn val="ctr"/>
        <c:lblOffset val="100"/>
        <c:noMultiLvlLbl val="0"/>
      </c:catAx>
      <c:valAx>
        <c:axId val="14329903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1811991327"/>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fr-FR"/>
      </a:pPr>
      <a:endParaRPr lang="fr-FR"/>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fr-FR" sz="1400" b="1" i="0" u="none" strike="noStrike" kern="1200" spc="0" baseline="0">
                <a:solidFill>
                  <a:schemeClr val="tx1">
                    <a:lumMod val="65000"/>
                    <a:lumOff val="35000"/>
                  </a:schemeClr>
                </a:solidFill>
                <a:latin typeface="+mn-lt"/>
                <a:ea typeface="+mn-ea"/>
                <a:cs typeface="+mn-cs"/>
              </a:defRPr>
            </a:pPr>
            <a:r>
              <a:rPr lang="en-US" b="1" i="1"/>
              <a:t>Filinfos</a:t>
            </a:r>
          </a:p>
        </c:rich>
      </c:tx>
      <c:overlay val="0"/>
      <c:spPr>
        <a:noFill/>
        <a:ln>
          <a:noFill/>
        </a:ln>
        <a:effectLst/>
      </c:spPr>
      <c:txPr>
        <a:bodyPr rot="0" spcFirstLastPara="1" vertOverflow="ellipsis" vert="horz" wrap="square" anchor="ctr" anchorCtr="1"/>
        <a:lstStyle/>
        <a:p>
          <a:pPr>
            <a:defRPr lang="fr-FR" sz="1400" b="1"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Feuil1!$B$7</c:f>
              <c:strCache>
                <c:ptCount val="1"/>
                <c:pt idx="0">
                  <c:v>MPP</c:v>
                </c:pt>
              </c:strCache>
            </c:strRef>
          </c:tx>
          <c:spPr>
            <a:solidFill>
              <a:schemeClr val="accent1"/>
            </a:solidFill>
            <a:ln>
              <a:noFill/>
            </a:ln>
            <a:effectLst/>
          </c:spPr>
          <c:invertIfNegative val="0"/>
          <c:cat>
            <c:strRef>
              <c:f>(Feuil1!$D$6,Feuil1!$F$6)</c:f>
              <c:strCache>
                <c:ptCount val="2"/>
                <c:pt idx="0">
                  <c:v>% NA</c:v>
                </c:pt>
                <c:pt idx="1">
                  <c:v>% NI</c:v>
                </c:pt>
              </c:strCache>
            </c:strRef>
          </c:cat>
          <c:val>
            <c:numRef>
              <c:f>(Feuil1!$D$7,Feuil1!$F$7)</c:f>
              <c:numCache>
                <c:formatCode>0.00%</c:formatCode>
                <c:ptCount val="2"/>
                <c:pt idx="0">
                  <c:v>0.4138</c:v>
                </c:pt>
                <c:pt idx="1">
                  <c:v>0.4375</c:v>
                </c:pt>
              </c:numCache>
            </c:numRef>
          </c:val>
          <c:extLst>
            <c:ext xmlns:c16="http://schemas.microsoft.com/office/drawing/2014/chart" uri="{C3380CC4-5D6E-409C-BE32-E72D297353CC}">
              <c16:uniqueId val="{00000000-3F30-405A-B724-5861F31AA61A}"/>
            </c:ext>
          </c:extLst>
        </c:ser>
        <c:ser>
          <c:idx val="1"/>
          <c:order val="1"/>
          <c:tx>
            <c:strRef>
              <c:f>Feuil1!$B$8</c:f>
              <c:strCache>
                <c:ptCount val="1"/>
                <c:pt idx="0">
                  <c:v>CDP</c:v>
                </c:pt>
              </c:strCache>
            </c:strRef>
          </c:tx>
          <c:spPr>
            <a:solidFill>
              <a:schemeClr val="accent2"/>
            </a:solidFill>
            <a:ln>
              <a:noFill/>
            </a:ln>
            <a:effectLst/>
          </c:spPr>
          <c:invertIfNegative val="0"/>
          <c:cat>
            <c:strRef>
              <c:f>(Feuil1!$D$6,Feuil1!$F$6)</c:f>
              <c:strCache>
                <c:ptCount val="2"/>
                <c:pt idx="0">
                  <c:v>% NA</c:v>
                </c:pt>
                <c:pt idx="1">
                  <c:v>% NI</c:v>
                </c:pt>
              </c:strCache>
            </c:strRef>
          </c:cat>
          <c:val>
            <c:numRef>
              <c:f>(Feuil1!$D$8,Feuil1!$F$8)</c:f>
              <c:numCache>
                <c:formatCode>0.00%</c:formatCode>
                <c:ptCount val="2"/>
                <c:pt idx="0">
                  <c:v>0.1724</c:v>
                </c:pt>
                <c:pt idx="1">
                  <c:v>0.15629999999999999</c:v>
                </c:pt>
              </c:numCache>
            </c:numRef>
          </c:val>
          <c:extLst>
            <c:ext xmlns:c16="http://schemas.microsoft.com/office/drawing/2014/chart" uri="{C3380CC4-5D6E-409C-BE32-E72D297353CC}">
              <c16:uniqueId val="{00000001-3F30-405A-B724-5861F31AA61A}"/>
            </c:ext>
          </c:extLst>
        </c:ser>
        <c:ser>
          <c:idx val="2"/>
          <c:order val="2"/>
          <c:tx>
            <c:strRef>
              <c:f>Feuil1!$B$9</c:f>
              <c:strCache>
                <c:ptCount val="1"/>
                <c:pt idx="0">
                  <c:v>FA</c:v>
                </c:pt>
              </c:strCache>
            </c:strRef>
          </c:tx>
          <c:spPr>
            <a:solidFill>
              <a:schemeClr val="accent3"/>
            </a:solidFill>
            <a:ln>
              <a:noFill/>
            </a:ln>
            <a:effectLst/>
          </c:spPr>
          <c:invertIfNegative val="0"/>
          <c:cat>
            <c:strRef>
              <c:f>(Feuil1!$D$6,Feuil1!$F$6)</c:f>
              <c:strCache>
                <c:ptCount val="2"/>
                <c:pt idx="0">
                  <c:v>% NA</c:v>
                </c:pt>
                <c:pt idx="1">
                  <c:v>% NI</c:v>
                </c:pt>
              </c:strCache>
            </c:strRef>
          </c:cat>
          <c:val>
            <c:numRef>
              <c:f>(Feuil1!$D$9,Feuil1!$F$9)</c:f>
              <c:numCache>
                <c:formatCode>0.00%</c:formatCode>
                <c:ptCount val="2"/>
                <c:pt idx="0">
                  <c:v>6.9000000000000006E-2</c:v>
                </c:pt>
                <c:pt idx="1">
                  <c:v>6.25E-2</c:v>
                </c:pt>
              </c:numCache>
            </c:numRef>
          </c:val>
          <c:extLst>
            <c:ext xmlns:c16="http://schemas.microsoft.com/office/drawing/2014/chart" uri="{C3380CC4-5D6E-409C-BE32-E72D297353CC}">
              <c16:uniqueId val="{00000002-3F30-405A-B724-5861F31AA61A}"/>
            </c:ext>
          </c:extLst>
        </c:ser>
        <c:ser>
          <c:idx val="3"/>
          <c:order val="3"/>
          <c:tx>
            <c:strRef>
              <c:f>Feuil1!$B$10</c:f>
              <c:strCache>
                <c:ptCount val="1"/>
                <c:pt idx="0">
                  <c:v>MRB</c:v>
                </c:pt>
              </c:strCache>
            </c:strRef>
          </c:tx>
          <c:spPr>
            <a:solidFill>
              <a:schemeClr val="accent4"/>
            </a:solidFill>
            <a:ln>
              <a:noFill/>
            </a:ln>
            <a:effectLst/>
          </c:spPr>
          <c:invertIfNegative val="0"/>
          <c:cat>
            <c:strRef>
              <c:f>(Feuil1!$D$6,Feuil1!$F$6)</c:f>
              <c:strCache>
                <c:ptCount val="2"/>
                <c:pt idx="0">
                  <c:v>% NA</c:v>
                </c:pt>
                <c:pt idx="1">
                  <c:v>% NI</c:v>
                </c:pt>
              </c:strCache>
            </c:strRef>
          </c:cat>
          <c:val>
            <c:numRef>
              <c:f>(Feuil1!$D$10,Feuil1!$F$10)</c:f>
              <c:numCache>
                <c:formatCode>0.00%</c:formatCode>
                <c:ptCount val="2"/>
                <c:pt idx="0">
                  <c:v>6.9000000000000006E-2</c:v>
                </c:pt>
                <c:pt idx="1">
                  <c:v>6.25E-2</c:v>
                </c:pt>
              </c:numCache>
            </c:numRef>
          </c:val>
          <c:extLst>
            <c:ext xmlns:c16="http://schemas.microsoft.com/office/drawing/2014/chart" uri="{C3380CC4-5D6E-409C-BE32-E72D297353CC}">
              <c16:uniqueId val="{00000003-3F30-405A-B724-5861F31AA61A}"/>
            </c:ext>
          </c:extLst>
        </c:ser>
        <c:ser>
          <c:idx val="4"/>
          <c:order val="4"/>
          <c:tx>
            <c:strRef>
              <c:f>Feuil1!$B$11</c:f>
              <c:strCache>
                <c:ptCount val="1"/>
                <c:pt idx="0">
                  <c:v>SA</c:v>
                </c:pt>
              </c:strCache>
            </c:strRef>
          </c:tx>
          <c:spPr>
            <a:solidFill>
              <a:schemeClr val="accent5"/>
            </a:solidFill>
            <a:ln>
              <a:noFill/>
            </a:ln>
            <a:effectLst/>
          </c:spPr>
          <c:invertIfNegative val="0"/>
          <c:cat>
            <c:strRef>
              <c:f>(Feuil1!$D$6,Feuil1!$F$6)</c:f>
              <c:strCache>
                <c:ptCount val="2"/>
                <c:pt idx="0">
                  <c:v>% NA</c:v>
                </c:pt>
                <c:pt idx="1">
                  <c:v>% NI</c:v>
                </c:pt>
              </c:strCache>
            </c:strRef>
          </c:cat>
          <c:val>
            <c:numRef>
              <c:f>(Feuil1!$D$11,Feuil1!$F$11)</c:f>
              <c:numCache>
                <c:formatCode>0.00%</c:formatCode>
                <c:ptCount val="2"/>
                <c:pt idx="0">
                  <c:v>6.9000000000000006E-2</c:v>
                </c:pt>
                <c:pt idx="1">
                  <c:v>6.25E-2</c:v>
                </c:pt>
              </c:numCache>
            </c:numRef>
          </c:val>
          <c:extLst>
            <c:ext xmlns:c16="http://schemas.microsoft.com/office/drawing/2014/chart" uri="{C3380CC4-5D6E-409C-BE32-E72D297353CC}">
              <c16:uniqueId val="{00000004-3F30-405A-B724-5861F31AA61A}"/>
            </c:ext>
          </c:extLst>
        </c:ser>
        <c:ser>
          <c:idx val="5"/>
          <c:order val="5"/>
          <c:tx>
            <c:strRef>
              <c:f>Feuil1!$B$12</c:f>
              <c:strCache>
                <c:ptCount val="1"/>
                <c:pt idx="0">
                  <c:v>UPC</c:v>
                </c:pt>
              </c:strCache>
            </c:strRef>
          </c:tx>
          <c:spPr>
            <a:solidFill>
              <a:schemeClr val="accent6"/>
            </a:solidFill>
            <a:ln>
              <a:noFill/>
            </a:ln>
            <a:effectLst/>
          </c:spPr>
          <c:invertIfNegative val="0"/>
          <c:cat>
            <c:strRef>
              <c:f>(Feuil1!$D$6,Feuil1!$F$6)</c:f>
              <c:strCache>
                <c:ptCount val="2"/>
                <c:pt idx="0">
                  <c:v>% NA</c:v>
                </c:pt>
                <c:pt idx="1">
                  <c:v>% NI</c:v>
                </c:pt>
              </c:strCache>
            </c:strRef>
          </c:cat>
          <c:val>
            <c:numRef>
              <c:f>(Feuil1!$D$12,Feuil1!$F$12)</c:f>
              <c:numCache>
                <c:formatCode>0.00%</c:formatCode>
                <c:ptCount val="2"/>
                <c:pt idx="0">
                  <c:v>6.9000000000000006E-2</c:v>
                </c:pt>
                <c:pt idx="1">
                  <c:v>6.25E-2</c:v>
                </c:pt>
              </c:numCache>
            </c:numRef>
          </c:val>
          <c:extLst>
            <c:ext xmlns:c16="http://schemas.microsoft.com/office/drawing/2014/chart" uri="{C3380CC4-5D6E-409C-BE32-E72D297353CC}">
              <c16:uniqueId val="{00000005-3F30-405A-B724-5861F31AA61A}"/>
            </c:ext>
          </c:extLst>
        </c:ser>
        <c:ser>
          <c:idx val="6"/>
          <c:order val="6"/>
          <c:tx>
            <c:strRef>
              <c:f>Feuil1!$B$13</c:f>
              <c:strCache>
                <c:ptCount val="1"/>
                <c:pt idx="0">
                  <c:v>ADP</c:v>
                </c:pt>
              </c:strCache>
            </c:strRef>
          </c:tx>
          <c:spPr>
            <a:solidFill>
              <a:schemeClr val="accent1">
                <a:lumMod val="60000"/>
              </a:schemeClr>
            </a:solidFill>
            <a:ln>
              <a:noFill/>
            </a:ln>
            <a:effectLst/>
          </c:spPr>
          <c:invertIfNegative val="0"/>
          <c:cat>
            <c:strRef>
              <c:f>(Feuil1!$D$6,Feuil1!$F$6)</c:f>
              <c:strCache>
                <c:ptCount val="2"/>
                <c:pt idx="0">
                  <c:v>% NA</c:v>
                </c:pt>
                <c:pt idx="1">
                  <c:v>% NI</c:v>
                </c:pt>
              </c:strCache>
            </c:strRef>
          </c:cat>
          <c:val>
            <c:numRef>
              <c:f>(Feuil1!$D$13,Feuil1!$F$13)</c:f>
              <c:numCache>
                <c:formatCode>0.00%</c:formatCode>
                <c:ptCount val="2"/>
                <c:pt idx="0">
                  <c:v>3.4500000000000003E-2</c:v>
                </c:pt>
                <c:pt idx="1">
                  <c:v>6.25E-2</c:v>
                </c:pt>
              </c:numCache>
            </c:numRef>
          </c:val>
          <c:extLst>
            <c:ext xmlns:c16="http://schemas.microsoft.com/office/drawing/2014/chart" uri="{C3380CC4-5D6E-409C-BE32-E72D297353CC}">
              <c16:uniqueId val="{00000006-3F30-405A-B724-5861F31AA61A}"/>
            </c:ext>
          </c:extLst>
        </c:ser>
        <c:ser>
          <c:idx val="7"/>
          <c:order val="7"/>
          <c:tx>
            <c:strRef>
              <c:f>Feuil1!$B$14</c:f>
              <c:strCache>
                <c:ptCount val="1"/>
                <c:pt idx="0">
                  <c:v>APP/B</c:v>
                </c:pt>
              </c:strCache>
            </c:strRef>
          </c:tx>
          <c:spPr>
            <a:solidFill>
              <a:schemeClr val="accent2">
                <a:lumMod val="60000"/>
              </a:schemeClr>
            </a:solidFill>
            <a:ln>
              <a:noFill/>
            </a:ln>
            <a:effectLst/>
          </c:spPr>
          <c:invertIfNegative val="0"/>
          <c:cat>
            <c:strRef>
              <c:f>(Feuil1!$D$6,Feuil1!$F$6)</c:f>
              <c:strCache>
                <c:ptCount val="2"/>
                <c:pt idx="0">
                  <c:v>% NA</c:v>
                </c:pt>
                <c:pt idx="1">
                  <c:v>% NI</c:v>
                </c:pt>
              </c:strCache>
            </c:strRef>
          </c:cat>
          <c:val>
            <c:numRef>
              <c:f>(Feuil1!$D$14,Feuil1!$F$14)</c:f>
              <c:numCache>
                <c:formatCode>0.00%</c:formatCode>
                <c:ptCount val="2"/>
                <c:pt idx="0">
                  <c:v>3.4500000000000003E-2</c:v>
                </c:pt>
                <c:pt idx="1">
                  <c:v>3.1300000000000001E-2</c:v>
                </c:pt>
              </c:numCache>
            </c:numRef>
          </c:val>
          <c:extLst>
            <c:ext xmlns:c16="http://schemas.microsoft.com/office/drawing/2014/chart" uri="{C3380CC4-5D6E-409C-BE32-E72D297353CC}">
              <c16:uniqueId val="{00000007-3F30-405A-B724-5861F31AA61A}"/>
            </c:ext>
          </c:extLst>
        </c:ser>
        <c:ser>
          <c:idx val="8"/>
          <c:order val="8"/>
          <c:tx>
            <c:strRef>
              <c:f>Feuil1!$B$15</c:f>
              <c:strCache>
                <c:ptCount val="1"/>
                <c:pt idx="0">
                  <c:v>SENS</c:v>
                </c:pt>
              </c:strCache>
            </c:strRef>
          </c:tx>
          <c:spPr>
            <a:solidFill>
              <a:schemeClr val="accent3">
                <a:lumMod val="60000"/>
              </a:schemeClr>
            </a:solidFill>
            <a:ln>
              <a:noFill/>
            </a:ln>
            <a:effectLst/>
          </c:spPr>
          <c:invertIfNegative val="0"/>
          <c:cat>
            <c:strRef>
              <c:f>(Feuil1!$D$6,Feuil1!$F$6)</c:f>
              <c:strCache>
                <c:ptCount val="2"/>
                <c:pt idx="0">
                  <c:v>% NA</c:v>
                </c:pt>
                <c:pt idx="1">
                  <c:v>% NI</c:v>
                </c:pt>
              </c:strCache>
            </c:strRef>
          </c:cat>
          <c:val>
            <c:numRef>
              <c:f>(Feuil1!$D$15,Feuil1!$F$15)</c:f>
              <c:numCache>
                <c:formatCode>0.00%</c:formatCode>
                <c:ptCount val="2"/>
                <c:pt idx="0">
                  <c:v>3.4500000000000003E-2</c:v>
                </c:pt>
                <c:pt idx="1">
                  <c:v>3.1300000000000001E-2</c:v>
                </c:pt>
              </c:numCache>
            </c:numRef>
          </c:val>
          <c:extLst>
            <c:ext xmlns:c16="http://schemas.microsoft.com/office/drawing/2014/chart" uri="{C3380CC4-5D6E-409C-BE32-E72D297353CC}">
              <c16:uniqueId val="{00000008-3F30-405A-B724-5861F31AA61A}"/>
            </c:ext>
          </c:extLst>
        </c:ser>
        <c:ser>
          <c:idx val="9"/>
          <c:order val="9"/>
          <c:tx>
            <c:strRef>
              <c:f>Feuil1!$B$16</c:f>
              <c:strCache>
                <c:ptCount val="1"/>
                <c:pt idx="0">
                  <c:v>SOCL</c:v>
                </c:pt>
              </c:strCache>
            </c:strRef>
          </c:tx>
          <c:spPr>
            <a:solidFill>
              <a:schemeClr val="accent4">
                <a:lumMod val="60000"/>
              </a:schemeClr>
            </a:solidFill>
            <a:ln>
              <a:noFill/>
            </a:ln>
            <a:effectLst/>
          </c:spPr>
          <c:invertIfNegative val="0"/>
          <c:cat>
            <c:strRef>
              <c:f>(Feuil1!$D$6,Feuil1!$F$6)</c:f>
              <c:strCache>
                <c:ptCount val="2"/>
                <c:pt idx="0">
                  <c:v>% NA</c:v>
                </c:pt>
                <c:pt idx="1">
                  <c:v>% NI</c:v>
                </c:pt>
              </c:strCache>
            </c:strRef>
          </c:cat>
          <c:val>
            <c:numRef>
              <c:f>(Feuil1!$D$16,Feuil1!$F$16)</c:f>
              <c:numCache>
                <c:formatCode>0.00%</c:formatCode>
                <c:ptCount val="2"/>
                <c:pt idx="0">
                  <c:v>3.4500000000000003E-2</c:v>
                </c:pt>
                <c:pt idx="1">
                  <c:v>3.1300000000000001E-2</c:v>
                </c:pt>
              </c:numCache>
            </c:numRef>
          </c:val>
          <c:extLst>
            <c:ext xmlns:c16="http://schemas.microsoft.com/office/drawing/2014/chart" uri="{C3380CC4-5D6E-409C-BE32-E72D297353CC}">
              <c16:uniqueId val="{00000009-3F30-405A-B724-5861F31AA61A}"/>
            </c:ext>
          </c:extLst>
        </c:ser>
        <c:dLbls>
          <c:showLegendKey val="0"/>
          <c:showVal val="0"/>
          <c:showCatName val="0"/>
          <c:showSerName val="0"/>
          <c:showPercent val="0"/>
          <c:showBubbleSize val="0"/>
        </c:dLbls>
        <c:gapWidth val="219"/>
        <c:overlap val="-27"/>
        <c:axId val="2033954847"/>
        <c:axId val="2033953599"/>
      </c:barChart>
      <c:catAx>
        <c:axId val="203395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2033953599"/>
        <c:crosses val="autoZero"/>
        <c:auto val="1"/>
        <c:lblAlgn val="ctr"/>
        <c:lblOffset val="100"/>
        <c:noMultiLvlLbl val="0"/>
      </c:catAx>
      <c:valAx>
        <c:axId val="203395359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2033954847"/>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fr-FR"/>
      </a:pPr>
      <a:endParaRPr lang="fr-F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lIns="0" tIns="0" rIns="0" bIns="0" anchor="ctr" anchorCtr="1"/>
          <a:lstStyle/>
          <a:p>
            <a:pPr marL="0" marR="0" indent="0" algn="ctr" defTabSz="914400" fontAlgn="auto" hangingPunct="1">
              <a:lnSpc>
                <a:spcPct val="100000"/>
              </a:lnSpc>
              <a:spcBef>
                <a:spcPts val="0"/>
              </a:spcBef>
              <a:spcAft>
                <a:spcPts val="0"/>
              </a:spcAft>
              <a:defRPr lang="fr-FR" sz="1400" b="1" i="0" u="none" strike="noStrike" kern="1200" spc="0" baseline="0">
                <a:solidFill>
                  <a:srgbClr val="595959"/>
                </a:solidFill>
                <a:latin typeface="Calibri" panose="020F0502020204030204"/>
                <a:ea typeface="+mn-ea"/>
                <a:cs typeface="+mn-cs"/>
              </a:defRPr>
            </a:pPr>
            <a:r>
              <a:rPr lang="fr-FR" sz="1400" b="1" i="1" u="none" strike="noStrike" kern="1200" cap="none" spc="0" baseline="0">
                <a:solidFill>
                  <a:srgbClr val="595959"/>
                </a:solidFill>
                <a:uFillTx/>
                <a:latin typeface="Calibri" panose="020F0502020204030204"/>
              </a:rPr>
              <a:t>Directinfoburkina.Net</a:t>
            </a:r>
          </a:p>
        </c:rich>
      </c:tx>
      <c:overlay val="0"/>
      <c:spPr>
        <a:noFill/>
        <a:ln>
          <a:noFill/>
        </a:ln>
      </c:spPr>
    </c:title>
    <c:autoTitleDeleted val="0"/>
    <c:plotArea>
      <c:layout/>
      <c:barChart>
        <c:barDir val="col"/>
        <c:grouping val="clustered"/>
        <c:varyColors val="0"/>
        <c:ser>
          <c:idx val="0"/>
          <c:order val="0"/>
          <c:tx>
            <c:strRef>
              <c:f>MPP</c:f>
              <c:strCache>
                <c:ptCount val="1"/>
                <c:pt idx="0">
                  <c:v>MPP</c:v>
                </c:pt>
              </c:strCache>
            </c:strRef>
          </c:tx>
          <c:spPr>
            <a:solidFill>
              <a:srgbClr val="5B9BD5"/>
            </a:solidFill>
            <a:ln>
              <a:noFill/>
            </a:ln>
          </c:spPr>
          <c:invertIfNegative val="0"/>
          <c:cat>
            <c:strRef>
              <c:f>{"% NA","% NI"}</c:f>
              <c:strCache>
                <c:ptCount val="2"/>
                <c:pt idx="0">
                  <c:v>% NA</c:v>
                </c:pt>
                <c:pt idx="1">
                  <c:v>% NI</c:v>
                </c:pt>
              </c:strCache>
            </c:strRef>
          </c:cat>
          <c:val>
            <c:numRef>
              <c:f>{0.2105,0.2917}</c:f>
              <c:numCache>
                <c:formatCode>General</c:formatCode>
                <c:ptCount val="2"/>
                <c:pt idx="0">
                  <c:v>0.21049999999999999</c:v>
                </c:pt>
                <c:pt idx="1">
                  <c:v>0.29170000000000001</c:v>
                </c:pt>
              </c:numCache>
            </c:numRef>
          </c:val>
          <c:extLst>
            <c:ext xmlns:c16="http://schemas.microsoft.com/office/drawing/2014/chart" uri="{C3380CC4-5D6E-409C-BE32-E72D297353CC}">
              <c16:uniqueId val="{00000000-C8B9-4D8E-B235-FDD395E2DD8F}"/>
            </c:ext>
          </c:extLst>
        </c:ser>
        <c:ser>
          <c:idx val="1"/>
          <c:order val="1"/>
          <c:tx>
            <c:strRef>
              <c:f>CDP</c:f>
              <c:strCache>
                <c:ptCount val="1"/>
                <c:pt idx="0">
                  <c:v>CDP</c:v>
                </c:pt>
              </c:strCache>
            </c:strRef>
          </c:tx>
          <c:spPr>
            <a:solidFill>
              <a:srgbClr val="ED7D31"/>
            </a:solidFill>
            <a:ln>
              <a:noFill/>
            </a:ln>
          </c:spPr>
          <c:invertIfNegative val="0"/>
          <c:cat>
            <c:strRef>
              <c:f>{"% NA","% NI"}</c:f>
              <c:strCache>
                <c:ptCount val="2"/>
                <c:pt idx="0">
                  <c:v>% NA</c:v>
                </c:pt>
                <c:pt idx="1">
                  <c:v>% NI</c:v>
                </c:pt>
              </c:strCache>
            </c:strRef>
          </c:cat>
          <c:val>
            <c:numRef>
              <c:f>{0.2105,0.1667}</c:f>
              <c:numCache>
                <c:formatCode>General</c:formatCode>
                <c:ptCount val="2"/>
                <c:pt idx="0">
                  <c:v>0.21049999999999999</c:v>
                </c:pt>
                <c:pt idx="1">
                  <c:v>0.16669999999999999</c:v>
                </c:pt>
              </c:numCache>
            </c:numRef>
          </c:val>
          <c:extLst>
            <c:ext xmlns:c16="http://schemas.microsoft.com/office/drawing/2014/chart" uri="{C3380CC4-5D6E-409C-BE32-E72D297353CC}">
              <c16:uniqueId val="{00000001-C8B9-4D8E-B235-FDD395E2DD8F}"/>
            </c:ext>
          </c:extLst>
        </c:ser>
        <c:ser>
          <c:idx val="2"/>
          <c:order val="2"/>
          <c:tx>
            <c:strRef>
              <c:f>UNDD</c:f>
              <c:strCache>
                <c:ptCount val="1"/>
                <c:pt idx="0">
                  <c:v>UNDD</c:v>
                </c:pt>
              </c:strCache>
            </c:strRef>
          </c:tx>
          <c:spPr>
            <a:solidFill>
              <a:srgbClr val="A5A5A5"/>
            </a:solidFill>
            <a:ln>
              <a:noFill/>
            </a:ln>
          </c:spPr>
          <c:invertIfNegative val="0"/>
          <c:cat>
            <c:strRef>
              <c:f>{"% NA","% NI"}</c:f>
              <c:strCache>
                <c:ptCount val="2"/>
                <c:pt idx="0">
                  <c:v>% NA</c:v>
                </c:pt>
                <c:pt idx="1">
                  <c:v>% NI</c:v>
                </c:pt>
              </c:strCache>
            </c:strRef>
          </c:cat>
          <c:val>
            <c:numRef>
              <c:f>{0.1053,0.125}</c:f>
              <c:numCache>
                <c:formatCode>General</c:formatCode>
                <c:ptCount val="2"/>
                <c:pt idx="0">
                  <c:v>0.1053</c:v>
                </c:pt>
                <c:pt idx="1">
                  <c:v>0.125</c:v>
                </c:pt>
              </c:numCache>
            </c:numRef>
          </c:val>
          <c:extLst>
            <c:ext xmlns:c16="http://schemas.microsoft.com/office/drawing/2014/chart" uri="{C3380CC4-5D6E-409C-BE32-E72D297353CC}">
              <c16:uniqueId val="{00000002-C8B9-4D8E-B235-FDD395E2DD8F}"/>
            </c:ext>
          </c:extLst>
        </c:ser>
        <c:ser>
          <c:idx val="3"/>
          <c:order val="3"/>
          <c:tx>
            <c:strRef>
              <c:f>MRB</c:f>
              <c:strCache>
                <c:ptCount val="1"/>
                <c:pt idx="0">
                  <c:v>MRB</c:v>
                </c:pt>
              </c:strCache>
            </c:strRef>
          </c:tx>
          <c:spPr>
            <a:solidFill>
              <a:srgbClr val="FFC000"/>
            </a:solidFill>
            <a:ln>
              <a:noFill/>
            </a:ln>
          </c:spPr>
          <c:invertIfNegative val="0"/>
          <c:cat>
            <c:strRef>
              <c:f>{"% NA","% NI"}</c:f>
              <c:strCache>
                <c:ptCount val="2"/>
                <c:pt idx="0">
                  <c:v>% NA</c:v>
                </c:pt>
                <c:pt idx="1">
                  <c:v>% NI</c:v>
                </c:pt>
              </c:strCache>
            </c:strRef>
          </c:cat>
          <c:val>
            <c:numRef>
              <c:f>{0.1053,0.0833}</c:f>
              <c:numCache>
                <c:formatCode>General</c:formatCode>
                <c:ptCount val="2"/>
                <c:pt idx="0">
                  <c:v>0.1053</c:v>
                </c:pt>
                <c:pt idx="1">
                  <c:v>8.3299999999999999E-2</c:v>
                </c:pt>
              </c:numCache>
            </c:numRef>
          </c:val>
          <c:extLst>
            <c:ext xmlns:c16="http://schemas.microsoft.com/office/drawing/2014/chart" uri="{C3380CC4-5D6E-409C-BE32-E72D297353CC}">
              <c16:uniqueId val="{00000003-C8B9-4D8E-B235-FDD395E2DD8F}"/>
            </c:ext>
          </c:extLst>
        </c:ser>
        <c:ser>
          <c:idx val="4"/>
          <c:order val="4"/>
          <c:tx>
            <c:strRef>
              <c:f>UNIR/MPS</c:f>
              <c:strCache>
                <c:ptCount val="1"/>
                <c:pt idx="0">
                  <c:v>UNIR/MPS</c:v>
                </c:pt>
              </c:strCache>
            </c:strRef>
          </c:tx>
          <c:spPr>
            <a:solidFill>
              <a:srgbClr val="4472C4"/>
            </a:solidFill>
            <a:ln>
              <a:noFill/>
            </a:ln>
          </c:spPr>
          <c:invertIfNegative val="0"/>
          <c:cat>
            <c:strRef>
              <c:f>{"% NA","% NI"}</c:f>
              <c:strCache>
                <c:ptCount val="2"/>
                <c:pt idx="0">
                  <c:v>% NA</c:v>
                </c:pt>
                <c:pt idx="1">
                  <c:v>% NI</c:v>
                </c:pt>
              </c:strCache>
            </c:strRef>
          </c:cat>
          <c:val>
            <c:numRef>
              <c:f>{0.1053,0.0833}</c:f>
              <c:numCache>
                <c:formatCode>General</c:formatCode>
                <c:ptCount val="2"/>
                <c:pt idx="0">
                  <c:v>0.1053</c:v>
                </c:pt>
                <c:pt idx="1">
                  <c:v>8.3299999999999999E-2</c:v>
                </c:pt>
              </c:numCache>
            </c:numRef>
          </c:val>
          <c:extLst>
            <c:ext xmlns:c16="http://schemas.microsoft.com/office/drawing/2014/chart" uri="{C3380CC4-5D6E-409C-BE32-E72D297353CC}">
              <c16:uniqueId val="{00000004-C8B9-4D8E-B235-FDD395E2DD8F}"/>
            </c:ext>
          </c:extLst>
        </c:ser>
        <c:ser>
          <c:idx val="5"/>
          <c:order val="5"/>
          <c:tx>
            <c:strRef>
              <c:f>LES DEMOC</c:f>
              <c:strCache>
                <c:ptCount val="1"/>
                <c:pt idx="0">
                  <c:v>LES DEMOC</c:v>
                </c:pt>
              </c:strCache>
            </c:strRef>
          </c:tx>
          <c:spPr>
            <a:solidFill>
              <a:srgbClr val="70AD47"/>
            </a:solidFill>
            <a:ln>
              <a:noFill/>
            </a:ln>
          </c:spPr>
          <c:invertIfNegative val="0"/>
          <c:cat>
            <c:strRef>
              <c:f>{"% NA","% NI"}</c:f>
              <c:strCache>
                <c:ptCount val="2"/>
                <c:pt idx="0">
                  <c:v>% NA</c:v>
                </c:pt>
                <c:pt idx="1">
                  <c:v>% NI</c:v>
                </c:pt>
              </c:strCache>
            </c:strRef>
          </c:cat>
          <c:val>
            <c:numRef>
              <c:f>{0.0526,0.0833}</c:f>
              <c:numCache>
                <c:formatCode>General</c:formatCode>
                <c:ptCount val="2"/>
                <c:pt idx="0">
                  <c:v>5.2600000000000001E-2</c:v>
                </c:pt>
                <c:pt idx="1">
                  <c:v>8.3299999999999999E-2</c:v>
                </c:pt>
              </c:numCache>
            </c:numRef>
          </c:val>
          <c:extLst>
            <c:ext xmlns:c16="http://schemas.microsoft.com/office/drawing/2014/chart" uri="{C3380CC4-5D6E-409C-BE32-E72D297353CC}">
              <c16:uniqueId val="{00000005-C8B9-4D8E-B235-FDD395E2DD8F}"/>
            </c:ext>
          </c:extLst>
        </c:ser>
        <c:ser>
          <c:idx val="6"/>
          <c:order val="6"/>
          <c:tx>
            <c:strRef>
              <c:f>NAFA</c:f>
              <c:strCache>
                <c:ptCount val="1"/>
                <c:pt idx="0">
                  <c:v>NAFA</c:v>
                </c:pt>
              </c:strCache>
            </c:strRef>
          </c:tx>
          <c:spPr>
            <a:solidFill>
              <a:srgbClr val="255E91"/>
            </a:solidFill>
            <a:ln>
              <a:noFill/>
            </a:ln>
          </c:spPr>
          <c:invertIfNegative val="0"/>
          <c:cat>
            <c:strRef>
              <c:f>{"% NA","% NI"}</c:f>
              <c:strCache>
                <c:ptCount val="2"/>
                <c:pt idx="0">
                  <c:v>% NA</c:v>
                </c:pt>
                <c:pt idx="1">
                  <c:v>% NI</c:v>
                </c:pt>
              </c:strCache>
            </c:strRef>
          </c:cat>
          <c:val>
            <c:numRef>
              <c:f>{0.0526,0.0417}</c:f>
              <c:numCache>
                <c:formatCode>General</c:formatCode>
                <c:ptCount val="2"/>
                <c:pt idx="0">
                  <c:v>5.2600000000000001E-2</c:v>
                </c:pt>
                <c:pt idx="1">
                  <c:v>4.1700000000000001E-2</c:v>
                </c:pt>
              </c:numCache>
            </c:numRef>
          </c:val>
          <c:extLst>
            <c:ext xmlns:c16="http://schemas.microsoft.com/office/drawing/2014/chart" uri="{C3380CC4-5D6E-409C-BE32-E72D297353CC}">
              <c16:uniqueId val="{00000006-C8B9-4D8E-B235-FDD395E2DD8F}"/>
            </c:ext>
          </c:extLst>
        </c:ser>
        <c:ser>
          <c:idx val="7"/>
          <c:order val="7"/>
          <c:tx>
            <c:strRef>
              <c:f>NTD</c:f>
              <c:strCache>
                <c:ptCount val="1"/>
                <c:pt idx="0">
                  <c:v>NTD</c:v>
                </c:pt>
              </c:strCache>
            </c:strRef>
          </c:tx>
          <c:spPr>
            <a:solidFill>
              <a:srgbClr val="9E480E"/>
            </a:solidFill>
            <a:ln>
              <a:noFill/>
            </a:ln>
          </c:spPr>
          <c:invertIfNegative val="0"/>
          <c:cat>
            <c:strRef>
              <c:f>{"% NA","% NI"}</c:f>
              <c:strCache>
                <c:ptCount val="2"/>
                <c:pt idx="0">
                  <c:v>% NA</c:v>
                </c:pt>
                <c:pt idx="1">
                  <c:v>% NI</c:v>
                </c:pt>
              </c:strCache>
            </c:strRef>
          </c:cat>
          <c:val>
            <c:numRef>
              <c:f>{0.0526,0.0417}</c:f>
              <c:numCache>
                <c:formatCode>General</c:formatCode>
                <c:ptCount val="2"/>
                <c:pt idx="0">
                  <c:v>5.2600000000000001E-2</c:v>
                </c:pt>
                <c:pt idx="1">
                  <c:v>4.1700000000000001E-2</c:v>
                </c:pt>
              </c:numCache>
            </c:numRef>
          </c:val>
          <c:extLst>
            <c:ext xmlns:c16="http://schemas.microsoft.com/office/drawing/2014/chart" uri="{C3380CC4-5D6E-409C-BE32-E72D297353CC}">
              <c16:uniqueId val="{00000007-C8B9-4D8E-B235-FDD395E2DD8F}"/>
            </c:ext>
          </c:extLst>
        </c:ser>
        <c:ser>
          <c:idx val="8"/>
          <c:order val="8"/>
          <c:tx>
            <c:strRef>
              <c:f>RPD</c:f>
              <c:strCache>
                <c:ptCount val="1"/>
                <c:pt idx="0">
                  <c:v>RPD</c:v>
                </c:pt>
              </c:strCache>
            </c:strRef>
          </c:tx>
          <c:spPr>
            <a:solidFill>
              <a:srgbClr val="636363"/>
            </a:solidFill>
            <a:ln>
              <a:noFill/>
            </a:ln>
          </c:spPr>
          <c:invertIfNegative val="0"/>
          <c:cat>
            <c:strRef>
              <c:f>{"% NA","% NI"}</c:f>
              <c:strCache>
                <c:ptCount val="2"/>
                <c:pt idx="0">
                  <c:v>% NA</c:v>
                </c:pt>
                <c:pt idx="1">
                  <c:v>% NI</c:v>
                </c:pt>
              </c:strCache>
            </c:strRef>
          </c:cat>
          <c:val>
            <c:numRef>
              <c:f>{0.0526,0.0417}</c:f>
              <c:numCache>
                <c:formatCode>General</c:formatCode>
                <c:ptCount val="2"/>
                <c:pt idx="0">
                  <c:v>5.2600000000000001E-2</c:v>
                </c:pt>
                <c:pt idx="1">
                  <c:v>4.1700000000000001E-2</c:v>
                </c:pt>
              </c:numCache>
            </c:numRef>
          </c:val>
          <c:extLst>
            <c:ext xmlns:c16="http://schemas.microsoft.com/office/drawing/2014/chart" uri="{C3380CC4-5D6E-409C-BE32-E72D297353CC}">
              <c16:uniqueId val="{00000008-C8B9-4D8E-B235-FDD395E2DD8F}"/>
            </c:ext>
          </c:extLst>
        </c:ser>
        <c:ser>
          <c:idx val="9"/>
          <c:order val="9"/>
          <c:tx>
            <c:strRef>
              <c:f>UPC</c:f>
              <c:strCache>
                <c:ptCount val="1"/>
                <c:pt idx="0">
                  <c:v>UPC</c:v>
                </c:pt>
              </c:strCache>
            </c:strRef>
          </c:tx>
          <c:spPr>
            <a:solidFill>
              <a:srgbClr val="997300"/>
            </a:solidFill>
            <a:ln>
              <a:noFill/>
            </a:ln>
          </c:spPr>
          <c:invertIfNegative val="0"/>
          <c:cat>
            <c:strRef>
              <c:f>{"% NA","% NI"}</c:f>
              <c:strCache>
                <c:ptCount val="2"/>
                <c:pt idx="0">
                  <c:v>% NA</c:v>
                </c:pt>
                <c:pt idx="1">
                  <c:v>% NI</c:v>
                </c:pt>
              </c:strCache>
            </c:strRef>
          </c:cat>
          <c:val>
            <c:numRef>
              <c:f>{0.0526,0.0417}</c:f>
              <c:numCache>
                <c:formatCode>General</c:formatCode>
                <c:ptCount val="2"/>
                <c:pt idx="0">
                  <c:v>5.2600000000000001E-2</c:v>
                </c:pt>
                <c:pt idx="1">
                  <c:v>4.1700000000000001E-2</c:v>
                </c:pt>
              </c:numCache>
            </c:numRef>
          </c:val>
          <c:extLst>
            <c:ext xmlns:c16="http://schemas.microsoft.com/office/drawing/2014/chart" uri="{C3380CC4-5D6E-409C-BE32-E72D297353CC}">
              <c16:uniqueId val="{00000009-C8B9-4D8E-B235-FDD395E2DD8F}"/>
            </c:ext>
          </c:extLst>
        </c:ser>
        <c:dLbls>
          <c:showLegendKey val="0"/>
          <c:showVal val="0"/>
          <c:showCatName val="0"/>
          <c:showSerName val="0"/>
          <c:showPercent val="0"/>
          <c:showBubbleSize val="0"/>
        </c:dLbls>
        <c:gapWidth val="219"/>
        <c:overlap val="-27"/>
        <c:axId val="193026127"/>
        <c:axId val="193026543"/>
      </c:barChart>
      <c:catAx>
        <c:axId val="193026127"/>
        <c:scaling>
          <c:orientation val="minMax"/>
        </c:scaling>
        <c:delete val="0"/>
        <c:axPos val="b"/>
        <c:numFmt formatCode="General" sourceLinked="0"/>
        <c:majorTickMark val="none"/>
        <c:minorTickMark val="none"/>
        <c:tickLblPos val="nextTo"/>
        <c:spPr>
          <a:noFill/>
          <a:ln w="9528" cap="flat" cmpd="sng" algn="ctr">
            <a:solidFill>
              <a:srgbClr val="D9D9D9"/>
            </a:solidFill>
            <a:prstDash val="solid"/>
            <a:round/>
          </a:ln>
        </c:spPr>
        <c:txPr>
          <a:bodyPr rot="-60000000" spcFirstLastPara="0" vertOverflow="ellipsis" vert="horz" wrap="square" lIns="0" tIns="0" rIns="0" bIns="0" anchor="ctr" anchorCtr="1"/>
          <a:lstStyle/>
          <a:p>
            <a:pPr>
              <a:defRPr lang="fr-FR" sz="900" b="1" i="0" u="none" strike="noStrike" kern="1200" baseline="0">
                <a:solidFill>
                  <a:srgbClr val="595959"/>
                </a:solidFill>
                <a:latin typeface="Calibri" panose="020F0502020204030204"/>
                <a:ea typeface="+mn-ea"/>
                <a:cs typeface="+mn-cs"/>
              </a:defRPr>
            </a:pPr>
            <a:endParaRPr lang="fr-FR"/>
          </a:p>
        </c:txPr>
        <c:crossAx val="193026543"/>
        <c:crosses val="autoZero"/>
        <c:auto val="1"/>
        <c:lblAlgn val="ctr"/>
        <c:lblOffset val="100"/>
        <c:noMultiLvlLbl val="0"/>
      </c:catAx>
      <c:valAx>
        <c:axId val="193026543"/>
        <c:scaling>
          <c:orientation val="minMax"/>
        </c:scaling>
        <c:delete val="0"/>
        <c:axPos val="l"/>
        <c:majorGridlines>
          <c:spPr>
            <a:ln w="9528" cap="flat" cmpd="sng" algn="ctr">
              <a:solidFill>
                <a:srgbClr val="D9D9D9"/>
              </a:solidFill>
              <a:prstDash val="solid"/>
              <a:round/>
            </a:ln>
          </c:spPr>
        </c:majorGridlines>
        <c:numFmt formatCode="General" sourceLinked="0"/>
        <c:majorTickMark val="none"/>
        <c:minorTickMark val="none"/>
        <c:tickLblPos val="nextTo"/>
        <c:spPr>
          <a:noFill/>
          <a:ln w="6350" cap="flat" cmpd="sng" algn="ctr">
            <a:noFill/>
            <a:prstDash val="solid"/>
            <a:round/>
          </a:ln>
        </c:spPr>
        <c:txPr>
          <a:bodyPr rot="-60000000" spcFirstLastPara="0" vertOverflow="ellipsis" vert="horz" wrap="square" lIns="0" tIns="0" rIns="0" bIns="0" anchor="ctr" anchorCtr="1"/>
          <a:lstStyle/>
          <a:p>
            <a:pPr>
              <a:defRPr lang="fr-FR" sz="900" b="1" i="0" u="none" strike="noStrike" kern="1200" baseline="0">
                <a:solidFill>
                  <a:srgbClr val="595959"/>
                </a:solidFill>
                <a:latin typeface="Calibri" panose="020F0502020204030204"/>
                <a:ea typeface="+mn-ea"/>
                <a:cs typeface="+mn-cs"/>
              </a:defRPr>
            </a:pPr>
            <a:endParaRPr lang="fr-FR"/>
          </a:p>
        </c:txPr>
        <c:crossAx val="193026127"/>
        <c:crosses val="autoZero"/>
        <c:crossBetween val="between"/>
      </c:valAx>
      <c:spPr>
        <a:noFill/>
        <a:ln>
          <a:noFill/>
        </a:ln>
      </c:spPr>
    </c:plotArea>
    <c:legend>
      <c:legendPos val="b"/>
      <c:overlay val="0"/>
      <c:spPr>
        <a:noFill/>
        <a:ln>
          <a:noFill/>
        </a:ln>
      </c:spPr>
      <c:txPr>
        <a:bodyPr rot="0" spcFirstLastPara="0" vertOverflow="ellipsis" vert="horz" wrap="square" lIns="0" tIns="0" rIns="0" bIns="0" anchor="ctr" anchorCtr="1"/>
        <a:lstStyle/>
        <a:p>
          <a:pPr>
            <a:defRPr lang="fr-FR" sz="900" b="1" i="0" u="none" strike="noStrike" kern="1200" baseline="0">
              <a:solidFill>
                <a:srgbClr val="595959"/>
              </a:solidFill>
              <a:latin typeface="Calibri" panose="020F0502020204030204"/>
              <a:ea typeface="+mn-ea"/>
              <a:cs typeface="+mn-cs"/>
            </a:defRPr>
          </a:pPr>
          <a:endParaRPr lang="fr-FR"/>
        </a:p>
      </c:txPr>
    </c:legend>
    <c:plotVisOnly val="1"/>
    <c:dispBlanksAs val="gap"/>
    <c:showDLblsOverMax val="0"/>
  </c:chart>
  <c:spPr>
    <a:solidFill>
      <a:srgbClr val="FFFFFF"/>
    </a:solidFill>
    <a:ln w="9528" cap="flat" cmpd="sng" algn="ctr">
      <a:solidFill>
        <a:srgbClr val="D9D9D9"/>
      </a:solidFill>
      <a:prstDash val="solid"/>
      <a:round/>
    </a:ln>
  </c:spPr>
  <c:txPr>
    <a:bodyPr lIns="0" tIns="0" rIns="0" bIns="0"/>
    <a:lstStyle/>
    <a:p>
      <a:pPr>
        <a:defRPr lang="fr-FR" sz="1000" b="0" i="0" u="none" strike="noStrike" kern="1200" baseline="0">
          <a:solidFill>
            <a:srgbClr val="000000"/>
          </a:solidFill>
          <a:latin typeface="Calibri" panose="020F0502020204030204"/>
        </a:defRPr>
      </a:pPr>
      <a:endParaRPr lang="fr-FR"/>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fr-FR" sz="1400" b="0" i="0" u="none" strike="noStrike" kern="1200" spc="0" baseline="0">
                <a:solidFill>
                  <a:sysClr val="windowText" lastClr="000000"/>
                </a:solidFill>
                <a:latin typeface="+mn-lt"/>
                <a:ea typeface="+mn-ea"/>
                <a:cs typeface="+mn-cs"/>
              </a:defRPr>
            </a:pPr>
            <a:r>
              <a:rPr lang="en-US" b="1" i="1">
                <a:solidFill>
                  <a:sysClr val="windowText" lastClr="000000"/>
                </a:solidFill>
              </a:rPr>
              <a:t>Libreinfo.Net</a:t>
            </a:r>
          </a:p>
        </c:rich>
      </c:tx>
      <c:overlay val="0"/>
      <c:spPr>
        <a:noFill/>
        <a:ln>
          <a:noFill/>
        </a:ln>
        <a:effectLst/>
      </c:spPr>
      <c:txPr>
        <a:bodyPr rot="0" spcFirstLastPara="1" vertOverflow="ellipsis" vert="horz" wrap="square" anchor="ctr" anchorCtr="1"/>
        <a:lstStyle/>
        <a:p>
          <a:pPr>
            <a:defRPr lang="fr-FR" sz="1400" b="0" i="0" u="none" strike="noStrike" kern="1200" spc="0" baseline="0">
              <a:solidFill>
                <a:sysClr val="windowText" lastClr="000000"/>
              </a:solidFill>
              <a:latin typeface="+mn-lt"/>
              <a:ea typeface="+mn-ea"/>
              <a:cs typeface="+mn-cs"/>
            </a:defRPr>
          </a:pPr>
          <a:endParaRPr lang="fr-FR"/>
        </a:p>
      </c:txPr>
    </c:title>
    <c:autoTitleDeleted val="0"/>
    <c:plotArea>
      <c:layout>
        <c:manualLayout>
          <c:layoutTarget val="inner"/>
          <c:xMode val="edge"/>
          <c:yMode val="edge"/>
          <c:x val="0.116025590551181"/>
          <c:y val="0.19486111111111101"/>
          <c:w val="0.67391382327209104"/>
          <c:h val="0.720887649460484"/>
        </c:manualLayout>
      </c:layout>
      <c:barChart>
        <c:barDir val="col"/>
        <c:grouping val="clustered"/>
        <c:varyColors val="0"/>
        <c:ser>
          <c:idx val="0"/>
          <c:order val="0"/>
          <c:tx>
            <c:strRef>
              <c:f>Feuil1!$B$91</c:f>
              <c:strCache>
                <c:ptCount val="1"/>
                <c:pt idx="0">
                  <c:v>MPP</c:v>
                </c:pt>
              </c:strCache>
            </c:strRef>
          </c:tx>
          <c:spPr>
            <a:solidFill>
              <a:schemeClr val="accent1"/>
            </a:solidFill>
            <a:ln>
              <a:noFill/>
            </a:ln>
            <a:effectLst/>
          </c:spPr>
          <c:invertIfNegative val="0"/>
          <c:cat>
            <c:strRef>
              <c:f>(Feuil1!$D$90,Feuil1!$F$90)</c:f>
              <c:strCache>
                <c:ptCount val="2"/>
                <c:pt idx="0">
                  <c:v>% NA</c:v>
                </c:pt>
                <c:pt idx="1">
                  <c:v>% NI</c:v>
                </c:pt>
              </c:strCache>
            </c:strRef>
          </c:cat>
          <c:val>
            <c:numRef>
              <c:f>(Feuil1!$D$91,Feuil1!$F$91)</c:f>
              <c:numCache>
                <c:formatCode>0.00%</c:formatCode>
                <c:ptCount val="2"/>
                <c:pt idx="0">
                  <c:v>0.30430000000000001</c:v>
                </c:pt>
                <c:pt idx="1">
                  <c:v>0.3125</c:v>
                </c:pt>
              </c:numCache>
            </c:numRef>
          </c:val>
          <c:extLst>
            <c:ext xmlns:c16="http://schemas.microsoft.com/office/drawing/2014/chart" uri="{C3380CC4-5D6E-409C-BE32-E72D297353CC}">
              <c16:uniqueId val="{00000000-51A1-4312-8CFD-83EE22C0160B}"/>
            </c:ext>
          </c:extLst>
        </c:ser>
        <c:ser>
          <c:idx val="1"/>
          <c:order val="1"/>
          <c:tx>
            <c:strRef>
              <c:f>Feuil1!$B$92</c:f>
              <c:strCache>
                <c:ptCount val="1"/>
                <c:pt idx="0">
                  <c:v>CDP</c:v>
                </c:pt>
              </c:strCache>
            </c:strRef>
          </c:tx>
          <c:spPr>
            <a:solidFill>
              <a:schemeClr val="accent2"/>
            </a:solidFill>
            <a:ln>
              <a:noFill/>
            </a:ln>
            <a:effectLst/>
          </c:spPr>
          <c:invertIfNegative val="0"/>
          <c:cat>
            <c:strRef>
              <c:f>(Feuil1!$D$90,Feuil1!$F$90)</c:f>
              <c:strCache>
                <c:ptCount val="2"/>
                <c:pt idx="0">
                  <c:v>% NA</c:v>
                </c:pt>
                <c:pt idx="1">
                  <c:v>% NI</c:v>
                </c:pt>
              </c:strCache>
            </c:strRef>
          </c:cat>
          <c:val>
            <c:numRef>
              <c:f>(Feuil1!$D$92,Feuil1!$F$92)</c:f>
              <c:numCache>
                <c:formatCode>0.00%</c:formatCode>
                <c:ptCount val="2"/>
                <c:pt idx="0">
                  <c:v>0.1739</c:v>
                </c:pt>
                <c:pt idx="1">
                  <c:v>0.16669999999999999</c:v>
                </c:pt>
              </c:numCache>
            </c:numRef>
          </c:val>
          <c:extLst>
            <c:ext xmlns:c16="http://schemas.microsoft.com/office/drawing/2014/chart" uri="{C3380CC4-5D6E-409C-BE32-E72D297353CC}">
              <c16:uniqueId val="{00000001-51A1-4312-8CFD-83EE22C0160B}"/>
            </c:ext>
          </c:extLst>
        </c:ser>
        <c:ser>
          <c:idx val="2"/>
          <c:order val="2"/>
          <c:tx>
            <c:strRef>
              <c:f>Feuil1!$B$93</c:f>
              <c:strCache>
                <c:ptCount val="1"/>
                <c:pt idx="0">
                  <c:v>SENS</c:v>
                </c:pt>
              </c:strCache>
            </c:strRef>
          </c:tx>
          <c:spPr>
            <a:solidFill>
              <a:schemeClr val="accent3"/>
            </a:solidFill>
            <a:ln>
              <a:noFill/>
            </a:ln>
            <a:effectLst/>
          </c:spPr>
          <c:invertIfNegative val="0"/>
          <c:cat>
            <c:strRef>
              <c:f>(Feuil1!$D$90,Feuil1!$F$90)</c:f>
              <c:strCache>
                <c:ptCount val="2"/>
                <c:pt idx="0">
                  <c:v>% NA</c:v>
                </c:pt>
                <c:pt idx="1">
                  <c:v>% NI</c:v>
                </c:pt>
              </c:strCache>
            </c:strRef>
          </c:cat>
          <c:val>
            <c:numRef>
              <c:f>(Feuil1!$D$93,Feuil1!$F$93)</c:f>
              <c:numCache>
                <c:formatCode>0.00%</c:formatCode>
                <c:ptCount val="2"/>
                <c:pt idx="0">
                  <c:v>0.1522</c:v>
                </c:pt>
                <c:pt idx="1">
                  <c:v>0.14580000000000001</c:v>
                </c:pt>
              </c:numCache>
            </c:numRef>
          </c:val>
          <c:extLst>
            <c:ext xmlns:c16="http://schemas.microsoft.com/office/drawing/2014/chart" uri="{C3380CC4-5D6E-409C-BE32-E72D297353CC}">
              <c16:uniqueId val="{00000002-51A1-4312-8CFD-83EE22C0160B}"/>
            </c:ext>
          </c:extLst>
        </c:ser>
        <c:ser>
          <c:idx val="3"/>
          <c:order val="3"/>
          <c:tx>
            <c:strRef>
              <c:f>Feuil1!$B$94</c:f>
              <c:strCache>
                <c:ptCount val="1"/>
                <c:pt idx="0">
                  <c:v>UNIR/MPS</c:v>
                </c:pt>
              </c:strCache>
            </c:strRef>
          </c:tx>
          <c:spPr>
            <a:solidFill>
              <a:schemeClr val="accent4"/>
            </a:solidFill>
            <a:ln>
              <a:noFill/>
            </a:ln>
            <a:effectLst/>
          </c:spPr>
          <c:invertIfNegative val="0"/>
          <c:cat>
            <c:strRef>
              <c:f>(Feuil1!$D$90,Feuil1!$F$90)</c:f>
              <c:strCache>
                <c:ptCount val="2"/>
                <c:pt idx="0">
                  <c:v>% NA</c:v>
                </c:pt>
                <c:pt idx="1">
                  <c:v>% NI</c:v>
                </c:pt>
              </c:strCache>
            </c:strRef>
          </c:cat>
          <c:val>
            <c:numRef>
              <c:f>(Feuil1!$D$94,Feuil1!$F$94)</c:f>
              <c:numCache>
                <c:formatCode>0.00%</c:formatCode>
                <c:ptCount val="2"/>
                <c:pt idx="0">
                  <c:v>6.5199999999999994E-2</c:v>
                </c:pt>
                <c:pt idx="1">
                  <c:v>6.25E-2</c:v>
                </c:pt>
              </c:numCache>
            </c:numRef>
          </c:val>
          <c:extLst>
            <c:ext xmlns:c16="http://schemas.microsoft.com/office/drawing/2014/chart" uri="{C3380CC4-5D6E-409C-BE32-E72D297353CC}">
              <c16:uniqueId val="{00000003-51A1-4312-8CFD-83EE22C0160B}"/>
            </c:ext>
          </c:extLst>
        </c:ser>
        <c:ser>
          <c:idx val="4"/>
          <c:order val="4"/>
          <c:tx>
            <c:strRef>
              <c:f>Feuil1!$B$95</c:f>
              <c:strCache>
                <c:ptCount val="1"/>
                <c:pt idx="0">
                  <c:v>ADF/RDA</c:v>
                </c:pt>
              </c:strCache>
            </c:strRef>
          </c:tx>
          <c:spPr>
            <a:solidFill>
              <a:schemeClr val="accent5"/>
            </a:solidFill>
            <a:ln>
              <a:noFill/>
            </a:ln>
            <a:effectLst/>
          </c:spPr>
          <c:invertIfNegative val="0"/>
          <c:cat>
            <c:strRef>
              <c:f>(Feuil1!$D$90,Feuil1!$F$90)</c:f>
              <c:strCache>
                <c:ptCount val="2"/>
                <c:pt idx="0">
                  <c:v>% NA</c:v>
                </c:pt>
                <c:pt idx="1">
                  <c:v>% NI</c:v>
                </c:pt>
              </c:strCache>
            </c:strRef>
          </c:cat>
          <c:val>
            <c:numRef>
              <c:f>(Feuil1!$D$95,Feuil1!$F$95)</c:f>
              <c:numCache>
                <c:formatCode>0.00%</c:formatCode>
                <c:ptCount val="2"/>
                <c:pt idx="0">
                  <c:v>4.3499999999999997E-2</c:v>
                </c:pt>
                <c:pt idx="1">
                  <c:v>4.1700000000000001E-2</c:v>
                </c:pt>
              </c:numCache>
            </c:numRef>
          </c:val>
          <c:extLst>
            <c:ext xmlns:c16="http://schemas.microsoft.com/office/drawing/2014/chart" uri="{C3380CC4-5D6E-409C-BE32-E72D297353CC}">
              <c16:uniqueId val="{00000004-51A1-4312-8CFD-83EE22C0160B}"/>
            </c:ext>
          </c:extLst>
        </c:ser>
        <c:ser>
          <c:idx val="5"/>
          <c:order val="5"/>
          <c:tx>
            <c:strRef>
              <c:f>Feuil1!$B$96</c:f>
              <c:strCache>
                <c:ptCount val="1"/>
                <c:pt idx="0">
                  <c:v>FA</c:v>
                </c:pt>
              </c:strCache>
            </c:strRef>
          </c:tx>
          <c:spPr>
            <a:solidFill>
              <a:schemeClr val="accent6"/>
            </a:solidFill>
            <a:ln>
              <a:noFill/>
            </a:ln>
            <a:effectLst/>
          </c:spPr>
          <c:invertIfNegative val="0"/>
          <c:cat>
            <c:strRef>
              <c:f>(Feuil1!$D$90,Feuil1!$F$90)</c:f>
              <c:strCache>
                <c:ptCount val="2"/>
                <c:pt idx="0">
                  <c:v>% NA</c:v>
                </c:pt>
                <c:pt idx="1">
                  <c:v>% NI</c:v>
                </c:pt>
              </c:strCache>
            </c:strRef>
          </c:cat>
          <c:val>
            <c:numRef>
              <c:f>(Feuil1!$D$96,Feuil1!$F$96)</c:f>
              <c:numCache>
                <c:formatCode>0.00%</c:formatCode>
                <c:ptCount val="2"/>
                <c:pt idx="0">
                  <c:v>4.3499999999999997E-2</c:v>
                </c:pt>
                <c:pt idx="1">
                  <c:v>4.1700000000000001E-2</c:v>
                </c:pt>
              </c:numCache>
            </c:numRef>
          </c:val>
          <c:extLst>
            <c:ext xmlns:c16="http://schemas.microsoft.com/office/drawing/2014/chart" uri="{C3380CC4-5D6E-409C-BE32-E72D297353CC}">
              <c16:uniqueId val="{00000005-51A1-4312-8CFD-83EE22C0160B}"/>
            </c:ext>
          </c:extLst>
        </c:ser>
        <c:ser>
          <c:idx val="6"/>
          <c:order val="6"/>
          <c:tx>
            <c:strRef>
              <c:f>Feuil1!$B$97</c:f>
              <c:strCache>
                <c:ptCount val="1"/>
                <c:pt idx="0">
                  <c:v>MRB</c:v>
                </c:pt>
              </c:strCache>
            </c:strRef>
          </c:tx>
          <c:spPr>
            <a:solidFill>
              <a:schemeClr val="accent1">
                <a:lumMod val="60000"/>
              </a:schemeClr>
            </a:solidFill>
            <a:ln>
              <a:noFill/>
            </a:ln>
            <a:effectLst/>
          </c:spPr>
          <c:invertIfNegative val="0"/>
          <c:cat>
            <c:strRef>
              <c:f>(Feuil1!$D$90,Feuil1!$F$90)</c:f>
              <c:strCache>
                <c:ptCount val="2"/>
                <c:pt idx="0">
                  <c:v>% NA</c:v>
                </c:pt>
                <c:pt idx="1">
                  <c:v>% NI</c:v>
                </c:pt>
              </c:strCache>
            </c:strRef>
          </c:cat>
          <c:val>
            <c:numRef>
              <c:f>(Feuil1!$D$97,Feuil1!$F$97)</c:f>
              <c:numCache>
                <c:formatCode>0.00%</c:formatCode>
                <c:ptCount val="2"/>
                <c:pt idx="0">
                  <c:v>4.3499999999999997E-2</c:v>
                </c:pt>
                <c:pt idx="1">
                  <c:v>4.1700000000000001E-2</c:v>
                </c:pt>
              </c:numCache>
            </c:numRef>
          </c:val>
          <c:extLst>
            <c:ext xmlns:c16="http://schemas.microsoft.com/office/drawing/2014/chart" uri="{C3380CC4-5D6E-409C-BE32-E72D297353CC}">
              <c16:uniqueId val="{00000006-51A1-4312-8CFD-83EE22C0160B}"/>
            </c:ext>
          </c:extLst>
        </c:ser>
        <c:ser>
          <c:idx val="7"/>
          <c:order val="7"/>
          <c:tx>
            <c:strRef>
              <c:f>Feuil1!$B$98</c:f>
              <c:strCache>
                <c:ptCount val="1"/>
                <c:pt idx="0">
                  <c:v>UNDD</c:v>
                </c:pt>
              </c:strCache>
            </c:strRef>
          </c:tx>
          <c:spPr>
            <a:solidFill>
              <a:schemeClr val="accent2">
                <a:lumMod val="60000"/>
              </a:schemeClr>
            </a:solidFill>
            <a:ln>
              <a:noFill/>
            </a:ln>
            <a:effectLst/>
          </c:spPr>
          <c:invertIfNegative val="0"/>
          <c:cat>
            <c:strRef>
              <c:f>(Feuil1!$D$90,Feuil1!$F$90)</c:f>
              <c:strCache>
                <c:ptCount val="2"/>
                <c:pt idx="0">
                  <c:v>% NA</c:v>
                </c:pt>
                <c:pt idx="1">
                  <c:v>% NI</c:v>
                </c:pt>
              </c:strCache>
            </c:strRef>
          </c:cat>
          <c:val>
            <c:numRef>
              <c:f>(Feuil1!$D$98,Feuil1!$F$98)</c:f>
              <c:numCache>
                <c:formatCode>0.00%</c:formatCode>
                <c:ptCount val="2"/>
                <c:pt idx="0">
                  <c:v>4.3499999999999997E-2</c:v>
                </c:pt>
                <c:pt idx="1">
                  <c:v>4.1700000000000001E-2</c:v>
                </c:pt>
              </c:numCache>
            </c:numRef>
          </c:val>
          <c:extLst>
            <c:ext xmlns:c16="http://schemas.microsoft.com/office/drawing/2014/chart" uri="{C3380CC4-5D6E-409C-BE32-E72D297353CC}">
              <c16:uniqueId val="{00000007-51A1-4312-8CFD-83EE22C0160B}"/>
            </c:ext>
          </c:extLst>
        </c:ser>
        <c:ser>
          <c:idx val="8"/>
          <c:order val="8"/>
          <c:tx>
            <c:strRef>
              <c:f>Feuil1!$B$99</c:f>
              <c:strCache>
                <c:ptCount val="1"/>
                <c:pt idx="0">
                  <c:v>LES DEMOC</c:v>
                </c:pt>
              </c:strCache>
            </c:strRef>
          </c:tx>
          <c:spPr>
            <a:solidFill>
              <a:schemeClr val="accent3">
                <a:lumMod val="60000"/>
              </a:schemeClr>
            </a:solidFill>
            <a:ln>
              <a:noFill/>
            </a:ln>
            <a:effectLst/>
          </c:spPr>
          <c:invertIfNegative val="0"/>
          <c:cat>
            <c:strRef>
              <c:f>(Feuil1!$D$90,Feuil1!$F$90)</c:f>
              <c:strCache>
                <c:ptCount val="2"/>
                <c:pt idx="0">
                  <c:v>% NA</c:v>
                </c:pt>
                <c:pt idx="1">
                  <c:v>% NI</c:v>
                </c:pt>
              </c:strCache>
            </c:strRef>
          </c:cat>
          <c:val>
            <c:numRef>
              <c:f>(Feuil1!$D$99,Feuil1!$F$99)</c:f>
              <c:numCache>
                <c:formatCode>0.00%</c:formatCode>
                <c:ptCount val="2"/>
                <c:pt idx="0">
                  <c:v>2.1700000000000001E-2</c:v>
                </c:pt>
                <c:pt idx="1">
                  <c:v>4.1700000000000001E-2</c:v>
                </c:pt>
              </c:numCache>
            </c:numRef>
          </c:val>
          <c:extLst>
            <c:ext xmlns:c16="http://schemas.microsoft.com/office/drawing/2014/chart" uri="{C3380CC4-5D6E-409C-BE32-E72D297353CC}">
              <c16:uniqueId val="{00000008-51A1-4312-8CFD-83EE22C0160B}"/>
            </c:ext>
          </c:extLst>
        </c:ser>
        <c:ser>
          <c:idx val="9"/>
          <c:order val="9"/>
          <c:tx>
            <c:strRef>
              <c:f>Feuil1!$B$100</c:f>
              <c:strCache>
                <c:ptCount val="1"/>
                <c:pt idx="0">
                  <c:v>NTD</c:v>
                </c:pt>
              </c:strCache>
            </c:strRef>
          </c:tx>
          <c:spPr>
            <a:solidFill>
              <a:schemeClr val="accent4">
                <a:lumMod val="60000"/>
              </a:schemeClr>
            </a:solidFill>
            <a:ln>
              <a:noFill/>
            </a:ln>
            <a:effectLst/>
          </c:spPr>
          <c:invertIfNegative val="0"/>
          <c:cat>
            <c:strRef>
              <c:f>(Feuil1!$D$90,Feuil1!$F$90)</c:f>
              <c:strCache>
                <c:ptCount val="2"/>
                <c:pt idx="0">
                  <c:v>% NA</c:v>
                </c:pt>
                <c:pt idx="1">
                  <c:v>% NI</c:v>
                </c:pt>
              </c:strCache>
            </c:strRef>
          </c:cat>
          <c:val>
            <c:numRef>
              <c:f>(Feuil1!$D$100,Feuil1!$F$100)</c:f>
              <c:numCache>
                <c:formatCode>0.00%</c:formatCode>
                <c:ptCount val="2"/>
                <c:pt idx="0">
                  <c:v>2.1700000000000001E-2</c:v>
                </c:pt>
                <c:pt idx="1">
                  <c:v>2.0799999999999999E-2</c:v>
                </c:pt>
              </c:numCache>
            </c:numRef>
          </c:val>
          <c:extLst>
            <c:ext xmlns:c16="http://schemas.microsoft.com/office/drawing/2014/chart" uri="{C3380CC4-5D6E-409C-BE32-E72D297353CC}">
              <c16:uniqueId val="{00000009-51A1-4312-8CFD-83EE22C0160B}"/>
            </c:ext>
          </c:extLst>
        </c:ser>
        <c:dLbls>
          <c:showLegendKey val="0"/>
          <c:showVal val="0"/>
          <c:showCatName val="0"/>
          <c:showSerName val="0"/>
          <c:showPercent val="0"/>
          <c:showBubbleSize val="0"/>
        </c:dLbls>
        <c:gapWidth val="219"/>
        <c:overlap val="-27"/>
        <c:axId val="83447071"/>
        <c:axId val="83444159"/>
      </c:barChart>
      <c:catAx>
        <c:axId val="834470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83444159"/>
        <c:crosses val="autoZero"/>
        <c:auto val="1"/>
        <c:lblAlgn val="ctr"/>
        <c:lblOffset val="100"/>
        <c:noMultiLvlLbl val="0"/>
      </c:catAx>
      <c:valAx>
        <c:axId val="8344415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8344707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fr-FR"/>
      </a:pPr>
      <a:endParaRPr lang="fr-F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fr-FR" sz="1400" b="0" i="0" u="none" strike="noStrike" kern="1200" spc="0" baseline="0">
                <a:solidFill>
                  <a:schemeClr val="tx1">
                    <a:lumMod val="65000"/>
                    <a:lumOff val="35000"/>
                  </a:schemeClr>
                </a:solidFill>
                <a:latin typeface="+mn-lt"/>
                <a:ea typeface="+mn-ea"/>
                <a:cs typeface="+mn-cs"/>
              </a:defRPr>
            </a:pPr>
            <a:r>
              <a:rPr lang="fr-FR" sz="1400" b="1" i="1" u="none" strike="noStrike" baseline="0">
                <a:effectLst/>
              </a:rPr>
              <a:t>Ouestinfo</a:t>
            </a:r>
            <a:r>
              <a:rPr lang="fr-FR" sz="1400" b="0" i="0" u="none" strike="noStrike" baseline="0"/>
              <a:t> </a:t>
            </a:r>
            <a:endParaRPr lang="fr-FR"/>
          </a:p>
        </c:rich>
      </c:tx>
      <c:overlay val="0"/>
      <c:spPr>
        <a:noFill/>
        <a:ln>
          <a:noFill/>
        </a:ln>
        <a:effectLst/>
      </c:spPr>
      <c:txPr>
        <a:bodyPr rot="0" spcFirstLastPara="1" vertOverflow="ellipsis" vert="horz" wrap="square" anchor="ctr" anchorCtr="1"/>
        <a:lstStyle/>
        <a:p>
          <a:pPr>
            <a:defRPr lang="fr-F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Feuil1!$B$11</c:f>
              <c:strCache>
                <c:ptCount val="1"/>
                <c:pt idx="0">
                  <c:v>ATD</c:v>
                </c:pt>
              </c:strCache>
            </c:strRef>
          </c:tx>
          <c:spPr>
            <a:solidFill>
              <a:schemeClr val="accent1"/>
            </a:solidFill>
            <a:ln>
              <a:noFill/>
            </a:ln>
            <a:effectLst/>
          </c:spPr>
          <c:invertIfNegative val="0"/>
          <c:cat>
            <c:strRef>
              <c:f>Feuil1!$C$10:$F$10</c:f>
              <c:strCache>
                <c:ptCount val="2"/>
                <c:pt idx="0">
                  <c:v>%NA</c:v>
                </c:pt>
                <c:pt idx="1">
                  <c:v>%NI</c:v>
                </c:pt>
              </c:strCache>
            </c:strRef>
          </c:cat>
          <c:val>
            <c:numRef>
              <c:f>Feuil1!$C$11:$F$11</c:f>
              <c:numCache>
                <c:formatCode>0.00%</c:formatCode>
                <c:ptCount val="2"/>
                <c:pt idx="0">
                  <c:v>0.2</c:v>
                </c:pt>
                <c:pt idx="1">
                  <c:v>0.28570000000000001</c:v>
                </c:pt>
              </c:numCache>
            </c:numRef>
          </c:val>
          <c:extLst>
            <c:ext xmlns:c16="http://schemas.microsoft.com/office/drawing/2014/chart" uri="{C3380CC4-5D6E-409C-BE32-E72D297353CC}">
              <c16:uniqueId val="{00000000-50BE-45AA-8E9B-BD354E22DCBC}"/>
            </c:ext>
          </c:extLst>
        </c:ser>
        <c:ser>
          <c:idx val="1"/>
          <c:order val="1"/>
          <c:tx>
            <c:strRef>
              <c:f>Feuil1!$B$12</c:f>
              <c:strCache>
                <c:ptCount val="1"/>
                <c:pt idx="0">
                  <c:v>CDP</c:v>
                </c:pt>
              </c:strCache>
            </c:strRef>
          </c:tx>
          <c:spPr>
            <a:solidFill>
              <a:schemeClr val="accent2"/>
            </a:solidFill>
            <a:ln>
              <a:noFill/>
            </a:ln>
            <a:effectLst/>
          </c:spPr>
          <c:invertIfNegative val="0"/>
          <c:cat>
            <c:strRef>
              <c:f>Feuil1!$C$10:$F$10</c:f>
              <c:strCache>
                <c:ptCount val="2"/>
                <c:pt idx="0">
                  <c:v>%NA</c:v>
                </c:pt>
                <c:pt idx="1">
                  <c:v>%NI</c:v>
                </c:pt>
              </c:strCache>
            </c:strRef>
          </c:cat>
          <c:val>
            <c:numRef>
              <c:f>Feuil1!$C$12:$F$12</c:f>
              <c:numCache>
                <c:formatCode>0.00%</c:formatCode>
                <c:ptCount val="2"/>
                <c:pt idx="0">
                  <c:v>0.2</c:v>
                </c:pt>
                <c:pt idx="1">
                  <c:v>0.28570000000000001</c:v>
                </c:pt>
              </c:numCache>
            </c:numRef>
          </c:val>
          <c:extLst>
            <c:ext xmlns:c16="http://schemas.microsoft.com/office/drawing/2014/chart" uri="{C3380CC4-5D6E-409C-BE32-E72D297353CC}">
              <c16:uniqueId val="{00000001-50BE-45AA-8E9B-BD354E22DCBC}"/>
            </c:ext>
          </c:extLst>
        </c:ser>
        <c:ser>
          <c:idx val="2"/>
          <c:order val="2"/>
          <c:tx>
            <c:strRef>
              <c:f>Feuil1!$B$13</c:f>
              <c:strCache>
                <c:ptCount val="1"/>
                <c:pt idx="0">
                  <c:v>PNPS</c:v>
                </c:pt>
              </c:strCache>
            </c:strRef>
          </c:tx>
          <c:spPr>
            <a:solidFill>
              <a:schemeClr val="accent3"/>
            </a:solidFill>
            <a:ln>
              <a:noFill/>
            </a:ln>
            <a:effectLst/>
          </c:spPr>
          <c:invertIfNegative val="0"/>
          <c:cat>
            <c:strRef>
              <c:f>Feuil1!$C$10:$F$10</c:f>
              <c:strCache>
                <c:ptCount val="2"/>
                <c:pt idx="0">
                  <c:v>%NA</c:v>
                </c:pt>
                <c:pt idx="1">
                  <c:v>%NI</c:v>
                </c:pt>
              </c:strCache>
            </c:strRef>
          </c:cat>
          <c:val>
            <c:numRef>
              <c:f>Feuil1!$C$13:$F$13</c:f>
              <c:numCache>
                <c:formatCode>0.00%</c:formatCode>
                <c:ptCount val="2"/>
                <c:pt idx="0">
                  <c:v>0.2</c:v>
                </c:pt>
                <c:pt idx="1">
                  <c:v>0.14280000000000001</c:v>
                </c:pt>
              </c:numCache>
            </c:numRef>
          </c:val>
          <c:extLst>
            <c:ext xmlns:c16="http://schemas.microsoft.com/office/drawing/2014/chart" uri="{C3380CC4-5D6E-409C-BE32-E72D297353CC}">
              <c16:uniqueId val="{00000002-50BE-45AA-8E9B-BD354E22DCBC}"/>
            </c:ext>
          </c:extLst>
        </c:ser>
        <c:ser>
          <c:idx val="3"/>
          <c:order val="3"/>
          <c:tx>
            <c:strRef>
              <c:f>Feuil1!$B$14</c:f>
              <c:strCache>
                <c:ptCount val="1"/>
                <c:pt idx="0">
                  <c:v>PTD</c:v>
                </c:pt>
              </c:strCache>
            </c:strRef>
          </c:tx>
          <c:spPr>
            <a:solidFill>
              <a:schemeClr val="accent4"/>
            </a:solidFill>
            <a:ln>
              <a:noFill/>
            </a:ln>
            <a:effectLst/>
          </c:spPr>
          <c:invertIfNegative val="0"/>
          <c:cat>
            <c:strRef>
              <c:f>Feuil1!$C$10:$F$10</c:f>
              <c:strCache>
                <c:ptCount val="2"/>
                <c:pt idx="0">
                  <c:v>%NA</c:v>
                </c:pt>
                <c:pt idx="1">
                  <c:v>%NI</c:v>
                </c:pt>
              </c:strCache>
            </c:strRef>
          </c:cat>
          <c:val>
            <c:numRef>
              <c:f>Feuil1!$C$14:$F$14</c:f>
              <c:numCache>
                <c:formatCode>0.00%</c:formatCode>
                <c:ptCount val="2"/>
                <c:pt idx="0">
                  <c:v>0.2</c:v>
                </c:pt>
                <c:pt idx="1">
                  <c:v>0.14280000000000001</c:v>
                </c:pt>
              </c:numCache>
            </c:numRef>
          </c:val>
          <c:extLst>
            <c:ext xmlns:c16="http://schemas.microsoft.com/office/drawing/2014/chart" uri="{C3380CC4-5D6E-409C-BE32-E72D297353CC}">
              <c16:uniqueId val="{00000003-50BE-45AA-8E9B-BD354E22DCBC}"/>
            </c:ext>
          </c:extLst>
        </c:ser>
        <c:ser>
          <c:idx val="4"/>
          <c:order val="4"/>
          <c:tx>
            <c:strRef>
              <c:f>Feuil1!$B$15</c:f>
              <c:strCache>
                <c:ptCount val="1"/>
                <c:pt idx="0">
                  <c:v>UNIR/MPS</c:v>
                </c:pt>
              </c:strCache>
            </c:strRef>
          </c:tx>
          <c:spPr>
            <a:solidFill>
              <a:schemeClr val="accent5"/>
            </a:solidFill>
            <a:ln>
              <a:noFill/>
            </a:ln>
            <a:effectLst/>
          </c:spPr>
          <c:invertIfNegative val="0"/>
          <c:cat>
            <c:strRef>
              <c:f>Feuil1!$C$10:$F$10</c:f>
              <c:strCache>
                <c:ptCount val="2"/>
                <c:pt idx="0">
                  <c:v>%NA</c:v>
                </c:pt>
                <c:pt idx="1">
                  <c:v>%NI</c:v>
                </c:pt>
              </c:strCache>
            </c:strRef>
          </c:cat>
          <c:val>
            <c:numRef>
              <c:f>Feuil1!$C$15:$F$15</c:f>
              <c:numCache>
                <c:formatCode>0.00%</c:formatCode>
                <c:ptCount val="2"/>
                <c:pt idx="0">
                  <c:v>0.2</c:v>
                </c:pt>
                <c:pt idx="1">
                  <c:v>0.14280000000000001</c:v>
                </c:pt>
              </c:numCache>
            </c:numRef>
          </c:val>
          <c:extLst>
            <c:ext xmlns:c16="http://schemas.microsoft.com/office/drawing/2014/chart" uri="{C3380CC4-5D6E-409C-BE32-E72D297353CC}">
              <c16:uniqueId val="{00000004-50BE-45AA-8E9B-BD354E22DCBC}"/>
            </c:ext>
          </c:extLst>
        </c:ser>
        <c:dLbls>
          <c:showLegendKey val="0"/>
          <c:showVal val="0"/>
          <c:showCatName val="0"/>
          <c:showSerName val="0"/>
          <c:showPercent val="0"/>
          <c:showBubbleSize val="0"/>
        </c:dLbls>
        <c:gapWidth val="219"/>
        <c:overlap val="-27"/>
        <c:axId val="573072168"/>
        <c:axId val="573473656"/>
      </c:barChart>
      <c:catAx>
        <c:axId val="573072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573473656"/>
        <c:crosses val="autoZero"/>
        <c:auto val="1"/>
        <c:lblAlgn val="ctr"/>
        <c:lblOffset val="100"/>
        <c:noMultiLvlLbl val="0"/>
      </c:catAx>
      <c:valAx>
        <c:axId val="57347365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57307216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fr-FR"/>
      </a:pPr>
      <a:endParaRPr lang="fr-FR"/>
    </a:p>
  </c:txPr>
  <c:externalData r:id="rId4">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fr-FR" sz="1400" b="1" i="0" u="none" strike="noStrike" kern="1200" spc="0" baseline="0">
                <a:solidFill>
                  <a:schemeClr val="tx1">
                    <a:lumMod val="65000"/>
                    <a:lumOff val="35000"/>
                  </a:schemeClr>
                </a:solidFill>
                <a:latin typeface="+mn-lt"/>
                <a:ea typeface="+mn-ea"/>
                <a:cs typeface="+mn-cs"/>
              </a:defRPr>
            </a:pPr>
            <a:r>
              <a:rPr lang="en-US" b="1" i="1"/>
              <a:t>Ouestactu.ne</a:t>
            </a:r>
            <a:r>
              <a:rPr lang="en-US" b="1"/>
              <a:t>t</a:t>
            </a:r>
          </a:p>
        </c:rich>
      </c:tx>
      <c:overlay val="0"/>
      <c:spPr>
        <a:noFill/>
        <a:ln>
          <a:noFill/>
        </a:ln>
        <a:effectLst/>
      </c:spPr>
      <c:txPr>
        <a:bodyPr rot="0" spcFirstLastPara="1" vertOverflow="ellipsis" vert="horz" wrap="square" anchor="ctr" anchorCtr="1"/>
        <a:lstStyle/>
        <a:p>
          <a:pPr>
            <a:defRPr lang="fr-FR" sz="1400" b="1"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Feuil1!$B$21</c:f>
              <c:strCache>
                <c:ptCount val="1"/>
                <c:pt idx="0">
                  <c:v>CDP</c:v>
                </c:pt>
              </c:strCache>
            </c:strRef>
          </c:tx>
          <c:spPr>
            <a:solidFill>
              <a:schemeClr val="accent1"/>
            </a:solidFill>
            <a:ln>
              <a:noFill/>
            </a:ln>
            <a:effectLst/>
          </c:spPr>
          <c:invertIfNegative val="0"/>
          <c:cat>
            <c:strRef>
              <c:f>(Feuil1!$D$20,Feuil1!$F$20)</c:f>
              <c:strCache>
                <c:ptCount val="2"/>
                <c:pt idx="0">
                  <c:v>%NA</c:v>
                </c:pt>
                <c:pt idx="1">
                  <c:v>%NI</c:v>
                </c:pt>
              </c:strCache>
            </c:strRef>
          </c:cat>
          <c:val>
            <c:numRef>
              <c:f>(Feuil1!$D$21,Feuil1!$F$21)</c:f>
              <c:numCache>
                <c:formatCode>0.00%</c:formatCode>
                <c:ptCount val="2"/>
                <c:pt idx="0">
                  <c:v>0.4</c:v>
                </c:pt>
                <c:pt idx="1">
                  <c:v>0.4</c:v>
                </c:pt>
              </c:numCache>
            </c:numRef>
          </c:val>
          <c:extLst>
            <c:ext xmlns:c16="http://schemas.microsoft.com/office/drawing/2014/chart" uri="{C3380CC4-5D6E-409C-BE32-E72D297353CC}">
              <c16:uniqueId val="{00000000-F5CD-47F6-8F4A-4EEF773C7651}"/>
            </c:ext>
          </c:extLst>
        </c:ser>
        <c:ser>
          <c:idx val="1"/>
          <c:order val="1"/>
          <c:tx>
            <c:strRef>
              <c:f>Feuil1!$B$22</c:f>
              <c:strCache>
                <c:ptCount val="1"/>
                <c:pt idx="0">
                  <c:v>MPP</c:v>
                </c:pt>
              </c:strCache>
            </c:strRef>
          </c:tx>
          <c:spPr>
            <a:solidFill>
              <a:schemeClr val="accent2"/>
            </a:solidFill>
            <a:ln>
              <a:noFill/>
            </a:ln>
            <a:effectLst/>
          </c:spPr>
          <c:invertIfNegative val="0"/>
          <c:cat>
            <c:strRef>
              <c:f>(Feuil1!$D$20,Feuil1!$F$20)</c:f>
              <c:strCache>
                <c:ptCount val="2"/>
                <c:pt idx="0">
                  <c:v>%NA</c:v>
                </c:pt>
                <c:pt idx="1">
                  <c:v>%NI</c:v>
                </c:pt>
              </c:strCache>
            </c:strRef>
          </c:cat>
          <c:val>
            <c:numRef>
              <c:f>(Feuil1!$D$22,Feuil1!$F$22)</c:f>
              <c:numCache>
                <c:formatCode>0.00%</c:formatCode>
                <c:ptCount val="2"/>
                <c:pt idx="0">
                  <c:v>0.2</c:v>
                </c:pt>
                <c:pt idx="1">
                  <c:v>0.2</c:v>
                </c:pt>
              </c:numCache>
            </c:numRef>
          </c:val>
          <c:extLst>
            <c:ext xmlns:c16="http://schemas.microsoft.com/office/drawing/2014/chart" uri="{C3380CC4-5D6E-409C-BE32-E72D297353CC}">
              <c16:uniqueId val="{00000001-F5CD-47F6-8F4A-4EEF773C7651}"/>
            </c:ext>
          </c:extLst>
        </c:ser>
        <c:ser>
          <c:idx val="2"/>
          <c:order val="2"/>
          <c:tx>
            <c:strRef>
              <c:f>Feuil1!$B$23</c:f>
              <c:strCache>
                <c:ptCount val="1"/>
                <c:pt idx="0">
                  <c:v>SOCL</c:v>
                </c:pt>
              </c:strCache>
            </c:strRef>
          </c:tx>
          <c:spPr>
            <a:solidFill>
              <a:schemeClr val="accent3"/>
            </a:solidFill>
            <a:ln>
              <a:noFill/>
            </a:ln>
            <a:effectLst/>
          </c:spPr>
          <c:invertIfNegative val="0"/>
          <c:cat>
            <c:strRef>
              <c:f>(Feuil1!$D$20,Feuil1!$F$20)</c:f>
              <c:strCache>
                <c:ptCount val="2"/>
                <c:pt idx="0">
                  <c:v>%NA</c:v>
                </c:pt>
                <c:pt idx="1">
                  <c:v>%NI</c:v>
                </c:pt>
              </c:strCache>
            </c:strRef>
          </c:cat>
          <c:val>
            <c:numRef>
              <c:f>(Feuil1!$D$23,Feuil1!$F$23)</c:f>
              <c:numCache>
                <c:formatCode>0.00%</c:formatCode>
                <c:ptCount val="2"/>
                <c:pt idx="0">
                  <c:v>0.2</c:v>
                </c:pt>
                <c:pt idx="1">
                  <c:v>0.2</c:v>
                </c:pt>
              </c:numCache>
            </c:numRef>
          </c:val>
          <c:extLst>
            <c:ext xmlns:c16="http://schemas.microsoft.com/office/drawing/2014/chart" uri="{C3380CC4-5D6E-409C-BE32-E72D297353CC}">
              <c16:uniqueId val="{00000002-F5CD-47F6-8F4A-4EEF773C7651}"/>
            </c:ext>
          </c:extLst>
        </c:ser>
        <c:ser>
          <c:idx val="3"/>
          <c:order val="3"/>
          <c:tx>
            <c:strRef>
              <c:f>Feuil1!$B$24</c:f>
              <c:strCache>
                <c:ptCount val="1"/>
                <c:pt idx="0">
                  <c:v>UNIR/MPS</c:v>
                </c:pt>
              </c:strCache>
            </c:strRef>
          </c:tx>
          <c:spPr>
            <a:solidFill>
              <a:schemeClr val="accent4"/>
            </a:solidFill>
            <a:ln>
              <a:noFill/>
            </a:ln>
            <a:effectLst/>
          </c:spPr>
          <c:invertIfNegative val="0"/>
          <c:cat>
            <c:strRef>
              <c:f>(Feuil1!$D$20,Feuil1!$F$20)</c:f>
              <c:strCache>
                <c:ptCount val="2"/>
                <c:pt idx="0">
                  <c:v>%NA</c:v>
                </c:pt>
                <c:pt idx="1">
                  <c:v>%NI</c:v>
                </c:pt>
              </c:strCache>
            </c:strRef>
          </c:cat>
          <c:val>
            <c:numRef>
              <c:f>(Feuil1!$D$24,Feuil1!$F$24)</c:f>
              <c:numCache>
                <c:formatCode>0.00%</c:formatCode>
                <c:ptCount val="2"/>
                <c:pt idx="0">
                  <c:v>0.2</c:v>
                </c:pt>
                <c:pt idx="1">
                  <c:v>0.2</c:v>
                </c:pt>
              </c:numCache>
            </c:numRef>
          </c:val>
          <c:extLst>
            <c:ext xmlns:c16="http://schemas.microsoft.com/office/drawing/2014/chart" uri="{C3380CC4-5D6E-409C-BE32-E72D297353CC}">
              <c16:uniqueId val="{00000003-F5CD-47F6-8F4A-4EEF773C7651}"/>
            </c:ext>
          </c:extLst>
        </c:ser>
        <c:dLbls>
          <c:showLegendKey val="0"/>
          <c:showVal val="0"/>
          <c:showCatName val="0"/>
          <c:showSerName val="0"/>
          <c:showPercent val="0"/>
          <c:showBubbleSize val="0"/>
        </c:dLbls>
        <c:gapWidth val="219"/>
        <c:overlap val="-27"/>
        <c:axId val="1355488351"/>
        <c:axId val="1355491679"/>
      </c:barChart>
      <c:catAx>
        <c:axId val="13554883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1355491679"/>
        <c:crosses val="autoZero"/>
        <c:auto val="1"/>
        <c:lblAlgn val="ctr"/>
        <c:lblOffset val="100"/>
        <c:noMultiLvlLbl val="0"/>
      </c:catAx>
      <c:valAx>
        <c:axId val="135549167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135548835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fr-FR"/>
      </a:pPr>
      <a:endParaRPr lang="fr-FR"/>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Présidence du Faso 00:39:50</c:f>
              <c:strCache>
                <c:ptCount val="1"/>
                <c:pt idx="0">
                  <c:v>Présidence du Faso 00:39:50</c:v>
                </c:pt>
              </c:strCache>
            </c:strRef>
          </c:tx>
          <c:spPr>
            <a:solidFill>
              <a:srgbClr val="5B9BD5"/>
            </a:solidFill>
            <a:ln>
              <a:noFill/>
            </a:ln>
          </c:spPr>
          <c:invertIfNegative val="0"/>
          <c:cat>
            <c:strRef>
              <c:f>{"%TA","%TP"}</c:f>
              <c:strCache>
                <c:ptCount val="2"/>
                <c:pt idx="0">
                  <c:v>%TA</c:v>
                </c:pt>
                <c:pt idx="1">
                  <c:v>%TP</c:v>
                </c:pt>
              </c:strCache>
            </c:strRef>
          </c:cat>
          <c:val>
            <c:numRef>
              <c:f>{0.0868510658146369,0.0832211479623057}</c:f>
              <c:numCache>
                <c:formatCode>General</c:formatCode>
                <c:ptCount val="2"/>
                <c:pt idx="0">
                  <c:v>8.6851065814636905E-2</c:v>
                </c:pt>
                <c:pt idx="1">
                  <c:v>8.3221147962305703E-2</c:v>
                </c:pt>
              </c:numCache>
            </c:numRef>
          </c:val>
          <c:extLst>
            <c:ext xmlns:c16="http://schemas.microsoft.com/office/drawing/2014/chart" uri="{C3380CC4-5D6E-409C-BE32-E72D297353CC}">
              <c16:uniqueId val="{00000000-0A7C-4603-A70E-85D39F1DBE4B}"/>
            </c:ext>
          </c:extLst>
        </c:ser>
        <c:ser>
          <c:idx val="1"/>
          <c:order val="1"/>
          <c:tx>
            <c:strRef>
              <c:f>Gouvernement 03:58:01</c:f>
              <c:strCache>
                <c:ptCount val="1"/>
                <c:pt idx="0">
                  <c:v>Gouvernement 03:58:01</c:v>
                </c:pt>
              </c:strCache>
            </c:strRef>
          </c:tx>
          <c:spPr>
            <a:solidFill>
              <a:srgbClr val="ED7D31"/>
            </a:solidFill>
            <a:ln>
              <a:noFill/>
            </a:ln>
          </c:spPr>
          <c:invertIfNegative val="0"/>
          <c:cat>
            <c:strRef>
              <c:f>{"%TA","%TP"}</c:f>
              <c:strCache>
                <c:ptCount val="2"/>
                <c:pt idx="0">
                  <c:v>%TA</c:v>
                </c:pt>
                <c:pt idx="1">
                  <c:v>%TP</c:v>
                </c:pt>
              </c:strCache>
            </c:strRef>
          </c:cat>
          <c:val>
            <c:numRef>
              <c:f>{0.400755632258967,0.277811773344756}</c:f>
              <c:numCache>
                <c:formatCode>General</c:formatCode>
                <c:ptCount val="2"/>
                <c:pt idx="0">
                  <c:v>0.40075563225896699</c:v>
                </c:pt>
                <c:pt idx="1">
                  <c:v>0.27781177334475599</c:v>
                </c:pt>
              </c:numCache>
            </c:numRef>
          </c:val>
          <c:extLst>
            <c:ext xmlns:c16="http://schemas.microsoft.com/office/drawing/2014/chart" uri="{C3380CC4-5D6E-409C-BE32-E72D297353CC}">
              <c16:uniqueId val="{00000001-0A7C-4603-A70E-85D39F1DBE4B}"/>
            </c:ext>
          </c:extLst>
        </c:ser>
        <c:ser>
          <c:idx val="2"/>
          <c:order val="2"/>
          <c:tx>
            <c:strRef>
              <c:f>Assemblée Nationale/ALT 00:30:04</c:f>
              <c:strCache>
                <c:ptCount val="1"/>
                <c:pt idx="0">
                  <c:v>Assemblée Nationale/ALT 00:30:04</c:v>
                </c:pt>
              </c:strCache>
            </c:strRef>
          </c:tx>
          <c:spPr>
            <a:solidFill>
              <a:srgbClr val="A5A5A5"/>
            </a:solidFill>
            <a:ln>
              <a:noFill/>
            </a:ln>
          </c:spPr>
          <c:invertIfNegative val="0"/>
          <c:cat>
            <c:strRef>
              <c:f>{"%TA","%TP"}</c:f>
              <c:strCache>
                <c:ptCount val="2"/>
                <c:pt idx="0">
                  <c:v>%TA</c:v>
                </c:pt>
                <c:pt idx="1">
                  <c:v>%TP</c:v>
                </c:pt>
              </c:strCache>
            </c:strRef>
          </c:cat>
          <c:val>
            <c:numRef>
              <c:f>{0.0277345025420962,0.0219679353812263}</c:f>
              <c:numCache>
                <c:formatCode>General</c:formatCode>
                <c:ptCount val="2"/>
                <c:pt idx="0">
                  <c:v>2.7734502542096199E-2</c:v>
                </c:pt>
                <c:pt idx="1">
                  <c:v>2.1967935381226301E-2</c:v>
                </c:pt>
              </c:numCache>
            </c:numRef>
          </c:val>
          <c:extLst>
            <c:ext xmlns:c16="http://schemas.microsoft.com/office/drawing/2014/chart" uri="{C3380CC4-5D6E-409C-BE32-E72D297353CC}">
              <c16:uniqueId val="{00000002-0A7C-4603-A70E-85D39F1DBE4B}"/>
            </c:ext>
          </c:extLst>
        </c:ser>
        <c:ser>
          <c:idx val="3"/>
          <c:order val="3"/>
          <c:tx>
            <c:strRef>
              <c:f>Société Civile 02:22:12</c:f>
              <c:strCache>
                <c:ptCount val="1"/>
                <c:pt idx="0">
                  <c:v>Société Civile 02:22:12</c:v>
                </c:pt>
              </c:strCache>
            </c:strRef>
          </c:tx>
          <c:spPr>
            <a:solidFill>
              <a:srgbClr val="FFC000"/>
            </a:solidFill>
            <a:ln>
              <a:noFill/>
            </a:ln>
          </c:spPr>
          <c:invertIfNegative val="0"/>
          <c:cat>
            <c:strRef>
              <c:f>{"%TA","%TP"}</c:f>
              <c:strCache>
                <c:ptCount val="2"/>
                <c:pt idx="0">
                  <c:v>%TA</c:v>
                </c:pt>
                <c:pt idx="1">
                  <c:v>%TP</c:v>
                </c:pt>
              </c:strCache>
            </c:strRef>
          </c:cat>
          <c:val>
            <c:numRef>
              <c:f>{0.416334717104343,0.412556602619018}</c:f>
              <c:numCache>
                <c:formatCode>General</c:formatCode>
                <c:ptCount val="2"/>
                <c:pt idx="0">
                  <c:v>0.416334717104343</c:v>
                </c:pt>
                <c:pt idx="1">
                  <c:v>0.412556602619018</c:v>
                </c:pt>
              </c:numCache>
            </c:numRef>
          </c:val>
          <c:extLst>
            <c:ext xmlns:c16="http://schemas.microsoft.com/office/drawing/2014/chart" uri="{C3380CC4-5D6E-409C-BE32-E72D297353CC}">
              <c16:uniqueId val="{00000003-0A7C-4603-A70E-85D39F1DBE4B}"/>
            </c:ext>
          </c:extLst>
        </c:ser>
        <c:ser>
          <c:idx val="4"/>
          <c:order val="4"/>
          <c:tx>
            <c:strRef>
              <c:f>Autre institution 00:22:08</c:f>
              <c:strCache>
                <c:ptCount val="1"/>
                <c:pt idx="0">
                  <c:v>Autre institution 00:22:08</c:v>
                </c:pt>
              </c:strCache>
            </c:strRef>
          </c:tx>
          <c:spPr>
            <a:solidFill>
              <a:srgbClr val="4472C4"/>
            </a:solidFill>
            <a:ln>
              <a:noFill/>
            </a:ln>
          </c:spPr>
          <c:invertIfNegative val="0"/>
          <c:cat>
            <c:strRef>
              <c:f>{"%TA","%TP"}</c:f>
              <c:strCache>
                <c:ptCount val="2"/>
                <c:pt idx="0">
                  <c:v>%TA</c:v>
                </c:pt>
                <c:pt idx="1">
                  <c:v>%TP</c:v>
                </c:pt>
              </c:strCache>
            </c:strRef>
          </c:cat>
          <c:val>
            <c:numRef>
              <c:f>{0.0149820420728579,0.0231917757924367}</c:f>
              <c:numCache>
                <c:formatCode>General</c:formatCode>
                <c:ptCount val="2"/>
                <c:pt idx="0">
                  <c:v>1.49820420728579E-2</c:v>
                </c:pt>
                <c:pt idx="1">
                  <c:v>2.3191775792436701E-2</c:v>
                </c:pt>
              </c:numCache>
            </c:numRef>
          </c:val>
          <c:extLst>
            <c:ext xmlns:c16="http://schemas.microsoft.com/office/drawing/2014/chart" uri="{C3380CC4-5D6E-409C-BE32-E72D297353CC}">
              <c16:uniqueId val="{00000004-0A7C-4603-A70E-85D39F1DBE4B}"/>
            </c:ext>
          </c:extLst>
        </c:ser>
        <c:ser>
          <c:idx val="5"/>
          <c:order val="5"/>
          <c:tx>
            <c:strRef>
              <c:f>Partis politiques 00:25:55</c:f>
              <c:strCache>
                <c:ptCount val="1"/>
                <c:pt idx="0">
                  <c:v>Partis politiques 00:25:55</c:v>
                </c:pt>
              </c:strCache>
            </c:strRef>
          </c:tx>
          <c:spPr>
            <a:solidFill>
              <a:srgbClr val="B7B7B7"/>
            </a:solidFill>
            <a:ln>
              <a:noFill/>
            </a:ln>
          </c:spPr>
          <c:invertIfNegative val="0"/>
          <c:cat>
            <c:strRef>
              <c:f>{"%TA","%TP"}</c:f>
              <c:strCache>
                <c:ptCount val="2"/>
                <c:pt idx="0">
                  <c:v>%TA</c:v>
                </c:pt>
                <c:pt idx="1">
                  <c:v>%TP</c:v>
                </c:pt>
              </c:strCache>
            </c:strRef>
          </c:cat>
          <c:val>
            <c:numRef>
              <c:f>{0.0266710201035496,0.0171949577775058}</c:f>
              <c:numCache>
                <c:formatCode>General</c:formatCode>
                <c:ptCount val="2"/>
                <c:pt idx="0">
                  <c:v>2.66710201035496E-2</c:v>
                </c:pt>
                <c:pt idx="1">
                  <c:v>1.71949577775058E-2</c:v>
                </c:pt>
              </c:numCache>
            </c:numRef>
          </c:val>
          <c:extLst>
            <c:ext xmlns:c16="http://schemas.microsoft.com/office/drawing/2014/chart" uri="{C3380CC4-5D6E-409C-BE32-E72D297353CC}">
              <c16:uniqueId val="{00000005-0A7C-4603-A70E-85D39F1DBE4B}"/>
            </c:ext>
          </c:extLst>
        </c:ser>
        <c:dLbls>
          <c:showLegendKey val="0"/>
          <c:showVal val="0"/>
          <c:showCatName val="0"/>
          <c:showSerName val="0"/>
          <c:showPercent val="0"/>
          <c:showBubbleSize val="0"/>
        </c:dLbls>
        <c:gapWidth val="150"/>
        <c:axId val="1697747855"/>
        <c:axId val="1697750351"/>
      </c:barChart>
      <c:catAx>
        <c:axId val="1697747855"/>
        <c:scaling>
          <c:orientation val="minMax"/>
        </c:scaling>
        <c:delete val="0"/>
        <c:axPos val="b"/>
        <c:numFmt formatCode="General" sourceLinked="0"/>
        <c:majorTickMark val="none"/>
        <c:minorTickMark val="none"/>
        <c:tickLblPos val="nextTo"/>
        <c:spPr>
          <a:noFill/>
          <a:ln w="6350" cap="flat" cmpd="sng" algn="ctr">
            <a:noFill/>
            <a:prstDash val="solid"/>
            <a:round/>
          </a:ln>
        </c:spPr>
        <c:txPr>
          <a:bodyPr rot="-60000000" spcFirstLastPara="0" vertOverflow="ellipsis" vert="horz" wrap="square" lIns="0" tIns="0" rIns="0" bIns="0" anchor="ctr" anchorCtr="1"/>
          <a:lstStyle/>
          <a:p>
            <a:pPr>
              <a:defRPr lang="fr-FR" sz="900" b="0" i="0" u="none" strike="noStrike" kern="1200" baseline="0">
                <a:solidFill>
                  <a:srgbClr val="595959"/>
                </a:solidFill>
                <a:latin typeface="Calibri" panose="020F0502020204030204"/>
                <a:ea typeface="+mn-ea"/>
                <a:cs typeface="+mn-cs"/>
              </a:defRPr>
            </a:pPr>
            <a:endParaRPr lang="fr-FR"/>
          </a:p>
        </c:txPr>
        <c:crossAx val="1697750351"/>
        <c:crosses val="autoZero"/>
        <c:auto val="1"/>
        <c:lblAlgn val="ctr"/>
        <c:lblOffset val="100"/>
        <c:noMultiLvlLbl val="0"/>
      </c:catAx>
      <c:valAx>
        <c:axId val="1697750351"/>
        <c:scaling>
          <c:orientation val="minMax"/>
        </c:scaling>
        <c:delete val="0"/>
        <c:axPos val="l"/>
        <c:majorGridlines>
          <c:spPr>
            <a:ln w="9528" cap="flat" cmpd="sng" algn="ctr">
              <a:solidFill>
                <a:srgbClr val="D9D9D9"/>
              </a:solidFill>
              <a:prstDash val="solid"/>
              <a:round/>
            </a:ln>
          </c:spPr>
        </c:majorGridlines>
        <c:numFmt formatCode="General" sourceLinked="1"/>
        <c:majorTickMark val="none"/>
        <c:minorTickMark val="none"/>
        <c:tickLblPos val="nextTo"/>
        <c:spPr>
          <a:noFill/>
          <a:ln w="6350" cap="flat" cmpd="sng" algn="ctr">
            <a:noFill/>
            <a:prstDash val="solid"/>
            <a:round/>
          </a:ln>
        </c:spPr>
        <c:txPr>
          <a:bodyPr rot="-60000000" spcFirstLastPara="0" vertOverflow="ellipsis" vert="horz" wrap="square" lIns="0" tIns="0" rIns="0" bIns="0" anchor="ctr" anchorCtr="1"/>
          <a:lstStyle/>
          <a:p>
            <a:pPr>
              <a:defRPr lang="fr-FR" sz="900" b="0" i="0" u="none" strike="noStrike" kern="1200" baseline="0">
                <a:solidFill>
                  <a:srgbClr val="595959"/>
                </a:solidFill>
                <a:latin typeface="Calibri" panose="020F0502020204030204"/>
                <a:ea typeface="+mn-ea"/>
                <a:cs typeface="+mn-cs"/>
              </a:defRPr>
            </a:pPr>
            <a:endParaRPr lang="fr-FR"/>
          </a:p>
        </c:txPr>
        <c:crossAx val="1697747855"/>
        <c:crosses val="autoZero"/>
        <c:crossBetween val="between"/>
      </c:valAx>
      <c:spPr>
        <a:noFill/>
        <a:ln>
          <a:noFill/>
        </a:ln>
        <a:effectLst/>
      </c:spPr>
    </c:plotArea>
    <c:legend>
      <c:legendPos val="b"/>
      <c:overlay val="0"/>
      <c:spPr>
        <a:noFill/>
        <a:ln>
          <a:noFill/>
        </a:ln>
      </c:spPr>
      <c:txPr>
        <a:bodyPr rot="0" spcFirstLastPara="0" vertOverflow="ellipsis" vert="horz" wrap="square" lIns="0" tIns="0" rIns="0" bIns="0" anchor="ctr" anchorCtr="1"/>
        <a:lstStyle/>
        <a:p>
          <a:pPr>
            <a:defRPr lang="fr-FR" sz="900" b="0" i="0" u="none" strike="noStrike" kern="1200" baseline="0">
              <a:solidFill>
                <a:srgbClr val="595959"/>
              </a:solidFill>
              <a:latin typeface="Calibri" panose="020F0502020204030204"/>
              <a:ea typeface="+mn-ea"/>
              <a:cs typeface="+mn-cs"/>
            </a:defRPr>
          </a:pPr>
          <a:endParaRPr lang="fr-FR"/>
        </a:p>
      </c:txPr>
    </c:legend>
    <c:plotVisOnly val="1"/>
    <c:dispBlanksAs val="gap"/>
    <c:showDLblsOverMax val="0"/>
  </c:chart>
  <c:spPr>
    <a:solidFill>
      <a:srgbClr val="FFFFFF"/>
    </a:solidFill>
    <a:ln w="9528" cap="flat" cmpd="sng" algn="ctr">
      <a:solidFill>
        <a:srgbClr val="D9D9D9"/>
      </a:solidFill>
      <a:prstDash val="solid"/>
      <a:round/>
    </a:ln>
  </c:spPr>
  <c:txPr>
    <a:bodyPr lIns="0" tIns="0" rIns="0" bIns="0"/>
    <a:lstStyle/>
    <a:p>
      <a:pPr>
        <a:defRPr lang="fr-FR" sz="1000" b="0" i="0" u="none" strike="noStrike" kern="1200" baseline="0">
          <a:solidFill>
            <a:srgbClr val="000000"/>
          </a:solidFill>
          <a:latin typeface="Calibri" panose="020F0502020204030204"/>
        </a:defRPr>
      </a:pPr>
      <a:endParaRPr lang="fr-FR"/>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Feuil1!$B$18</c:f>
              <c:strCache>
                <c:ptCount val="1"/>
                <c:pt idx="0">
                  <c:v>MPP</c:v>
                </c:pt>
              </c:strCache>
            </c:strRef>
          </c:tx>
          <c:spPr>
            <a:solidFill>
              <a:schemeClr val="accent1"/>
            </a:solidFill>
            <a:ln>
              <a:noFill/>
            </a:ln>
            <a:effectLst/>
          </c:spPr>
          <c:invertIfNegative val="0"/>
          <c:cat>
            <c:strRef>
              <c:f>Feuil1!$C$17:$D$17</c:f>
              <c:strCache>
                <c:ptCount val="2"/>
                <c:pt idx="0">
                  <c:v>%TA</c:v>
                </c:pt>
                <c:pt idx="1">
                  <c:v>%TP</c:v>
                </c:pt>
              </c:strCache>
            </c:strRef>
          </c:cat>
          <c:val>
            <c:numRef>
              <c:f>Feuil1!$C$18:$D$18</c:f>
              <c:numCache>
                <c:formatCode>0.00%</c:formatCode>
                <c:ptCount val="2"/>
                <c:pt idx="0">
                  <c:v>0.61809999999999998</c:v>
                </c:pt>
                <c:pt idx="1">
                  <c:v>0.74339999999999995</c:v>
                </c:pt>
              </c:numCache>
            </c:numRef>
          </c:val>
          <c:extLst>
            <c:ext xmlns:c16="http://schemas.microsoft.com/office/drawing/2014/chart" uri="{C3380CC4-5D6E-409C-BE32-E72D297353CC}">
              <c16:uniqueId val="{00000000-F6A3-48E5-B187-3476CD15B230}"/>
            </c:ext>
          </c:extLst>
        </c:ser>
        <c:ser>
          <c:idx val="1"/>
          <c:order val="1"/>
          <c:tx>
            <c:strRef>
              <c:f>Feuil1!$B$19</c:f>
              <c:strCache>
                <c:ptCount val="1"/>
                <c:pt idx="0">
                  <c:v>CDP</c:v>
                </c:pt>
              </c:strCache>
            </c:strRef>
          </c:tx>
          <c:spPr>
            <a:solidFill>
              <a:schemeClr val="accent2"/>
            </a:solidFill>
            <a:ln>
              <a:noFill/>
            </a:ln>
            <a:effectLst/>
          </c:spPr>
          <c:invertIfNegative val="0"/>
          <c:cat>
            <c:strRef>
              <c:f>Feuil1!$C$17:$D$17</c:f>
              <c:strCache>
                <c:ptCount val="2"/>
                <c:pt idx="0">
                  <c:v>%TA</c:v>
                </c:pt>
                <c:pt idx="1">
                  <c:v>%TP</c:v>
                </c:pt>
              </c:strCache>
            </c:strRef>
          </c:cat>
          <c:val>
            <c:numRef>
              <c:f>Feuil1!$C$19:$D$19</c:f>
              <c:numCache>
                <c:formatCode>0.00%</c:formatCode>
                <c:ptCount val="2"/>
                <c:pt idx="0">
                  <c:v>0.19420000000000001</c:v>
                </c:pt>
                <c:pt idx="1">
                  <c:v>7.5600000000000001E-2</c:v>
                </c:pt>
              </c:numCache>
            </c:numRef>
          </c:val>
          <c:extLst>
            <c:ext xmlns:c16="http://schemas.microsoft.com/office/drawing/2014/chart" uri="{C3380CC4-5D6E-409C-BE32-E72D297353CC}">
              <c16:uniqueId val="{00000001-F6A3-48E5-B187-3476CD15B230}"/>
            </c:ext>
          </c:extLst>
        </c:ser>
        <c:ser>
          <c:idx val="2"/>
          <c:order val="2"/>
          <c:tx>
            <c:strRef>
              <c:f>Feuil1!$B$20</c:f>
              <c:strCache>
                <c:ptCount val="1"/>
                <c:pt idx="0">
                  <c:v>PPS</c:v>
                </c:pt>
              </c:strCache>
            </c:strRef>
          </c:tx>
          <c:spPr>
            <a:solidFill>
              <a:schemeClr val="accent3"/>
            </a:solidFill>
            <a:ln>
              <a:noFill/>
            </a:ln>
            <a:effectLst/>
          </c:spPr>
          <c:invertIfNegative val="0"/>
          <c:cat>
            <c:strRef>
              <c:f>Feuil1!$C$17:$D$17</c:f>
              <c:strCache>
                <c:ptCount val="2"/>
                <c:pt idx="0">
                  <c:v>%TA</c:v>
                </c:pt>
                <c:pt idx="1">
                  <c:v>%TP</c:v>
                </c:pt>
              </c:strCache>
            </c:strRef>
          </c:cat>
          <c:val>
            <c:numRef>
              <c:f>Feuil1!$C$20:$D$20</c:f>
              <c:numCache>
                <c:formatCode>0.00%</c:formatCode>
                <c:ptCount val="2"/>
                <c:pt idx="0">
                  <c:v>7.6100000000000001E-2</c:v>
                </c:pt>
                <c:pt idx="1">
                  <c:v>7.22E-2</c:v>
                </c:pt>
              </c:numCache>
            </c:numRef>
          </c:val>
          <c:extLst>
            <c:ext xmlns:c16="http://schemas.microsoft.com/office/drawing/2014/chart" uri="{C3380CC4-5D6E-409C-BE32-E72D297353CC}">
              <c16:uniqueId val="{00000002-F6A3-48E5-B187-3476CD15B230}"/>
            </c:ext>
          </c:extLst>
        </c:ser>
        <c:ser>
          <c:idx val="3"/>
          <c:order val="3"/>
          <c:tx>
            <c:strRef>
              <c:f>Feuil1!$B$21</c:f>
              <c:strCache>
                <c:ptCount val="1"/>
                <c:pt idx="0">
                  <c:v>NTD</c:v>
                </c:pt>
              </c:strCache>
            </c:strRef>
          </c:tx>
          <c:spPr>
            <a:solidFill>
              <a:schemeClr val="accent4"/>
            </a:solidFill>
            <a:ln>
              <a:noFill/>
            </a:ln>
            <a:effectLst/>
          </c:spPr>
          <c:invertIfNegative val="0"/>
          <c:cat>
            <c:strRef>
              <c:f>Feuil1!$C$17:$D$17</c:f>
              <c:strCache>
                <c:ptCount val="2"/>
                <c:pt idx="0">
                  <c:v>%TA</c:v>
                </c:pt>
                <c:pt idx="1">
                  <c:v>%TP</c:v>
                </c:pt>
              </c:strCache>
            </c:strRef>
          </c:cat>
          <c:val>
            <c:numRef>
              <c:f>Feuil1!$C$21:$D$21</c:f>
              <c:numCache>
                <c:formatCode>0.00%</c:formatCode>
                <c:ptCount val="2"/>
                <c:pt idx="0">
                  <c:v>7.5399999999999995E-2</c:v>
                </c:pt>
                <c:pt idx="1">
                  <c:v>7.4499999999999997E-2</c:v>
                </c:pt>
              </c:numCache>
            </c:numRef>
          </c:val>
          <c:extLst>
            <c:ext xmlns:c16="http://schemas.microsoft.com/office/drawing/2014/chart" uri="{C3380CC4-5D6E-409C-BE32-E72D297353CC}">
              <c16:uniqueId val="{00000003-F6A3-48E5-B187-3476CD15B230}"/>
            </c:ext>
          </c:extLst>
        </c:ser>
        <c:ser>
          <c:idx val="5"/>
          <c:order val="5"/>
          <c:tx>
            <c:strRef>
              <c:f>Feuil1!$B$23</c:f>
              <c:strCache>
                <c:ptCount val="1"/>
                <c:pt idx="0">
                  <c:v>UPC</c:v>
                </c:pt>
              </c:strCache>
            </c:strRef>
          </c:tx>
          <c:spPr>
            <a:solidFill>
              <a:schemeClr val="accent6"/>
            </a:solidFill>
            <a:ln>
              <a:noFill/>
            </a:ln>
            <a:effectLst/>
          </c:spPr>
          <c:invertIfNegative val="0"/>
          <c:cat>
            <c:strRef>
              <c:f>Feuil1!$C$17:$D$17</c:f>
              <c:strCache>
                <c:ptCount val="2"/>
                <c:pt idx="0">
                  <c:v>%TA</c:v>
                </c:pt>
                <c:pt idx="1">
                  <c:v>%TP</c:v>
                </c:pt>
              </c:strCache>
            </c:strRef>
          </c:cat>
          <c:val>
            <c:numRef>
              <c:f>Feuil1!$C$23:$D$23</c:f>
              <c:numCache>
                <c:formatCode>0.00%</c:formatCode>
                <c:ptCount val="2"/>
                <c:pt idx="0">
                  <c:v>2.2100000000000002E-2</c:v>
                </c:pt>
                <c:pt idx="1">
                  <c:v>0</c:v>
                </c:pt>
              </c:numCache>
            </c:numRef>
          </c:val>
          <c:extLst>
            <c:ext xmlns:c16="http://schemas.microsoft.com/office/drawing/2014/chart" uri="{C3380CC4-5D6E-409C-BE32-E72D297353CC}">
              <c16:uniqueId val="{00000004-F6A3-48E5-B187-3476CD15B230}"/>
            </c:ext>
          </c:extLst>
        </c:ser>
        <c:ser>
          <c:idx val="6"/>
          <c:order val="6"/>
          <c:tx>
            <c:strRef>
              <c:f>Feuil1!$B$24</c:f>
              <c:strCache>
                <c:ptCount val="1"/>
                <c:pt idx="0">
                  <c:v>MPS</c:v>
                </c:pt>
              </c:strCache>
            </c:strRef>
          </c:tx>
          <c:spPr>
            <a:solidFill>
              <a:schemeClr val="accent1">
                <a:lumMod val="60000"/>
              </a:schemeClr>
            </a:solidFill>
            <a:ln>
              <a:noFill/>
            </a:ln>
            <a:effectLst/>
          </c:spPr>
          <c:invertIfNegative val="0"/>
          <c:cat>
            <c:strRef>
              <c:f>Feuil1!$C$17:$D$17</c:f>
              <c:strCache>
                <c:ptCount val="2"/>
                <c:pt idx="0">
                  <c:v>%TA</c:v>
                </c:pt>
                <c:pt idx="1">
                  <c:v>%TP</c:v>
                </c:pt>
              </c:strCache>
            </c:strRef>
          </c:cat>
          <c:val>
            <c:numRef>
              <c:f>Feuil1!$C$24:$D$24</c:f>
              <c:numCache>
                <c:formatCode>0.00%</c:formatCode>
                <c:ptCount val="2"/>
                <c:pt idx="0">
                  <c:v>1.4500000000000001E-2</c:v>
                </c:pt>
                <c:pt idx="1">
                  <c:v>0</c:v>
                </c:pt>
              </c:numCache>
            </c:numRef>
          </c:val>
          <c:extLst>
            <c:ext xmlns:c16="http://schemas.microsoft.com/office/drawing/2014/chart" uri="{C3380CC4-5D6E-409C-BE32-E72D297353CC}">
              <c16:uniqueId val="{00000005-F6A3-48E5-B187-3476CD15B230}"/>
            </c:ext>
          </c:extLst>
        </c:ser>
        <c:ser>
          <c:idx val="7"/>
          <c:order val="7"/>
          <c:tx>
            <c:strRef>
              <c:f>Feuil1!$B$25</c:f>
              <c:strCache>
                <c:ptCount val="1"/>
                <c:pt idx="0">
                  <c:v>PDP/PS</c:v>
                </c:pt>
              </c:strCache>
            </c:strRef>
          </c:tx>
          <c:spPr>
            <a:solidFill>
              <a:schemeClr val="accent2">
                <a:lumMod val="60000"/>
              </a:schemeClr>
            </a:solidFill>
            <a:ln>
              <a:noFill/>
            </a:ln>
            <a:effectLst/>
          </c:spPr>
          <c:invertIfNegative val="0"/>
          <c:cat>
            <c:strRef>
              <c:f>Feuil1!$C$17:$D$17</c:f>
              <c:strCache>
                <c:ptCount val="2"/>
                <c:pt idx="0">
                  <c:v>%TA</c:v>
                </c:pt>
                <c:pt idx="1">
                  <c:v>%TP</c:v>
                </c:pt>
              </c:strCache>
            </c:strRef>
          </c:cat>
          <c:val>
            <c:numRef>
              <c:f>Feuil1!$C$25:$D$25</c:f>
              <c:numCache>
                <c:formatCode>0.00%</c:formatCode>
                <c:ptCount val="2"/>
                <c:pt idx="0">
                  <c:v>1.4500000000000001E-2</c:v>
                </c:pt>
                <c:pt idx="1">
                  <c:v>0</c:v>
                </c:pt>
              </c:numCache>
            </c:numRef>
          </c:val>
          <c:extLst>
            <c:ext xmlns:c16="http://schemas.microsoft.com/office/drawing/2014/chart" uri="{C3380CC4-5D6E-409C-BE32-E72D297353CC}">
              <c16:uniqueId val="{00000006-F6A3-48E5-B187-3476CD15B230}"/>
            </c:ext>
          </c:extLst>
        </c:ser>
        <c:ser>
          <c:idx val="8"/>
          <c:order val="8"/>
          <c:tx>
            <c:strRef>
              <c:f>Feuil1!$B$26</c:f>
              <c:strCache>
                <c:ptCount val="1"/>
                <c:pt idx="0">
                  <c:v>UNIR/PS</c:v>
                </c:pt>
              </c:strCache>
            </c:strRef>
          </c:tx>
          <c:spPr>
            <a:solidFill>
              <a:schemeClr val="accent3">
                <a:lumMod val="60000"/>
              </a:schemeClr>
            </a:solidFill>
            <a:ln>
              <a:noFill/>
            </a:ln>
            <a:effectLst/>
          </c:spPr>
          <c:invertIfNegative val="0"/>
          <c:cat>
            <c:strRef>
              <c:f>Feuil1!$C$17:$D$17</c:f>
              <c:strCache>
                <c:ptCount val="2"/>
                <c:pt idx="0">
                  <c:v>%TA</c:v>
                </c:pt>
                <c:pt idx="1">
                  <c:v>%TP</c:v>
                </c:pt>
              </c:strCache>
            </c:strRef>
          </c:cat>
          <c:val>
            <c:numRef>
              <c:f>Feuil1!$C$26:$D$26</c:f>
              <c:numCache>
                <c:formatCode>0.00%</c:formatCode>
                <c:ptCount val="2"/>
                <c:pt idx="0">
                  <c:v>1.41E-2</c:v>
                </c:pt>
                <c:pt idx="1">
                  <c:v>0</c:v>
                </c:pt>
              </c:numCache>
            </c:numRef>
          </c:val>
          <c:extLst>
            <c:ext xmlns:c16="http://schemas.microsoft.com/office/drawing/2014/chart" uri="{C3380CC4-5D6E-409C-BE32-E72D297353CC}">
              <c16:uniqueId val="{00000007-F6A3-48E5-B187-3476CD15B230}"/>
            </c:ext>
          </c:extLst>
        </c:ser>
        <c:dLbls>
          <c:showLegendKey val="0"/>
          <c:showVal val="0"/>
          <c:showCatName val="0"/>
          <c:showSerName val="0"/>
          <c:showPercent val="0"/>
          <c:showBubbleSize val="0"/>
        </c:dLbls>
        <c:gapWidth val="219"/>
        <c:axId val="2107820511"/>
        <c:axId val="2110249919"/>
        <c:extLst>
          <c:ext xmlns:c15="http://schemas.microsoft.com/office/drawing/2012/chart" uri="{02D57815-91ED-43cb-92C2-25804820EDAC}">
            <c15:filteredBarSeries>
              <c15:ser>
                <c:idx val="4"/>
                <c:order val="4"/>
                <c:tx>
                  <c:strRef>
                    <c:extLst>
                      <c:ext uri="{02D57815-91ED-43cb-92C2-25804820EDAC}">
                        <c15:formulaRef>
                          <c15:sqref>Feuil1!$B$22</c15:sqref>
                        </c15:formulaRef>
                      </c:ext>
                    </c:extLst>
                    <c:strCache>
                      <c:ptCount val="1"/>
                    </c:strCache>
                  </c:strRef>
                </c:tx>
                <c:spPr>
                  <a:solidFill>
                    <a:schemeClr val="accent5"/>
                  </a:solidFill>
                  <a:ln>
                    <a:noFill/>
                  </a:ln>
                  <a:effectLst/>
                </c:spPr>
                <c:invertIfNegative val="0"/>
                <c:cat>
                  <c:strRef>
                    <c:extLst>
                      <c:ext uri="{02D57815-91ED-43cb-92C2-25804820EDAC}">
                        <c15:formulaRef>
                          <c15:sqref>Feuil1!$C$17:$D$17</c15:sqref>
                        </c15:formulaRef>
                      </c:ext>
                    </c:extLst>
                    <c:strCache>
                      <c:ptCount val="2"/>
                      <c:pt idx="0">
                        <c:v>%TA</c:v>
                      </c:pt>
                      <c:pt idx="1">
                        <c:v>%TP</c:v>
                      </c:pt>
                    </c:strCache>
                  </c:strRef>
                </c:cat>
                <c:val>
                  <c:numRef>
                    <c:extLst>
                      <c:ext uri="{02D57815-91ED-43cb-92C2-25804820EDAC}">
                        <c15:formulaRef>
                          <c15:sqref>Feuil1!$C$22:$D$22</c15:sqref>
                        </c15:formulaRef>
                      </c:ext>
                    </c:extLst>
                    <c:numCache>
                      <c:formatCode>General</c:formatCode>
                      <c:ptCount val="2"/>
                    </c:numCache>
                  </c:numRef>
                </c:val>
                <c:extLst>
                  <c:ext xmlns:c16="http://schemas.microsoft.com/office/drawing/2014/chart" uri="{C3380CC4-5D6E-409C-BE32-E72D297353CC}">
                    <c16:uniqueId val="{00000008-F6A3-48E5-B187-3476CD15B230}"/>
                  </c:ext>
                </c:extLst>
              </c15:ser>
            </c15:filteredBarSeries>
          </c:ext>
        </c:extLst>
      </c:barChart>
      <c:catAx>
        <c:axId val="21078205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110249919"/>
        <c:crosses val="autoZero"/>
        <c:auto val="1"/>
        <c:lblAlgn val="ctr"/>
        <c:lblOffset val="100"/>
        <c:noMultiLvlLbl val="0"/>
      </c:catAx>
      <c:valAx>
        <c:axId val="21102499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1078205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Feuil1!$B$40</c:f>
              <c:strCache>
                <c:ptCount val="1"/>
                <c:pt idx="0">
                  <c:v>Presidence du Faso</c:v>
                </c:pt>
              </c:strCache>
            </c:strRef>
          </c:tx>
          <c:spPr>
            <a:solidFill>
              <a:schemeClr val="accent1"/>
            </a:solidFill>
            <a:ln>
              <a:noFill/>
            </a:ln>
            <a:effectLst/>
          </c:spPr>
          <c:invertIfNegative val="0"/>
          <c:cat>
            <c:strRef>
              <c:f>Feuil1!$C$39:$D$39</c:f>
              <c:strCache>
                <c:ptCount val="2"/>
                <c:pt idx="0">
                  <c:v>%TA</c:v>
                </c:pt>
                <c:pt idx="1">
                  <c:v>%TP </c:v>
                </c:pt>
              </c:strCache>
            </c:strRef>
          </c:cat>
          <c:val>
            <c:numRef>
              <c:f>Feuil1!$C$40:$D$40</c:f>
              <c:numCache>
                <c:formatCode>0.00%</c:formatCode>
                <c:ptCount val="2"/>
                <c:pt idx="0">
                  <c:v>8.2500000000000004E-2</c:v>
                </c:pt>
                <c:pt idx="1">
                  <c:v>3.2500000000000001E-2</c:v>
                </c:pt>
              </c:numCache>
            </c:numRef>
          </c:val>
          <c:extLst>
            <c:ext xmlns:c16="http://schemas.microsoft.com/office/drawing/2014/chart" uri="{C3380CC4-5D6E-409C-BE32-E72D297353CC}">
              <c16:uniqueId val="{00000000-7160-48E9-8B0D-0AC6DE5593DC}"/>
            </c:ext>
          </c:extLst>
        </c:ser>
        <c:ser>
          <c:idx val="1"/>
          <c:order val="1"/>
          <c:tx>
            <c:strRef>
              <c:f>Feuil1!$B$41</c:f>
              <c:strCache>
                <c:ptCount val="1"/>
                <c:pt idx="0">
                  <c:v>Gouvernement</c:v>
                </c:pt>
              </c:strCache>
            </c:strRef>
          </c:tx>
          <c:spPr>
            <a:solidFill>
              <a:schemeClr val="accent2"/>
            </a:solidFill>
            <a:ln>
              <a:noFill/>
            </a:ln>
            <a:effectLst/>
          </c:spPr>
          <c:invertIfNegative val="0"/>
          <c:cat>
            <c:strRef>
              <c:f>Feuil1!$C$39:$D$39</c:f>
              <c:strCache>
                <c:ptCount val="2"/>
                <c:pt idx="0">
                  <c:v>%TA</c:v>
                </c:pt>
                <c:pt idx="1">
                  <c:v>%TP </c:v>
                </c:pt>
              </c:strCache>
            </c:strRef>
          </c:cat>
          <c:val>
            <c:numRef>
              <c:f>Feuil1!$C$41:$D$41</c:f>
              <c:numCache>
                <c:formatCode>0.00%</c:formatCode>
                <c:ptCount val="2"/>
                <c:pt idx="0">
                  <c:v>0.34339999999999998</c:v>
                </c:pt>
                <c:pt idx="1">
                  <c:v>0.36870000000000003</c:v>
                </c:pt>
              </c:numCache>
            </c:numRef>
          </c:val>
          <c:extLst>
            <c:ext xmlns:c16="http://schemas.microsoft.com/office/drawing/2014/chart" uri="{C3380CC4-5D6E-409C-BE32-E72D297353CC}">
              <c16:uniqueId val="{00000001-7160-48E9-8B0D-0AC6DE5593DC}"/>
            </c:ext>
          </c:extLst>
        </c:ser>
        <c:ser>
          <c:idx val="2"/>
          <c:order val="2"/>
          <c:tx>
            <c:strRef>
              <c:f>Feuil1!$B$42</c:f>
              <c:strCache>
                <c:ptCount val="1"/>
                <c:pt idx="0">
                  <c:v>ALT</c:v>
                </c:pt>
              </c:strCache>
            </c:strRef>
          </c:tx>
          <c:spPr>
            <a:solidFill>
              <a:schemeClr val="accent3"/>
            </a:solidFill>
            <a:ln>
              <a:noFill/>
            </a:ln>
            <a:effectLst/>
          </c:spPr>
          <c:invertIfNegative val="0"/>
          <c:cat>
            <c:strRef>
              <c:f>Feuil1!$C$39:$D$39</c:f>
              <c:strCache>
                <c:ptCount val="2"/>
                <c:pt idx="0">
                  <c:v>%TA</c:v>
                </c:pt>
                <c:pt idx="1">
                  <c:v>%TP </c:v>
                </c:pt>
              </c:strCache>
            </c:strRef>
          </c:cat>
          <c:val>
            <c:numRef>
              <c:f>Feuil1!$C$42:$D$42</c:f>
              <c:numCache>
                <c:formatCode>0.00%</c:formatCode>
                <c:ptCount val="2"/>
                <c:pt idx="0">
                  <c:v>2.24E-2</c:v>
                </c:pt>
                <c:pt idx="1">
                  <c:v>8.0000000000000002E-3</c:v>
                </c:pt>
              </c:numCache>
            </c:numRef>
          </c:val>
          <c:extLst>
            <c:ext xmlns:c16="http://schemas.microsoft.com/office/drawing/2014/chart" uri="{C3380CC4-5D6E-409C-BE32-E72D297353CC}">
              <c16:uniqueId val="{00000002-7160-48E9-8B0D-0AC6DE5593DC}"/>
            </c:ext>
          </c:extLst>
        </c:ser>
        <c:ser>
          <c:idx val="3"/>
          <c:order val="3"/>
          <c:tx>
            <c:strRef>
              <c:f>Feuil1!$B$43</c:f>
              <c:strCache>
                <c:ptCount val="1"/>
                <c:pt idx="0">
                  <c:v>OSC</c:v>
                </c:pt>
              </c:strCache>
            </c:strRef>
          </c:tx>
          <c:spPr>
            <a:solidFill>
              <a:schemeClr val="accent4"/>
            </a:solidFill>
            <a:ln>
              <a:noFill/>
            </a:ln>
            <a:effectLst/>
          </c:spPr>
          <c:invertIfNegative val="0"/>
          <c:cat>
            <c:strRef>
              <c:f>Feuil1!$C$39:$D$39</c:f>
              <c:strCache>
                <c:ptCount val="2"/>
                <c:pt idx="0">
                  <c:v>%TA</c:v>
                </c:pt>
                <c:pt idx="1">
                  <c:v>%TP </c:v>
                </c:pt>
              </c:strCache>
            </c:strRef>
          </c:cat>
          <c:val>
            <c:numRef>
              <c:f>Feuil1!$C$43:$D$43</c:f>
              <c:numCache>
                <c:formatCode>0.00%</c:formatCode>
                <c:ptCount val="2"/>
                <c:pt idx="0">
                  <c:v>0.48930000000000001</c:v>
                </c:pt>
                <c:pt idx="1">
                  <c:v>0.55100000000000005</c:v>
                </c:pt>
              </c:numCache>
            </c:numRef>
          </c:val>
          <c:extLst>
            <c:ext xmlns:c16="http://schemas.microsoft.com/office/drawing/2014/chart" uri="{C3380CC4-5D6E-409C-BE32-E72D297353CC}">
              <c16:uniqueId val="{00000003-7160-48E9-8B0D-0AC6DE5593DC}"/>
            </c:ext>
          </c:extLst>
        </c:ser>
        <c:ser>
          <c:idx val="4"/>
          <c:order val="4"/>
          <c:tx>
            <c:strRef>
              <c:f>Feuil1!$B$44</c:f>
              <c:strCache>
                <c:ptCount val="1"/>
                <c:pt idx="0">
                  <c:v>Autres institutions</c:v>
                </c:pt>
              </c:strCache>
            </c:strRef>
          </c:tx>
          <c:spPr>
            <a:solidFill>
              <a:schemeClr val="accent5"/>
            </a:solidFill>
            <a:ln>
              <a:noFill/>
            </a:ln>
            <a:effectLst/>
          </c:spPr>
          <c:invertIfNegative val="0"/>
          <c:cat>
            <c:strRef>
              <c:f>Feuil1!$C$39:$D$39</c:f>
              <c:strCache>
                <c:ptCount val="2"/>
                <c:pt idx="0">
                  <c:v>%TA</c:v>
                </c:pt>
                <c:pt idx="1">
                  <c:v>%TP </c:v>
                </c:pt>
              </c:strCache>
            </c:strRef>
          </c:cat>
          <c:val>
            <c:numRef>
              <c:f>Feuil1!$C$44:$D$44</c:f>
              <c:numCache>
                <c:formatCode>0.00%</c:formatCode>
                <c:ptCount val="2"/>
                <c:pt idx="0">
                  <c:v>7.4000000000000003E-3</c:v>
                </c:pt>
                <c:pt idx="1">
                  <c:v>4.7999999999999996E-3</c:v>
                </c:pt>
              </c:numCache>
            </c:numRef>
          </c:val>
          <c:extLst>
            <c:ext xmlns:c16="http://schemas.microsoft.com/office/drawing/2014/chart" uri="{C3380CC4-5D6E-409C-BE32-E72D297353CC}">
              <c16:uniqueId val="{00000004-7160-48E9-8B0D-0AC6DE5593DC}"/>
            </c:ext>
          </c:extLst>
        </c:ser>
        <c:ser>
          <c:idx val="5"/>
          <c:order val="5"/>
          <c:tx>
            <c:strRef>
              <c:f>Feuil1!$B$45</c:f>
              <c:strCache>
                <c:ptCount val="1"/>
                <c:pt idx="0">
                  <c:v>Partis politiques</c:v>
                </c:pt>
              </c:strCache>
            </c:strRef>
          </c:tx>
          <c:spPr>
            <a:solidFill>
              <a:schemeClr val="accent6"/>
            </a:solidFill>
            <a:ln>
              <a:noFill/>
            </a:ln>
            <a:effectLst/>
          </c:spPr>
          <c:invertIfNegative val="0"/>
          <c:cat>
            <c:strRef>
              <c:f>Feuil1!$C$39:$D$39</c:f>
              <c:strCache>
                <c:ptCount val="2"/>
                <c:pt idx="0">
                  <c:v>%TA</c:v>
                </c:pt>
                <c:pt idx="1">
                  <c:v>%TP </c:v>
                </c:pt>
              </c:strCache>
            </c:strRef>
          </c:cat>
          <c:val>
            <c:numRef>
              <c:f>Feuil1!$C$45:$D$45</c:f>
              <c:numCache>
                <c:formatCode>0.00%</c:formatCode>
                <c:ptCount val="2"/>
                <c:pt idx="0">
                  <c:v>2.7900000000000001E-2</c:v>
                </c:pt>
                <c:pt idx="1">
                  <c:v>1.77E-2</c:v>
                </c:pt>
              </c:numCache>
            </c:numRef>
          </c:val>
          <c:extLst>
            <c:ext xmlns:c16="http://schemas.microsoft.com/office/drawing/2014/chart" uri="{C3380CC4-5D6E-409C-BE32-E72D297353CC}">
              <c16:uniqueId val="{00000005-7160-48E9-8B0D-0AC6DE5593DC}"/>
            </c:ext>
          </c:extLst>
        </c:ser>
        <c:dLbls>
          <c:showLegendKey val="0"/>
          <c:showVal val="0"/>
          <c:showCatName val="0"/>
          <c:showSerName val="0"/>
          <c:showPercent val="0"/>
          <c:showBubbleSize val="0"/>
        </c:dLbls>
        <c:gapWidth val="219"/>
        <c:overlap val="-27"/>
        <c:axId val="2112704623"/>
        <c:axId val="2063859231"/>
      </c:barChart>
      <c:catAx>
        <c:axId val="21127046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063859231"/>
        <c:crosses val="autoZero"/>
        <c:auto val="1"/>
        <c:lblAlgn val="ctr"/>
        <c:lblOffset val="100"/>
        <c:noMultiLvlLbl val="0"/>
      </c:catAx>
      <c:valAx>
        <c:axId val="206385923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1127046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MPP 00:33:14</c:f>
              <c:strCache>
                <c:ptCount val="1"/>
                <c:pt idx="0">
                  <c:v>MPP 00:33:14</c:v>
                </c:pt>
              </c:strCache>
            </c:strRef>
          </c:tx>
          <c:spPr>
            <a:solidFill>
              <a:srgbClr val="156082"/>
            </a:solidFill>
            <a:ln>
              <a:noFill/>
            </a:ln>
          </c:spPr>
          <c:invertIfNegative val="0"/>
          <c:cat>
            <c:strRef>
              <c:f>{"%TA","%TP"}</c:f>
              <c:strCache>
                <c:ptCount val="2"/>
                <c:pt idx="0">
                  <c:v>%TA</c:v>
                </c:pt>
                <c:pt idx="1">
                  <c:v>%TP</c:v>
                </c:pt>
              </c:strCache>
            </c:strRef>
          </c:cat>
          <c:val>
            <c:numRef>
              <c:f>{0.349456712232737,0.502351097178683}</c:f>
              <c:numCache>
                <c:formatCode>General</c:formatCode>
                <c:ptCount val="2"/>
                <c:pt idx="0">
                  <c:v>0.349456712232737</c:v>
                </c:pt>
                <c:pt idx="1">
                  <c:v>0.50235109717868298</c:v>
                </c:pt>
              </c:numCache>
            </c:numRef>
          </c:val>
          <c:extLst>
            <c:ext xmlns:c16="http://schemas.microsoft.com/office/drawing/2014/chart" uri="{C3380CC4-5D6E-409C-BE32-E72D297353CC}">
              <c16:uniqueId val="{00000000-CD6F-4934-A887-E11930EEC00F}"/>
            </c:ext>
          </c:extLst>
        </c:ser>
        <c:ser>
          <c:idx val="1"/>
          <c:order val="1"/>
          <c:tx>
            <c:strRef>
              <c:f>CDP 00:22:15</c:f>
              <c:strCache>
                <c:ptCount val="1"/>
                <c:pt idx="0">
                  <c:v>CDP 00:22:15</c:v>
                </c:pt>
              </c:strCache>
            </c:strRef>
          </c:tx>
          <c:spPr>
            <a:solidFill>
              <a:srgbClr val="E97132"/>
            </a:solidFill>
            <a:ln>
              <a:noFill/>
            </a:ln>
          </c:spPr>
          <c:invertIfNegative val="0"/>
          <c:cat>
            <c:strRef>
              <c:f>{"%TA","%TP"}</c:f>
              <c:strCache>
                <c:ptCount val="2"/>
                <c:pt idx="0">
                  <c:v>%TA</c:v>
                </c:pt>
                <c:pt idx="1">
                  <c:v>%TP</c:v>
                </c:pt>
              </c:strCache>
            </c:strRef>
          </c:cat>
          <c:val>
            <c:numRef>
              <c:f>{0.233964248159832,0.103448275862069}</c:f>
              <c:numCache>
                <c:formatCode>General</c:formatCode>
                <c:ptCount val="2"/>
                <c:pt idx="0">
                  <c:v>0.23396424815983199</c:v>
                </c:pt>
                <c:pt idx="1">
                  <c:v>0.10344827586206901</c:v>
                </c:pt>
              </c:numCache>
            </c:numRef>
          </c:val>
          <c:extLst>
            <c:ext xmlns:c16="http://schemas.microsoft.com/office/drawing/2014/chart" uri="{C3380CC4-5D6E-409C-BE32-E72D297353CC}">
              <c16:uniqueId val="{00000001-CD6F-4934-A887-E11930EEC00F}"/>
            </c:ext>
          </c:extLst>
        </c:ser>
        <c:ser>
          <c:idx val="2"/>
          <c:order val="2"/>
          <c:tx>
            <c:strRef>
              <c:f>PPS 00:15:25</c:f>
              <c:strCache>
                <c:ptCount val="1"/>
                <c:pt idx="0">
                  <c:v>PPS 00:15:25</c:v>
                </c:pt>
              </c:strCache>
            </c:strRef>
          </c:tx>
          <c:spPr>
            <a:solidFill>
              <a:srgbClr val="196B24"/>
            </a:solidFill>
            <a:ln>
              <a:noFill/>
            </a:ln>
          </c:spPr>
          <c:invertIfNegative val="0"/>
          <c:cat>
            <c:strRef>
              <c:f>{"%TA","%TP"}</c:f>
              <c:strCache>
                <c:ptCount val="2"/>
                <c:pt idx="0">
                  <c:v>%TA</c:v>
                </c:pt>
                <c:pt idx="1">
                  <c:v>%TP</c:v>
                </c:pt>
              </c:strCache>
            </c:strRef>
          </c:cat>
          <c:val>
            <c:numRef>
              <c:f>{0.1621100595864,0.15282131661442}</c:f>
              <c:numCache>
                <c:formatCode>General</c:formatCode>
                <c:ptCount val="2"/>
                <c:pt idx="0">
                  <c:v>0.16211005958640001</c:v>
                </c:pt>
                <c:pt idx="1">
                  <c:v>0.15282131661442</c:v>
                </c:pt>
              </c:numCache>
            </c:numRef>
          </c:val>
          <c:extLst>
            <c:ext xmlns:c16="http://schemas.microsoft.com/office/drawing/2014/chart" uri="{C3380CC4-5D6E-409C-BE32-E72D297353CC}">
              <c16:uniqueId val="{00000002-CD6F-4934-A887-E11930EEC00F}"/>
            </c:ext>
          </c:extLst>
        </c:ser>
        <c:ser>
          <c:idx val="3"/>
          <c:order val="3"/>
          <c:tx>
            <c:strRef>
              <c:f>APMP 00:07:34</c:f>
              <c:strCache>
                <c:ptCount val="1"/>
                <c:pt idx="0">
                  <c:v>APMP 00:07:34</c:v>
                </c:pt>
              </c:strCache>
            </c:strRef>
          </c:tx>
          <c:spPr>
            <a:solidFill>
              <a:srgbClr val="0F9ED5"/>
            </a:solidFill>
            <a:ln>
              <a:noFill/>
            </a:ln>
          </c:spPr>
          <c:invertIfNegative val="0"/>
          <c:cat>
            <c:strRef>
              <c:f>{"%TA","%TP"}</c:f>
              <c:strCache>
                <c:ptCount val="2"/>
                <c:pt idx="0">
                  <c:v>%TA</c:v>
                </c:pt>
                <c:pt idx="1">
                  <c:v>%TP</c:v>
                </c:pt>
              </c:strCache>
            </c:strRef>
          </c:cat>
          <c:val>
            <c:numRef>
              <c:f>{0.07956536978619,0.171630094043887}</c:f>
              <c:numCache>
                <c:formatCode>General</c:formatCode>
                <c:ptCount val="2"/>
                <c:pt idx="0">
                  <c:v>7.9565369786189999E-2</c:v>
                </c:pt>
                <c:pt idx="1">
                  <c:v>0.17163009404388699</c:v>
                </c:pt>
              </c:numCache>
            </c:numRef>
          </c:val>
          <c:extLst>
            <c:ext xmlns:c16="http://schemas.microsoft.com/office/drawing/2014/chart" uri="{C3380CC4-5D6E-409C-BE32-E72D297353CC}">
              <c16:uniqueId val="{00000003-CD6F-4934-A887-E11930EEC00F}"/>
            </c:ext>
          </c:extLst>
        </c:ser>
        <c:ser>
          <c:idx val="4"/>
          <c:order val="4"/>
          <c:tx>
            <c:strRef>
              <c:f>CFOP 00:05:23</c:f>
              <c:strCache>
                <c:ptCount val="1"/>
                <c:pt idx="0">
                  <c:v>CFOP 00:05:23</c:v>
                </c:pt>
              </c:strCache>
            </c:strRef>
          </c:tx>
          <c:spPr>
            <a:solidFill>
              <a:srgbClr val="A02B93"/>
            </a:solidFill>
            <a:ln>
              <a:noFill/>
            </a:ln>
          </c:spPr>
          <c:invertIfNegative val="0"/>
          <c:cat>
            <c:strRef>
              <c:f>{"%TA","%TP"}</c:f>
              <c:strCache>
                <c:ptCount val="2"/>
                <c:pt idx="0">
                  <c:v>%TA</c:v>
                </c:pt>
                <c:pt idx="1">
                  <c:v>%TP</c:v>
                </c:pt>
              </c:strCache>
            </c:strRef>
          </c:cat>
          <c:val>
            <c:numRef>
              <c:f>{0.0566070802663863,0}</c:f>
              <c:numCache>
                <c:formatCode>General</c:formatCode>
                <c:ptCount val="2"/>
                <c:pt idx="0">
                  <c:v>5.6607080266386299E-2</c:v>
                </c:pt>
                <c:pt idx="1">
                  <c:v>0</c:v>
                </c:pt>
              </c:numCache>
            </c:numRef>
          </c:val>
          <c:extLst>
            <c:ext xmlns:c16="http://schemas.microsoft.com/office/drawing/2014/chart" uri="{C3380CC4-5D6E-409C-BE32-E72D297353CC}">
              <c16:uniqueId val="{00000004-CD6F-4934-A887-E11930EEC00F}"/>
            </c:ext>
          </c:extLst>
        </c:ser>
        <c:ser>
          <c:idx val="5"/>
          <c:order val="5"/>
          <c:tx>
            <c:strRef>
              <c:f>UNIR/PS 00:04:51</c:f>
              <c:strCache>
                <c:ptCount val="1"/>
                <c:pt idx="0">
                  <c:v>UNIR/PS 00:04:51</c:v>
                </c:pt>
              </c:strCache>
            </c:strRef>
          </c:tx>
          <c:spPr>
            <a:solidFill>
              <a:srgbClr val="4EA72E"/>
            </a:solidFill>
            <a:ln>
              <a:noFill/>
            </a:ln>
          </c:spPr>
          <c:invertIfNegative val="0"/>
          <c:cat>
            <c:strRef>
              <c:f>{"%TA","%TP"}</c:f>
              <c:strCache>
                <c:ptCount val="2"/>
                <c:pt idx="0">
                  <c:v>%TA</c:v>
                </c:pt>
                <c:pt idx="1">
                  <c:v>%TP</c:v>
                </c:pt>
              </c:strCache>
            </c:strRef>
          </c:cat>
          <c:val>
            <c:numRef>
              <c:f>{0.0509989484752892,0.0697492163009404}</c:f>
              <c:numCache>
                <c:formatCode>General</c:formatCode>
                <c:ptCount val="2"/>
                <c:pt idx="0">
                  <c:v>5.0998948475289199E-2</c:v>
                </c:pt>
                <c:pt idx="1">
                  <c:v>6.97492163009404E-2</c:v>
                </c:pt>
              </c:numCache>
            </c:numRef>
          </c:val>
          <c:extLst>
            <c:ext xmlns:c16="http://schemas.microsoft.com/office/drawing/2014/chart" uri="{C3380CC4-5D6E-409C-BE32-E72D297353CC}">
              <c16:uniqueId val="{00000005-CD6F-4934-A887-E11930EEC00F}"/>
            </c:ext>
          </c:extLst>
        </c:ser>
        <c:ser>
          <c:idx val="6"/>
          <c:order val="6"/>
          <c:tx>
            <c:strRef>
              <c:f>UPC 00:02:28</c:f>
              <c:strCache>
                <c:ptCount val="1"/>
                <c:pt idx="0">
                  <c:v>UPC 00:02:28</c:v>
                </c:pt>
              </c:strCache>
            </c:strRef>
          </c:tx>
          <c:spPr>
            <a:solidFill>
              <a:srgbClr val="0D3A4E"/>
            </a:solidFill>
            <a:ln>
              <a:noFill/>
            </a:ln>
          </c:spPr>
          <c:invertIfNegative val="0"/>
          <c:cat>
            <c:strRef>
              <c:f>{"%TA","%TP"}</c:f>
              <c:strCache>
                <c:ptCount val="2"/>
                <c:pt idx="0">
                  <c:v>%TA</c:v>
                </c:pt>
                <c:pt idx="1">
                  <c:v>%TP</c:v>
                </c:pt>
              </c:strCache>
            </c:strRef>
          </c:cat>
          <c:val>
            <c:numRef>
              <c:f>{0.025937609533824,0}</c:f>
              <c:numCache>
                <c:formatCode>General</c:formatCode>
                <c:ptCount val="2"/>
                <c:pt idx="0">
                  <c:v>2.5937609533823999E-2</c:v>
                </c:pt>
                <c:pt idx="1">
                  <c:v>0</c:v>
                </c:pt>
              </c:numCache>
            </c:numRef>
          </c:val>
          <c:extLst>
            <c:ext xmlns:c16="http://schemas.microsoft.com/office/drawing/2014/chart" uri="{C3380CC4-5D6E-409C-BE32-E72D297353CC}">
              <c16:uniqueId val="{00000006-CD6F-4934-A887-E11930EEC00F}"/>
            </c:ext>
          </c:extLst>
        </c:ser>
        <c:ser>
          <c:idx val="7"/>
          <c:order val="7"/>
          <c:tx>
            <c:strRef>
              <c:f>SENS 00:02:18</c:f>
              <c:strCache>
                <c:ptCount val="1"/>
                <c:pt idx="0">
                  <c:v>SENS 00:02:18</c:v>
                </c:pt>
              </c:strCache>
            </c:strRef>
          </c:tx>
          <c:spPr>
            <a:solidFill>
              <a:srgbClr val="994010"/>
            </a:solidFill>
            <a:ln>
              <a:noFill/>
            </a:ln>
          </c:spPr>
          <c:invertIfNegative val="0"/>
          <c:cat>
            <c:strRef>
              <c:f>{"%TA","%TP"}</c:f>
              <c:strCache>
                <c:ptCount val="2"/>
                <c:pt idx="0">
                  <c:v>%TA</c:v>
                </c:pt>
                <c:pt idx="1">
                  <c:v>%TP</c:v>
                </c:pt>
              </c:strCache>
            </c:strRef>
          </c:cat>
          <c:val>
            <c:numRef>
              <c:f>{0.0241850683491062,0}</c:f>
              <c:numCache>
                <c:formatCode>General</c:formatCode>
                <c:ptCount val="2"/>
                <c:pt idx="0">
                  <c:v>2.4185068349106199E-2</c:v>
                </c:pt>
                <c:pt idx="1">
                  <c:v>0</c:v>
                </c:pt>
              </c:numCache>
            </c:numRef>
          </c:val>
          <c:extLst>
            <c:ext xmlns:c16="http://schemas.microsoft.com/office/drawing/2014/chart" uri="{C3380CC4-5D6E-409C-BE32-E72D297353CC}">
              <c16:uniqueId val="{00000007-CD6F-4934-A887-E11930EEC00F}"/>
            </c:ext>
          </c:extLst>
        </c:ser>
        <c:ser>
          <c:idx val="8"/>
          <c:order val="8"/>
          <c:tx>
            <c:strRef>
              <c:f>MPS 00:01:03</c:f>
              <c:strCache>
                <c:ptCount val="1"/>
                <c:pt idx="0">
                  <c:v>MPS 00:01:03</c:v>
                </c:pt>
              </c:strCache>
            </c:strRef>
          </c:tx>
          <c:spPr>
            <a:solidFill>
              <a:srgbClr val="0F4016"/>
            </a:solidFill>
            <a:ln>
              <a:noFill/>
            </a:ln>
          </c:spPr>
          <c:invertIfNegative val="0"/>
          <c:cat>
            <c:strRef>
              <c:f>{"%TA","%TP"}</c:f>
              <c:strCache>
                <c:ptCount val="2"/>
                <c:pt idx="0">
                  <c:v>%TA</c:v>
                </c:pt>
                <c:pt idx="1">
                  <c:v>%TP</c:v>
                </c:pt>
              </c:strCache>
            </c:strRef>
          </c:cat>
          <c:val>
            <c:numRef>
              <c:f>{0.011,0}</c:f>
              <c:numCache>
                <c:formatCode>General</c:formatCode>
                <c:ptCount val="2"/>
                <c:pt idx="0">
                  <c:v>1.0999999999999999E-2</c:v>
                </c:pt>
                <c:pt idx="1">
                  <c:v>0</c:v>
                </c:pt>
              </c:numCache>
            </c:numRef>
          </c:val>
          <c:extLst>
            <c:ext xmlns:c16="http://schemas.microsoft.com/office/drawing/2014/chart" uri="{C3380CC4-5D6E-409C-BE32-E72D297353CC}">
              <c16:uniqueId val="{00000008-CD6F-4934-A887-E11930EEC00F}"/>
            </c:ext>
          </c:extLst>
        </c:ser>
        <c:ser>
          <c:idx val="9"/>
          <c:order val="9"/>
          <c:tx>
            <c:strRef>
              <c:f>PAREN 00:00:35</c:f>
              <c:strCache>
                <c:ptCount val="1"/>
                <c:pt idx="0">
                  <c:v>PAREN 00:00:35</c:v>
                </c:pt>
              </c:strCache>
            </c:strRef>
          </c:tx>
          <c:spPr>
            <a:solidFill>
              <a:srgbClr val="095F80"/>
            </a:solidFill>
            <a:ln>
              <a:noFill/>
            </a:ln>
          </c:spPr>
          <c:invertIfNegative val="0"/>
          <c:cat>
            <c:strRef>
              <c:f>{"%TA","%TP"}</c:f>
              <c:strCache>
                <c:ptCount val="2"/>
                <c:pt idx="0">
                  <c:v>%TA</c:v>
                </c:pt>
                <c:pt idx="1">
                  <c:v>%TP</c:v>
                </c:pt>
              </c:strCache>
            </c:strRef>
          </c:cat>
          <c:val>
            <c:numRef>
              <c:f>{0.0061,0}</c:f>
              <c:numCache>
                <c:formatCode>General</c:formatCode>
                <c:ptCount val="2"/>
                <c:pt idx="0">
                  <c:v>6.1000000000000004E-3</c:v>
                </c:pt>
                <c:pt idx="1">
                  <c:v>0</c:v>
                </c:pt>
              </c:numCache>
            </c:numRef>
          </c:val>
          <c:extLst>
            <c:ext xmlns:c16="http://schemas.microsoft.com/office/drawing/2014/chart" uri="{C3380CC4-5D6E-409C-BE32-E72D297353CC}">
              <c16:uniqueId val="{00000009-CD6F-4934-A887-E11930EEC00F}"/>
            </c:ext>
          </c:extLst>
        </c:ser>
        <c:dLbls>
          <c:showLegendKey val="0"/>
          <c:showVal val="0"/>
          <c:showCatName val="0"/>
          <c:showSerName val="0"/>
          <c:showPercent val="0"/>
          <c:showBubbleSize val="0"/>
        </c:dLbls>
        <c:gapWidth val="219"/>
        <c:overlap val="-27"/>
        <c:axId val="1697749935"/>
        <c:axId val="1697753679"/>
      </c:barChart>
      <c:catAx>
        <c:axId val="1697749935"/>
        <c:scaling>
          <c:orientation val="minMax"/>
        </c:scaling>
        <c:delete val="0"/>
        <c:axPos val="b"/>
        <c:numFmt formatCode="General" sourceLinked="0"/>
        <c:majorTickMark val="none"/>
        <c:minorTickMark val="none"/>
        <c:tickLblPos val="nextTo"/>
        <c:spPr>
          <a:noFill/>
          <a:ln w="9528" cap="flat" cmpd="sng" algn="ctr">
            <a:solidFill>
              <a:srgbClr val="D9D9D9"/>
            </a:solidFill>
            <a:prstDash val="solid"/>
            <a:round/>
          </a:ln>
        </c:spPr>
        <c:txPr>
          <a:bodyPr rot="-60000000" spcFirstLastPara="0" vertOverflow="ellipsis" vert="horz" wrap="square" lIns="0" tIns="0" rIns="0" bIns="0" anchor="ctr" anchorCtr="1"/>
          <a:lstStyle/>
          <a:p>
            <a:pPr>
              <a:defRPr lang="fr-FR" sz="900" b="0" i="0" u="none" strike="noStrike" kern="1200" baseline="0">
                <a:solidFill>
                  <a:srgbClr val="595959"/>
                </a:solidFill>
                <a:latin typeface="Aptos"/>
                <a:ea typeface="+mn-ea"/>
                <a:cs typeface="+mn-cs"/>
              </a:defRPr>
            </a:pPr>
            <a:endParaRPr lang="fr-FR"/>
          </a:p>
        </c:txPr>
        <c:crossAx val="1697753679"/>
        <c:crosses val="autoZero"/>
        <c:auto val="1"/>
        <c:lblAlgn val="ctr"/>
        <c:lblOffset val="100"/>
        <c:noMultiLvlLbl val="0"/>
      </c:catAx>
      <c:valAx>
        <c:axId val="1697753679"/>
        <c:scaling>
          <c:orientation val="minMax"/>
        </c:scaling>
        <c:delete val="0"/>
        <c:axPos val="l"/>
        <c:majorGridlines>
          <c:spPr>
            <a:ln w="9528" cap="flat" cmpd="sng" algn="ctr">
              <a:solidFill>
                <a:srgbClr val="D9D9D9"/>
              </a:solidFill>
              <a:prstDash val="solid"/>
              <a:round/>
            </a:ln>
          </c:spPr>
        </c:majorGridlines>
        <c:numFmt formatCode="General" sourceLinked="1"/>
        <c:majorTickMark val="none"/>
        <c:minorTickMark val="none"/>
        <c:tickLblPos val="nextTo"/>
        <c:spPr>
          <a:noFill/>
          <a:ln w="6350" cap="flat" cmpd="sng" algn="ctr">
            <a:noFill/>
            <a:prstDash val="solid"/>
            <a:round/>
          </a:ln>
        </c:spPr>
        <c:txPr>
          <a:bodyPr rot="-60000000" spcFirstLastPara="0" vertOverflow="ellipsis" vert="horz" wrap="square" lIns="0" tIns="0" rIns="0" bIns="0" anchor="ctr" anchorCtr="1"/>
          <a:lstStyle/>
          <a:p>
            <a:pPr>
              <a:defRPr lang="fr-FR" sz="900" b="0" i="0" u="none" strike="noStrike" kern="1200" baseline="0">
                <a:solidFill>
                  <a:srgbClr val="595959"/>
                </a:solidFill>
                <a:latin typeface="Aptos"/>
                <a:ea typeface="+mn-ea"/>
                <a:cs typeface="+mn-cs"/>
              </a:defRPr>
            </a:pPr>
            <a:endParaRPr lang="fr-FR"/>
          </a:p>
        </c:txPr>
        <c:crossAx val="1697749935"/>
        <c:crosses val="autoZero"/>
        <c:crossBetween val="between"/>
      </c:valAx>
      <c:spPr>
        <a:noFill/>
        <a:ln>
          <a:noFill/>
        </a:ln>
      </c:spPr>
    </c:plotArea>
    <c:legend>
      <c:legendPos val="b"/>
      <c:overlay val="0"/>
      <c:spPr>
        <a:noFill/>
        <a:ln>
          <a:noFill/>
        </a:ln>
      </c:spPr>
      <c:txPr>
        <a:bodyPr rot="0" spcFirstLastPara="0" vertOverflow="ellipsis" vert="horz" wrap="square" lIns="0" tIns="0" rIns="0" bIns="0" anchor="ctr" anchorCtr="1"/>
        <a:lstStyle/>
        <a:p>
          <a:pPr>
            <a:defRPr lang="fr-FR" sz="900" b="0" i="0" u="none" strike="noStrike" kern="1200" baseline="0">
              <a:solidFill>
                <a:srgbClr val="595959"/>
              </a:solidFill>
              <a:latin typeface="Aptos"/>
              <a:ea typeface="+mn-ea"/>
              <a:cs typeface="+mn-cs"/>
            </a:defRPr>
          </a:pPr>
          <a:endParaRPr lang="fr-FR"/>
        </a:p>
      </c:txPr>
    </c:legend>
    <c:plotVisOnly val="1"/>
    <c:dispBlanksAs val="gap"/>
    <c:showDLblsOverMax val="0"/>
  </c:chart>
  <c:spPr>
    <a:solidFill>
      <a:srgbClr val="FFFFFF"/>
    </a:solidFill>
    <a:ln w="9528" cap="flat" cmpd="sng" algn="ctr">
      <a:solidFill>
        <a:srgbClr val="D9D9D9"/>
      </a:solidFill>
      <a:prstDash val="solid"/>
      <a:round/>
    </a:ln>
  </c:spPr>
  <c:txPr>
    <a:bodyPr lIns="0" tIns="0" rIns="0" bIns="0"/>
    <a:lstStyle/>
    <a:p>
      <a:pPr>
        <a:defRPr lang="fr-FR" sz="1000" b="0" i="0" u="none" strike="noStrike" kern="1200" baseline="0">
          <a:solidFill>
            <a:srgbClr val="000000"/>
          </a:solidFill>
          <a:latin typeface="Aptos"/>
        </a:defRPr>
      </a:pPr>
      <a:endParaRPr lang="fr-FR"/>
    </a:p>
  </c:tx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Série1</c:f>
              <c:strCache>
                <c:ptCount val="1"/>
                <c:pt idx="0">
                  <c:v>Série1</c:v>
                </c:pt>
              </c:strCache>
            </c:strRef>
          </c:tx>
          <c:spPr>
            <a:solidFill>
              <a:srgbClr val="5B9BD5"/>
            </a:solidFill>
            <a:ln>
              <a:noFill/>
            </a:ln>
          </c:spPr>
          <c:invertIfNegative val="0"/>
          <c:dLbls>
            <c:spPr>
              <a:noFill/>
              <a:ln>
                <a:noFill/>
              </a:ln>
              <a:effectLst/>
            </c:spPr>
            <c:txPr>
              <a:bodyPr rot="0" spcFirstLastPara="0" vertOverflow="ellipsis" vert="horz" wrap="square" lIns="0" tIns="0" rIns="0" bIns="0" anchor="ctr" anchorCtr="1"/>
              <a:lstStyle/>
              <a:p>
                <a:pPr algn="ctr">
                  <a:defRPr lang="fr-FR" sz="900" b="0" i="0" u="none" strike="noStrike" kern="1200" baseline="0">
                    <a:solidFill>
                      <a:srgbClr val="404040"/>
                    </a:solidFill>
                    <a:latin typeface="Calibri" panose="020F0502020204030204"/>
                    <a:ea typeface="+mn-ea"/>
                    <a:cs typeface="+mn-cs"/>
                  </a:defRPr>
                </a:pPr>
                <a:endParaRPr lang="fr-FR"/>
              </a:p>
            </c:txPr>
            <c:dLblPos val="outEnd"/>
            <c:showLegendKey val="0"/>
            <c:showVal val="1"/>
            <c:showCatName val="0"/>
            <c:showSerName val="0"/>
            <c:showPercent val="0"/>
            <c:showBubbleSize val="0"/>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Ref>
              <c:f>{"CC","CP","DCRP","SG","DAF","DRMC","DAD","DP","DMM","DIPE","DIT","BCPM","DRH","DMP","DDA","AC","DRO","DRE"}</c:f>
              <c:strCache>
                <c:ptCount val="18"/>
                <c:pt idx="0">
                  <c:v>CC</c:v>
                </c:pt>
                <c:pt idx="1">
                  <c:v>CP</c:v>
                </c:pt>
                <c:pt idx="2">
                  <c:v>DCRP</c:v>
                </c:pt>
                <c:pt idx="3">
                  <c:v>SG</c:v>
                </c:pt>
                <c:pt idx="4">
                  <c:v>DAF</c:v>
                </c:pt>
                <c:pt idx="5">
                  <c:v>DRMC</c:v>
                </c:pt>
                <c:pt idx="6">
                  <c:v>DAD</c:v>
                </c:pt>
                <c:pt idx="7">
                  <c:v>DP</c:v>
                </c:pt>
                <c:pt idx="8">
                  <c:v>DMM</c:v>
                </c:pt>
                <c:pt idx="9">
                  <c:v>DIPE</c:v>
                </c:pt>
                <c:pt idx="10">
                  <c:v>DIT</c:v>
                </c:pt>
                <c:pt idx="11">
                  <c:v>BCPM</c:v>
                </c:pt>
                <c:pt idx="12">
                  <c:v>DRH</c:v>
                </c:pt>
                <c:pt idx="13">
                  <c:v>DMP</c:v>
                </c:pt>
                <c:pt idx="14">
                  <c:v>DDA</c:v>
                </c:pt>
                <c:pt idx="15">
                  <c:v>AC</c:v>
                </c:pt>
                <c:pt idx="16">
                  <c:v>DRO</c:v>
                </c:pt>
                <c:pt idx="17">
                  <c:v>DRE</c:v>
                </c:pt>
              </c:strCache>
            </c:strRef>
          </c:cat>
          <c:val>
            <c:numRef>
              <c:f>{9,18,5,8,11,4,4,3,14,3,5,7,6,3,3,4,14,7}</c:f>
              <c:numCache>
                <c:formatCode>General</c:formatCode>
                <c:ptCount val="18"/>
                <c:pt idx="0">
                  <c:v>9</c:v>
                </c:pt>
                <c:pt idx="1">
                  <c:v>18</c:v>
                </c:pt>
                <c:pt idx="2">
                  <c:v>5</c:v>
                </c:pt>
                <c:pt idx="3">
                  <c:v>8</c:v>
                </c:pt>
                <c:pt idx="4">
                  <c:v>11</c:v>
                </c:pt>
                <c:pt idx="5">
                  <c:v>4</c:v>
                </c:pt>
                <c:pt idx="6">
                  <c:v>4</c:v>
                </c:pt>
                <c:pt idx="7">
                  <c:v>3</c:v>
                </c:pt>
                <c:pt idx="8">
                  <c:v>14</c:v>
                </c:pt>
                <c:pt idx="9">
                  <c:v>3</c:v>
                </c:pt>
                <c:pt idx="10">
                  <c:v>5</c:v>
                </c:pt>
                <c:pt idx="11">
                  <c:v>7</c:v>
                </c:pt>
                <c:pt idx="12">
                  <c:v>6</c:v>
                </c:pt>
                <c:pt idx="13">
                  <c:v>3</c:v>
                </c:pt>
                <c:pt idx="14">
                  <c:v>3</c:v>
                </c:pt>
                <c:pt idx="15">
                  <c:v>4</c:v>
                </c:pt>
                <c:pt idx="16">
                  <c:v>14</c:v>
                </c:pt>
                <c:pt idx="17">
                  <c:v>7</c:v>
                </c:pt>
              </c:numCache>
            </c:numRef>
          </c:val>
          <c:extLst>
            <c:ext xmlns:c16="http://schemas.microsoft.com/office/drawing/2014/chart" uri="{C3380CC4-5D6E-409C-BE32-E72D297353CC}">
              <c16:uniqueId val="{00000000-C355-405F-8BD3-5FEDF07318B0}"/>
            </c:ext>
          </c:extLst>
        </c:ser>
        <c:dLbls>
          <c:showLegendKey val="0"/>
          <c:showVal val="0"/>
          <c:showCatName val="0"/>
          <c:showSerName val="0"/>
          <c:showPercent val="0"/>
          <c:showBubbleSize val="0"/>
        </c:dLbls>
        <c:gapWidth val="219"/>
        <c:overlap val="-27"/>
        <c:axId val="193973631"/>
        <c:axId val="193975295"/>
      </c:barChart>
      <c:catAx>
        <c:axId val="193973631"/>
        <c:scaling>
          <c:orientation val="minMax"/>
        </c:scaling>
        <c:delete val="0"/>
        <c:axPos val="b"/>
        <c:numFmt formatCode="General" sourceLinked="0"/>
        <c:majorTickMark val="none"/>
        <c:minorTickMark val="none"/>
        <c:tickLblPos val="nextTo"/>
        <c:spPr>
          <a:noFill/>
          <a:ln w="9528" cap="flat" cmpd="sng" algn="ctr">
            <a:solidFill>
              <a:srgbClr val="D9D9D9"/>
            </a:solidFill>
            <a:prstDash val="solid"/>
            <a:round/>
          </a:ln>
        </c:spPr>
        <c:txPr>
          <a:bodyPr rot="-60000000" spcFirstLastPara="0" vertOverflow="ellipsis" vert="horz" wrap="square" lIns="0" tIns="0" rIns="0" bIns="0" anchor="ctr" anchorCtr="1"/>
          <a:lstStyle/>
          <a:p>
            <a:pPr>
              <a:defRPr lang="fr-FR" sz="900" b="0" i="0" u="none" strike="noStrike" kern="1200" baseline="0">
                <a:solidFill>
                  <a:srgbClr val="595959"/>
                </a:solidFill>
                <a:latin typeface="Calibri" panose="020F0502020204030204"/>
                <a:ea typeface="+mn-ea"/>
                <a:cs typeface="+mn-cs"/>
              </a:defRPr>
            </a:pPr>
            <a:endParaRPr lang="fr-FR"/>
          </a:p>
        </c:txPr>
        <c:crossAx val="193975295"/>
        <c:crosses val="autoZero"/>
        <c:auto val="1"/>
        <c:lblAlgn val="ctr"/>
        <c:lblOffset val="100"/>
        <c:noMultiLvlLbl val="0"/>
      </c:catAx>
      <c:valAx>
        <c:axId val="193975295"/>
        <c:scaling>
          <c:orientation val="minMax"/>
        </c:scaling>
        <c:delete val="0"/>
        <c:axPos val="l"/>
        <c:numFmt formatCode="General" sourceLinked="0"/>
        <c:majorTickMark val="none"/>
        <c:minorTickMark val="none"/>
        <c:tickLblPos val="nextTo"/>
        <c:spPr>
          <a:noFill/>
          <a:ln w="6350" cap="flat" cmpd="sng" algn="ctr">
            <a:noFill/>
            <a:prstDash val="solid"/>
            <a:round/>
          </a:ln>
        </c:spPr>
        <c:txPr>
          <a:bodyPr rot="-60000000" spcFirstLastPara="0" vertOverflow="ellipsis" vert="horz" wrap="square" lIns="0" tIns="0" rIns="0" bIns="0" anchor="ctr" anchorCtr="1"/>
          <a:lstStyle/>
          <a:p>
            <a:pPr>
              <a:defRPr lang="fr-FR" sz="900" b="0" i="0" u="none" strike="noStrike" kern="1200" baseline="0">
                <a:solidFill>
                  <a:srgbClr val="595959"/>
                </a:solidFill>
                <a:latin typeface="Calibri" panose="020F0502020204030204"/>
                <a:ea typeface="+mn-ea"/>
                <a:cs typeface="+mn-cs"/>
              </a:defRPr>
            </a:pPr>
            <a:endParaRPr lang="fr-FR"/>
          </a:p>
        </c:txPr>
        <c:crossAx val="193973631"/>
        <c:crosses val="autoZero"/>
        <c:crossBetween val="between"/>
      </c:valAx>
      <c:spPr>
        <a:noFill/>
        <a:ln>
          <a:noFill/>
        </a:ln>
      </c:spPr>
    </c:plotArea>
    <c:plotVisOnly val="1"/>
    <c:dispBlanksAs val="gap"/>
    <c:showDLblsOverMax val="0"/>
  </c:chart>
  <c:spPr>
    <a:solidFill>
      <a:srgbClr val="FFFFFF"/>
    </a:solidFill>
    <a:ln w="9528" cap="flat" cmpd="sng" algn="ctr">
      <a:solidFill>
        <a:srgbClr val="D9D9D9"/>
      </a:solidFill>
      <a:prstDash val="solid"/>
      <a:round/>
    </a:ln>
  </c:spPr>
  <c:txPr>
    <a:bodyPr lIns="0" tIns="0" rIns="0" bIns="0"/>
    <a:lstStyle/>
    <a:p>
      <a:pPr>
        <a:defRPr lang="fr-FR" sz="1000" b="0" i="0" u="none" strike="noStrike" kern="1200" baseline="0">
          <a:solidFill>
            <a:srgbClr val="000000"/>
          </a:solidFill>
          <a:latin typeface="Calibri" panose="020F0502020204030204"/>
        </a:defRPr>
      </a:pPr>
      <a:endParaRPr lang="fr-FR"/>
    </a:p>
  </c:txPr>
  <c:externalData r:id="rId2">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cked"/>
        <c:varyColors val="0"/>
        <c:ser>
          <c:idx val="0"/>
          <c:order val="0"/>
          <c:tx>
            <c:strRef>
              <c:f>Série1</c:f>
              <c:strCache>
                <c:ptCount val="1"/>
                <c:pt idx="0">
                  <c:v>Série1</c:v>
                </c:pt>
              </c:strCache>
            </c:strRef>
          </c:tx>
          <c:spPr>
            <a:ln w="28575" cap="rnd" cmpd="sng" algn="ctr">
              <a:solidFill>
                <a:srgbClr val="5B9BD5"/>
              </a:solidFill>
              <a:prstDash val="solid"/>
              <a:round/>
            </a:ln>
          </c:spPr>
          <c:marker>
            <c:symbol val="none"/>
          </c:marker>
          <c:cat>
            <c:strRef>
              <c:f>{"Année 2020","Année 2021","Année 2022"}</c:f>
              <c:strCache>
                <c:ptCount val="3"/>
                <c:pt idx="0">
                  <c:v>Année 2020</c:v>
                </c:pt>
                <c:pt idx="1">
                  <c:v>Année 2021</c:v>
                </c:pt>
                <c:pt idx="2">
                  <c:v>Année 2022</c:v>
                </c:pt>
              </c:strCache>
            </c:strRef>
          </c:cat>
          <c:val>
            <c:numRef>
              <c:f>{120,130,128}</c:f>
              <c:numCache>
                <c:formatCode>General</c:formatCode>
                <c:ptCount val="3"/>
                <c:pt idx="0">
                  <c:v>120</c:v>
                </c:pt>
                <c:pt idx="1">
                  <c:v>130</c:v>
                </c:pt>
                <c:pt idx="2">
                  <c:v>128</c:v>
                </c:pt>
              </c:numCache>
            </c:numRef>
          </c:val>
          <c:smooth val="0"/>
          <c:extLst>
            <c:ext xmlns:c16="http://schemas.microsoft.com/office/drawing/2014/chart" uri="{C3380CC4-5D6E-409C-BE32-E72D297353CC}">
              <c16:uniqueId val="{00000000-6001-4AF7-A5C8-B64A940C4930}"/>
            </c:ext>
          </c:extLst>
        </c:ser>
        <c:dLbls>
          <c:showLegendKey val="0"/>
          <c:showVal val="0"/>
          <c:showCatName val="0"/>
          <c:showSerName val="0"/>
          <c:showPercent val="0"/>
          <c:showBubbleSize val="0"/>
        </c:dLbls>
        <c:smooth val="0"/>
        <c:axId val="193976543"/>
        <c:axId val="193977791"/>
      </c:lineChart>
      <c:catAx>
        <c:axId val="193976543"/>
        <c:scaling>
          <c:orientation val="minMax"/>
        </c:scaling>
        <c:delete val="0"/>
        <c:axPos val="b"/>
        <c:numFmt formatCode="General" sourceLinked="0"/>
        <c:majorTickMark val="none"/>
        <c:minorTickMark val="none"/>
        <c:tickLblPos val="nextTo"/>
        <c:spPr>
          <a:noFill/>
          <a:ln w="9528" cap="flat" cmpd="sng" algn="ctr">
            <a:solidFill>
              <a:srgbClr val="D9D9D9"/>
            </a:solidFill>
            <a:prstDash val="solid"/>
            <a:round/>
          </a:ln>
        </c:spPr>
        <c:txPr>
          <a:bodyPr rot="-60000000" spcFirstLastPara="0" vertOverflow="ellipsis" vert="horz" wrap="square" lIns="0" tIns="0" rIns="0" bIns="0" anchor="ctr" anchorCtr="1"/>
          <a:lstStyle/>
          <a:p>
            <a:pPr>
              <a:defRPr lang="fr-FR" sz="900" b="0" i="0" u="none" strike="noStrike" kern="1200" baseline="0">
                <a:solidFill>
                  <a:srgbClr val="595959"/>
                </a:solidFill>
                <a:latin typeface="Calibri" panose="020F0502020204030204"/>
                <a:ea typeface="+mn-ea"/>
                <a:cs typeface="+mn-cs"/>
              </a:defRPr>
            </a:pPr>
            <a:endParaRPr lang="fr-FR"/>
          </a:p>
        </c:txPr>
        <c:crossAx val="193977791"/>
        <c:crosses val="autoZero"/>
        <c:auto val="1"/>
        <c:lblAlgn val="ctr"/>
        <c:lblOffset val="100"/>
        <c:noMultiLvlLbl val="0"/>
      </c:catAx>
      <c:valAx>
        <c:axId val="193977791"/>
        <c:scaling>
          <c:orientation val="minMax"/>
        </c:scaling>
        <c:delete val="0"/>
        <c:axPos val="l"/>
        <c:majorGridlines>
          <c:spPr>
            <a:ln w="9528" cap="flat" cmpd="sng" algn="ctr">
              <a:solidFill>
                <a:srgbClr val="D9D9D9"/>
              </a:solidFill>
              <a:prstDash val="solid"/>
              <a:round/>
            </a:ln>
          </c:spPr>
        </c:majorGridlines>
        <c:numFmt formatCode="General" sourceLinked="0"/>
        <c:majorTickMark val="none"/>
        <c:minorTickMark val="none"/>
        <c:tickLblPos val="nextTo"/>
        <c:spPr>
          <a:noFill/>
          <a:ln w="6350" cap="flat" cmpd="sng" algn="ctr">
            <a:noFill/>
            <a:prstDash val="solid"/>
            <a:round/>
          </a:ln>
        </c:spPr>
        <c:txPr>
          <a:bodyPr rot="-60000000" spcFirstLastPara="0" vertOverflow="ellipsis" vert="horz" wrap="square" lIns="0" tIns="0" rIns="0" bIns="0" anchor="ctr" anchorCtr="1"/>
          <a:lstStyle/>
          <a:p>
            <a:pPr>
              <a:defRPr lang="fr-FR" sz="900" b="0" i="0" u="none" strike="noStrike" kern="1200" baseline="0">
                <a:solidFill>
                  <a:srgbClr val="595959"/>
                </a:solidFill>
                <a:latin typeface="Calibri" panose="020F0502020204030204"/>
                <a:ea typeface="+mn-ea"/>
                <a:cs typeface="+mn-cs"/>
              </a:defRPr>
            </a:pPr>
            <a:endParaRPr lang="fr-FR"/>
          </a:p>
        </c:txPr>
        <c:crossAx val="193976543"/>
        <c:crosses val="autoZero"/>
        <c:crossBetween val="between"/>
      </c:valAx>
      <c:spPr>
        <a:noFill/>
        <a:ln>
          <a:noFill/>
        </a:ln>
      </c:spPr>
    </c:plotArea>
    <c:plotVisOnly val="1"/>
    <c:dispBlanksAs val="zero"/>
    <c:showDLblsOverMax val="0"/>
  </c:chart>
  <c:spPr>
    <a:solidFill>
      <a:srgbClr val="FFFFFF"/>
    </a:solidFill>
    <a:ln w="9528" cap="flat" cmpd="sng" algn="ctr">
      <a:solidFill>
        <a:srgbClr val="D9D9D9"/>
      </a:solidFill>
      <a:prstDash val="solid"/>
      <a:round/>
    </a:ln>
  </c:spPr>
  <c:txPr>
    <a:bodyPr lIns="0" tIns="0" rIns="0" bIns="0"/>
    <a:lstStyle/>
    <a:p>
      <a:pPr>
        <a:defRPr lang="fr-FR" sz="1000" b="0" i="0" u="none" strike="noStrike" kern="1200" baseline="0">
          <a:solidFill>
            <a:srgbClr val="000000"/>
          </a:solidFill>
          <a:latin typeface="Calibri" panose="020F0502020204030204"/>
        </a:defRPr>
      </a:pPr>
      <a:endParaRPr lang="fr-FR"/>
    </a:p>
  </c:txPr>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FAC6A5D-C10E-449F-BF27-88FCB4468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944</TotalTime>
  <Pages>214</Pages>
  <Words>27128</Words>
  <Characters>149207</Characters>
  <Application>Microsoft Office Word</Application>
  <DocSecurity>0</DocSecurity>
  <Lines>1243</Lines>
  <Paragraphs>351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11</cp:revision>
  <cp:lastPrinted>2024-08-20T16:39:00Z</cp:lastPrinted>
  <dcterms:created xsi:type="dcterms:W3CDTF">2024-06-24T14:01:00Z</dcterms:created>
  <dcterms:modified xsi:type="dcterms:W3CDTF">2024-11-22T11:44:00Z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1033-12.2.0.17562</vt:lpwstr>
  </property>
  <property fmtid="{D5CDD505-2E9C-101B-9397-08002B2CF9AE}" pid="3" name="ICV">
    <vt:lpwstr>9E1E9B7EFBA04C16A1BF55AF2E139769_12</vt:lpwstr>
  </property>
</Properties>
</file>